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5DA96" w14:textId="77777777" w:rsidR="00D97A44" w:rsidRPr="000C70DE" w:rsidRDefault="00D97A44" w:rsidP="00BE3D48">
      <w:pPr>
        <w:pStyle w:val="Header"/>
        <w:widowControl w:val="0"/>
        <w:tabs>
          <w:tab w:val="clear" w:pos="567"/>
          <w:tab w:val="clear" w:pos="4153"/>
        </w:tabs>
        <w:rPr>
          <w:rFonts w:ascii="Times New Roman" w:hAnsi="Times New Roman" w:cs="Times New Roman"/>
          <w:color w:val="000000"/>
          <w:sz w:val="22"/>
          <w:szCs w:val="22"/>
        </w:rPr>
      </w:pPr>
      <w:bookmarkStart w:id="0" w:name="_GoBack"/>
      <w:bookmarkEnd w:id="0"/>
    </w:p>
    <w:p w14:paraId="105F76F9" w14:textId="77777777" w:rsidR="00D97A44" w:rsidRPr="000C70DE" w:rsidRDefault="00D97A44" w:rsidP="00BE3D48">
      <w:pPr>
        <w:widowControl w:val="0"/>
        <w:tabs>
          <w:tab w:val="clear" w:pos="567"/>
        </w:tabs>
        <w:spacing w:line="240" w:lineRule="auto"/>
        <w:rPr>
          <w:color w:val="000000"/>
        </w:rPr>
      </w:pPr>
    </w:p>
    <w:p w14:paraId="3963F710" w14:textId="77777777" w:rsidR="00D97A44" w:rsidRPr="000C70DE" w:rsidRDefault="00D97A44" w:rsidP="00BE3D48">
      <w:pPr>
        <w:pStyle w:val="EndnoteText"/>
        <w:widowControl w:val="0"/>
        <w:tabs>
          <w:tab w:val="clear" w:pos="567"/>
        </w:tabs>
        <w:rPr>
          <w:color w:val="000000"/>
        </w:rPr>
      </w:pPr>
    </w:p>
    <w:p w14:paraId="4B09FB07" w14:textId="77777777" w:rsidR="00D97A44" w:rsidRPr="000C70DE" w:rsidRDefault="00D97A44" w:rsidP="00BE3D48">
      <w:pPr>
        <w:widowControl w:val="0"/>
        <w:tabs>
          <w:tab w:val="clear" w:pos="567"/>
        </w:tabs>
        <w:spacing w:line="240" w:lineRule="auto"/>
        <w:rPr>
          <w:color w:val="000000"/>
        </w:rPr>
      </w:pPr>
    </w:p>
    <w:p w14:paraId="58F009B1" w14:textId="77777777" w:rsidR="00D97A44" w:rsidRPr="000C70DE" w:rsidRDefault="00D97A44" w:rsidP="00BE3D48">
      <w:pPr>
        <w:widowControl w:val="0"/>
        <w:tabs>
          <w:tab w:val="clear" w:pos="567"/>
        </w:tabs>
        <w:spacing w:line="240" w:lineRule="auto"/>
        <w:rPr>
          <w:color w:val="000000"/>
        </w:rPr>
      </w:pPr>
    </w:p>
    <w:p w14:paraId="0BB0B674" w14:textId="77777777" w:rsidR="00D97A44" w:rsidRPr="000C70DE" w:rsidRDefault="00D97A44" w:rsidP="00BE3D48">
      <w:pPr>
        <w:widowControl w:val="0"/>
        <w:tabs>
          <w:tab w:val="clear" w:pos="567"/>
        </w:tabs>
        <w:spacing w:line="240" w:lineRule="auto"/>
        <w:rPr>
          <w:color w:val="000000"/>
        </w:rPr>
      </w:pPr>
    </w:p>
    <w:p w14:paraId="155429E1" w14:textId="77777777" w:rsidR="00D97A44" w:rsidRPr="000C70DE" w:rsidRDefault="00D97A44" w:rsidP="00BE3D48">
      <w:pPr>
        <w:widowControl w:val="0"/>
        <w:tabs>
          <w:tab w:val="clear" w:pos="567"/>
        </w:tabs>
        <w:spacing w:line="240" w:lineRule="auto"/>
        <w:rPr>
          <w:color w:val="000000"/>
        </w:rPr>
      </w:pPr>
    </w:p>
    <w:p w14:paraId="58D756E2" w14:textId="77777777" w:rsidR="00D97A44" w:rsidRPr="000C70DE" w:rsidRDefault="00D97A44" w:rsidP="00BE3D48">
      <w:pPr>
        <w:widowControl w:val="0"/>
        <w:tabs>
          <w:tab w:val="clear" w:pos="567"/>
        </w:tabs>
        <w:spacing w:line="240" w:lineRule="auto"/>
        <w:rPr>
          <w:color w:val="000000"/>
        </w:rPr>
      </w:pPr>
    </w:p>
    <w:p w14:paraId="582CF424" w14:textId="77777777" w:rsidR="00D97A44" w:rsidRPr="000C70DE" w:rsidRDefault="00D97A44" w:rsidP="00BE3D48">
      <w:pPr>
        <w:widowControl w:val="0"/>
        <w:tabs>
          <w:tab w:val="clear" w:pos="567"/>
        </w:tabs>
        <w:spacing w:line="240" w:lineRule="auto"/>
        <w:rPr>
          <w:color w:val="000000"/>
        </w:rPr>
      </w:pPr>
    </w:p>
    <w:p w14:paraId="4F9EF353" w14:textId="77777777" w:rsidR="00D97A44" w:rsidRPr="000C70DE" w:rsidRDefault="00D97A44" w:rsidP="00BE3D48">
      <w:pPr>
        <w:widowControl w:val="0"/>
        <w:tabs>
          <w:tab w:val="clear" w:pos="567"/>
        </w:tabs>
        <w:spacing w:line="240" w:lineRule="auto"/>
        <w:rPr>
          <w:color w:val="000000"/>
        </w:rPr>
      </w:pPr>
    </w:p>
    <w:p w14:paraId="1FE9A6B9" w14:textId="77777777" w:rsidR="00D97A44" w:rsidRPr="000C70DE" w:rsidRDefault="00D97A44" w:rsidP="00BE3D48">
      <w:pPr>
        <w:pStyle w:val="EndnoteText"/>
        <w:widowControl w:val="0"/>
        <w:tabs>
          <w:tab w:val="clear" w:pos="567"/>
        </w:tabs>
        <w:rPr>
          <w:color w:val="000000"/>
        </w:rPr>
      </w:pPr>
    </w:p>
    <w:p w14:paraId="61ADCC70" w14:textId="77777777" w:rsidR="00D97A44" w:rsidRPr="000C70DE" w:rsidRDefault="00D97A44" w:rsidP="00BE3D48">
      <w:pPr>
        <w:widowControl w:val="0"/>
        <w:tabs>
          <w:tab w:val="clear" w:pos="567"/>
        </w:tabs>
        <w:spacing w:line="240" w:lineRule="auto"/>
        <w:rPr>
          <w:color w:val="000000"/>
        </w:rPr>
      </w:pPr>
    </w:p>
    <w:p w14:paraId="6388DE98" w14:textId="77777777" w:rsidR="00D97A44" w:rsidRPr="000C70DE" w:rsidRDefault="00D97A44" w:rsidP="00BE3D48">
      <w:pPr>
        <w:widowControl w:val="0"/>
        <w:tabs>
          <w:tab w:val="clear" w:pos="567"/>
        </w:tabs>
        <w:spacing w:line="240" w:lineRule="auto"/>
        <w:rPr>
          <w:color w:val="000000"/>
        </w:rPr>
      </w:pPr>
    </w:p>
    <w:p w14:paraId="14D05B5E" w14:textId="77777777" w:rsidR="00D97A44" w:rsidRPr="000C70DE" w:rsidRDefault="00D97A44" w:rsidP="00BE3D48">
      <w:pPr>
        <w:widowControl w:val="0"/>
        <w:tabs>
          <w:tab w:val="clear" w:pos="567"/>
        </w:tabs>
        <w:spacing w:line="240" w:lineRule="auto"/>
        <w:rPr>
          <w:color w:val="000000"/>
        </w:rPr>
      </w:pPr>
    </w:p>
    <w:p w14:paraId="184DD914" w14:textId="77777777" w:rsidR="00D97A44" w:rsidRPr="000C70DE" w:rsidRDefault="00D97A44" w:rsidP="00BE3D48">
      <w:pPr>
        <w:widowControl w:val="0"/>
        <w:tabs>
          <w:tab w:val="clear" w:pos="567"/>
        </w:tabs>
        <w:spacing w:line="240" w:lineRule="auto"/>
        <w:rPr>
          <w:color w:val="000000"/>
        </w:rPr>
      </w:pPr>
    </w:p>
    <w:p w14:paraId="7D8D8304" w14:textId="77777777" w:rsidR="00D97A44" w:rsidRPr="000C70DE" w:rsidRDefault="00D97A44" w:rsidP="00BE3D48">
      <w:pPr>
        <w:widowControl w:val="0"/>
        <w:tabs>
          <w:tab w:val="clear" w:pos="567"/>
        </w:tabs>
        <w:spacing w:line="240" w:lineRule="auto"/>
        <w:rPr>
          <w:color w:val="000000"/>
        </w:rPr>
      </w:pPr>
    </w:p>
    <w:p w14:paraId="38E83DD8" w14:textId="77777777" w:rsidR="00D97A44" w:rsidRPr="000C70DE" w:rsidRDefault="00D97A44" w:rsidP="00BE3D48">
      <w:pPr>
        <w:widowControl w:val="0"/>
        <w:tabs>
          <w:tab w:val="clear" w:pos="567"/>
        </w:tabs>
        <w:spacing w:line="240" w:lineRule="auto"/>
        <w:rPr>
          <w:color w:val="000000"/>
        </w:rPr>
      </w:pPr>
    </w:p>
    <w:p w14:paraId="40995804" w14:textId="77777777" w:rsidR="00D97A44" w:rsidRPr="000C70DE" w:rsidRDefault="00D97A44" w:rsidP="00BE3D48">
      <w:pPr>
        <w:widowControl w:val="0"/>
        <w:tabs>
          <w:tab w:val="clear" w:pos="567"/>
        </w:tabs>
        <w:spacing w:line="240" w:lineRule="auto"/>
        <w:rPr>
          <w:color w:val="000000"/>
        </w:rPr>
      </w:pPr>
    </w:p>
    <w:p w14:paraId="55D27568" w14:textId="77777777" w:rsidR="00D97A44" w:rsidRPr="000C70DE" w:rsidRDefault="00D97A44" w:rsidP="00BE3D48">
      <w:pPr>
        <w:widowControl w:val="0"/>
        <w:tabs>
          <w:tab w:val="clear" w:pos="567"/>
        </w:tabs>
        <w:spacing w:line="240" w:lineRule="auto"/>
        <w:rPr>
          <w:color w:val="000000"/>
        </w:rPr>
      </w:pPr>
    </w:p>
    <w:p w14:paraId="05EEFC76" w14:textId="77777777" w:rsidR="00D97A44" w:rsidRPr="000C70DE" w:rsidRDefault="00D97A44" w:rsidP="00BE3D48">
      <w:pPr>
        <w:widowControl w:val="0"/>
        <w:tabs>
          <w:tab w:val="clear" w:pos="567"/>
        </w:tabs>
        <w:spacing w:line="240" w:lineRule="auto"/>
        <w:rPr>
          <w:color w:val="000000"/>
        </w:rPr>
      </w:pPr>
    </w:p>
    <w:p w14:paraId="3C580100" w14:textId="77777777" w:rsidR="00D97A44" w:rsidRPr="000C70DE" w:rsidRDefault="00D97A44" w:rsidP="00BE3D48">
      <w:pPr>
        <w:widowControl w:val="0"/>
        <w:tabs>
          <w:tab w:val="clear" w:pos="567"/>
        </w:tabs>
        <w:spacing w:line="240" w:lineRule="auto"/>
        <w:rPr>
          <w:color w:val="000000"/>
        </w:rPr>
      </w:pPr>
    </w:p>
    <w:p w14:paraId="172B3771" w14:textId="77777777" w:rsidR="00D97A44" w:rsidRPr="000C70DE" w:rsidRDefault="00D97A44" w:rsidP="00BE3D48">
      <w:pPr>
        <w:pStyle w:val="EndnoteText"/>
        <w:widowControl w:val="0"/>
        <w:tabs>
          <w:tab w:val="clear" w:pos="567"/>
        </w:tabs>
        <w:rPr>
          <w:color w:val="000000"/>
        </w:rPr>
      </w:pPr>
    </w:p>
    <w:p w14:paraId="6FFAA6BD" w14:textId="77777777" w:rsidR="00D97A44" w:rsidRPr="000C70DE" w:rsidRDefault="00D97A44" w:rsidP="00BE3D48">
      <w:pPr>
        <w:widowControl w:val="0"/>
        <w:tabs>
          <w:tab w:val="clear" w:pos="567"/>
        </w:tabs>
        <w:spacing w:line="240" w:lineRule="auto"/>
        <w:rPr>
          <w:color w:val="000000"/>
        </w:rPr>
      </w:pPr>
    </w:p>
    <w:p w14:paraId="7DDBA5CE" w14:textId="77777777" w:rsidR="00D97A44" w:rsidRPr="009B1A37" w:rsidRDefault="00D97A44" w:rsidP="00BE3D48">
      <w:pPr>
        <w:widowControl w:val="0"/>
        <w:tabs>
          <w:tab w:val="clear" w:pos="567"/>
        </w:tabs>
        <w:spacing w:line="240" w:lineRule="auto"/>
        <w:jc w:val="center"/>
        <w:rPr>
          <w:b/>
          <w:bCs/>
          <w:color w:val="000000"/>
        </w:rPr>
      </w:pPr>
      <w:r w:rsidRPr="009B1A37">
        <w:rPr>
          <w:b/>
          <w:bCs/>
          <w:color w:val="000000"/>
        </w:rPr>
        <w:t>PŘÍLOHA I</w:t>
      </w:r>
    </w:p>
    <w:p w14:paraId="6E74C77E" w14:textId="77777777" w:rsidR="00D97A44" w:rsidRPr="009B1A37" w:rsidRDefault="00D97A44" w:rsidP="00BE3D48">
      <w:pPr>
        <w:widowControl w:val="0"/>
        <w:tabs>
          <w:tab w:val="clear" w:pos="567"/>
        </w:tabs>
        <w:spacing w:line="240" w:lineRule="auto"/>
        <w:jc w:val="center"/>
        <w:rPr>
          <w:color w:val="000000"/>
        </w:rPr>
      </w:pPr>
    </w:p>
    <w:p w14:paraId="11163020" w14:textId="77777777" w:rsidR="00D97A44" w:rsidRPr="009B1A37" w:rsidRDefault="00D97A44" w:rsidP="00BE3D48">
      <w:pPr>
        <w:widowControl w:val="0"/>
        <w:tabs>
          <w:tab w:val="clear" w:pos="567"/>
        </w:tabs>
        <w:spacing w:line="240" w:lineRule="auto"/>
        <w:jc w:val="center"/>
        <w:rPr>
          <w:b/>
          <w:bCs/>
          <w:color w:val="000000"/>
        </w:rPr>
      </w:pPr>
      <w:r w:rsidRPr="009B1A37">
        <w:rPr>
          <w:b/>
          <w:bCs/>
          <w:color w:val="000000"/>
        </w:rPr>
        <w:t>SOUHRN ÚDAJŮ O PŘÍPRAVKU</w:t>
      </w:r>
    </w:p>
    <w:p w14:paraId="1B40FF23" w14:textId="77777777" w:rsidR="00C3285B" w:rsidRPr="009B1A37" w:rsidRDefault="00B346DE" w:rsidP="00BE3D48">
      <w:pPr>
        <w:widowControl w:val="0"/>
        <w:spacing w:line="240" w:lineRule="auto"/>
        <w:rPr>
          <w:lang w:eastAsia="fr-LU"/>
        </w:rPr>
      </w:pPr>
      <w:r w:rsidRPr="009B1A37">
        <w:rPr>
          <w:color w:val="000000"/>
        </w:rPr>
        <w:br w:type="page"/>
      </w:r>
      <w:r w:rsidR="001B24B9" w:rsidRPr="009B1A37">
        <w:rPr>
          <w:noProof/>
          <w:lang w:val="en-GB" w:eastAsia="en-GB"/>
        </w:rPr>
        <w:lastRenderedPageBreak/>
        <w:drawing>
          <wp:inline distT="0" distB="0" distL="0" distR="0" wp14:anchorId="0BCB572B" wp14:editId="12DBD2C2">
            <wp:extent cx="198755" cy="174625"/>
            <wp:effectExtent l="0" t="0" r="0" b="0"/>
            <wp:docPr id="1" name="Picture 3"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remansk\AppData\Local\Microsoft\Windows\Temporary Internet Files\Content.Word\BT_1000x858p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C3285B" w:rsidRPr="009B1A37">
        <w:rPr>
          <w:noProof/>
          <w:lang w:eastAsia="fr-LU"/>
        </w:rPr>
        <w:t xml:space="preserve">Tento léčivý přípravek </w:t>
      </w:r>
      <w:r w:rsidR="00C3285B" w:rsidRPr="009B1A37">
        <w:rPr>
          <w:lang w:eastAsia="fr-LU"/>
        </w:rPr>
        <w:t>podléhá dalšímu</w:t>
      </w:r>
      <w:r w:rsidR="00C3285B" w:rsidRPr="009B1A37">
        <w:rPr>
          <w:noProof/>
          <w:lang w:eastAsia="fr-LU"/>
        </w:rPr>
        <w:t xml:space="preserve"> sledování. </w:t>
      </w:r>
      <w:r w:rsidR="00C3285B" w:rsidRPr="009B1A37">
        <w:rPr>
          <w:lang w:eastAsia="fr-LU"/>
        </w:rPr>
        <w:t xml:space="preserve">To umožní rychlé získání nových informací o bezpečnosti. Žádáme </w:t>
      </w:r>
      <w:r w:rsidR="00C3285B" w:rsidRPr="009B1A37">
        <w:rPr>
          <w:noProof/>
          <w:lang w:eastAsia="fr-LU"/>
        </w:rPr>
        <w:t>zdravotnické pracovníky, aby hlásili jakákoli podezření na nežádoucí účinky.</w:t>
      </w:r>
      <w:r w:rsidR="00C3285B" w:rsidRPr="009B1A37">
        <w:rPr>
          <w:lang w:eastAsia="fr-LU"/>
        </w:rPr>
        <w:t xml:space="preserve"> Podrobnosti o hlášení nežádoucích účinků</w:t>
      </w:r>
      <w:r w:rsidR="00C3285B" w:rsidRPr="009B1A37">
        <w:rPr>
          <w:noProof/>
          <w:lang w:eastAsia="fr-LU"/>
        </w:rPr>
        <w:t xml:space="preserve"> viz bod 4.8.</w:t>
      </w:r>
    </w:p>
    <w:p w14:paraId="2788AE71" w14:textId="77777777" w:rsidR="00C3285B" w:rsidRPr="009B1A37" w:rsidRDefault="00C3285B" w:rsidP="00BE3D48">
      <w:pPr>
        <w:widowControl w:val="0"/>
        <w:tabs>
          <w:tab w:val="clear" w:pos="567"/>
        </w:tabs>
        <w:suppressAutoHyphens w:val="0"/>
        <w:spacing w:line="240" w:lineRule="auto"/>
        <w:rPr>
          <w:lang w:eastAsia="fr-LU"/>
        </w:rPr>
      </w:pPr>
    </w:p>
    <w:p w14:paraId="4198FEE4" w14:textId="77777777" w:rsidR="00C3285B" w:rsidRPr="009B1A37" w:rsidRDefault="00C3285B" w:rsidP="00BE3D48">
      <w:pPr>
        <w:widowControl w:val="0"/>
        <w:tabs>
          <w:tab w:val="clear" w:pos="567"/>
        </w:tabs>
        <w:suppressAutoHyphens w:val="0"/>
        <w:spacing w:line="240" w:lineRule="auto"/>
        <w:rPr>
          <w:lang w:eastAsia="fr-LU"/>
        </w:rPr>
      </w:pPr>
    </w:p>
    <w:p w14:paraId="25774280" w14:textId="77777777" w:rsidR="00D97A44" w:rsidRPr="009B1A37" w:rsidRDefault="00D97A44" w:rsidP="00BE3D48">
      <w:pPr>
        <w:widowControl w:val="0"/>
        <w:tabs>
          <w:tab w:val="clear" w:pos="567"/>
          <w:tab w:val="left" w:pos="-1440"/>
          <w:tab w:val="left" w:pos="-720"/>
        </w:tabs>
        <w:spacing w:line="240" w:lineRule="auto"/>
        <w:rPr>
          <w:b/>
          <w:bCs/>
          <w:color w:val="000000"/>
        </w:rPr>
      </w:pPr>
      <w:r w:rsidRPr="009B1A37">
        <w:rPr>
          <w:b/>
          <w:bCs/>
          <w:color w:val="000000"/>
        </w:rPr>
        <w:t>1.</w:t>
      </w:r>
      <w:r w:rsidRPr="009B1A37">
        <w:rPr>
          <w:b/>
          <w:bCs/>
          <w:color w:val="000000"/>
        </w:rPr>
        <w:tab/>
        <w:t>NÁZEV PŘÍPRAVKU</w:t>
      </w:r>
    </w:p>
    <w:p w14:paraId="6B3F01E3" w14:textId="77777777" w:rsidR="00D97A44" w:rsidRPr="009B1A37" w:rsidRDefault="00D97A44" w:rsidP="00BE3D48">
      <w:pPr>
        <w:pStyle w:val="EndnoteText"/>
        <w:widowControl w:val="0"/>
        <w:tabs>
          <w:tab w:val="clear" w:pos="567"/>
        </w:tabs>
        <w:rPr>
          <w:color w:val="000000"/>
        </w:rPr>
      </w:pPr>
    </w:p>
    <w:p w14:paraId="6B4A22D6" w14:textId="77777777" w:rsidR="00C0218A" w:rsidRPr="009B1A37" w:rsidRDefault="00C0218A" w:rsidP="00BE3D48">
      <w:pPr>
        <w:pStyle w:val="EndnoteText"/>
        <w:widowControl w:val="0"/>
        <w:tabs>
          <w:tab w:val="clear" w:pos="567"/>
        </w:tabs>
        <w:rPr>
          <w:color w:val="000000"/>
        </w:rPr>
      </w:pPr>
      <w:r w:rsidRPr="009B1A37">
        <w:rPr>
          <w:color w:val="000000"/>
        </w:rPr>
        <w:t>Glivec 100 mg tvrdé tobolky</w:t>
      </w:r>
    </w:p>
    <w:p w14:paraId="16275E29" w14:textId="77777777" w:rsidR="00D97A44" w:rsidRPr="009B1A37" w:rsidRDefault="00D97A44" w:rsidP="00BE3D48">
      <w:pPr>
        <w:pStyle w:val="EndnoteText"/>
        <w:widowControl w:val="0"/>
        <w:tabs>
          <w:tab w:val="clear" w:pos="567"/>
        </w:tabs>
        <w:rPr>
          <w:color w:val="000000"/>
        </w:rPr>
      </w:pPr>
    </w:p>
    <w:p w14:paraId="7F540C74" w14:textId="77777777" w:rsidR="00D97A44" w:rsidRPr="009B1A37" w:rsidRDefault="00D97A44" w:rsidP="00BE3D48">
      <w:pPr>
        <w:pStyle w:val="EndnoteText"/>
        <w:widowControl w:val="0"/>
        <w:tabs>
          <w:tab w:val="clear" w:pos="567"/>
        </w:tabs>
        <w:rPr>
          <w:color w:val="000000"/>
        </w:rPr>
      </w:pPr>
    </w:p>
    <w:p w14:paraId="566EBBDF"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2.</w:t>
      </w:r>
      <w:r w:rsidRPr="009B1A37">
        <w:rPr>
          <w:b/>
          <w:bCs/>
          <w:color w:val="000000"/>
        </w:rPr>
        <w:tab/>
        <w:t>KVALITATIVNÍ A KVANTITATIVNÍ SLOŽENÍ</w:t>
      </w:r>
    </w:p>
    <w:p w14:paraId="712A2C0E" w14:textId="77777777" w:rsidR="00D97A44" w:rsidRPr="009B1A37" w:rsidRDefault="00D97A44" w:rsidP="00BE3D48">
      <w:pPr>
        <w:keepNext/>
        <w:widowControl w:val="0"/>
        <w:tabs>
          <w:tab w:val="clear" w:pos="567"/>
        </w:tabs>
        <w:spacing w:line="240" w:lineRule="auto"/>
        <w:rPr>
          <w:color w:val="000000"/>
        </w:rPr>
      </w:pPr>
    </w:p>
    <w:p w14:paraId="4304C9B9" w14:textId="77777777" w:rsidR="00346125" w:rsidRPr="009B1A37" w:rsidRDefault="00346125" w:rsidP="00BE3D48">
      <w:pPr>
        <w:widowControl w:val="0"/>
        <w:tabs>
          <w:tab w:val="clear" w:pos="567"/>
        </w:tabs>
        <w:spacing w:line="240" w:lineRule="auto"/>
        <w:rPr>
          <w:color w:val="000000"/>
        </w:rPr>
      </w:pPr>
      <w:r w:rsidRPr="009B1A37">
        <w:rPr>
          <w:color w:val="000000"/>
        </w:rPr>
        <w:t>Jedna tobolka obsahuje imatinibum</w:t>
      </w:r>
      <w:r w:rsidR="00971BB9" w:rsidRPr="009B1A37">
        <w:rPr>
          <w:color w:val="000000"/>
        </w:rPr>
        <w:t xml:space="preserve"> 100</w:t>
      </w:r>
      <w:r w:rsidR="00D80ABA" w:rsidRPr="009B1A37">
        <w:rPr>
          <w:color w:val="000000"/>
        </w:rPr>
        <w:t> </w:t>
      </w:r>
      <w:r w:rsidR="00971BB9" w:rsidRPr="009B1A37">
        <w:rPr>
          <w:color w:val="000000"/>
        </w:rPr>
        <w:t>mg</w:t>
      </w:r>
      <w:r w:rsidRPr="009B1A37">
        <w:rPr>
          <w:color w:val="000000"/>
        </w:rPr>
        <w:t xml:space="preserve"> (jako imatinibi mesilas).</w:t>
      </w:r>
    </w:p>
    <w:p w14:paraId="29BB914E" w14:textId="77777777" w:rsidR="00D97A44" w:rsidRPr="009B1A37" w:rsidRDefault="00D97A44" w:rsidP="00BE3D48">
      <w:pPr>
        <w:widowControl w:val="0"/>
        <w:tabs>
          <w:tab w:val="clear" w:pos="567"/>
        </w:tabs>
        <w:spacing w:line="240" w:lineRule="auto"/>
        <w:rPr>
          <w:color w:val="000000"/>
        </w:rPr>
      </w:pPr>
    </w:p>
    <w:p w14:paraId="1BC238AD" w14:textId="77777777" w:rsidR="00D97A44" w:rsidRPr="009B1A37" w:rsidRDefault="00D97A44" w:rsidP="00BE3D48">
      <w:pPr>
        <w:widowControl w:val="0"/>
        <w:tabs>
          <w:tab w:val="clear" w:pos="567"/>
        </w:tabs>
        <w:spacing w:line="240" w:lineRule="auto"/>
        <w:rPr>
          <w:color w:val="000000"/>
        </w:rPr>
      </w:pPr>
      <w:r w:rsidRPr="009B1A37">
        <w:rPr>
          <w:color w:val="000000"/>
        </w:rPr>
        <w:t>Úplný seznam pomocných látek viz bod 6.1.</w:t>
      </w:r>
    </w:p>
    <w:p w14:paraId="05050870" w14:textId="77777777" w:rsidR="00D97A44" w:rsidRPr="009B1A37" w:rsidRDefault="00D97A44" w:rsidP="00BE3D48">
      <w:pPr>
        <w:widowControl w:val="0"/>
        <w:tabs>
          <w:tab w:val="clear" w:pos="567"/>
        </w:tabs>
        <w:spacing w:line="240" w:lineRule="auto"/>
        <w:rPr>
          <w:color w:val="000000"/>
        </w:rPr>
      </w:pPr>
    </w:p>
    <w:p w14:paraId="2D215E05" w14:textId="77777777" w:rsidR="00D97A44" w:rsidRPr="009B1A37" w:rsidRDefault="00D97A44" w:rsidP="00BE3D48">
      <w:pPr>
        <w:widowControl w:val="0"/>
        <w:tabs>
          <w:tab w:val="clear" w:pos="567"/>
        </w:tabs>
        <w:spacing w:line="240" w:lineRule="auto"/>
        <w:rPr>
          <w:color w:val="000000"/>
        </w:rPr>
      </w:pPr>
    </w:p>
    <w:p w14:paraId="7420BB88"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3.</w:t>
      </w:r>
      <w:r w:rsidRPr="009B1A37">
        <w:rPr>
          <w:b/>
          <w:bCs/>
          <w:color w:val="000000"/>
        </w:rPr>
        <w:tab/>
        <w:t>LÉKOVÁ FORMA</w:t>
      </w:r>
    </w:p>
    <w:p w14:paraId="26C748D1" w14:textId="77777777" w:rsidR="00D97A44" w:rsidRPr="009B1A37" w:rsidRDefault="00D97A44" w:rsidP="00BE3D48">
      <w:pPr>
        <w:pStyle w:val="EndnoteText"/>
        <w:keepNext/>
        <w:widowControl w:val="0"/>
        <w:tabs>
          <w:tab w:val="clear" w:pos="567"/>
        </w:tabs>
        <w:rPr>
          <w:color w:val="000000"/>
        </w:rPr>
      </w:pPr>
    </w:p>
    <w:p w14:paraId="46414FDE" w14:textId="77777777" w:rsidR="00D97A44" w:rsidRPr="009B1A37" w:rsidRDefault="00D97A44" w:rsidP="00BE3D48">
      <w:pPr>
        <w:widowControl w:val="0"/>
        <w:tabs>
          <w:tab w:val="clear" w:pos="567"/>
        </w:tabs>
        <w:spacing w:line="240" w:lineRule="auto"/>
        <w:rPr>
          <w:color w:val="000000"/>
        </w:rPr>
      </w:pPr>
      <w:r w:rsidRPr="009B1A37">
        <w:rPr>
          <w:color w:val="000000"/>
        </w:rPr>
        <w:t>Tvrdá tobolka</w:t>
      </w:r>
    </w:p>
    <w:p w14:paraId="52A1DE99" w14:textId="77777777" w:rsidR="00D97A44" w:rsidRPr="009B1A37" w:rsidRDefault="00D97A44" w:rsidP="00BE3D48">
      <w:pPr>
        <w:widowControl w:val="0"/>
        <w:tabs>
          <w:tab w:val="clear" w:pos="567"/>
        </w:tabs>
        <w:spacing w:line="240" w:lineRule="auto"/>
        <w:rPr>
          <w:color w:val="000000"/>
        </w:rPr>
      </w:pPr>
    </w:p>
    <w:p w14:paraId="50E06E5B" w14:textId="77777777" w:rsidR="00637B24" w:rsidRPr="009B1A37" w:rsidRDefault="00637B24" w:rsidP="00BE3D48">
      <w:pPr>
        <w:widowControl w:val="0"/>
        <w:tabs>
          <w:tab w:val="clear" w:pos="567"/>
        </w:tabs>
        <w:spacing w:line="240" w:lineRule="auto"/>
        <w:rPr>
          <w:color w:val="000000"/>
        </w:rPr>
      </w:pPr>
      <w:r w:rsidRPr="009B1A37">
        <w:rPr>
          <w:color w:val="000000"/>
        </w:rPr>
        <w:t>Bílý a</w:t>
      </w:r>
      <w:r w:rsidR="00724B69" w:rsidRPr="009B1A37">
        <w:rPr>
          <w:color w:val="000000"/>
        </w:rPr>
        <w:t>ž žlutý prášek v oranžových až šedooranžových</w:t>
      </w:r>
      <w:r w:rsidRPr="009B1A37">
        <w:rPr>
          <w:color w:val="000000"/>
        </w:rPr>
        <w:t xml:space="preserve"> neprůhledných tobolkách označených „</w:t>
      </w:r>
      <w:smartTag w:uri="urn:schemas-microsoft-com:office:smarttags" w:element="stockticker">
        <w:r w:rsidRPr="009B1A37">
          <w:rPr>
            <w:color w:val="000000"/>
          </w:rPr>
          <w:t>NVR</w:t>
        </w:r>
      </w:smartTag>
      <w:r w:rsidRPr="009B1A37">
        <w:rPr>
          <w:color w:val="000000"/>
        </w:rPr>
        <w:t> S</w:t>
      </w:r>
      <w:r w:rsidR="00724B69" w:rsidRPr="009B1A37">
        <w:rPr>
          <w:color w:val="000000"/>
        </w:rPr>
        <w:t>I</w:t>
      </w:r>
      <w:r w:rsidRPr="009B1A37">
        <w:rPr>
          <w:color w:val="000000"/>
          <w:spacing w:val="-2"/>
        </w:rPr>
        <w:t>“</w:t>
      </w:r>
      <w:r w:rsidRPr="009B1A37">
        <w:rPr>
          <w:color w:val="000000"/>
        </w:rPr>
        <w:t>.</w:t>
      </w:r>
    </w:p>
    <w:p w14:paraId="4CF6687B" w14:textId="77777777" w:rsidR="00D97A44" w:rsidRPr="009B1A37" w:rsidRDefault="00D97A44" w:rsidP="00BE3D48">
      <w:pPr>
        <w:widowControl w:val="0"/>
        <w:tabs>
          <w:tab w:val="clear" w:pos="567"/>
        </w:tabs>
        <w:spacing w:line="240" w:lineRule="auto"/>
        <w:rPr>
          <w:color w:val="000000"/>
        </w:rPr>
      </w:pPr>
    </w:p>
    <w:p w14:paraId="24132534" w14:textId="77777777" w:rsidR="00D97A44" w:rsidRPr="009B1A37" w:rsidRDefault="00D97A44" w:rsidP="00BE3D48">
      <w:pPr>
        <w:widowControl w:val="0"/>
        <w:tabs>
          <w:tab w:val="clear" w:pos="567"/>
        </w:tabs>
        <w:spacing w:line="240" w:lineRule="auto"/>
        <w:rPr>
          <w:color w:val="000000"/>
        </w:rPr>
      </w:pPr>
    </w:p>
    <w:p w14:paraId="0D8712A9" w14:textId="77777777" w:rsidR="00D97A44" w:rsidRPr="009B1A37" w:rsidRDefault="00D97A44" w:rsidP="00BE3D48">
      <w:pPr>
        <w:keepNext/>
        <w:widowControl w:val="0"/>
        <w:tabs>
          <w:tab w:val="clear" w:pos="567"/>
        </w:tabs>
        <w:spacing w:line="240" w:lineRule="auto"/>
        <w:ind w:left="567" w:hanging="567"/>
        <w:rPr>
          <w:b/>
          <w:bCs/>
          <w:caps/>
          <w:color w:val="000000"/>
        </w:rPr>
      </w:pPr>
      <w:r w:rsidRPr="009B1A37">
        <w:rPr>
          <w:b/>
          <w:bCs/>
          <w:caps/>
          <w:color w:val="000000"/>
        </w:rPr>
        <w:t>4.</w:t>
      </w:r>
      <w:r w:rsidRPr="009B1A37">
        <w:rPr>
          <w:b/>
          <w:bCs/>
          <w:caps/>
          <w:color w:val="000000"/>
        </w:rPr>
        <w:tab/>
        <w:t>KLINICKÉ ÚDAJE</w:t>
      </w:r>
    </w:p>
    <w:p w14:paraId="11E39DE9" w14:textId="77777777" w:rsidR="00D97A44" w:rsidRPr="009B1A37" w:rsidRDefault="00D97A44" w:rsidP="00BE3D48">
      <w:pPr>
        <w:pStyle w:val="EndnoteText"/>
        <w:keepNext/>
        <w:widowControl w:val="0"/>
        <w:tabs>
          <w:tab w:val="clear" w:pos="567"/>
        </w:tabs>
        <w:rPr>
          <w:color w:val="000000"/>
        </w:rPr>
      </w:pPr>
    </w:p>
    <w:p w14:paraId="642DB62E"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4.1</w:t>
      </w:r>
      <w:r w:rsidRPr="009B1A37">
        <w:rPr>
          <w:b/>
          <w:bCs/>
          <w:color w:val="000000"/>
        </w:rPr>
        <w:tab/>
        <w:t>Terapeutické indikace</w:t>
      </w:r>
    </w:p>
    <w:p w14:paraId="48B2E7F0" w14:textId="77777777" w:rsidR="00D97A44" w:rsidRPr="009B1A37" w:rsidRDefault="00D97A44" w:rsidP="00BE3D48">
      <w:pPr>
        <w:pStyle w:val="EndnoteText"/>
        <w:keepNext/>
        <w:widowControl w:val="0"/>
        <w:tabs>
          <w:tab w:val="clear" w:pos="567"/>
        </w:tabs>
        <w:rPr>
          <w:color w:val="000000"/>
        </w:rPr>
      </w:pPr>
    </w:p>
    <w:p w14:paraId="1278CB3D" w14:textId="77777777" w:rsidR="00D97A44" w:rsidRPr="009B1A37" w:rsidRDefault="00D97A44" w:rsidP="00BE3D48">
      <w:pPr>
        <w:pStyle w:val="EndnoteText"/>
        <w:keepNext/>
        <w:widowControl w:val="0"/>
        <w:tabs>
          <w:tab w:val="clear" w:pos="567"/>
        </w:tabs>
        <w:rPr>
          <w:color w:val="000000"/>
        </w:rPr>
      </w:pPr>
      <w:r w:rsidRPr="009B1A37">
        <w:rPr>
          <w:color w:val="000000"/>
        </w:rPr>
        <w:t>Glivec je indikován k léčbě</w:t>
      </w:r>
    </w:p>
    <w:p w14:paraId="3F19AFF6" w14:textId="77777777" w:rsidR="00D97A44" w:rsidRPr="009B1A37" w:rsidRDefault="00D97A44" w:rsidP="00BE3D48">
      <w:pPr>
        <w:pStyle w:val="EndnoteText"/>
        <w:widowControl w:val="0"/>
        <w:numPr>
          <w:ilvl w:val="0"/>
          <w:numId w:val="10"/>
        </w:numPr>
        <w:tabs>
          <w:tab w:val="clear" w:pos="720"/>
        </w:tabs>
        <w:ind w:left="567" w:hanging="567"/>
        <w:rPr>
          <w:color w:val="000000"/>
        </w:rPr>
      </w:pPr>
      <w:r w:rsidRPr="009B1A37">
        <w:rPr>
          <w:color w:val="000000"/>
        </w:rPr>
        <w:t xml:space="preserve">dospělých a </w:t>
      </w:r>
      <w:r w:rsidR="00AA2C02" w:rsidRPr="009B1A37">
        <w:rPr>
          <w:color w:val="000000"/>
        </w:rPr>
        <w:t>pediatrických</w:t>
      </w:r>
      <w:r w:rsidRPr="009B1A37">
        <w:rPr>
          <w:color w:val="000000"/>
        </w:rPr>
        <w:t xml:space="preserve"> pacientů s nově diagnostikovanou Philadelphia chromo</w:t>
      </w:r>
      <w:r w:rsidR="00BD6319" w:rsidRPr="009B1A37">
        <w:rPr>
          <w:color w:val="000000"/>
        </w:rPr>
        <w:t>z</w:t>
      </w:r>
      <w:r w:rsidRPr="009B1A37">
        <w:rPr>
          <w:color w:val="000000"/>
        </w:rPr>
        <w:t>om (bcr-abl) pozitivní (Ph+) chronickou myeloidní leukemií (CML), u kterých není transplantace kostní dřeně považována za léčbu první volby.</w:t>
      </w:r>
    </w:p>
    <w:p w14:paraId="5780512C" w14:textId="77777777" w:rsidR="00D97A44" w:rsidRPr="009B1A37" w:rsidRDefault="00D97A44" w:rsidP="00BE3D48">
      <w:pPr>
        <w:pStyle w:val="EndnoteText"/>
        <w:widowControl w:val="0"/>
        <w:numPr>
          <w:ilvl w:val="0"/>
          <w:numId w:val="10"/>
        </w:numPr>
        <w:tabs>
          <w:tab w:val="clear" w:pos="720"/>
        </w:tabs>
        <w:ind w:left="567" w:hanging="567"/>
        <w:rPr>
          <w:color w:val="000000"/>
        </w:rPr>
      </w:pPr>
      <w:r w:rsidRPr="009B1A37">
        <w:rPr>
          <w:color w:val="000000"/>
        </w:rPr>
        <w:t xml:space="preserve">dospělých a </w:t>
      </w:r>
      <w:r w:rsidR="00AA2C02" w:rsidRPr="009B1A37">
        <w:rPr>
          <w:color w:val="000000"/>
        </w:rPr>
        <w:t>pediatrických</w:t>
      </w:r>
      <w:r w:rsidRPr="009B1A37">
        <w:rPr>
          <w:color w:val="000000"/>
        </w:rPr>
        <w:t xml:space="preserve"> pacientů s Ph+ CML </w:t>
      </w:r>
      <w:r w:rsidR="002F7B63" w:rsidRPr="009B1A37">
        <w:rPr>
          <w:color w:val="000000"/>
        </w:rPr>
        <w:t>v</w:t>
      </w:r>
      <w:r w:rsidRPr="009B1A37">
        <w:rPr>
          <w:color w:val="000000"/>
        </w:rPr>
        <w:t xml:space="preserve"> chronick</w:t>
      </w:r>
      <w:r w:rsidR="002F7B63" w:rsidRPr="009B1A37">
        <w:rPr>
          <w:color w:val="000000"/>
        </w:rPr>
        <w:t>é</w:t>
      </w:r>
      <w:r w:rsidRPr="009B1A37">
        <w:rPr>
          <w:color w:val="000000"/>
        </w:rPr>
        <w:t xml:space="preserve"> fáz</w:t>
      </w:r>
      <w:r w:rsidR="002F7B63" w:rsidRPr="009B1A37">
        <w:rPr>
          <w:color w:val="000000"/>
        </w:rPr>
        <w:t>i</w:t>
      </w:r>
      <w:r w:rsidRPr="009B1A37">
        <w:rPr>
          <w:color w:val="000000"/>
        </w:rPr>
        <w:t xml:space="preserve"> onemocnění, u kterých selhala léčba interferonem-alfa, nebo kteří jsou v akcelerované fázi onemocnění nebo v blastické krizi.</w:t>
      </w:r>
    </w:p>
    <w:p w14:paraId="70B6F8E5" w14:textId="77777777" w:rsidR="00D97A44" w:rsidRPr="009B1A37" w:rsidRDefault="00D97A44" w:rsidP="00BE3D48">
      <w:pPr>
        <w:pStyle w:val="EndnoteText"/>
        <w:widowControl w:val="0"/>
        <w:numPr>
          <w:ilvl w:val="0"/>
          <w:numId w:val="2"/>
        </w:numPr>
        <w:tabs>
          <w:tab w:val="clear" w:pos="720"/>
        </w:tabs>
        <w:ind w:left="567" w:hanging="567"/>
        <w:rPr>
          <w:color w:val="000000"/>
        </w:rPr>
      </w:pPr>
      <w:r w:rsidRPr="009B1A37">
        <w:rPr>
          <w:color w:val="000000"/>
        </w:rPr>
        <w:t xml:space="preserve">dospělých </w:t>
      </w:r>
      <w:r w:rsidR="008460F2" w:rsidRPr="009B1A37">
        <w:rPr>
          <w:color w:val="000000"/>
        </w:rPr>
        <w:t xml:space="preserve">a </w:t>
      </w:r>
      <w:r w:rsidR="00AA2C02" w:rsidRPr="009B1A37">
        <w:rPr>
          <w:color w:val="000000"/>
        </w:rPr>
        <w:t>pediatrických</w:t>
      </w:r>
      <w:r w:rsidR="008460F2" w:rsidRPr="009B1A37">
        <w:rPr>
          <w:color w:val="000000"/>
        </w:rPr>
        <w:t xml:space="preserve"> </w:t>
      </w:r>
      <w:r w:rsidRPr="009B1A37">
        <w:rPr>
          <w:color w:val="000000"/>
        </w:rPr>
        <w:t>pacientů s nově diagnostikovanou Philadelphia chromo</w:t>
      </w:r>
      <w:r w:rsidR="00BD6319" w:rsidRPr="009B1A37">
        <w:rPr>
          <w:color w:val="000000"/>
        </w:rPr>
        <w:t>z</w:t>
      </w:r>
      <w:r w:rsidRPr="009B1A37">
        <w:rPr>
          <w:color w:val="000000"/>
        </w:rPr>
        <w:t xml:space="preserve">om pozitivní akutní lymfatickou leukemií (Ph+ </w:t>
      </w:r>
      <w:smartTag w:uri="urn:schemas-microsoft-com:office:smarttags" w:element="stockticker">
        <w:r w:rsidRPr="009B1A37">
          <w:rPr>
            <w:color w:val="000000"/>
          </w:rPr>
          <w:t>ALL</w:t>
        </w:r>
      </w:smartTag>
      <w:r w:rsidRPr="009B1A37">
        <w:rPr>
          <w:color w:val="000000"/>
        </w:rPr>
        <w:t>) doplněnou chemoterapií.</w:t>
      </w:r>
    </w:p>
    <w:p w14:paraId="36776952" w14:textId="77777777" w:rsidR="00D97A44" w:rsidRPr="009B1A37" w:rsidRDefault="00D97A44" w:rsidP="00BE3D48">
      <w:pPr>
        <w:pStyle w:val="EndnoteText"/>
        <w:widowControl w:val="0"/>
        <w:numPr>
          <w:ilvl w:val="0"/>
          <w:numId w:val="10"/>
        </w:numPr>
        <w:tabs>
          <w:tab w:val="clear" w:pos="720"/>
        </w:tabs>
        <w:ind w:left="567" w:hanging="567"/>
        <w:rPr>
          <w:color w:val="000000"/>
        </w:rPr>
      </w:pPr>
      <w:r w:rsidRPr="009B1A37">
        <w:rPr>
          <w:color w:val="000000"/>
        </w:rPr>
        <w:t xml:space="preserve">dospělých pacientů s recidivující nebo refrakterní Ph+ </w:t>
      </w:r>
      <w:smartTag w:uri="urn:schemas-microsoft-com:office:smarttags" w:element="stockticker">
        <w:r w:rsidRPr="009B1A37">
          <w:rPr>
            <w:color w:val="000000"/>
          </w:rPr>
          <w:t>ALL</w:t>
        </w:r>
      </w:smartTag>
      <w:r w:rsidRPr="009B1A37">
        <w:rPr>
          <w:color w:val="000000"/>
        </w:rPr>
        <w:t xml:space="preserve"> jako monoterapie.</w:t>
      </w:r>
    </w:p>
    <w:p w14:paraId="1E1039A5" w14:textId="77777777" w:rsidR="00D97A44" w:rsidRPr="009B1A37" w:rsidRDefault="00D97A44" w:rsidP="00BE3D48">
      <w:pPr>
        <w:pStyle w:val="EndnoteText"/>
        <w:widowControl w:val="0"/>
        <w:numPr>
          <w:ilvl w:val="0"/>
          <w:numId w:val="10"/>
        </w:numPr>
        <w:tabs>
          <w:tab w:val="clear" w:pos="720"/>
        </w:tabs>
        <w:ind w:left="567" w:hanging="567"/>
        <w:rPr>
          <w:color w:val="000000"/>
        </w:rPr>
      </w:pPr>
      <w:r w:rsidRPr="009B1A37">
        <w:rPr>
          <w:color w:val="000000"/>
        </w:rPr>
        <w:t>dospělých pacientů s myelodysplastickým/myeloproliferativním onemocněním (</w:t>
      </w:r>
      <w:smartTag w:uri="urn:schemas-microsoft-com:office:smarttags" w:element="stockticker">
        <w:r w:rsidRPr="009B1A37">
          <w:rPr>
            <w:color w:val="000000"/>
          </w:rPr>
          <w:t>MDS</w:t>
        </w:r>
      </w:smartTag>
      <w:r w:rsidRPr="009B1A37">
        <w:rPr>
          <w:color w:val="000000"/>
        </w:rPr>
        <w:t>/MPD) spojeným s</w:t>
      </w:r>
      <w:r w:rsidR="002F7B63" w:rsidRPr="009B1A37">
        <w:rPr>
          <w:color w:val="000000"/>
        </w:rPr>
        <w:t xml:space="preserve"> přeskupením</w:t>
      </w:r>
      <w:r w:rsidRPr="009B1A37">
        <w:rPr>
          <w:color w:val="000000"/>
        </w:rPr>
        <w:t xml:space="preserve"> genu receptoru pro růstový faktor </w:t>
      </w:r>
      <w:r w:rsidR="002F7B63" w:rsidRPr="009B1A37">
        <w:rPr>
          <w:color w:val="000000"/>
        </w:rPr>
        <w:t>trombocytů</w:t>
      </w:r>
      <w:r w:rsidRPr="009B1A37">
        <w:rPr>
          <w:color w:val="000000"/>
        </w:rPr>
        <w:t xml:space="preserve"> (PDGFR).</w:t>
      </w:r>
    </w:p>
    <w:p w14:paraId="6F803406" w14:textId="77777777" w:rsidR="00D97A44" w:rsidRPr="009B1A37" w:rsidRDefault="00D97A44" w:rsidP="00BE3D48">
      <w:pPr>
        <w:pStyle w:val="EndnoteText"/>
        <w:widowControl w:val="0"/>
        <w:numPr>
          <w:ilvl w:val="0"/>
          <w:numId w:val="10"/>
        </w:numPr>
        <w:tabs>
          <w:tab w:val="clear" w:pos="720"/>
        </w:tabs>
        <w:ind w:left="567" w:hanging="567"/>
        <w:rPr>
          <w:color w:val="000000"/>
        </w:rPr>
      </w:pPr>
      <w:r w:rsidRPr="009B1A37">
        <w:rPr>
          <w:color w:val="000000"/>
        </w:rPr>
        <w:t xml:space="preserve">dospělých pacientů </w:t>
      </w:r>
      <w:r w:rsidR="00F131DD" w:rsidRPr="009B1A37">
        <w:rPr>
          <w:color w:val="000000"/>
        </w:rPr>
        <w:t xml:space="preserve">s </w:t>
      </w:r>
      <w:r w:rsidRPr="009B1A37">
        <w:rPr>
          <w:color w:val="000000"/>
        </w:rPr>
        <w:t>pokročil</w:t>
      </w:r>
      <w:r w:rsidR="00AA2C02" w:rsidRPr="009B1A37">
        <w:rPr>
          <w:color w:val="000000"/>
        </w:rPr>
        <w:t>ým</w:t>
      </w:r>
      <w:r w:rsidR="00F131DD" w:rsidRPr="009B1A37">
        <w:rPr>
          <w:color w:val="000000"/>
        </w:rPr>
        <w:t xml:space="preserve"> </w:t>
      </w:r>
      <w:r w:rsidRPr="009B1A37">
        <w:rPr>
          <w:color w:val="000000"/>
        </w:rPr>
        <w:t>hypereo</w:t>
      </w:r>
      <w:r w:rsidR="00BD6319" w:rsidRPr="009B1A37">
        <w:rPr>
          <w:color w:val="000000"/>
        </w:rPr>
        <w:t>z</w:t>
      </w:r>
      <w:r w:rsidRPr="009B1A37">
        <w:rPr>
          <w:color w:val="000000"/>
        </w:rPr>
        <w:t>inofil</w:t>
      </w:r>
      <w:r w:rsidR="00AA2C02" w:rsidRPr="009B1A37">
        <w:rPr>
          <w:color w:val="000000"/>
        </w:rPr>
        <w:t>ním syndromem</w:t>
      </w:r>
      <w:r w:rsidR="00F131DD" w:rsidRPr="009B1A37">
        <w:rPr>
          <w:color w:val="000000"/>
        </w:rPr>
        <w:t xml:space="preserve"> </w:t>
      </w:r>
      <w:r w:rsidRPr="009B1A37">
        <w:rPr>
          <w:color w:val="000000"/>
        </w:rPr>
        <w:t>(HES) a/nebo chronickou eo</w:t>
      </w:r>
      <w:r w:rsidR="00BD6319" w:rsidRPr="009B1A37">
        <w:rPr>
          <w:color w:val="000000"/>
        </w:rPr>
        <w:t>z</w:t>
      </w:r>
      <w:r w:rsidRPr="009B1A37">
        <w:rPr>
          <w:color w:val="000000"/>
        </w:rPr>
        <w:t>inofilní leukemií (</w:t>
      </w:r>
      <w:smartTag w:uri="urn:schemas-microsoft-com:office:smarttags" w:element="stockticker">
        <w:r w:rsidRPr="009B1A37">
          <w:rPr>
            <w:color w:val="000000"/>
          </w:rPr>
          <w:t>CEL</w:t>
        </w:r>
      </w:smartTag>
      <w:r w:rsidRPr="009B1A37">
        <w:rPr>
          <w:color w:val="000000"/>
        </w:rPr>
        <w:t>) s přeskupením FIP1L1-PDGFRα.</w:t>
      </w:r>
    </w:p>
    <w:p w14:paraId="2458B627" w14:textId="77777777" w:rsidR="00D97A44" w:rsidRPr="009B1A37" w:rsidRDefault="00D97A44" w:rsidP="00BE3D48">
      <w:pPr>
        <w:pStyle w:val="EndnoteText"/>
        <w:widowControl w:val="0"/>
        <w:tabs>
          <w:tab w:val="clear" w:pos="567"/>
        </w:tabs>
        <w:rPr>
          <w:color w:val="000000"/>
        </w:rPr>
      </w:pPr>
    </w:p>
    <w:p w14:paraId="7A50C643" w14:textId="77777777" w:rsidR="00D97A44" w:rsidRPr="009B1A37" w:rsidRDefault="00D97A44" w:rsidP="00BE3D48">
      <w:pPr>
        <w:pStyle w:val="EndnoteText"/>
        <w:widowControl w:val="0"/>
        <w:tabs>
          <w:tab w:val="clear" w:pos="567"/>
        </w:tabs>
        <w:rPr>
          <w:color w:val="000000"/>
        </w:rPr>
      </w:pPr>
      <w:r w:rsidRPr="009B1A37">
        <w:rPr>
          <w:color w:val="000000"/>
        </w:rPr>
        <w:t>Účinek Glivecu na výsledek transplantace kostní dřeně nebyl stanoven.</w:t>
      </w:r>
    </w:p>
    <w:p w14:paraId="07D2FF37" w14:textId="77777777" w:rsidR="00D97A44" w:rsidRPr="009B1A37" w:rsidRDefault="00D97A44" w:rsidP="00BE3D48">
      <w:pPr>
        <w:widowControl w:val="0"/>
        <w:tabs>
          <w:tab w:val="clear" w:pos="567"/>
        </w:tabs>
        <w:spacing w:line="240" w:lineRule="auto"/>
        <w:rPr>
          <w:color w:val="000000"/>
        </w:rPr>
      </w:pPr>
    </w:p>
    <w:p w14:paraId="449592A8" w14:textId="77777777" w:rsidR="00D97A44" w:rsidRPr="009B1A37" w:rsidRDefault="00D97A44" w:rsidP="00BE3D48">
      <w:pPr>
        <w:keepNext/>
        <w:widowControl w:val="0"/>
        <w:tabs>
          <w:tab w:val="clear" w:pos="567"/>
        </w:tabs>
        <w:spacing w:line="240" w:lineRule="auto"/>
      </w:pPr>
      <w:r w:rsidRPr="009B1A37">
        <w:rPr>
          <w:color w:val="000000"/>
        </w:rPr>
        <w:t>Glivec je indikován</w:t>
      </w:r>
    </w:p>
    <w:p w14:paraId="39282148" w14:textId="77777777" w:rsidR="00D97A44" w:rsidRPr="009B1A37" w:rsidRDefault="00D97A44" w:rsidP="00BE3D48">
      <w:pPr>
        <w:widowControl w:val="0"/>
        <w:numPr>
          <w:ilvl w:val="0"/>
          <w:numId w:val="4"/>
        </w:numPr>
        <w:tabs>
          <w:tab w:val="clear" w:pos="567"/>
          <w:tab w:val="clear" w:pos="780"/>
        </w:tabs>
        <w:spacing w:line="240" w:lineRule="auto"/>
        <w:ind w:left="567" w:hanging="567"/>
        <w:rPr>
          <w:color w:val="000000"/>
        </w:rPr>
      </w:pPr>
      <w:r w:rsidRPr="009B1A37">
        <w:rPr>
          <w:color w:val="000000"/>
        </w:rPr>
        <w:t>k léčbě dospělých pacientů s Kit (CD 117) pozitivními inoperabilními a/nebo metastatickými maligními stromálními nádory zažívacího traktu (GIST).</w:t>
      </w:r>
    </w:p>
    <w:p w14:paraId="5391905C" w14:textId="77777777" w:rsidR="00D97A44" w:rsidRPr="009B1A37" w:rsidRDefault="00D97A44" w:rsidP="00BE3D48">
      <w:pPr>
        <w:widowControl w:val="0"/>
        <w:numPr>
          <w:ilvl w:val="0"/>
          <w:numId w:val="4"/>
        </w:numPr>
        <w:tabs>
          <w:tab w:val="clear" w:pos="567"/>
          <w:tab w:val="clear" w:pos="780"/>
        </w:tabs>
        <w:spacing w:line="240" w:lineRule="auto"/>
        <w:ind w:left="567" w:hanging="567"/>
      </w:pPr>
      <w:r w:rsidRPr="009B1A37">
        <w:rPr>
          <w:color w:val="000000"/>
        </w:rPr>
        <w:t>k adjuvantní léčbě dospělých pacientů s významným rizikem recidivy po resekci Kit (CD117)-pozitivního GIST nádoru. Pacienti s nízkým nebo velmi nízkým rizikem recidivy by neměli adjuvantní léčbu podstoupit.</w:t>
      </w:r>
    </w:p>
    <w:p w14:paraId="125C0506" w14:textId="77777777" w:rsidR="00D97A44" w:rsidRPr="009B1A37" w:rsidRDefault="00D97A44" w:rsidP="00BE3D48">
      <w:pPr>
        <w:widowControl w:val="0"/>
        <w:numPr>
          <w:ilvl w:val="0"/>
          <w:numId w:val="4"/>
        </w:numPr>
        <w:tabs>
          <w:tab w:val="clear" w:pos="567"/>
          <w:tab w:val="clear" w:pos="780"/>
        </w:tabs>
        <w:spacing w:line="240" w:lineRule="auto"/>
        <w:ind w:left="567" w:hanging="567"/>
        <w:rPr>
          <w:color w:val="000000"/>
        </w:rPr>
      </w:pPr>
      <w:r w:rsidRPr="009B1A37">
        <w:rPr>
          <w:color w:val="000000"/>
        </w:rPr>
        <w:t>k léčbě dospělých pacientů s inoperabilním dermatofibrosarkomem protuberans (DFSP) a dospělých pacientů s rekurentním a/nebo metastatickým DFSP, kteří nejsou způsobilí operace.</w:t>
      </w:r>
    </w:p>
    <w:p w14:paraId="6F39645C" w14:textId="77777777" w:rsidR="00D97A44" w:rsidRPr="009B1A37" w:rsidRDefault="00D97A44" w:rsidP="00BE3D48">
      <w:pPr>
        <w:widowControl w:val="0"/>
        <w:tabs>
          <w:tab w:val="clear" w:pos="567"/>
        </w:tabs>
        <w:spacing w:line="240" w:lineRule="auto"/>
        <w:rPr>
          <w:color w:val="000000"/>
        </w:rPr>
      </w:pPr>
    </w:p>
    <w:p w14:paraId="07CC0B92"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 xml:space="preserve">U dospělých a </w:t>
      </w:r>
      <w:r w:rsidR="00AA2C02" w:rsidRPr="009B1A37">
        <w:rPr>
          <w:color w:val="000000"/>
          <w:sz w:val="22"/>
          <w:szCs w:val="22"/>
          <w:lang w:val="cs-CZ"/>
        </w:rPr>
        <w:t>pediatrických</w:t>
      </w:r>
      <w:r w:rsidRPr="009B1A37">
        <w:rPr>
          <w:color w:val="000000"/>
          <w:sz w:val="22"/>
          <w:szCs w:val="22"/>
          <w:lang w:val="cs-CZ"/>
        </w:rPr>
        <w:t xml:space="preserve"> pacientů je účinnost Glivecu hodnocena podle </w:t>
      </w:r>
      <w:r w:rsidR="00AA2C02" w:rsidRPr="009B1A37">
        <w:rPr>
          <w:color w:val="000000"/>
          <w:sz w:val="22"/>
          <w:szCs w:val="22"/>
          <w:lang w:val="cs-CZ"/>
        </w:rPr>
        <w:t>výskytu</w:t>
      </w:r>
      <w:r w:rsidRPr="009B1A37">
        <w:rPr>
          <w:color w:val="000000"/>
          <w:sz w:val="22"/>
          <w:szCs w:val="22"/>
          <w:lang w:val="cs-CZ"/>
        </w:rPr>
        <w:t xml:space="preserve"> celkové hematologické a cytogenetické odpovědi a přežívání bez progrese onemocnění u CML, podle </w:t>
      </w:r>
      <w:r w:rsidR="00AA2C02" w:rsidRPr="009B1A37">
        <w:rPr>
          <w:color w:val="000000"/>
          <w:sz w:val="22"/>
          <w:szCs w:val="22"/>
          <w:lang w:val="cs-CZ"/>
        </w:rPr>
        <w:t>výskytu</w:t>
      </w:r>
      <w:r w:rsidRPr="009B1A37">
        <w:rPr>
          <w:color w:val="000000"/>
          <w:sz w:val="22"/>
          <w:szCs w:val="22"/>
          <w:lang w:val="cs-CZ"/>
        </w:rPr>
        <w:t xml:space="preserve"> </w:t>
      </w:r>
      <w:r w:rsidRPr="009B1A37">
        <w:rPr>
          <w:color w:val="000000"/>
          <w:sz w:val="22"/>
          <w:szCs w:val="22"/>
          <w:lang w:val="cs-CZ"/>
        </w:rPr>
        <w:lastRenderedPageBreak/>
        <w:t xml:space="preserve">hematologické a cytogenetické odpovědi u Ph+ </w:t>
      </w:r>
      <w:smartTag w:uri="urn:schemas-microsoft-com:office:smarttags" w:element="stockticker">
        <w:r w:rsidRPr="009B1A37">
          <w:rPr>
            <w:color w:val="000000"/>
            <w:sz w:val="22"/>
            <w:szCs w:val="22"/>
            <w:lang w:val="cs-CZ"/>
          </w:rPr>
          <w:t>ALL</w:t>
        </w:r>
      </w:smartTag>
      <w:r w:rsidRPr="009B1A37">
        <w:rPr>
          <w:color w:val="000000"/>
          <w:sz w:val="22"/>
          <w:szCs w:val="22"/>
          <w:lang w:val="cs-CZ"/>
        </w:rPr>
        <w:t xml:space="preserve">, </w:t>
      </w:r>
      <w:smartTag w:uri="urn:schemas-microsoft-com:office:smarttags" w:element="stockticker">
        <w:r w:rsidRPr="009B1A37">
          <w:rPr>
            <w:color w:val="000000"/>
            <w:sz w:val="22"/>
            <w:szCs w:val="22"/>
            <w:lang w:val="cs-CZ"/>
          </w:rPr>
          <w:t>MDS</w:t>
        </w:r>
      </w:smartTag>
      <w:r w:rsidRPr="009B1A37">
        <w:rPr>
          <w:color w:val="000000"/>
          <w:sz w:val="22"/>
          <w:szCs w:val="22"/>
          <w:lang w:val="cs-CZ"/>
        </w:rPr>
        <w:t xml:space="preserve">/MPD, podle </w:t>
      </w:r>
      <w:r w:rsidR="00AA2C02" w:rsidRPr="009B1A37">
        <w:rPr>
          <w:color w:val="000000"/>
          <w:sz w:val="22"/>
          <w:szCs w:val="22"/>
          <w:lang w:val="cs-CZ"/>
        </w:rPr>
        <w:t>výskytu</w:t>
      </w:r>
      <w:r w:rsidRPr="009B1A37">
        <w:rPr>
          <w:color w:val="000000"/>
          <w:sz w:val="22"/>
          <w:szCs w:val="22"/>
          <w:lang w:val="cs-CZ"/>
        </w:rPr>
        <w:t xml:space="preserve"> hematologické odpovědi u HES/</w:t>
      </w:r>
      <w:smartTag w:uri="urn:schemas-microsoft-com:office:smarttags" w:element="stockticker">
        <w:r w:rsidRPr="009B1A37">
          <w:rPr>
            <w:color w:val="000000"/>
            <w:sz w:val="22"/>
            <w:szCs w:val="22"/>
            <w:lang w:val="cs-CZ"/>
          </w:rPr>
          <w:t>CEL</w:t>
        </w:r>
      </w:smartTag>
      <w:r w:rsidRPr="009B1A37">
        <w:rPr>
          <w:color w:val="000000"/>
          <w:sz w:val="22"/>
          <w:szCs w:val="22"/>
          <w:lang w:val="cs-CZ"/>
        </w:rPr>
        <w:t xml:space="preserve"> a podle</w:t>
      </w:r>
      <w:r w:rsidR="00AA2C02" w:rsidRPr="009B1A37">
        <w:rPr>
          <w:color w:val="000000"/>
          <w:sz w:val="22"/>
          <w:szCs w:val="22"/>
          <w:lang w:val="cs-CZ"/>
        </w:rPr>
        <w:t xml:space="preserve"> výskytu</w:t>
      </w:r>
      <w:r w:rsidRPr="009B1A37">
        <w:rPr>
          <w:color w:val="000000"/>
          <w:sz w:val="22"/>
          <w:szCs w:val="22"/>
          <w:lang w:val="cs-CZ"/>
        </w:rPr>
        <w:t xml:space="preserve"> objektivní odpovědi u dospělých pacientů s inoperabilním a/nebo metastatickým GIST a DFSP a na základě přežití bez návratu onemocnění u adjuvantní léčby GIST. Zkušenosti s Glivecem u pacientů s </w:t>
      </w:r>
      <w:smartTag w:uri="urn:schemas-microsoft-com:office:smarttags" w:element="stockticker">
        <w:r w:rsidRPr="009B1A37">
          <w:rPr>
            <w:color w:val="000000"/>
            <w:sz w:val="22"/>
            <w:szCs w:val="22"/>
            <w:lang w:val="cs-CZ"/>
          </w:rPr>
          <w:t>MDS</w:t>
        </w:r>
      </w:smartTag>
      <w:r w:rsidRPr="009B1A37">
        <w:rPr>
          <w:color w:val="000000"/>
          <w:sz w:val="22"/>
          <w:szCs w:val="22"/>
          <w:lang w:val="cs-CZ"/>
        </w:rPr>
        <w:t>/MPD spojeným s</w:t>
      </w:r>
      <w:r w:rsidR="005C325D" w:rsidRPr="009B1A37">
        <w:rPr>
          <w:color w:val="000000"/>
          <w:sz w:val="22"/>
          <w:szCs w:val="22"/>
          <w:lang w:val="cs-CZ"/>
        </w:rPr>
        <w:t xml:space="preserve"> přeskupením</w:t>
      </w:r>
      <w:r w:rsidRPr="009B1A37">
        <w:rPr>
          <w:color w:val="000000"/>
          <w:sz w:val="22"/>
          <w:szCs w:val="22"/>
          <w:lang w:val="cs-CZ"/>
        </w:rPr>
        <w:t xml:space="preserve"> genu receptoru PDGFR jsou velmi omezené (viz bod 5.1). Kromě nově diagnostikované chronické fáze CML nejsou k dispozici žádné kontrolované studie, které by prokázaly klinický přínos nebo prodloužené přežití u těchto uvedených onemocnění.</w:t>
      </w:r>
    </w:p>
    <w:p w14:paraId="39E4941D" w14:textId="77777777" w:rsidR="00D97A44" w:rsidRPr="009B1A37" w:rsidRDefault="00D97A44" w:rsidP="00BE3D48">
      <w:pPr>
        <w:pStyle w:val="Text"/>
        <w:widowControl w:val="0"/>
        <w:spacing w:before="0"/>
        <w:rPr>
          <w:color w:val="000000"/>
          <w:sz w:val="22"/>
          <w:szCs w:val="22"/>
          <w:lang w:val="cs-CZ"/>
        </w:rPr>
      </w:pPr>
    </w:p>
    <w:p w14:paraId="1112FF98"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4.2</w:t>
      </w:r>
      <w:r w:rsidRPr="009B1A37">
        <w:rPr>
          <w:b/>
          <w:bCs/>
          <w:color w:val="000000"/>
        </w:rPr>
        <w:tab/>
        <w:t>Dávkování a způsob podání</w:t>
      </w:r>
    </w:p>
    <w:p w14:paraId="20E422A4" w14:textId="77777777" w:rsidR="00D97A44" w:rsidRPr="009B1A37" w:rsidRDefault="00D97A44" w:rsidP="00BE3D48">
      <w:pPr>
        <w:pStyle w:val="EndnoteText"/>
        <w:keepNext/>
        <w:widowControl w:val="0"/>
        <w:tabs>
          <w:tab w:val="clear" w:pos="567"/>
        </w:tabs>
        <w:rPr>
          <w:color w:val="000000"/>
        </w:rPr>
      </w:pPr>
    </w:p>
    <w:p w14:paraId="6B11BECC" w14:textId="77777777" w:rsidR="00D97A44" w:rsidRPr="009B1A37" w:rsidRDefault="00D97A44" w:rsidP="00BE3D48">
      <w:pPr>
        <w:pStyle w:val="EndnoteText"/>
        <w:widowControl w:val="0"/>
        <w:tabs>
          <w:tab w:val="clear" w:pos="567"/>
        </w:tabs>
        <w:rPr>
          <w:color w:val="000000"/>
        </w:rPr>
      </w:pPr>
      <w:r w:rsidRPr="009B1A37">
        <w:rPr>
          <w:color w:val="000000"/>
        </w:rPr>
        <w:t xml:space="preserve">Léčbu </w:t>
      </w:r>
      <w:r w:rsidR="00AA2C02" w:rsidRPr="009B1A37">
        <w:rPr>
          <w:color w:val="000000"/>
        </w:rPr>
        <w:t>má</w:t>
      </w:r>
      <w:r w:rsidRPr="009B1A37">
        <w:rPr>
          <w:color w:val="000000"/>
        </w:rPr>
        <w:t xml:space="preserve"> zahájit lékař s odpovídajícími zkušenostmi v léčbě pacientů s hematologickými malignitami a maligními sarkomy.</w:t>
      </w:r>
    </w:p>
    <w:p w14:paraId="22D1946B" w14:textId="77777777" w:rsidR="00D97A44" w:rsidRPr="009B1A37" w:rsidRDefault="00D97A44" w:rsidP="00BE3D48">
      <w:pPr>
        <w:pStyle w:val="EndnoteText"/>
        <w:widowControl w:val="0"/>
        <w:tabs>
          <w:tab w:val="clear" w:pos="567"/>
        </w:tabs>
        <w:rPr>
          <w:color w:val="000000"/>
        </w:rPr>
      </w:pPr>
    </w:p>
    <w:p w14:paraId="5D378D88" w14:textId="77777777" w:rsidR="00D97A44" w:rsidRPr="009B1A37" w:rsidRDefault="00D97A44" w:rsidP="00BE3D48">
      <w:pPr>
        <w:pStyle w:val="EndnoteText"/>
        <w:widowControl w:val="0"/>
        <w:tabs>
          <w:tab w:val="clear" w:pos="567"/>
        </w:tabs>
        <w:rPr>
          <w:color w:val="000000"/>
        </w:rPr>
      </w:pPr>
      <w:r w:rsidRPr="009B1A37">
        <w:rPr>
          <w:color w:val="000000"/>
        </w:rPr>
        <w:t xml:space="preserve">Předepsaná dávka </w:t>
      </w:r>
      <w:r w:rsidR="00AA2C02" w:rsidRPr="009B1A37">
        <w:rPr>
          <w:color w:val="000000"/>
        </w:rPr>
        <w:t>má</w:t>
      </w:r>
      <w:r w:rsidRPr="009B1A37">
        <w:rPr>
          <w:color w:val="000000"/>
        </w:rPr>
        <w:t xml:space="preserve"> být podávána perorálně s jídlem a zapíjena velkou sklenicí vody, aby se minimalizovalo riziko gastrointestinálního podráždění. Dávky 400 mg nebo 600 mg </w:t>
      </w:r>
      <w:r w:rsidR="00AA2C02" w:rsidRPr="009B1A37">
        <w:rPr>
          <w:color w:val="000000"/>
        </w:rPr>
        <w:t>mají</w:t>
      </w:r>
      <w:r w:rsidRPr="009B1A37">
        <w:rPr>
          <w:color w:val="000000"/>
        </w:rPr>
        <w:t xml:space="preserve"> být podávány jednou denně, zatímco dávka 800 mg </w:t>
      </w:r>
      <w:r w:rsidR="00AA2C02" w:rsidRPr="009B1A37">
        <w:rPr>
          <w:color w:val="000000"/>
        </w:rPr>
        <w:t>má</w:t>
      </w:r>
      <w:r w:rsidR="00DA3AA8" w:rsidRPr="009B1A37">
        <w:rPr>
          <w:color w:val="000000"/>
        </w:rPr>
        <w:t xml:space="preserve"> být podávána rozděleně na</w:t>
      </w:r>
      <w:r w:rsidRPr="009B1A37">
        <w:rPr>
          <w:color w:val="000000"/>
        </w:rPr>
        <w:t xml:space="preserve"> 400 mg dvakrát denně</w:t>
      </w:r>
      <w:r w:rsidR="00AA2C02" w:rsidRPr="009B1A37">
        <w:rPr>
          <w:color w:val="000000"/>
        </w:rPr>
        <w:t>,</w:t>
      </w:r>
      <w:r w:rsidRPr="009B1A37">
        <w:rPr>
          <w:color w:val="000000"/>
        </w:rPr>
        <w:t xml:space="preserve"> ráno a večer. Pro pacienty (děti), kteří nemohou polykat celé tobolky</w:t>
      </w:r>
      <w:r w:rsidR="00C9431F" w:rsidRPr="009B1A37">
        <w:rPr>
          <w:color w:val="000000"/>
        </w:rPr>
        <w:t xml:space="preserve">, </w:t>
      </w:r>
      <w:r w:rsidRPr="009B1A37">
        <w:rPr>
          <w:color w:val="000000"/>
        </w:rPr>
        <w:t>je možné naředit celý obsah tobolky ve sklenici neperlivé vody nebo v jablečném džusu. Protože ve studiích na zvířatech byla prokázána reprodukční toxicita a možné riziko pro lidský plod není známé, je nutné ženám ve fertilním věku doporučit při otevírání tobolek zvýšenou opatrnost, tak aby nedošlo k inhalaci prášku nebo ke kontaktu prášku s kůží a očima (viz bod 4.6). Po manipulaci s otevřenou tobolkou je nutné si okamžitě umýt ruce.</w:t>
      </w:r>
    </w:p>
    <w:p w14:paraId="373D913E" w14:textId="77777777" w:rsidR="00D97A44" w:rsidRPr="009B1A37" w:rsidRDefault="00D97A44" w:rsidP="00BE3D48">
      <w:pPr>
        <w:pStyle w:val="BodyText"/>
        <w:widowControl w:val="0"/>
        <w:spacing w:line="240" w:lineRule="auto"/>
        <w:rPr>
          <w:b w:val="0"/>
          <w:bCs w:val="0"/>
          <w:i w:val="0"/>
          <w:iCs w:val="0"/>
          <w:color w:val="000000"/>
        </w:rPr>
      </w:pPr>
    </w:p>
    <w:p w14:paraId="4FF9D482" w14:textId="77777777" w:rsidR="00D97A44" w:rsidRPr="009B1A37" w:rsidRDefault="00D97A44" w:rsidP="00BE3D48">
      <w:pPr>
        <w:pStyle w:val="BodyText"/>
        <w:keepNext/>
        <w:widowControl w:val="0"/>
        <w:spacing w:line="240" w:lineRule="auto"/>
        <w:rPr>
          <w:b w:val="0"/>
          <w:bCs w:val="0"/>
          <w:i w:val="0"/>
          <w:iCs w:val="0"/>
          <w:color w:val="000000"/>
          <w:u w:val="single"/>
        </w:rPr>
      </w:pPr>
      <w:r w:rsidRPr="009B1A37">
        <w:rPr>
          <w:b w:val="0"/>
          <w:bCs w:val="0"/>
          <w:i w:val="0"/>
          <w:iCs w:val="0"/>
          <w:color w:val="000000"/>
          <w:u w:val="single"/>
        </w:rPr>
        <w:t>Dávkování u CML u dospělých pacientů</w:t>
      </w:r>
    </w:p>
    <w:p w14:paraId="3E5A6907" w14:textId="77777777" w:rsidR="00D97A44" w:rsidRPr="009B1A37" w:rsidRDefault="00D97A44" w:rsidP="00BE3D48">
      <w:pPr>
        <w:pStyle w:val="BodyText"/>
        <w:widowControl w:val="0"/>
        <w:spacing w:line="240" w:lineRule="auto"/>
        <w:rPr>
          <w:b w:val="0"/>
          <w:bCs w:val="0"/>
          <w:i w:val="0"/>
          <w:iCs w:val="0"/>
          <w:color w:val="000000"/>
        </w:rPr>
      </w:pPr>
      <w:r w:rsidRPr="009B1A37">
        <w:rPr>
          <w:b w:val="0"/>
          <w:bCs w:val="0"/>
          <w:i w:val="0"/>
          <w:iCs w:val="0"/>
          <w:color w:val="000000"/>
        </w:rPr>
        <w:t xml:space="preserve">Doporučená dávka Glivecu je pro </w:t>
      </w:r>
      <w:r w:rsidR="000A1E19" w:rsidRPr="009B1A37">
        <w:rPr>
          <w:b w:val="0"/>
          <w:bCs w:val="0"/>
          <w:i w:val="0"/>
          <w:iCs w:val="0"/>
          <w:color w:val="000000"/>
        </w:rPr>
        <w:t xml:space="preserve">dospělé </w:t>
      </w:r>
      <w:r w:rsidRPr="009B1A37">
        <w:rPr>
          <w:b w:val="0"/>
          <w:bCs w:val="0"/>
          <w:i w:val="0"/>
          <w:iCs w:val="0"/>
          <w:color w:val="000000"/>
        </w:rPr>
        <w:t>pacienty v chronické fázi CML 400 mg/den. Chronická fáze CML je definována dosažením všech následujících kriterií: blasty v krvi a kostní dřeni &lt; 15</w:t>
      </w:r>
      <w:r w:rsidR="00216BEF" w:rsidRPr="009B1A37">
        <w:rPr>
          <w:b w:val="0"/>
          <w:bCs w:val="0"/>
          <w:i w:val="0"/>
          <w:iCs w:val="0"/>
          <w:color w:val="000000"/>
        </w:rPr>
        <w:t> </w:t>
      </w:r>
      <w:r w:rsidRPr="009B1A37">
        <w:rPr>
          <w:b w:val="0"/>
          <w:bCs w:val="0"/>
          <w:i w:val="0"/>
          <w:iCs w:val="0"/>
          <w:color w:val="000000"/>
        </w:rPr>
        <w:t>%, basofily v periferní krvi &lt; 20</w:t>
      </w:r>
      <w:r w:rsidR="00216BEF" w:rsidRPr="009B1A37">
        <w:rPr>
          <w:b w:val="0"/>
          <w:bCs w:val="0"/>
          <w:i w:val="0"/>
          <w:iCs w:val="0"/>
          <w:color w:val="000000"/>
        </w:rPr>
        <w:t> </w:t>
      </w:r>
      <w:r w:rsidRPr="009B1A37">
        <w:rPr>
          <w:b w:val="0"/>
          <w:bCs w:val="0"/>
          <w:i w:val="0"/>
          <w:iCs w:val="0"/>
          <w:color w:val="000000"/>
        </w:rPr>
        <w:t xml:space="preserve">%, </w:t>
      </w:r>
      <w:r w:rsidR="005C325D" w:rsidRPr="009B1A37">
        <w:rPr>
          <w:b w:val="0"/>
          <w:bCs w:val="0"/>
          <w:i w:val="0"/>
          <w:iCs w:val="0"/>
          <w:color w:val="000000"/>
        </w:rPr>
        <w:t>trombocyty</w:t>
      </w:r>
      <w:r w:rsidRPr="009B1A37">
        <w:rPr>
          <w:b w:val="0"/>
          <w:bCs w:val="0"/>
          <w:i w:val="0"/>
          <w:iCs w:val="0"/>
          <w:color w:val="000000"/>
        </w:rPr>
        <w:t xml:space="preserve"> &gt; 100 x 10</w:t>
      </w:r>
      <w:r w:rsidRPr="009B1A37">
        <w:rPr>
          <w:b w:val="0"/>
          <w:bCs w:val="0"/>
          <w:i w:val="0"/>
          <w:iCs w:val="0"/>
          <w:color w:val="000000"/>
          <w:vertAlign w:val="superscript"/>
        </w:rPr>
        <w:t>9</w:t>
      </w:r>
      <w:r w:rsidRPr="009B1A37">
        <w:rPr>
          <w:b w:val="0"/>
          <w:bCs w:val="0"/>
          <w:i w:val="0"/>
          <w:iCs w:val="0"/>
          <w:color w:val="000000"/>
        </w:rPr>
        <w:t>/l.</w:t>
      </w:r>
    </w:p>
    <w:p w14:paraId="2D7BF74D" w14:textId="77777777" w:rsidR="00D97A44" w:rsidRPr="009B1A37" w:rsidRDefault="00D97A44" w:rsidP="00BE3D48">
      <w:pPr>
        <w:pStyle w:val="BodyText"/>
        <w:widowControl w:val="0"/>
        <w:spacing w:line="240" w:lineRule="auto"/>
        <w:rPr>
          <w:b w:val="0"/>
          <w:bCs w:val="0"/>
          <w:i w:val="0"/>
          <w:iCs w:val="0"/>
          <w:color w:val="000000"/>
        </w:rPr>
      </w:pPr>
    </w:p>
    <w:p w14:paraId="07CB22F0" w14:textId="77777777" w:rsidR="00D97A44" w:rsidRPr="009B1A37" w:rsidRDefault="00D97A44" w:rsidP="00BE3D48">
      <w:pPr>
        <w:pStyle w:val="BodyText"/>
        <w:widowControl w:val="0"/>
        <w:spacing w:line="240" w:lineRule="auto"/>
        <w:rPr>
          <w:b w:val="0"/>
          <w:bCs w:val="0"/>
          <w:i w:val="0"/>
          <w:iCs w:val="0"/>
          <w:color w:val="000000"/>
        </w:rPr>
      </w:pPr>
      <w:r w:rsidRPr="009B1A37">
        <w:rPr>
          <w:b w:val="0"/>
          <w:bCs w:val="0"/>
          <w:i w:val="0"/>
          <w:iCs w:val="0"/>
          <w:color w:val="000000"/>
        </w:rPr>
        <w:t>U</w:t>
      </w:r>
      <w:r w:rsidR="006143A6" w:rsidRPr="009B1A37">
        <w:rPr>
          <w:color w:val="000000"/>
        </w:rPr>
        <w:t> </w:t>
      </w:r>
      <w:r w:rsidR="000A1E19" w:rsidRPr="009B1A37">
        <w:rPr>
          <w:b w:val="0"/>
          <w:bCs w:val="0"/>
          <w:i w:val="0"/>
          <w:iCs w:val="0"/>
          <w:color w:val="000000"/>
        </w:rPr>
        <w:t xml:space="preserve">dospělých </w:t>
      </w:r>
      <w:r w:rsidRPr="009B1A37">
        <w:rPr>
          <w:b w:val="0"/>
          <w:bCs w:val="0"/>
          <w:i w:val="0"/>
          <w:iCs w:val="0"/>
          <w:color w:val="000000"/>
        </w:rPr>
        <w:t xml:space="preserve">pacientů s akcelerovanou fází je doporučená dávka Glivecu 600 mg/den. Akcelerovaná fáze onemocnění je určena přítomností kteréhokoli z následujících projevů: blasty v krvi nebo kostní dřeni </w:t>
      </w:r>
      <w:r w:rsidRPr="009B1A37">
        <w:rPr>
          <w:rFonts w:ascii="Symbol" w:hAnsi="Symbol"/>
          <w:b w:val="0"/>
          <w:bCs w:val="0"/>
          <w:i w:val="0"/>
          <w:iCs w:val="0"/>
          <w:color w:val="000000"/>
        </w:rPr>
        <w:t></w:t>
      </w:r>
      <w:r w:rsidRPr="009B1A37">
        <w:rPr>
          <w:b w:val="0"/>
          <w:bCs w:val="0"/>
          <w:i w:val="0"/>
          <w:iCs w:val="0"/>
          <w:color w:val="000000"/>
        </w:rPr>
        <w:t> 15</w:t>
      </w:r>
      <w:r w:rsidR="00216BEF" w:rsidRPr="009B1A37">
        <w:rPr>
          <w:b w:val="0"/>
          <w:bCs w:val="0"/>
          <w:i w:val="0"/>
          <w:iCs w:val="0"/>
          <w:color w:val="000000"/>
        </w:rPr>
        <w:t> </w:t>
      </w:r>
      <w:r w:rsidRPr="009B1A37">
        <w:rPr>
          <w:b w:val="0"/>
          <w:bCs w:val="0"/>
          <w:i w:val="0"/>
          <w:iCs w:val="0"/>
          <w:color w:val="000000"/>
        </w:rPr>
        <w:t>% ale &lt; 30</w:t>
      </w:r>
      <w:r w:rsidR="00216BEF" w:rsidRPr="009B1A37">
        <w:rPr>
          <w:b w:val="0"/>
          <w:bCs w:val="0"/>
          <w:i w:val="0"/>
          <w:iCs w:val="0"/>
          <w:color w:val="000000"/>
        </w:rPr>
        <w:t> </w:t>
      </w:r>
      <w:r w:rsidRPr="009B1A37">
        <w:rPr>
          <w:b w:val="0"/>
          <w:bCs w:val="0"/>
          <w:i w:val="0"/>
          <w:iCs w:val="0"/>
          <w:color w:val="000000"/>
        </w:rPr>
        <w:t xml:space="preserve">%, blasty a promyelocyty v krvi nebo kostní dřeni </w:t>
      </w:r>
      <w:r w:rsidRPr="009B1A37">
        <w:rPr>
          <w:rFonts w:ascii="Symbol" w:hAnsi="Symbol"/>
          <w:b w:val="0"/>
          <w:bCs w:val="0"/>
          <w:i w:val="0"/>
          <w:iCs w:val="0"/>
          <w:color w:val="000000"/>
        </w:rPr>
        <w:t></w:t>
      </w:r>
      <w:r w:rsidRPr="009B1A37">
        <w:rPr>
          <w:b w:val="0"/>
          <w:bCs w:val="0"/>
          <w:i w:val="0"/>
          <w:iCs w:val="0"/>
          <w:color w:val="000000"/>
        </w:rPr>
        <w:t> 30</w:t>
      </w:r>
      <w:r w:rsidR="00216BEF" w:rsidRPr="009B1A37">
        <w:rPr>
          <w:b w:val="0"/>
          <w:bCs w:val="0"/>
          <w:i w:val="0"/>
          <w:iCs w:val="0"/>
          <w:color w:val="000000"/>
        </w:rPr>
        <w:t> </w:t>
      </w:r>
      <w:r w:rsidRPr="009B1A37">
        <w:rPr>
          <w:b w:val="0"/>
          <w:bCs w:val="0"/>
          <w:i w:val="0"/>
          <w:iCs w:val="0"/>
          <w:color w:val="000000"/>
        </w:rPr>
        <w:t>% (za předpokladu &lt; 30</w:t>
      </w:r>
      <w:r w:rsidR="00216BEF" w:rsidRPr="009B1A37">
        <w:rPr>
          <w:b w:val="0"/>
          <w:bCs w:val="0"/>
          <w:i w:val="0"/>
          <w:iCs w:val="0"/>
          <w:color w:val="000000"/>
        </w:rPr>
        <w:t> </w:t>
      </w:r>
      <w:r w:rsidRPr="009B1A37">
        <w:rPr>
          <w:b w:val="0"/>
          <w:bCs w:val="0"/>
          <w:i w:val="0"/>
          <w:iCs w:val="0"/>
          <w:color w:val="000000"/>
        </w:rPr>
        <w:t xml:space="preserve">% blastů), basofily v periferní krvi </w:t>
      </w:r>
      <w:r w:rsidRPr="009B1A37">
        <w:rPr>
          <w:rFonts w:ascii="Symbol" w:hAnsi="Symbol"/>
          <w:b w:val="0"/>
          <w:bCs w:val="0"/>
          <w:i w:val="0"/>
          <w:iCs w:val="0"/>
          <w:color w:val="000000"/>
        </w:rPr>
        <w:t></w:t>
      </w:r>
      <w:r w:rsidRPr="009B1A37">
        <w:rPr>
          <w:b w:val="0"/>
          <w:bCs w:val="0"/>
          <w:i w:val="0"/>
          <w:iCs w:val="0"/>
          <w:color w:val="000000"/>
        </w:rPr>
        <w:t> 20</w:t>
      </w:r>
      <w:r w:rsidR="00216BEF" w:rsidRPr="009B1A37">
        <w:rPr>
          <w:b w:val="0"/>
          <w:bCs w:val="0"/>
          <w:i w:val="0"/>
          <w:iCs w:val="0"/>
          <w:color w:val="000000"/>
        </w:rPr>
        <w:t> </w:t>
      </w:r>
      <w:r w:rsidRPr="009B1A37">
        <w:rPr>
          <w:b w:val="0"/>
          <w:bCs w:val="0"/>
          <w:i w:val="0"/>
          <w:iCs w:val="0"/>
          <w:color w:val="000000"/>
        </w:rPr>
        <w:t xml:space="preserve">%, </w:t>
      </w:r>
      <w:r w:rsidR="005C325D" w:rsidRPr="009B1A37">
        <w:rPr>
          <w:b w:val="0"/>
          <w:bCs w:val="0"/>
          <w:i w:val="0"/>
          <w:iCs w:val="0"/>
          <w:color w:val="000000"/>
        </w:rPr>
        <w:t>trombocyty</w:t>
      </w:r>
      <w:r w:rsidRPr="009B1A37">
        <w:rPr>
          <w:b w:val="0"/>
          <w:bCs w:val="0"/>
          <w:i w:val="0"/>
          <w:iCs w:val="0"/>
          <w:color w:val="000000"/>
        </w:rPr>
        <w:t xml:space="preserve"> &lt; 100 x 10</w:t>
      </w:r>
      <w:r w:rsidRPr="009B1A37">
        <w:rPr>
          <w:b w:val="0"/>
          <w:bCs w:val="0"/>
          <w:i w:val="0"/>
          <w:iCs w:val="0"/>
          <w:color w:val="000000"/>
          <w:vertAlign w:val="superscript"/>
        </w:rPr>
        <w:t>9</w:t>
      </w:r>
      <w:r w:rsidRPr="009B1A37">
        <w:rPr>
          <w:b w:val="0"/>
          <w:bCs w:val="0"/>
          <w:i w:val="0"/>
          <w:iCs w:val="0"/>
          <w:color w:val="000000"/>
        </w:rPr>
        <w:t>/l bez vztahu k léčbě.</w:t>
      </w:r>
    </w:p>
    <w:p w14:paraId="1707FC20" w14:textId="77777777" w:rsidR="00D97A44" w:rsidRPr="009B1A37" w:rsidRDefault="00D97A44" w:rsidP="00BE3D48">
      <w:pPr>
        <w:pStyle w:val="BodyText"/>
        <w:widowControl w:val="0"/>
        <w:spacing w:line="240" w:lineRule="auto"/>
        <w:rPr>
          <w:b w:val="0"/>
          <w:bCs w:val="0"/>
          <w:i w:val="0"/>
          <w:iCs w:val="0"/>
          <w:color w:val="000000"/>
        </w:rPr>
      </w:pPr>
    </w:p>
    <w:p w14:paraId="28600E2D" w14:textId="77777777" w:rsidR="00D97A44" w:rsidRPr="009B1A37" w:rsidRDefault="00D97A44" w:rsidP="00BE3D48">
      <w:pPr>
        <w:pStyle w:val="BodyText"/>
        <w:widowControl w:val="0"/>
        <w:spacing w:line="240" w:lineRule="auto"/>
        <w:rPr>
          <w:b w:val="0"/>
          <w:bCs w:val="0"/>
          <w:i w:val="0"/>
          <w:iCs w:val="0"/>
          <w:color w:val="000000"/>
        </w:rPr>
      </w:pPr>
      <w:r w:rsidRPr="009B1A37">
        <w:rPr>
          <w:b w:val="0"/>
          <w:bCs w:val="0"/>
          <w:i w:val="0"/>
          <w:iCs w:val="0"/>
          <w:color w:val="000000"/>
        </w:rPr>
        <w:t>U</w:t>
      </w:r>
      <w:r w:rsidR="006143A6" w:rsidRPr="009B1A37">
        <w:rPr>
          <w:color w:val="000000"/>
        </w:rPr>
        <w:t> </w:t>
      </w:r>
      <w:r w:rsidR="000A1E19" w:rsidRPr="009B1A37">
        <w:rPr>
          <w:b w:val="0"/>
          <w:bCs w:val="0"/>
          <w:i w:val="0"/>
          <w:iCs w:val="0"/>
          <w:color w:val="000000"/>
        </w:rPr>
        <w:t xml:space="preserve">dospělých </w:t>
      </w:r>
      <w:r w:rsidRPr="009B1A37">
        <w:rPr>
          <w:b w:val="0"/>
          <w:bCs w:val="0"/>
          <w:i w:val="0"/>
          <w:iCs w:val="0"/>
          <w:color w:val="000000"/>
        </w:rPr>
        <w:t xml:space="preserve">pacientů v blastické krizi je doporučená dávka Glivecu 600 mg/den. Blastická krize je definována počtem blastů v krvi nebo kostní dřeni </w:t>
      </w:r>
      <w:r w:rsidRPr="009B1A37">
        <w:rPr>
          <w:rFonts w:ascii="Symbol" w:hAnsi="Symbol"/>
          <w:b w:val="0"/>
          <w:bCs w:val="0"/>
          <w:i w:val="0"/>
          <w:iCs w:val="0"/>
          <w:color w:val="000000"/>
        </w:rPr>
        <w:t></w:t>
      </w:r>
      <w:r w:rsidRPr="009B1A37">
        <w:rPr>
          <w:b w:val="0"/>
          <w:bCs w:val="0"/>
          <w:i w:val="0"/>
          <w:iCs w:val="0"/>
          <w:color w:val="000000"/>
        </w:rPr>
        <w:t> 30</w:t>
      </w:r>
      <w:r w:rsidR="00216BEF" w:rsidRPr="009B1A37">
        <w:rPr>
          <w:b w:val="0"/>
          <w:bCs w:val="0"/>
          <w:i w:val="0"/>
          <w:iCs w:val="0"/>
          <w:color w:val="000000"/>
        </w:rPr>
        <w:t> </w:t>
      </w:r>
      <w:r w:rsidRPr="009B1A37">
        <w:rPr>
          <w:b w:val="0"/>
          <w:bCs w:val="0"/>
          <w:i w:val="0"/>
          <w:iCs w:val="0"/>
          <w:color w:val="000000"/>
        </w:rPr>
        <w:t>% nebo extramedulárním postižením jiným než hepatosplenomegalií.</w:t>
      </w:r>
    </w:p>
    <w:p w14:paraId="080C90D2" w14:textId="77777777" w:rsidR="00D97A44" w:rsidRPr="009B1A37" w:rsidRDefault="00D97A44" w:rsidP="00BE3D48">
      <w:pPr>
        <w:pStyle w:val="EndnoteText"/>
        <w:widowControl w:val="0"/>
        <w:tabs>
          <w:tab w:val="clear" w:pos="567"/>
        </w:tabs>
        <w:rPr>
          <w:color w:val="000000"/>
        </w:rPr>
      </w:pPr>
    </w:p>
    <w:p w14:paraId="651C6BCE" w14:textId="77777777" w:rsidR="00D97A44" w:rsidRPr="009B1A37" w:rsidRDefault="00D97A44" w:rsidP="00BE3D48">
      <w:pPr>
        <w:pStyle w:val="EndnoteText"/>
        <w:widowControl w:val="0"/>
        <w:tabs>
          <w:tab w:val="clear" w:pos="567"/>
        </w:tabs>
        <w:rPr>
          <w:color w:val="000000"/>
        </w:rPr>
      </w:pPr>
      <w:r w:rsidRPr="009B1A37">
        <w:rPr>
          <w:color w:val="000000"/>
        </w:rPr>
        <w:t xml:space="preserve">Trvání léčby: V klinických studiích pokračovala léčba Glivecem do progrese onemocnění. </w:t>
      </w:r>
      <w:r w:rsidR="00AA2C02" w:rsidRPr="009B1A37">
        <w:rPr>
          <w:color w:val="000000"/>
        </w:rPr>
        <w:t>Vliv</w:t>
      </w:r>
      <w:r w:rsidRPr="009B1A37">
        <w:rPr>
          <w:color w:val="000000"/>
        </w:rPr>
        <w:t xml:space="preserve"> zastavení léčby po dosažení kompletní cytogenetické odpovědi nebyl </w:t>
      </w:r>
      <w:r w:rsidR="00AA2C02" w:rsidRPr="009B1A37">
        <w:rPr>
          <w:color w:val="000000"/>
        </w:rPr>
        <w:t>hodnocen</w:t>
      </w:r>
      <w:r w:rsidRPr="009B1A37">
        <w:rPr>
          <w:color w:val="000000"/>
        </w:rPr>
        <w:t>.</w:t>
      </w:r>
    </w:p>
    <w:p w14:paraId="0E609B6D" w14:textId="77777777" w:rsidR="00D97A44" w:rsidRPr="009B1A37" w:rsidRDefault="00D97A44" w:rsidP="00BE3D48">
      <w:pPr>
        <w:pStyle w:val="EndnoteText"/>
        <w:widowControl w:val="0"/>
        <w:tabs>
          <w:tab w:val="clear" w:pos="567"/>
        </w:tabs>
        <w:rPr>
          <w:color w:val="000000"/>
        </w:rPr>
      </w:pPr>
    </w:p>
    <w:p w14:paraId="2B37530E" w14:textId="77777777" w:rsidR="00D97A44" w:rsidRPr="009B1A37" w:rsidRDefault="00D97A44" w:rsidP="00BE3D48">
      <w:pPr>
        <w:pStyle w:val="EndnoteText"/>
        <w:widowControl w:val="0"/>
        <w:tabs>
          <w:tab w:val="clear" w:pos="567"/>
        </w:tabs>
        <w:rPr>
          <w:color w:val="000000"/>
        </w:rPr>
      </w:pPr>
      <w:r w:rsidRPr="009B1A37">
        <w:rPr>
          <w:color w:val="000000"/>
        </w:rPr>
        <w:t>U pacientů v chronické fázi onemocnění je možno uvažovat o vzestupu dávky ze 400 mg na 600 mg nebo 800 mg, u pacientů s akcelerovanou fází onemocnění nebo v blastické krizi je možné zvýšit dávku ze 600 mg na maximum 800 mg (podáváno 2krát denně 400 mg), při absenci závažných nežádoucích účinků nebo závažné neutropen</w:t>
      </w:r>
      <w:r w:rsidR="005C325D" w:rsidRPr="009B1A37">
        <w:rPr>
          <w:color w:val="000000"/>
        </w:rPr>
        <w:t>i</w:t>
      </w:r>
      <w:r w:rsidR="00AA2C02" w:rsidRPr="009B1A37">
        <w:rPr>
          <w:color w:val="000000"/>
        </w:rPr>
        <w:t>e</w:t>
      </w:r>
      <w:r w:rsidRPr="009B1A37">
        <w:rPr>
          <w:color w:val="000000"/>
        </w:rPr>
        <w:t xml:space="preserve"> či trombocytopeni</w:t>
      </w:r>
      <w:r w:rsidR="00AA2C02" w:rsidRPr="009B1A37">
        <w:rPr>
          <w:color w:val="000000"/>
        </w:rPr>
        <w:t>e</w:t>
      </w:r>
      <w:r w:rsidRPr="009B1A37">
        <w:rPr>
          <w:color w:val="000000"/>
        </w:rPr>
        <w:t xml:space="preserve"> nesouvisející s leukemií, za následujících okolností: při progresi onemocnění (kdykoliv); pokud nebylo a</w:t>
      </w:r>
      <w:r w:rsidR="00AA2C02" w:rsidRPr="009B1A37">
        <w:rPr>
          <w:color w:val="000000"/>
        </w:rPr>
        <w:t>lespoň</w:t>
      </w:r>
      <w:r w:rsidRPr="009B1A37">
        <w:rPr>
          <w:color w:val="000000"/>
        </w:rPr>
        <w:t xml:space="preserve"> po 3 měsících léčby dosaženo uspokojivé hematologické odpovědi; pokud nebylo po 12 měsících léčby dosaženo cytogenetické odpovědi; nebo při ztrátě předtím dosažené hematologické a/nebo cytogenetické odpovědi. Při zvyšování podávané dávky </w:t>
      </w:r>
      <w:r w:rsidR="00AA2C02" w:rsidRPr="009B1A37">
        <w:rPr>
          <w:color w:val="000000"/>
        </w:rPr>
        <w:t>mají</w:t>
      </w:r>
      <w:r w:rsidRPr="009B1A37">
        <w:rPr>
          <w:color w:val="000000"/>
        </w:rPr>
        <w:t xml:space="preserve"> být pacienti pečlivě sledováni pro možnost zvýšeného výskytu nežádoucích </w:t>
      </w:r>
      <w:r w:rsidR="00AA2C02" w:rsidRPr="009B1A37">
        <w:rPr>
          <w:color w:val="000000"/>
        </w:rPr>
        <w:t>účinků</w:t>
      </w:r>
      <w:r w:rsidRPr="009B1A37">
        <w:rPr>
          <w:color w:val="000000"/>
        </w:rPr>
        <w:t xml:space="preserve"> při vyšších dávkách.</w:t>
      </w:r>
    </w:p>
    <w:p w14:paraId="047A0B3E" w14:textId="77777777" w:rsidR="00D97A44" w:rsidRPr="009B1A37" w:rsidRDefault="00D97A44" w:rsidP="00BE3D48">
      <w:pPr>
        <w:pStyle w:val="EndnoteText"/>
        <w:widowControl w:val="0"/>
        <w:tabs>
          <w:tab w:val="clear" w:pos="567"/>
        </w:tabs>
        <w:rPr>
          <w:color w:val="000000"/>
        </w:rPr>
      </w:pPr>
    </w:p>
    <w:p w14:paraId="590E041E" w14:textId="77777777" w:rsidR="00D97A44" w:rsidRPr="009B1A37" w:rsidRDefault="00D97A44" w:rsidP="00BE3D48">
      <w:pPr>
        <w:pStyle w:val="BodyText"/>
        <w:keepNext/>
        <w:widowControl w:val="0"/>
        <w:spacing w:line="240" w:lineRule="auto"/>
        <w:rPr>
          <w:b w:val="0"/>
          <w:bCs w:val="0"/>
          <w:i w:val="0"/>
          <w:iCs w:val="0"/>
          <w:color w:val="000000"/>
          <w:u w:val="single"/>
        </w:rPr>
      </w:pPr>
      <w:r w:rsidRPr="009B1A37">
        <w:rPr>
          <w:b w:val="0"/>
          <w:bCs w:val="0"/>
          <w:i w:val="0"/>
          <w:iCs w:val="0"/>
          <w:color w:val="000000"/>
          <w:u w:val="single"/>
        </w:rPr>
        <w:t>Dávkování u CML u dětí</w:t>
      </w:r>
    </w:p>
    <w:p w14:paraId="09C0CE64" w14:textId="77777777" w:rsidR="00D97A44" w:rsidRPr="009B1A37" w:rsidRDefault="00D97A44" w:rsidP="00BE3D48">
      <w:pPr>
        <w:pStyle w:val="EndnoteText"/>
        <w:widowControl w:val="0"/>
        <w:tabs>
          <w:tab w:val="clear" w:pos="567"/>
        </w:tabs>
        <w:rPr>
          <w:color w:val="000000"/>
        </w:rPr>
      </w:pPr>
      <w:r w:rsidRPr="009B1A37">
        <w:rPr>
          <w:color w:val="000000"/>
        </w:rPr>
        <w:t>Dávkování pro děti by mělo být stanoveno podle tělesného povrchu (mg/m</w:t>
      </w:r>
      <w:r w:rsidRPr="009B1A37">
        <w:rPr>
          <w:color w:val="000000"/>
          <w:vertAlign w:val="superscript"/>
        </w:rPr>
        <w:t>2</w:t>
      </w:r>
      <w:r w:rsidRPr="009B1A37">
        <w:rPr>
          <w:color w:val="000000"/>
        </w:rPr>
        <w:t>). Dávka 340 mg/m</w:t>
      </w:r>
      <w:r w:rsidRPr="009B1A37">
        <w:rPr>
          <w:color w:val="000000"/>
          <w:vertAlign w:val="superscript"/>
        </w:rPr>
        <w:t>2</w:t>
      </w:r>
      <w:r w:rsidRPr="009B1A37">
        <w:rPr>
          <w:color w:val="000000"/>
        </w:rPr>
        <w:t xml:space="preserve"> denně se doporučuje dětem s chronickou fází CML nebo v pokročilé fázi CML (nepřekročit celkovou dávku 800 mg). Lé</w:t>
      </w:r>
      <w:r w:rsidR="00AA2C02" w:rsidRPr="009B1A37">
        <w:rPr>
          <w:color w:val="000000"/>
        </w:rPr>
        <w:t xml:space="preserve">čbu lze </w:t>
      </w:r>
      <w:r w:rsidRPr="009B1A37">
        <w:rPr>
          <w:color w:val="000000"/>
        </w:rPr>
        <w:t>podáv</w:t>
      </w:r>
      <w:r w:rsidR="00AA2C02" w:rsidRPr="009B1A37">
        <w:rPr>
          <w:color w:val="000000"/>
        </w:rPr>
        <w:t>at</w:t>
      </w:r>
      <w:r w:rsidRPr="009B1A37">
        <w:rPr>
          <w:color w:val="000000"/>
        </w:rPr>
        <w:t xml:space="preserve"> jednou denně nebo může být celková denní dávka rozdělena do dvou částí – jedna </w:t>
      </w:r>
      <w:r w:rsidR="00BD0172" w:rsidRPr="009B1A37">
        <w:rPr>
          <w:color w:val="000000"/>
        </w:rPr>
        <w:t xml:space="preserve">se podává </w:t>
      </w:r>
      <w:r w:rsidRPr="009B1A37">
        <w:rPr>
          <w:color w:val="000000"/>
        </w:rPr>
        <w:t xml:space="preserve">ráno a druhá večer. Doporučené dávkování je v současnosti založeno na malém počtu </w:t>
      </w:r>
      <w:r w:rsidR="00BD0172" w:rsidRPr="009B1A37">
        <w:rPr>
          <w:color w:val="000000"/>
        </w:rPr>
        <w:t>pediatrických</w:t>
      </w:r>
      <w:r w:rsidRPr="009B1A37">
        <w:rPr>
          <w:color w:val="000000"/>
        </w:rPr>
        <w:t xml:space="preserve"> pacientů (viz body </w:t>
      </w:r>
      <w:smartTag w:uri="urn:schemas-microsoft-com:office:smarttags" w:element="metricconverter">
        <w:smartTagPr>
          <w:attr w:name="ProductID" w:val="5.1 a"/>
        </w:smartTagPr>
        <w:r w:rsidRPr="009B1A37">
          <w:rPr>
            <w:color w:val="000000"/>
          </w:rPr>
          <w:t>5.1 a</w:t>
        </w:r>
      </w:smartTag>
      <w:r w:rsidRPr="009B1A37">
        <w:rPr>
          <w:color w:val="000000"/>
        </w:rPr>
        <w:t xml:space="preserve"> 5.2). S léčbou dětí do 2 let věku nejsou zkušenosti.</w:t>
      </w:r>
    </w:p>
    <w:p w14:paraId="44BA7D7D" w14:textId="77777777" w:rsidR="00D97A44" w:rsidRPr="009B1A37" w:rsidRDefault="00D97A44" w:rsidP="00BE3D48">
      <w:pPr>
        <w:pStyle w:val="EndnoteText"/>
        <w:widowControl w:val="0"/>
        <w:tabs>
          <w:tab w:val="clear" w:pos="567"/>
        </w:tabs>
        <w:rPr>
          <w:color w:val="000000"/>
        </w:rPr>
      </w:pPr>
    </w:p>
    <w:p w14:paraId="416CEFDD" w14:textId="77777777" w:rsidR="00D97A44" w:rsidRPr="009B1A37" w:rsidRDefault="00D97A44" w:rsidP="00BE3D48">
      <w:pPr>
        <w:pStyle w:val="EndnoteText"/>
        <w:widowControl w:val="0"/>
        <w:tabs>
          <w:tab w:val="clear" w:pos="567"/>
        </w:tabs>
        <w:rPr>
          <w:color w:val="000000"/>
        </w:rPr>
      </w:pPr>
      <w:r w:rsidRPr="009B1A37">
        <w:rPr>
          <w:color w:val="000000"/>
        </w:rPr>
        <w:lastRenderedPageBreak/>
        <w:t xml:space="preserve">U dětí je možno uvažovat o </w:t>
      </w:r>
      <w:r w:rsidR="00BD0172" w:rsidRPr="009B1A37">
        <w:rPr>
          <w:color w:val="000000"/>
        </w:rPr>
        <w:t>zvýšení</w:t>
      </w:r>
      <w:r w:rsidRPr="009B1A37">
        <w:rPr>
          <w:color w:val="000000"/>
        </w:rPr>
        <w:t xml:space="preserve"> dávky z 340 mg/m</w:t>
      </w:r>
      <w:r w:rsidRPr="009B1A37">
        <w:rPr>
          <w:color w:val="000000"/>
          <w:vertAlign w:val="superscript"/>
        </w:rPr>
        <w:t>2</w:t>
      </w:r>
      <w:r w:rsidRPr="009B1A37">
        <w:rPr>
          <w:color w:val="000000"/>
        </w:rPr>
        <w:t xml:space="preserve"> denně na 570 mg/m</w:t>
      </w:r>
      <w:r w:rsidRPr="009B1A37">
        <w:rPr>
          <w:color w:val="000000"/>
          <w:vertAlign w:val="superscript"/>
        </w:rPr>
        <w:t>2</w:t>
      </w:r>
      <w:r w:rsidRPr="009B1A37">
        <w:rPr>
          <w:color w:val="000000"/>
        </w:rPr>
        <w:t xml:space="preserve"> denně (nepřekročit celkovou dávku 800 mg) při absenci závažných nežádoucích účinků nebo závažné neutropeni</w:t>
      </w:r>
      <w:r w:rsidR="00BD0172" w:rsidRPr="009B1A37">
        <w:rPr>
          <w:color w:val="000000"/>
        </w:rPr>
        <w:t>e</w:t>
      </w:r>
      <w:r w:rsidRPr="009B1A37">
        <w:rPr>
          <w:color w:val="000000"/>
        </w:rPr>
        <w:t xml:space="preserve"> či trombocytopeni</w:t>
      </w:r>
      <w:r w:rsidR="00BD0172" w:rsidRPr="009B1A37">
        <w:rPr>
          <w:color w:val="000000"/>
        </w:rPr>
        <w:t>e</w:t>
      </w:r>
      <w:r w:rsidRPr="009B1A37">
        <w:rPr>
          <w:color w:val="000000"/>
        </w:rPr>
        <w:t xml:space="preserve"> nesouvisející s leukemií za následujících okolností: při progresi onemocnění (kdykoliv), pokud nebylo a</w:t>
      </w:r>
      <w:r w:rsidR="00BD0172" w:rsidRPr="009B1A37">
        <w:rPr>
          <w:color w:val="000000"/>
        </w:rPr>
        <w:t>lespoň</w:t>
      </w:r>
      <w:r w:rsidRPr="009B1A37">
        <w:rPr>
          <w:color w:val="000000"/>
        </w:rPr>
        <w:t xml:space="preserve"> po 3 měsících léčby dosaženo uspokojivé hematologické odpovědi, pokud nebylo po 12 měsících léčby dosaženo cytogenetické odpovědi, nebo při ztrátě před tím dosažené hematologické a/nebo cytogenetické odpovědi. Při zvyšování podávané dávky </w:t>
      </w:r>
      <w:r w:rsidR="00BD0172" w:rsidRPr="009B1A37">
        <w:rPr>
          <w:color w:val="000000"/>
        </w:rPr>
        <w:t>mají</w:t>
      </w:r>
      <w:r w:rsidRPr="009B1A37">
        <w:rPr>
          <w:color w:val="000000"/>
        </w:rPr>
        <w:t xml:space="preserve"> být pacienti pečlivě sledováni pro možnost zvýšeného výskytu nežádoucích </w:t>
      </w:r>
      <w:r w:rsidR="00BD0172" w:rsidRPr="009B1A37">
        <w:rPr>
          <w:color w:val="000000"/>
        </w:rPr>
        <w:t>účinků</w:t>
      </w:r>
      <w:r w:rsidRPr="009B1A37">
        <w:rPr>
          <w:color w:val="000000"/>
        </w:rPr>
        <w:t xml:space="preserve"> při vyšších dávkách.</w:t>
      </w:r>
    </w:p>
    <w:p w14:paraId="0B3AC7C2" w14:textId="77777777" w:rsidR="00D97A44" w:rsidRPr="009B1A37" w:rsidRDefault="00D97A44" w:rsidP="00BE3D48">
      <w:pPr>
        <w:pStyle w:val="EndnoteText"/>
        <w:widowControl w:val="0"/>
        <w:tabs>
          <w:tab w:val="clear" w:pos="567"/>
        </w:tabs>
        <w:rPr>
          <w:color w:val="000000"/>
        </w:rPr>
      </w:pPr>
    </w:p>
    <w:p w14:paraId="690E021D" w14:textId="77777777" w:rsidR="00D97A44" w:rsidRPr="009B1A37" w:rsidRDefault="00D97A44" w:rsidP="00BE3D48">
      <w:pPr>
        <w:pStyle w:val="EndnoteText"/>
        <w:keepNext/>
        <w:widowControl w:val="0"/>
        <w:tabs>
          <w:tab w:val="clear" w:pos="567"/>
        </w:tabs>
        <w:rPr>
          <w:color w:val="000000"/>
          <w:u w:val="single"/>
        </w:rPr>
      </w:pPr>
      <w:r w:rsidRPr="009B1A37">
        <w:rPr>
          <w:color w:val="000000"/>
          <w:u w:val="single"/>
        </w:rPr>
        <w:t>Dávkování u Ph+ ALL</w:t>
      </w:r>
      <w:r w:rsidR="006D1CF6" w:rsidRPr="009B1A37">
        <w:rPr>
          <w:color w:val="000000"/>
          <w:u w:val="single"/>
        </w:rPr>
        <w:t xml:space="preserve"> u dospělých pacientů</w:t>
      </w:r>
    </w:p>
    <w:p w14:paraId="59740BEB" w14:textId="77777777" w:rsidR="00D97A44" w:rsidRPr="009B1A37" w:rsidRDefault="00D97A44" w:rsidP="00BE3D48">
      <w:pPr>
        <w:pStyle w:val="EndnoteText"/>
        <w:widowControl w:val="0"/>
        <w:tabs>
          <w:tab w:val="clear" w:pos="567"/>
        </w:tabs>
        <w:rPr>
          <w:color w:val="000000"/>
        </w:rPr>
      </w:pPr>
      <w:r w:rsidRPr="009B1A37">
        <w:rPr>
          <w:color w:val="000000"/>
        </w:rPr>
        <w:t>U</w:t>
      </w:r>
      <w:r w:rsidR="006143A6" w:rsidRPr="009B1A37">
        <w:rPr>
          <w:color w:val="000000"/>
        </w:rPr>
        <w:t xml:space="preserve"> dospělých </w:t>
      </w:r>
      <w:r w:rsidRPr="009B1A37">
        <w:rPr>
          <w:color w:val="000000"/>
        </w:rPr>
        <w:t xml:space="preserve">pacientů s Ph+ </w:t>
      </w:r>
      <w:smartTag w:uri="urn:schemas-microsoft-com:office:smarttags" w:element="stockticker">
        <w:r w:rsidRPr="009B1A37">
          <w:rPr>
            <w:color w:val="000000"/>
          </w:rPr>
          <w:t>ALL</w:t>
        </w:r>
      </w:smartTag>
      <w:r w:rsidRPr="009B1A37">
        <w:rPr>
          <w:color w:val="000000"/>
        </w:rPr>
        <w:t xml:space="preserve"> je doporučená dávka Glivecu 600 mg/den. Hematolog</w:t>
      </w:r>
      <w:r w:rsidR="00BD0172" w:rsidRPr="009B1A37">
        <w:rPr>
          <w:color w:val="000000"/>
        </w:rPr>
        <w:t>ové se specializací na</w:t>
      </w:r>
      <w:r w:rsidRPr="009B1A37">
        <w:rPr>
          <w:color w:val="000000"/>
        </w:rPr>
        <w:t xml:space="preserve"> léčbu tohoto onemocnění </w:t>
      </w:r>
      <w:r w:rsidR="00BD0172" w:rsidRPr="009B1A37">
        <w:rPr>
          <w:color w:val="000000"/>
        </w:rPr>
        <w:t>mají</w:t>
      </w:r>
      <w:r w:rsidRPr="009B1A37">
        <w:rPr>
          <w:color w:val="000000"/>
        </w:rPr>
        <w:t xml:space="preserve"> terapii sledovat během všech fází péče.</w:t>
      </w:r>
    </w:p>
    <w:p w14:paraId="53FA1A1A" w14:textId="77777777" w:rsidR="00D97A44" w:rsidRPr="009B1A37" w:rsidRDefault="00D97A44" w:rsidP="00BE3D48">
      <w:pPr>
        <w:pStyle w:val="EndnoteText"/>
        <w:widowControl w:val="0"/>
        <w:tabs>
          <w:tab w:val="clear" w:pos="567"/>
        </w:tabs>
        <w:rPr>
          <w:color w:val="000000"/>
        </w:rPr>
      </w:pPr>
    </w:p>
    <w:p w14:paraId="3CC82838" w14:textId="77777777" w:rsidR="00D97A44" w:rsidRPr="009B1A37" w:rsidRDefault="00D97A44" w:rsidP="00BE3D48">
      <w:pPr>
        <w:pStyle w:val="EndnoteText"/>
        <w:widowControl w:val="0"/>
        <w:tabs>
          <w:tab w:val="clear" w:pos="567"/>
        </w:tabs>
        <w:rPr>
          <w:color w:val="000000"/>
        </w:rPr>
      </w:pPr>
      <w:r w:rsidRPr="009B1A37">
        <w:rPr>
          <w:color w:val="000000"/>
        </w:rPr>
        <w:t xml:space="preserve">Léčebný režim: Podle dosavadních údajů byla prokázána účinnost a bezpečnost Glivecu u dospělých pacientů s nově diagnostikovanou Ph+ </w:t>
      </w:r>
      <w:smartTag w:uri="urn:schemas-microsoft-com:office:smarttags" w:element="stockticker">
        <w:r w:rsidRPr="009B1A37">
          <w:rPr>
            <w:color w:val="000000"/>
          </w:rPr>
          <w:t>ALL</w:t>
        </w:r>
      </w:smartTag>
      <w:r w:rsidRPr="009B1A37">
        <w:rPr>
          <w:color w:val="000000"/>
        </w:rPr>
        <w:t>, pokud se podával v dávce 600 mg/den v kombinaci s chemoterapií v indukční fázi, v konsolidační a udržovací fázi po chemoterapii (viz bod 5.1). Délka léčby Glivecem se může lišit s vybraným léčebným programem, ale obecně delší expozice Glivecu přináší lepší výsledky.</w:t>
      </w:r>
    </w:p>
    <w:p w14:paraId="65BBBED6" w14:textId="77777777" w:rsidR="00D97A44" w:rsidRPr="009B1A37" w:rsidRDefault="00D97A44" w:rsidP="00BE3D48">
      <w:pPr>
        <w:pStyle w:val="EndnoteText"/>
        <w:widowControl w:val="0"/>
        <w:tabs>
          <w:tab w:val="clear" w:pos="567"/>
        </w:tabs>
        <w:rPr>
          <w:color w:val="000000"/>
        </w:rPr>
      </w:pPr>
    </w:p>
    <w:p w14:paraId="6E95176B" w14:textId="77777777" w:rsidR="00D97A44" w:rsidRPr="009B1A37" w:rsidRDefault="00D97A44" w:rsidP="00BE3D48">
      <w:pPr>
        <w:pStyle w:val="EndnoteText"/>
        <w:widowControl w:val="0"/>
        <w:tabs>
          <w:tab w:val="clear" w:pos="567"/>
        </w:tabs>
        <w:rPr>
          <w:color w:val="000000"/>
        </w:rPr>
      </w:pPr>
      <w:r w:rsidRPr="009B1A37">
        <w:rPr>
          <w:color w:val="000000"/>
        </w:rPr>
        <w:t xml:space="preserve">Pro dospělé pacienty s recidivující nebo refrakterní Ph+ </w:t>
      </w:r>
      <w:smartTag w:uri="urn:schemas-microsoft-com:office:smarttags" w:element="stockticker">
        <w:r w:rsidRPr="009B1A37">
          <w:rPr>
            <w:color w:val="000000"/>
          </w:rPr>
          <w:t>ALL</w:t>
        </w:r>
      </w:smartTag>
      <w:r w:rsidRPr="009B1A37">
        <w:rPr>
          <w:color w:val="000000"/>
        </w:rPr>
        <w:t xml:space="preserve"> je monoterapie Glivecem při dávce 600 mg/den bezpečná, účinná a </w:t>
      </w:r>
      <w:r w:rsidR="00BD0172" w:rsidRPr="009B1A37">
        <w:rPr>
          <w:color w:val="000000"/>
        </w:rPr>
        <w:t>lze ji podávat do</w:t>
      </w:r>
      <w:r w:rsidRPr="009B1A37">
        <w:rPr>
          <w:color w:val="000000"/>
        </w:rPr>
        <w:t xml:space="preserve"> progrese onemocnění.</w:t>
      </w:r>
    </w:p>
    <w:p w14:paraId="68B0517D" w14:textId="77777777" w:rsidR="006D1CF6" w:rsidRPr="009B1A37" w:rsidRDefault="006D1CF6" w:rsidP="00BE3D48">
      <w:pPr>
        <w:pStyle w:val="EndnoteText"/>
        <w:widowControl w:val="0"/>
        <w:tabs>
          <w:tab w:val="clear" w:pos="567"/>
        </w:tabs>
        <w:rPr>
          <w:color w:val="000000"/>
          <w:u w:val="single"/>
        </w:rPr>
      </w:pPr>
    </w:p>
    <w:p w14:paraId="4F331EB9" w14:textId="77777777" w:rsidR="006D1CF6" w:rsidRPr="009B1A37" w:rsidRDefault="006D1CF6" w:rsidP="00BE3D48">
      <w:pPr>
        <w:pStyle w:val="EndnoteText"/>
        <w:keepNext/>
        <w:widowControl w:val="0"/>
        <w:tabs>
          <w:tab w:val="clear" w:pos="567"/>
        </w:tabs>
        <w:rPr>
          <w:color w:val="000000"/>
          <w:u w:val="single"/>
        </w:rPr>
      </w:pPr>
      <w:r w:rsidRPr="009B1A37">
        <w:rPr>
          <w:color w:val="000000"/>
          <w:u w:val="single"/>
        </w:rPr>
        <w:t>Dávkování u</w:t>
      </w:r>
      <w:r w:rsidR="008460F2" w:rsidRPr="009B1A37">
        <w:rPr>
          <w:color w:val="000000"/>
          <w:u w:val="single"/>
        </w:rPr>
        <w:t> </w:t>
      </w:r>
      <w:r w:rsidRPr="009B1A37">
        <w:rPr>
          <w:color w:val="000000"/>
          <w:u w:val="single"/>
        </w:rPr>
        <w:t>Ph+ ALL u</w:t>
      </w:r>
      <w:r w:rsidR="008460F2" w:rsidRPr="009B1A37">
        <w:rPr>
          <w:color w:val="000000"/>
          <w:u w:val="single"/>
        </w:rPr>
        <w:t> </w:t>
      </w:r>
      <w:r w:rsidRPr="009B1A37">
        <w:rPr>
          <w:color w:val="000000"/>
          <w:u w:val="single"/>
        </w:rPr>
        <w:t>d</w:t>
      </w:r>
      <w:r w:rsidR="008460F2" w:rsidRPr="009B1A37">
        <w:rPr>
          <w:color w:val="000000"/>
          <w:u w:val="single"/>
        </w:rPr>
        <w:t>ětí</w:t>
      </w:r>
    </w:p>
    <w:p w14:paraId="772E71C6" w14:textId="77777777" w:rsidR="00D97A44" w:rsidRPr="009B1A37" w:rsidRDefault="006D1CF6" w:rsidP="00BE3D48">
      <w:pPr>
        <w:pStyle w:val="EndnoteText"/>
        <w:widowControl w:val="0"/>
        <w:tabs>
          <w:tab w:val="clear" w:pos="567"/>
        </w:tabs>
        <w:rPr>
          <w:color w:val="000000"/>
          <w:u w:val="single"/>
        </w:rPr>
      </w:pPr>
      <w:r w:rsidRPr="009B1A37">
        <w:rPr>
          <w:color w:val="000000"/>
        </w:rPr>
        <w:t xml:space="preserve">Dávkování pro děti </w:t>
      </w:r>
      <w:r w:rsidR="0066575B" w:rsidRPr="009B1A37">
        <w:rPr>
          <w:color w:val="000000"/>
        </w:rPr>
        <w:t>má</w:t>
      </w:r>
      <w:r w:rsidRPr="009B1A37">
        <w:rPr>
          <w:color w:val="000000"/>
        </w:rPr>
        <w:t xml:space="preserve"> být stanoveno podle tělesného povrchu (mg/m</w:t>
      </w:r>
      <w:r w:rsidRPr="009B1A37">
        <w:rPr>
          <w:color w:val="000000"/>
          <w:vertAlign w:val="superscript"/>
        </w:rPr>
        <w:t>2</w:t>
      </w:r>
      <w:r w:rsidRPr="009B1A37">
        <w:rPr>
          <w:color w:val="000000"/>
        </w:rPr>
        <w:t xml:space="preserve">). </w:t>
      </w:r>
      <w:r w:rsidR="00F17A67" w:rsidRPr="009B1A37">
        <w:rPr>
          <w:color w:val="000000"/>
        </w:rPr>
        <w:t>U dětí s Ph+ ALL se doporučuje d</w:t>
      </w:r>
      <w:r w:rsidRPr="009B1A37">
        <w:rPr>
          <w:color w:val="000000"/>
        </w:rPr>
        <w:t>ávka 340 mg/m</w:t>
      </w:r>
      <w:r w:rsidRPr="009B1A37">
        <w:rPr>
          <w:color w:val="000000"/>
          <w:vertAlign w:val="superscript"/>
        </w:rPr>
        <w:t>2</w:t>
      </w:r>
      <w:r w:rsidRPr="009B1A37">
        <w:rPr>
          <w:color w:val="000000"/>
        </w:rPr>
        <w:t xml:space="preserve"> denně </w:t>
      </w:r>
      <w:r w:rsidRPr="009B1A37">
        <w:rPr>
          <w:color w:val="000000"/>
          <w:u w:val="single"/>
        </w:rPr>
        <w:t>(</w:t>
      </w:r>
      <w:r w:rsidRPr="009B1A37">
        <w:rPr>
          <w:color w:val="000000"/>
        </w:rPr>
        <w:t>nepřekročit celkovou dávku 600 mg).</w:t>
      </w:r>
    </w:p>
    <w:p w14:paraId="4BCFBF93" w14:textId="77777777" w:rsidR="006D1CF6" w:rsidRPr="009B1A37" w:rsidRDefault="006D1CF6" w:rsidP="00BE3D48">
      <w:pPr>
        <w:pStyle w:val="EndnoteText"/>
        <w:widowControl w:val="0"/>
        <w:tabs>
          <w:tab w:val="clear" w:pos="567"/>
        </w:tabs>
        <w:rPr>
          <w:color w:val="000000"/>
          <w:u w:val="single"/>
        </w:rPr>
      </w:pPr>
    </w:p>
    <w:p w14:paraId="7BF553F9" w14:textId="77777777" w:rsidR="00D97A44" w:rsidRPr="009B1A37" w:rsidRDefault="00D97A44" w:rsidP="00BE3D48">
      <w:pPr>
        <w:pStyle w:val="EndnoteText"/>
        <w:keepNext/>
        <w:widowControl w:val="0"/>
        <w:tabs>
          <w:tab w:val="clear" w:pos="567"/>
        </w:tabs>
        <w:rPr>
          <w:color w:val="000000"/>
          <w:u w:val="single"/>
        </w:rPr>
      </w:pPr>
      <w:r w:rsidRPr="009B1A37">
        <w:rPr>
          <w:color w:val="000000"/>
          <w:u w:val="single"/>
        </w:rPr>
        <w:t xml:space="preserve">Dávkování u </w:t>
      </w:r>
      <w:smartTag w:uri="urn:schemas-microsoft-com:office:smarttags" w:element="stockticker">
        <w:r w:rsidRPr="009B1A37">
          <w:rPr>
            <w:color w:val="000000"/>
            <w:u w:val="single"/>
          </w:rPr>
          <w:t>MDS</w:t>
        </w:r>
      </w:smartTag>
      <w:r w:rsidRPr="009B1A37">
        <w:rPr>
          <w:color w:val="000000"/>
          <w:u w:val="single"/>
        </w:rPr>
        <w:t>/MPD</w:t>
      </w:r>
    </w:p>
    <w:p w14:paraId="0DA3750A" w14:textId="77777777" w:rsidR="00D97A44" w:rsidRPr="009B1A37" w:rsidRDefault="00D97A44" w:rsidP="00BE3D48">
      <w:pPr>
        <w:pStyle w:val="EndnoteText"/>
        <w:widowControl w:val="0"/>
        <w:tabs>
          <w:tab w:val="clear" w:pos="567"/>
        </w:tabs>
        <w:rPr>
          <w:color w:val="000000"/>
        </w:rPr>
      </w:pPr>
      <w:r w:rsidRPr="009B1A37">
        <w:rPr>
          <w:color w:val="000000"/>
        </w:rPr>
        <w:t>U</w:t>
      </w:r>
      <w:r w:rsidR="006143A6" w:rsidRPr="009B1A37">
        <w:rPr>
          <w:color w:val="000000"/>
        </w:rPr>
        <w:t xml:space="preserve"> dospělých </w:t>
      </w:r>
      <w:r w:rsidRPr="009B1A37">
        <w:rPr>
          <w:color w:val="000000"/>
        </w:rPr>
        <w:t>pacientů s </w:t>
      </w:r>
      <w:smartTag w:uri="urn:schemas-microsoft-com:office:smarttags" w:element="stockticker">
        <w:r w:rsidRPr="009B1A37">
          <w:rPr>
            <w:color w:val="000000"/>
          </w:rPr>
          <w:t>MDS</w:t>
        </w:r>
      </w:smartTag>
      <w:r w:rsidRPr="009B1A37">
        <w:rPr>
          <w:color w:val="000000"/>
        </w:rPr>
        <w:t>/MPD je doporučená dávka Glivecu 400 mg/den.</w:t>
      </w:r>
    </w:p>
    <w:p w14:paraId="52CDC498" w14:textId="77777777" w:rsidR="00D97A44" w:rsidRPr="009B1A37" w:rsidRDefault="00D97A44" w:rsidP="00BE3D48">
      <w:pPr>
        <w:pStyle w:val="EndnoteText"/>
        <w:widowControl w:val="0"/>
        <w:tabs>
          <w:tab w:val="clear" w:pos="567"/>
        </w:tabs>
        <w:rPr>
          <w:color w:val="000000"/>
        </w:rPr>
      </w:pPr>
    </w:p>
    <w:p w14:paraId="3AFBCB65" w14:textId="77777777" w:rsidR="00D97A44" w:rsidRPr="009B1A37" w:rsidRDefault="00D97A44" w:rsidP="00BE3D48">
      <w:pPr>
        <w:pStyle w:val="EndnoteText"/>
        <w:widowControl w:val="0"/>
        <w:tabs>
          <w:tab w:val="clear" w:pos="567"/>
        </w:tabs>
        <w:rPr>
          <w:color w:val="000000"/>
        </w:rPr>
      </w:pPr>
      <w:r w:rsidRPr="009B1A37">
        <w:rPr>
          <w:color w:val="000000"/>
        </w:rPr>
        <w:t>Trvání léčby: V jediné dosud provedené klinické studii pokračovala léčba Glivecem do progrese onemocnění (viz bod 5.1). V čase analýzy byl medián trvání léčby 47 měsíců (24 dnů – 60 měsíců).</w:t>
      </w:r>
    </w:p>
    <w:p w14:paraId="68B6A2CD" w14:textId="77777777" w:rsidR="00D97A44" w:rsidRPr="009B1A37" w:rsidRDefault="00D97A44" w:rsidP="00BE3D48">
      <w:pPr>
        <w:pStyle w:val="EndnoteText"/>
        <w:widowControl w:val="0"/>
        <w:tabs>
          <w:tab w:val="clear" w:pos="567"/>
        </w:tabs>
        <w:rPr>
          <w:color w:val="000000"/>
        </w:rPr>
      </w:pPr>
    </w:p>
    <w:p w14:paraId="41908CC1" w14:textId="77777777" w:rsidR="00D97A44" w:rsidRPr="009B1A37" w:rsidRDefault="00D97A44" w:rsidP="00BE3D48">
      <w:pPr>
        <w:pStyle w:val="EndnoteText"/>
        <w:keepNext/>
        <w:widowControl w:val="0"/>
        <w:tabs>
          <w:tab w:val="clear" w:pos="567"/>
        </w:tabs>
        <w:rPr>
          <w:color w:val="000000"/>
          <w:u w:val="single"/>
        </w:rPr>
      </w:pPr>
      <w:r w:rsidRPr="009B1A37">
        <w:rPr>
          <w:color w:val="000000"/>
          <w:u w:val="single"/>
        </w:rPr>
        <w:t>Dávkování u HES/</w:t>
      </w:r>
      <w:smartTag w:uri="urn:schemas-microsoft-com:office:smarttags" w:element="stockticker">
        <w:r w:rsidRPr="009B1A37">
          <w:rPr>
            <w:color w:val="000000"/>
            <w:u w:val="single"/>
          </w:rPr>
          <w:t>CEL</w:t>
        </w:r>
      </w:smartTag>
    </w:p>
    <w:p w14:paraId="6174B2BC"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U</w:t>
      </w:r>
      <w:r w:rsidR="006143A6" w:rsidRPr="009B1A37">
        <w:rPr>
          <w:color w:val="000000"/>
          <w:lang w:val="cs-CZ"/>
        </w:rPr>
        <w:t> </w:t>
      </w:r>
      <w:r w:rsidR="006143A6" w:rsidRPr="009B1A37">
        <w:rPr>
          <w:color w:val="000000"/>
          <w:sz w:val="22"/>
          <w:szCs w:val="22"/>
          <w:lang w:val="cs-CZ"/>
        </w:rPr>
        <w:t xml:space="preserve">dospělých </w:t>
      </w:r>
      <w:r w:rsidRPr="009B1A37">
        <w:rPr>
          <w:color w:val="000000"/>
          <w:sz w:val="22"/>
          <w:szCs w:val="22"/>
          <w:lang w:val="cs-CZ"/>
        </w:rPr>
        <w:t>pacientů s HES/</w:t>
      </w:r>
      <w:smartTag w:uri="urn:schemas-microsoft-com:office:smarttags" w:element="stockticker">
        <w:r w:rsidRPr="009B1A37">
          <w:rPr>
            <w:color w:val="000000"/>
            <w:sz w:val="22"/>
            <w:szCs w:val="22"/>
            <w:lang w:val="cs-CZ"/>
          </w:rPr>
          <w:t>CEL</w:t>
        </w:r>
      </w:smartTag>
      <w:r w:rsidRPr="009B1A37">
        <w:rPr>
          <w:color w:val="000000"/>
          <w:sz w:val="22"/>
          <w:szCs w:val="22"/>
          <w:lang w:val="cs-CZ"/>
        </w:rPr>
        <w:t xml:space="preserve"> je doporučená dávka Glivecu 100 mg/den.</w:t>
      </w:r>
    </w:p>
    <w:p w14:paraId="54F9C258" w14:textId="77777777" w:rsidR="00D97A44" w:rsidRPr="009B1A37" w:rsidRDefault="00D97A44" w:rsidP="00BE3D48">
      <w:pPr>
        <w:pStyle w:val="Text"/>
        <w:widowControl w:val="0"/>
        <w:spacing w:before="0"/>
        <w:jc w:val="left"/>
        <w:rPr>
          <w:color w:val="000000"/>
          <w:sz w:val="22"/>
          <w:szCs w:val="22"/>
          <w:lang w:val="cs-CZ"/>
        </w:rPr>
      </w:pPr>
    </w:p>
    <w:p w14:paraId="0CA180F7" w14:textId="77777777" w:rsidR="00D97A44" w:rsidRPr="009B1A37" w:rsidRDefault="00D97A44" w:rsidP="00BE3D48">
      <w:pPr>
        <w:pStyle w:val="EndnoteText"/>
        <w:widowControl w:val="0"/>
        <w:tabs>
          <w:tab w:val="clear" w:pos="567"/>
        </w:tabs>
        <w:rPr>
          <w:color w:val="000000"/>
        </w:rPr>
      </w:pPr>
      <w:r w:rsidRPr="009B1A37">
        <w:rPr>
          <w:color w:val="000000"/>
        </w:rPr>
        <w:t>Zvýšení dávky ze 100 mg na 400 mg lze zvažovat při absenci nežádoucích účinků léčiva, a jestliže je při hodnocení léčby prokázána nedostatečná odpověď na léčbu.</w:t>
      </w:r>
    </w:p>
    <w:p w14:paraId="2ADD32C9" w14:textId="77777777" w:rsidR="00D97A44" w:rsidRPr="009B1A37" w:rsidRDefault="00D97A44" w:rsidP="00BE3D48">
      <w:pPr>
        <w:pStyle w:val="EndnoteText"/>
        <w:widowControl w:val="0"/>
        <w:tabs>
          <w:tab w:val="clear" w:pos="567"/>
        </w:tabs>
        <w:rPr>
          <w:color w:val="000000"/>
        </w:rPr>
      </w:pPr>
    </w:p>
    <w:p w14:paraId="02F2258F" w14:textId="77777777" w:rsidR="00D97A44" w:rsidRPr="009B1A37" w:rsidRDefault="00D97A44" w:rsidP="00BE3D48">
      <w:pPr>
        <w:pStyle w:val="EndnoteText"/>
        <w:widowControl w:val="0"/>
        <w:tabs>
          <w:tab w:val="clear" w:pos="567"/>
        </w:tabs>
        <w:rPr>
          <w:color w:val="000000"/>
          <w:u w:val="single"/>
        </w:rPr>
      </w:pPr>
      <w:r w:rsidRPr="009B1A37">
        <w:rPr>
          <w:color w:val="000000"/>
        </w:rPr>
        <w:t xml:space="preserve">Léčba </w:t>
      </w:r>
      <w:r w:rsidR="00BD0172" w:rsidRPr="009B1A37">
        <w:rPr>
          <w:color w:val="000000"/>
        </w:rPr>
        <w:t>má</w:t>
      </w:r>
      <w:r w:rsidRPr="009B1A37">
        <w:rPr>
          <w:color w:val="000000"/>
        </w:rPr>
        <w:t xml:space="preserve"> pokračovat tak dlouho, dokud je pro pacienta přínosná.</w:t>
      </w:r>
    </w:p>
    <w:p w14:paraId="1E979EF1" w14:textId="77777777" w:rsidR="00D97A44" w:rsidRPr="009B1A37" w:rsidRDefault="00D97A44" w:rsidP="00BE3D48">
      <w:pPr>
        <w:pStyle w:val="EndnoteText"/>
        <w:widowControl w:val="0"/>
        <w:tabs>
          <w:tab w:val="clear" w:pos="567"/>
        </w:tabs>
        <w:rPr>
          <w:color w:val="000000"/>
          <w:u w:val="single"/>
        </w:rPr>
      </w:pPr>
    </w:p>
    <w:p w14:paraId="39B93BAD" w14:textId="77777777" w:rsidR="00D97A44" w:rsidRPr="009B1A37" w:rsidRDefault="00D97A44" w:rsidP="00BE3D48">
      <w:pPr>
        <w:pStyle w:val="EndnoteText"/>
        <w:keepNext/>
        <w:widowControl w:val="0"/>
        <w:tabs>
          <w:tab w:val="clear" w:pos="567"/>
        </w:tabs>
        <w:rPr>
          <w:color w:val="000000"/>
          <w:u w:val="single"/>
        </w:rPr>
      </w:pPr>
      <w:r w:rsidRPr="009B1A37">
        <w:rPr>
          <w:color w:val="000000"/>
          <w:u w:val="single"/>
        </w:rPr>
        <w:t>Dávkování u GIST</w:t>
      </w:r>
    </w:p>
    <w:p w14:paraId="12332834" w14:textId="77777777" w:rsidR="00D97A44" w:rsidRPr="009B1A37" w:rsidRDefault="00D97A44" w:rsidP="00BE3D48">
      <w:pPr>
        <w:pStyle w:val="EndnoteText"/>
        <w:widowControl w:val="0"/>
        <w:tabs>
          <w:tab w:val="clear" w:pos="567"/>
        </w:tabs>
        <w:rPr>
          <w:color w:val="000000"/>
        </w:rPr>
      </w:pPr>
      <w:r w:rsidRPr="009B1A37">
        <w:rPr>
          <w:color w:val="000000"/>
        </w:rPr>
        <w:t>U</w:t>
      </w:r>
      <w:r w:rsidR="006143A6" w:rsidRPr="009B1A37">
        <w:rPr>
          <w:color w:val="000000"/>
        </w:rPr>
        <w:t xml:space="preserve"> dospělých </w:t>
      </w:r>
      <w:r w:rsidRPr="009B1A37">
        <w:rPr>
          <w:color w:val="000000"/>
        </w:rPr>
        <w:t>pacientů s inoperabilním a/nebo metastatickým maligním GIST je doporučená dávka Glivecu 400 mg/den.</w:t>
      </w:r>
    </w:p>
    <w:p w14:paraId="4F9A09E3" w14:textId="77777777" w:rsidR="00D97A44" w:rsidRPr="009B1A37" w:rsidRDefault="00D97A44" w:rsidP="00BE3D48">
      <w:pPr>
        <w:pStyle w:val="EndnoteText"/>
        <w:widowControl w:val="0"/>
        <w:tabs>
          <w:tab w:val="clear" w:pos="567"/>
        </w:tabs>
        <w:rPr>
          <w:color w:val="000000"/>
        </w:rPr>
      </w:pPr>
    </w:p>
    <w:p w14:paraId="637A2FBD" w14:textId="77777777" w:rsidR="00D97A44" w:rsidRPr="009B1A37" w:rsidRDefault="00D97A44" w:rsidP="00BE3D48">
      <w:pPr>
        <w:pStyle w:val="EndnoteText"/>
        <w:widowControl w:val="0"/>
        <w:tabs>
          <w:tab w:val="clear" w:pos="567"/>
        </w:tabs>
        <w:rPr>
          <w:color w:val="000000"/>
        </w:rPr>
      </w:pPr>
      <w:r w:rsidRPr="009B1A37">
        <w:rPr>
          <w:color w:val="000000"/>
        </w:rPr>
        <w:t>Existuje pouze omezené množství údajů o účinku zvýšení dávky ze 400 mg na 600 mg nebo 800 mg u pacientů s progresí při užívání nižší dávky (viz bod 5.1).</w:t>
      </w:r>
    </w:p>
    <w:p w14:paraId="6186638A" w14:textId="77777777" w:rsidR="00D97A44" w:rsidRPr="009B1A37" w:rsidRDefault="00D97A44" w:rsidP="00BE3D48">
      <w:pPr>
        <w:pStyle w:val="EndnoteText"/>
        <w:widowControl w:val="0"/>
        <w:tabs>
          <w:tab w:val="clear" w:pos="567"/>
        </w:tabs>
        <w:rPr>
          <w:color w:val="000000"/>
        </w:rPr>
      </w:pPr>
    </w:p>
    <w:p w14:paraId="7BA584F6" w14:textId="77777777" w:rsidR="00D97A44" w:rsidRPr="009B1A37" w:rsidRDefault="00D97A44" w:rsidP="00BE3D48">
      <w:pPr>
        <w:pStyle w:val="EndnoteText"/>
        <w:widowControl w:val="0"/>
        <w:tabs>
          <w:tab w:val="clear" w:pos="567"/>
        </w:tabs>
        <w:rPr>
          <w:color w:val="000000"/>
        </w:rPr>
      </w:pPr>
      <w:r w:rsidRPr="009B1A37">
        <w:rPr>
          <w:color w:val="000000"/>
        </w:rPr>
        <w:t>Trvání léčby: v klinických studiích pokračovala léčba pacientů s GIST do progrese onemocnění. V době analýzy byl medián trvání léčby 7 měsíců (7 dní až 13 měsíců). Efekt zastavení léčby po dosažení odpovědi nebyl studován.</w:t>
      </w:r>
    </w:p>
    <w:p w14:paraId="17EADDC9" w14:textId="77777777" w:rsidR="00D97A44" w:rsidRPr="009B1A37" w:rsidRDefault="00D97A44" w:rsidP="00BE3D48">
      <w:pPr>
        <w:pStyle w:val="EndnoteText"/>
        <w:widowControl w:val="0"/>
        <w:tabs>
          <w:tab w:val="clear" w:pos="567"/>
        </w:tabs>
        <w:rPr>
          <w:color w:val="000000"/>
        </w:rPr>
      </w:pPr>
    </w:p>
    <w:p w14:paraId="284B2AC8" w14:textId="77777777" w:rsidR="00D97A44" w:rsidRPr="009B1A37" w:rsidRDefault="00D97A44" w:rsidP="00BE3D48">
      <w:pPr>
        <w:pStyle w:val="EndnoteText"/>
        <w:widowControl w:val="0"/>
        <w:tabs>
          <w:tab w:val="clear" w:pos="567"/>
        </w:tabs>
        <w:rPr>
          <w:color w:val="000000"/>
          <w:u w:val="single"/>
        </w:rPr>
      </w:pPr>
      <w:r w:rsidRPr="009B1A37">
        <w:rPr>
          <w:color w:val="000000"/>
        </w:rPr>
        <w:t xml:space="preserve">Doporučená dávka Glivecu </w:t>
      </w:r>
      <w:r w:rsidR="005C325D" w:rsidRPr="009B1A37">
        <w:rPr>
          <w:color w:val="000000"/>
        </w:rPr>
        <w:t>k</w:t>
      </w:r>
      <w:r w:rsidRPr="009B1A37">
        <w:rPr>
          <w:color w:val="000000"/>
        </w:rPr>
        <w:t xml:space="preserve"> adjuvantní léčb</w:t>
      </w:r>
      <w:r w:rsidR="005C325D" w:rsidRPr="009B1A37">
        <w:rPr>
          <w:color w:val="000000"/>
        </w:rPr>
        <w:t>ě</w:t>
      </w:r>
      <w:r w:rsidRPr="009B1A37">
        <w:rPr>
          <w:color w:val="000000"/>
        </w:rPr>
        <w:t xml:space="preserve"> dospělých pacientů po resekci GIST je 400 mg/den. Optimální délka trvání léčby dosud není stanovena. Délka léčby v klinických studiích, které byly podkladem pro tuto indikaci, byla </w:t>
      </w:r>
      <w:r w:rsidR="000E5517" w:rsidRPr="009B1A37">
        <w:rPr>
          <w:color w:val="000000"/>
        </w:rPr>
        <w:t>36</w:t>
      </w:r>
      <w:r w:rsidRPr="009B1A37">
        <w:rPr>
          <w:color w:val="000000"/>
        </w:rPr>
        <w:t> měsíců</w:t>
      </w:r>
      <w:r w:rsidR="000E5517" w:rsidRPr="009B1A37">
        <w:rPr>
          <w:color w:val="000000"/>
        </w:rPr>
        <w:t xml:space="preserve"> (viz bod 5.1)</w:t>
      </w:r>
      <w:r w:rsidRPr="009B1A37">
        <w:rPr>
          <w:color w:val="000000"/>
        </w:rPr>
        <w:t>.</w:t>
      </w:r>
    </w:p>
    <w:p w14:paraId="66B50E6D" w14:textId="77777777" w:rsidR="00D97A44" w:rsidRPr="009B1A37" w:rsidRDefault="00D97A44" w:rsidP="00BE3D48">
      <w:pPr>
        <w:pStyle w:val="EndnoteText"/>
        <w:widowControl w:val="0"/>
        <w:tabs>
          <w:tab w:val="clear" w:pos="567"/>
        </w:tabs>
        <w:rPr>
          <w:color w:val="000000"/>
          <w:u w:val="single"/>
        </w:rPr>
      </w:pPr>
    </w:p>
    <w:p w14:paraId="4AF74849" w14:textId="77777777" w:rsidR="00D97A44" w:rsidRPr="009B1A37" w:rsidRDefault="00D97A44" w:rsidP="00BE3D48">
      <w:pPr>
        <w:pStyle w:val="EndnoteText"/>
        <w:keepNext/>
        <w:widowControl w:val="0"/>
        <w:tabs>
          <w:tab w:val="clear" w:pos="567"/>
        </w:tabs>
        <w:rPr>
          <w:color w:val="000000"/>
          <w:u w:val="single"/>
        </w:rPr>
      </w:pPr>
      <w:r w:rsidRPr="009B1A37">
        <w:rPr>
          <w:color w:val="000000"/>
          <w:u w:val="single"/>
        </w:rPr>
        <w:t>Dávkování u DFSP</w:t>
      </w:r>
    </w:p>
    <w:p w14:paraId="0B9CE673" w14:textId="77777777" w:rsidR="00D97A44" w:rsidRPr="009B1A37" w:rsidRDefault="00D97A44" w:rsidP="00BE3D48">
      <w:pPr>
        <w:pStyle w:val="EndnoteText"/>
        <w:widowControl w:val="0"/>
        <w:tabs>
          <w:tab w:val="clear" w:pos="567"/>
        </w:tabs>
        <w:rPr>
          <w:color w:val="000000"/>
        </w:rPr>
      </w:pPr>
      <w:r w:rsidRPr="009B1A37">
        <w:rPr>
          <w:color w:val="000000"/>
        </w:rPr>
        <w:t>U</w:t>
      </w:r>
      <w:r w:rsidR="006143A6" w:rsidRPr="009B1A37">
        <w:rPr>
          <w:color w:val="000000"/>
        </w:rPr>
        <w:t xml:space="preserve"> dospělých </w:t>
      </w:r>
      <w:r w:rsidRPr="009B1A37">
        <w:rPr>
          <w:color w:val="000000"/>
        </w:rPr>
        <w:t>pacientů s DFSP je doporučená dávka Glivecu 800 mg/den.</w:t>
      </w:r>
    </w:p>
    <w:p w14:paraId="1D4179A9" w14:textId="77777777" w:rsidR="00D97A44" w:rsidRPr="009B1A37" w:rsidRDefault="00D97A44" w:rsidP="00BE3D48">
      <w:pPr>
        <w:pStyle w:val="EndnoteText"/>
        <w:widowControl w:val="0"/>
        <w:tabs>
          <w:tab w:val="clear" w:pos="567"/>
        </w:tabs>
        <w:rPr>
          <w:color w:val="000000"/>
        </w:rPr>
      </w:pPr>
    </w:p>
    <w:p w14:paraId="73E4FE7D" w14:textId="77777777" w:rsidR="00D97A44" w:rsidRPr="009B1A37" w:rsidRDefault="00D97A44" w:rsidP="00BE3D48">
      <w:pPr>
        <w:pStyle w:val="EndnoteText"/>
        <w:keepNext/>
        <w:widowControl w:val="0"/>
        <w:tabs>
          <w:tab w:val="clear" w:pos="567"/>
        </w:tabs>
        <w:rPr>
          <w:color w:val="000000"/>
          <w:u w:val="single"/>
        </w:rPr>
      </w:pPr>
      <w:r w:rsidRPr="009B1A37">
        <w:rPr>
          <w:color w:val="000000"/>
          <w:u w:val="single"/>
        </w:rPr>
        <w:lastRenderedPageBreak/>
        <w:t xml:space="preserve">Úprava dávkování </w:t>
      </w:r>
      <w:r w:rsidR="00BD0172" w:rsidRPr="009B1A37">
        <w:rPr>
          <w:color w:val="000000"/>
          <w:u w:val="single"/>
        </w:rPr>
        <w:t>kvůli</w:t>
      </w:r>
      <w:r w:rsidRPr="009B1A37">
        <w:rPr>
          <w:color w:val="000000"/>
          <w:u w:val="single"/>
        </w:rPr>
        <w:t xml:space="preserve"> nežádoucí</w:t>
      </w:r>
      <w:r w:rsidR="00BD0172" w:rsidRPr="009B1A37">
        <w:rPr>
          <w:color w:val="000000"/>
          <w:u w:val="single"/>
        </w:rPr>
        <w:t>m</w:t>
      </w:r>
      <w:r w:rsidRPr="009B1A37">
        <w:rPr>
          <w:color w:val="000000"/>
          <w:u w:val="single"/>
        </w:rPr>
        <w:t xml:space="preserve"> účink</w:t>
      </w:r>
      <w:r w:rsidR="00BD0172" w:rsidRPr="009B1A37">
        <w:rPr>
          <w:color w:val="000000"/>
          <w:u w:val="single"/>
        </w:rPr>
        <w:t>ům</w:t>
      </w:r>
    </w:p>
    <w:p w14:paraId="33040729" w14:textId="77777777" w:rsidR="00D97A44" w:rsidRPr="009B1A37" w:rsidRDefault="00D97A44" w:rsidP="00BE3D48">
      <w:pPr>
        <w:pStyle w:val="EndnoteText"/>
        <w:keepNext/>
        <w:widowControl w:val="0"/>
        <w:tabs>
          <w:tab w:val="clear" w:pos="567"/>
        </w:tabs>
        <w:rPr>
          <w:i/>
          <w:iCs/>
          <w:color w:val="000000"/>
        </w:rPr>
      </w:pPr>
      <w:r w:rsidRPr="009B1A37">
        <w:rPr>
          <w:i/>
          <w:iCs/>
          <w:color w:val="000000"/>
        </w:rPr>
        <w:t>Nehematologické nežádoucí účinky</w:t>
      </w:r>
    </w:p>
    <w:p w14:paraId="3C936C36" w14:textId="77777777" w:rsidR="00D97A44" w:rsidRPr="009B1A37" w:rsidRDefault="00D97A44" w:rsidP="00BE3D48">
      <w:pPr>
        <w:pStyle w:val="EndnoteText"/>
        <w:widowControl w:val="0"/>
        <w:tabs>
          <w:tab w:val="clear" w:pos="567"/>
        </w:tabs>
        <w:rPr>
          <w:color w:val="000000"/>
        </w:rPr>
      </w:pPr>
      <w:r w:rsidRPr="009B1A37">
        <w:rPr>
          <w:color w:val="000000"/>
        </w:rPr>
        <w:t xml:space="preserve">Jestliže se při léčbě Glivecem vyskytnou závažné nehematologické nežádoucí účinky, musí být léčba do jejich </w:t>
      </w:r>
      <w:r w:rsidR="00BD0172" w:rsidRPr="009B1A37">
        <w:rPr>
          <w:color w:val="000000"/>
        </w:rPr>
        <w:t>odeznění</w:t>
      </w:r>
      <w:r w:rsidRPr="009B1A37">
        <w:rPr>
          <w:color w:val="000000"/>
        </w:rPr>
        <w:t xml:space="preserve"> přerušena. Potom může být léčba přiměřeně obnovena v závislosti na počáteční závažnosti příhody.</w:t>
      </w:r>
    </w:p>
    <w:p w14:paraId="7EAB35EB" w14:textId="77777777" w:rsidR="00D97A44" w:rsidRPr="009B1A37" w:rsidRDefault="00D97A44" w:rsidP="00BE3D48">
      <w:pPr>
        <w:pStyle w:val="EndnoteText"/>
        <w:widowControl w:val="0"/>
        <w:tabs>
          <w:tab w:val="clear" w:pos="567"/>
        </w:tabs>
        <w:rPr>
          <w:color w:val="000000"/>
        </w:rPr>
      </w:pPr>
    </w:p>
    <w:p w14:paraId="09408491" w14:textId="77777777" w:rsidR="00D97A44" w:rsidRPr="009B1A37" w:rsidRDefault="00D97A44" w:rsidP="00BE3D48">
      <w:pPr>
        <w:pStyle w:val="EndnoteText"/>
        <w:widowControl w:val="0"/>
        <w:tabs>
          <w:tab w:val="clear" w:pos="567"/>
        </w:tabs>
        <w:rPr>
          <w:color w:val="000000"/>
        </w:rPr>
      </w:pPr>
      <w:r w:rsidRPr="009B1A37">
        <w:rPr>
          <w:color w:val="000000"/>
        </w:rPr>
        <w:t xml:space="preserve">Při zvýšení hladiny bilirubinu &gt; 3násobek stanoveného horního limitu normálu (IULN) nebo při zvýšení hladin jaterních transamináz &gt; 5násobek IULN </w:t>
      </w:r>
      <w:r w:rsidR="00BD0172" w:rsidRPr="009B1A37">
        <w:rPr>
          <w:color w:val="000000"/>
        </w:rPr>
        <w:t>má</w:t>
      </w:r>
      <w:r w:rsidRPr="009B1A37">
        <w:rPr>
          <w:color w:val="000000"/>
        </w:rPr>
        <w:t xml:space="preserve"> být léčba Glivecem přerušena, dokud se hladiny bilirubinu nevrátí k &lt; 1,5násobku IULN a hladiny transamináz k &lt; 2,5násobku IULN. Léčba Glivecem potom může pokračovat nižšími denními dávkami. U dospělých </w:t>
      </w:r>
      <w:r w:rsidR="00BD0172" w:rsidRPr="009B1A37">
        <w:rPr>
          <w:color w:val="000000"/>
        </w:rPr>
        <w:t>má</w:t>
      </w:r>
      <w:r w:rsidRPr="009B1A37">
        <w:rPr>
          <w:color w:val="000000"/>
        </w:rPr>
        <w:t xml:space="preserve"> být dávka snížena ze 400 na 300 mg nebo ze 600 na 400 mg nebo z 800 mg na 600 mg a u dětí ze 340 na 260 mg/m</w:t>
      </w:r>
      <w:r w:rsidRPr="009B1A37">
        <w:rPr>
          <w:color w:val="000000"/>
          <w:vertAlign w:val="superscript"/>
        </w:rPr>
        <w:t>2</w:t>
      </w:r>
      <w:r w:rsidRPr="009B1A37">
        <w:rPr>
          <w:color w:val="000000"/>
        </w:rPr>
        <w:t>/den.</w:t>
      </w:r>
    </w:p>
    <w:p w14:paraId="0B2A5C76" w14:textId="77777777" w:rsidR="00D97A44" w:rsidRPr="009B1A37" w:rsidRDefault="00D97A44" w:rsidP="00BE3D48">
      <w:pPr>
        <w:pStyle w:val="EndnoteText"/>
        <w:widowControl w:val="0"/>
        <w:tabs>
          <w:tab w:val="clear" w:pos="567"/>
        </w:tabs>
        <w:rPr>
          <w:color w:val="000000"/>
        </w:rPr>
      </w:pPr>
    </w:p>
    <w:p w14:paraId="7329CDAA" w14:textId="77777777" w:rsidR="00D97A44" w:rsidRPr="009B1A37" w:rsidRDefault="00D97A44" w:rsidP="00BE3D48">
      <w:pPr>
        <w:pStyle w:val="EndnoteText"/>
        <w:keepNext/>
        <w:widowControl w:val="0"/>
        <w:tabs>
          <w:tab w:val="clear" w:pos="567"/>
        </w:tabs>
        <w:rPr>
          <w:i/>
          <w:iCs/>
          <w:color w:val="000000"/>
        </w:rPr>
      </w:pPr>
      <w:r w:rsidRPr="009B1A37">
        <w:rPr>
          <w:i/>
          <w:iCs/>
          <w:color w:val="000000"/>
        </w:rPr>
        <w:t>Hematologické nežádoucí účinky</w:t>
      </w:r>
    </w:p>
    <w:p w14:paraId="25C3F8CE" w14:textId="77777777" w:rsidR="00D97A44" w:rsidRPr="009B1A37" w:rsidRDefault="00D97A44" w:rsidP="00BE3D48">
      <w:pPr>
        <w:pStyle w:val="EndnoteText"/>
        <w:widowControl w:val="0"/>
        <w:tabs>
          <w:tab w:val="clear" w:pos="567"/>
        </w:tabs>
        <w:rPr>
          <w:color w:val="000000"/>
        </w:rPr>
      </w:pPr>
      <w:r w:rsidRPr="009B1A37">
        <w:rPr>
          <w:color w:val="000000"/>
        </w:rPr>
        <w:t>Při závažné neutropenii nebo trombocytopenii se doporučuje snížení dávky nebo přerušení léčby tak, jak je uvedeno v následující tabulce.</w:t>
      </w:r>
    </w:p>
    <w:p w14:paraId="6A2CCF06" w14:textId="77777777" w:rsidR="00D97A44" w:rsidRPr="009B1A37" w:rsidRDefault="00D97A44" w:rsidP="00BE3D48">
      <w:pPr>
        <w:pStyle w:val="EndnoteText"/>
        <w:widowControl w:val="0"/>
        <w:tabs>
          <w:tab w:val="clear" w:pos="567"/>
        </w:tabs>
        <w:rPr>
          <w:color w:val="000000"/>
        </w:rPr>
      </w:pPr>
    </w:p>
    <w:p w14:paraId="540F115D" w14:textId="77777777" w:rsidR="00D97A44" w:rsidRPr="009B1A37" w:rsidRDefault="00D97A44" w:rsidP="00BE3D48">
      <w:pPr>
        <w:pStyle w:val="EndnoteText"/>
        <w:keepNext/>
        <w:widowControl w:val="0"/>
        <w:tabs>
          <w:tab w:val="clear" w:pos="567"/>
        </w:tabs>
        <w:rPr>
          <w:color w:val="000000"/>
        </w:rPr>
      </w:pPr>
      <w:r w:rsidRPr="009B1A37">
        <w:rPr>
          <w:color w:val="000000"/>
        </w:rPr>
        <w:t>Úprava dávkování při neutropenii nebo trombocytopenii:</w:t>
      </w:r>
    </w:p>
    <w:p w14:paraId="611A041C" w14:textId="77777777" w:rsidR="00D97A44" w:rsidRPr="009B1A37" w:rsidRDefault="00D97A44" w:rsidP="00BE3D48">
      <w:pPr>
        <w:pStyle w:val="EndnoteText"/>
        <w:keepNext/>
        <w:widowControl w:val="0"/>
        <w:tabs>
          <w:tab w:val="clear" w:pos="567"/>
        </w:tabs>
        <w:rPr>
          <w:color w:val="000000"/>
        </w:rPr>
      </w:pPr>
    </w:p>
    <w:tbl>
      <w:tblPr>
        <w:tblW w:w="0" w:type="auto"/>
        <w:tblInd w:w="-20" w:type="dxa"/>
        <w:tblLayout w:type="fixed"/>
        <w:tblLook w:val="0000" w:firstRow="0" w:lastRow="0" w:firstColumn="0" w:lastColumn="0" w:noHBand="0" w:noVBand="0"/>
      </w:tblPr>
      <w:tblGrid>
        <w:gridCol w:w="2376"/>
        <w:gridCol w:w="2400"/>
        <w:gridCol w:w="4444"/>
      </w:tblGrid>
      <w:tr w:rsidR="00D97A44" w:rsidRPr="009B1A37" w14:paraId="0B325EC5" w14:textId="77777777" w:rsidTr="00F75C2F">
        <w:trPr>
          <w:cantSplit/>
        </w:trPr>
        <w:tc>
          <w:tcPr>
            <w:tcW w:w="2376" w:type="dxa"/>
            <w:tcBorders>
              <w:top w:val="single" w:sz="4" w:space="0" w:color="000000"/>
              <w:left w:val="single" w:sz="4" w:space="0" w:color="000000"/>
              <w:bottom w:val="single" w:sz="4" w:space="0" w:color="000000"/>
            </w:tcBorders>
          </w:tcPr>
          <w:p w14:paraId="3E1C9285" w14:textId="77777777" w:rsidR="00D97A44" w:rsidRPr="009B1A37" w:rsidRDefault="00D97A44" w:rsidP="00BE3D48">
            <w:pPr>
              <w:pStyle w:val="EndnoteText"/>
              <w:keepNext/>
              <w:widowControl w:val="0"/>
              <w:tabs>
                <w:tab w:val="clear" w:pos="567"/>
              </w:tabs>
              <w:snapToGrid w:val="0"/>
              <w:rPr>
                <w:color w:val="000000"/>
              </w:rPr>
            </w:pPr>
            <w:r w:rsidRPr="009B1A37">
              <w:rPr>
                <w:color w:val="000000"/>
              </w:rPr>
              <w:t>HES/</w:t>
            </w:r>
            <w:smartTag w:uri="urn:schemas-microsoft-com:office:smarttags" w:element="stockticker">
              <w:r w:rsidRPr="009B1A37">
                <w:rPr>
                  <w:color w:val="000000"/>
                </w:rPr>
                <w:t>CEL</w:t>
              </w:r>
            </w:smartTag>
            <w:r w:rsidRPr="009B1A37">
              <w:rPr>
                <w:color w:val="000000"/>
              </w:rPr>
              <w:t xml:space="preserve"> (zahajovací dávka 100 mg)</w:t>
            </w:r>
          </w:p>
        </w:tc>
        <w:tc>
          <w:tcPr>
            <w:tcW w:w="2400" w:type="dxa"/>
            <w:tcBorders>
              <w:top w:val="single" w:sz="4" w:space="0" w:color="000000"/>
              <w:left w:val="single" w:sz="4" w:space="0" w:color="000000"/>
              <w:bottom w:val="single" w:sz="4" w:space="0" w:color="000000"/>
            </w:tcBorders>
          </w:tcPr>
          <w:p w14:paraId="692DC4D1" w14:textId="77777777" w:rsidR="00D97A44" w:rsidRPr="009B1A37" w:rsidRDefault="00D97A44" w:rsidP="00BE3D48">
            <w:pPr>
              <w:pStyle w:val="Table"/>
              <w:keepLines w:val="0"/>
              <w:widowControl w:val="0"/>
              <w:suppressLineNumbers/>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ANC &lt; 1,0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/l</w:t>
            </w:r>
          </w:p>
          <w:p w14:paraId="1BE4713A" w14:textId="77777777" w:rsidR="00D97A44" w:rsidRPr="009B1A37" w:rsidRDefault="00D97A44" w:rsidP="00BE3D48">
            <w:pPr>
              <w:pStyle w:val="Table"/>
              <w:keepLines w:val="0"/>
              <w:widowControl w:val="0"/>
              <w:suppressLineNumbers/>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a/nebo</w:t>
            </w:r>
          </w:p>
          <w:p w14:paraId="25D875BE" w14:textId="77777777" w:rsidR="00D97A44" w:rsidRPr="009B1A37" w:rsidRDefault="00BA4FF7" w:rsidP="00BE3D48">
            <w:pPr>
              <w:pStyle w:val="Table"/>
              <w:keepLines w:val="0"/>
              <w:widowControl w:val="0"/>
              <w:suppressLineNumbers/>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trombocyty</w:t>
            </w:r>
            <w:r w:rsidR="00D97A44" w:rsidRPr="009B1A37">
              <w:rPr>
                <w:rFonts w:ascii="Times New Roman" w:hAnsi="Times New Roman" w:cs="Times New Roman"/>
                <w:color w:val="000000"/>
                <w:sz w:val="22"/>
                <w:szCs w:val="22"/>
                <w:lang w:val="cs-CZ"/>
              </w:rPr>
              <w:t xml:space="preserve"> &lt; 50 x 10</w:t>
            </w:r>
            <w:r w:rsidR="00D97A44" w:rsidRPr="009B1A37">
              <w:rPr>
                <w:rFonts w:ascii="Times New Roman" w:hAnsi="Times New Roman" w:cs="Times New Roman"/>
                <w:color w:val="000000"/>
                <w:sz w:val="22"/>
                <w:szCs w:val="22"/>
                <w:vertAlign w:val="superscript"/>
                <w:lang w:val="cs-CZ"/>
              </w:rPr>
              <w:t>9</w:t>
            </w:r>
            <w:r w:rsidR="00D97A44" w:rsidRPr="009B1A37">
              <w:rPr>
                <w:rFonts w:ascii="Times New Roman" w:hAnsi="Times New Roman" w:cs="Times New Roman"/>
                <w:color w:val="000000"/>
                <w:sz w:val="22"/>
                <w:szCs w:val="22"/>
                <w:lang w:val="cs-CZ"/>
              </w:rPr>
              <w:t>/l</w:t>
            </w:r>
          </w:p>
        </w:tc>
        <w:tc>
          <w:tcPr>
            <w:tcW w:w="4444" w:type="dxa"/>
            <w:tcBorders>
              <w:top w:val="single" w:sz="4" w:space="0" w:color="000000"/>
              <w:left w:val="single" w:sz="4" w:space="0" w:color="000000"/>
              <w:bottom w:val="single" w:sz="4" w:space="0" w:color="000000"/>
              <w:right w:val="single" w:sz="4" w:space="0" w:color="000000"/>
            </w:tcBorders>
          </w:tcPr>
          <w:p w14:paraId="7C29D249" w14:textId="77777777" w:rsidR="00D97A44" w:rsidRPr="009B1A37" w:rsidRDefault="00D82ADC" w:rsidP="00BE3D48">
            <w:pPr>
              <w:pStyle w:val="Table"/>
              <w:keepLines w:val="0"/>
              <w:widowControl w:val="0"/>
              <w:suppressLineNumbers/>
              <w:tabs>
                <w:tab w:val="clear" w:pos="284"/>
                <w:tab w:val="clear" w:pos="567"/>
              </w:tabs>
              <w:snapToGrid w:val="0"/>
              <w:spacing w:before="0" w:after="0"/>
              <w:ind w:left="489" w:hanging="489"/>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1.</w:t>
            </w:r>
            <w:r w:rsidRPr="009B1A37">
              <w:rPr>
                <w:rFonts w:ascii="Times New Roman" w:hAnsi="Times New Roman" w:cs="Times New Roman"/>
                <w:color w:val="000000"/>
                <w:sz w:val="22"/>
                <w:szCs w:val="22"/>
                <w:lang w:val="cs-CZ"/>
              </w:rPr>
              <w:tab/>
            </w:r>
            <w:r w:rsidR="00D97A44" w:rsidRPr="009B1A37">
              <w:rPr>
                <w:rFonts w:ascii="Times New Roman" w:hAnsi="Times New Roman" w:cs="Times New Roman"/>
                <w:color w:val="000000"/>
                <w:sz w:val="22"/>
                <w:szCs w:val="22"/>
                <w:lang w:val="cs-CZ"/>
              </w:rPr>
              <w:t xml:space="preserve">Přerušte podávání Glivecu, dokud není ANC </w:t>
            </w:r>
            <w:r w:rsidR="00D97A44" w:rsidRPr="009B1A37">
              <w:rPr>
                <w:rFonts w:ascii="Symbol" w:hAnsi="Symbol"/>
                <w:color w:val="000000"/>
                <w:sz w:val="22"/>
                <w:szCs w:val="22"/>
                <w:lang w:val="cs-CZ"/>
              </w:rPr>
              <w:t></w:t>
            </w:r>
            <w:r w:rsidR="00D97A44" w:rsidRPr="009B1A37">
              <w:rPr>
                <w:rFonts w:ascii="Times New Roman" w:hAnsi="Times New Roman" w:cs="Times New Roman"/>
                <w:color w:val="000000"/>
                <w:sz w:val="22"/>
                <w:szCs w:val="22"/>
                <w:lang w:val="cs-CZ"/>
              </w:rPr>
              <w:t> 1,5 x 10</w:t>
            </w:r>
            <w:r w:rsidR="00D97A44" w:rsidRPr="009B1A37">
              <w:rPr>
                <w:rFonts w:ascii="Times New Roman" w:hAnsi="Times New Roman" w:cs="Times New Roman"/>
                <w:color w:val="000000"/>
                <w:sz w:val="22"/>
                <w:szCs w:val="22"/>
                <w:vertAlign w:val="superscript"/>
                <w:lang w:val="cs-CZ"/>
              </w:rPr>
              <w:t>9</w:t>
            </w:r>
            <w:r w:rsidR="00D97A44" w:rsidRPr="009B1A37">
              <w:rPr>
                <w:rFonts w:ascii="Times New Roman" w:hAnsi="Times New Roman" w:cs="Times New Roman"/>
                <w:color w:val="000000"/>
                <w:sz w:val="22"/>
                <w:szCs w:val="22"/>
                <w:lang w:val="cs-CZ"/>
              </w:rPr>
              <w:t xml:space="preserve">/l a </w:t>
            </w:r>
            <w:r w:rsidR="00BA4FF7" w:rsidRPr="009B1A37">
              <w:rPr>
                <w:rFonts w:ascii="Times New Roman" w:hAnsi="Times New Roman" w:cs="Times New Roman"/>
                <w:color w:val="000000"/>
                <w:sz w:val="22"/>
                <w:szCs w:val="22"/>
                <w:lang w:val="cs-CZ"/>
              </w:rPr>
              <w:t>trombocyty</w:t>
            </w:r>
            <w:r w:rsidR="00D97A44" w:rsidRPr="009B1A37">
              <w:rPr>
                <w:rFonts w:ascii="Times New Roman" w:hAnsi="Times New Roman" w:cs="Times New Roman"/>
                <w:color w:val="000000"/>
                <w:sz w:val="22"/>
                <w:szCs w:val="22"/>
                <w:lang w:val="cs-CZ"/>
              </w:rPr>
              <w:t xml:space="preserve"> </w:t>
            </w:r>
            <w:r w:rsidR="00D97A44" w:rsidRPr="009B1A37">
              <w:rPr>
                <w:rFonts w:ascii="Symbol" w:hAnsi="Symbol"/>
                <w:color w:val="000000"/>
                <w:sz w:val="22"/>
                <w:szCs w:val="22"/>
                <w:lang w:val="cs-CZ"/>
              </w:rPr>
              <w:t></w:t>
            </w:r>
            <w:r w:rsidR="00D97A44" w:rsidRPr="009B1A37">
              <w:rPr>
                <w:rFonts w:ascii="Times New Roman" w:hAnsi="Times New Roman" w:cs="Times New Roman"/>
                <w:color w:val="000000"/>
                <w:sz w:val="22"/>
                <w:szCs w:val="22"/>
                <w:lang w:val="cs-CZ"/>
              </w:rPr>
              <w:t> 75 x 10</w:t>
            </w:r>
            <w:r w:rsidR="00D97A44" w:rsidRPr="009B1A37">
              <w:rPr>
                <w:rFonts w:ascii="Times New Roman" w:hAnsi="Times New Roman" w:cs="Times New Roman"/>
                <w:color w:val="000000"/>
                <w:sz w:val="22"/>
                <w:szCs w:val="22"/>
                <w:vertAlign w:val="superscript"/>
                <w:lang w:val="cs-CZ"/>
              </w:rPr>
              <w:t>9</w:t>
            </w:r>
            <w:r w:rsidR="00D97A44" w:rsidRPr="009B1A37">
              <w:rPr>
                <w:rFonts w:ascii="Times New Roman" w:hAnsi="Times New Roman" w:cs="Times New Roman"/>
                <w:color w:val="000000"/>
                <w:sz w:val="22"/>
                <w:szCs w:val="22"/>
                <w:lang w:val="cs-CZ"/>
              </w:rPr>
              <w:t>/l.</w:t>
            </w:r>
          </w:p>
          <w:p w14:paraId="6B7539AC" w14:textId="77777777" w:rsidR="00D97A44" w:rsidRPr="009B1A37" w:rsidRDefault="00D82ADC" w:rsidP="00BE3D48">
            <w:pPr>
              <w:pStyle w:val="Table"/>
              <w:keepLines w:val="0"/>
              <w:widowControl w:val="0"/>
              <w:suppressLineNumbers/>
              <w:tabs>
                <w:tab w:val="clear" w:pos="284"/>
                <w:tab w:val="clear" w:pos="567"/>
              </w:tabs>
              <w:spacing w:before="0" w:after="0"/>
              <w:ind w:left="489" w:hanging="489"/>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2.</w:t>
            </w:r>
            <w:r w:rsidRPr="009B1A37">
              <w:rPr>
                <w:rFonts w:ascii="Times New Roman" w:hAnsi="Times New Roman" w:cs="Times New Roman"/>
                <w:color w:val="000000"/>
                <w:sz w:val="22"/>
                <w:szCs w:val="22"/>
                <w:lang w:val="cs-CZ"/>
              </w:rPr>
              <w:tab/>
            </w:r>
            <w:r w:rsidR="00D97A44" w:rsidRPr="009B1A37">
              <w:rPr>
                <w:rFonts w:ascii="Times New Roman" w:hAnsi="Times New Roman" w:cs="Times New Roman"/>
                <w:color w:val="000000"/>
                <w:sz w:val="22"/>
                <w:szCs w:val="22"/>
                <w:lang w:val="cs-CZ"/>
              </w:rPr>
              <w:t xml:space="preserve">Obnovte léčbu Glivecem na úroveň předchozí dávky (tj. před </w:t>
            </w:r>
            <w:r w:rsidR="00BA4FF7" w:rsidRPr="009B1A37">
              <w:rPr>
                <w:rFonts w:ascii="Times New Roman" w:hAnsi="Times New Roman" w:cs="Times New Roman"/>
                <w:color w:val="000000"/>
                <w:sz w:val="22"/>
                <w:szCs w:val="22"/>
                <w:lang w:val="cs-CZ"/>
              </w:rPr>
              <w:t>záva</w:t>
            </w:r>
            <w:r w:rsidR="00D97A44" w:rsidRPr="009B1A37">
              <w:rPr>
                <w:rFonts w:ascii="Times New Roman" w:hAnsi="Times New Roman" w:cs="Times New Roman"/>
                <w:color w:val="000000"/>
                <w:sz w:val="22"/>
                <w:szCs w:val="22"/>
                <w:lang w:val="cs-CZ"/>
              </w:rPr>
              <w:t xml:space="preserve">žnými nežádoucími </w:t>
            </w:r>
            <w:r w:rsidR="00BA4FF7" w:rsidRPr="009B1A37">
              <w:rPr>
                <w:rFonts w:ascii="Times New Roman" w:hAnsi="Times New Roman" w:cs="Times New Roman"/>
                <w:color w:val="000000"/>
                <w:sz w:val="22"/>
                <w:szCs w:val="22"/>
                <w:lang w:val="cs-CZ"/>
              </w:rPr>
              <w:t>účinky</w:t>
            </w:r>
            <w:r w:rsidR="00D97A44" w:rsidRPr="009B1A37">
              <w:rPr>
                <w:rFonts w:ascii="Times New Roman" w:hAnsi="Times New Roman" w:cs="Times New Roman"/>
                <w:color w:val="000000"/>
                <w:sz w:val="22"/>
                <w:szCs w:val="22"/>
                <w:lang w:val="cs-CZ"/>
              </w:rPr>
              <w:t>).</w:t>
            </w:r>
          </w:p>
        </w:tc>
      </w:tr>
      <w:tr w:rsidR="00D97A44" w:rsidRPr="009B1A37" w14:paraId="6ABAAFC5" w14:textId="77777777" w:rsidTr="00F75C2F">
        <w:trPr>
          <w:cantSplit/>
        </w:trPr>
        <w:tc>
          <w:tcPr>
            <w:tcW w:w="2376" w:type="dxa"/>
            <w:tcBorders>
              <w:top w:val="single" w:sz="4" w:space="0" w:color="000000"/>
              <w:left w:val="single" w:sz="4" w:space="0" w:color="000000"/>
              <w:bottom w:val="single" w:sz="4" w:space="0" w:color="000000"/>
            </w:tcBorders>
          </w:tcPr>
          <w:p w14:paraId="266A529B" w14:textId="77777777" w:rsidR="00D97A44" w:rsidRPr="009B1A37" w:rsidRDefault="00D97A44" w:rsidP="00BE3D48">
            <w:pPr>
              <w:pStyle w:val="EndnoteText"/>
              <w:widowControl w:val="0"/>
              <w:tabs>
                <w:tab w:val="clear" w:pos="567"/>
              </w:tabs>
              <w:snapToGrid w:val="0"/>
              <w:rPr>
                <w:color w:val="000000"/>
              </w:rPr>
            </w:pPr>
            <w:r w:rsidRPr="009B1A37">
              <w:rPr>
                <w:color w:val="000000"/>
              </w:rPr>
              <w:t xml:space="preserve">Chronická fáze CML, </w:t>
            </w:r>
            <w:smartTag w:uri="urn:schemas-microsoft-com:office:smarttags" w:element="stockticker">
              <w:r w:rsidRPr="009B1A37">
                <w:rPr>
                  <w:color w:val="000000"/>
                </w:rPr>
                <w:t>MDS</w:t>
              </w:r>
            </w:smartTag>
            <w:r w:rsidRPr="009B1A37">
              <w:rPr>
                <w:color w:val="000000"/>
              </w:rPr>
              <w:t>/MPD a GIST (zahajovací dávka 400 mg)</w:t>
            </w:r>
          </w:p>
          <w:p w14:paraId="57EFD023" w14:textId="77777777" w:rsidR="00D97A44" w:rsidRPr="009B1A37" w:rsidRDefault="00D97A44" w:rsidP="00BE3D48">
            <w:pPr>
              <w:pStyle w:val="EndnoteText"/>
              <w:widowControl w:val="0"/>
              <w:tabs>
                <w:tab w:val="clear" w:pos="567"/>
              </w:tabs>
              <w:rPr>
                <w:color w:val="000000"/>
              </w:rPr>
            </w:pPr>
            <w:r w:rsidRPr="009B1A37">
              <w:rPr>
                <w:color w:val="000000"/>
              </w:rPr>
              <w:t>HES/</w:t>
            </w:r>
            <w:smartTag w:uri="urn:schemas-microsoft-com:office:smarttags" w:element="stockticker">
              <w:r w:rsidRPr="009B1A37">
                <w:rPr>
                  <w:color w:val="000000"/>
                </w:rPr>
                <w:t>CEL</w:t>
              </w:r>
            </w:smartTag>
            <w:r w:rsidRPr="009B1A37">
              <w:rPr>
                <w:color w:val="000000"/>
              </w:rPr>
              <w:t xml:space="preserve"> (</w:t>
            </w:r>
            <w:r w:rsidR="00BA4FF7" w:rsidRPr="009B1A37">
              <w:rPr>
                <w:color w:val="000000"/>
              </w:rPr>
              <w:t xml:space="preserve">v </w:t>
            </w:r>
            <w:r w:rsidRPr="009B1A37">
              <w:rPr>
                <w:color w:val="000000"/>
              </w:rPr>
              <w:t>dáv</w:t>
            </w:r>
            <w:r w:rsidR="00BA4FF7" w:rsidRPr="009B1A37">
              <w:rPr>
                <w:color w:val="000000"/>
              </w:rPr>
              <w:t>ce</w:t>
            </w:r>
            <w:r w:rsidRPr="009B1A37">
              <w:rPr>
                <w:color w:val="000000"/>
              </w:rPr>
              <w:t xml:space="preserve"> 400 mg)</w:t>
            </w:r>
          </w:p>
        </w:tc>
        <w:tc>
          <w:tcPr>
            <w:tcW w:w="2400" w:type="dxa"/>
            <w:tcBorders>
              <w:top w:val="single" w:sz="4" w:space="0" w:color="000000"/>
              <w:left w:val="single" w:sz="4" w:space="0" w:color="000000"/>
              <w:bottom w:val="single" w:sz="4" w:space="0" w:color="000000"/>
            </w:tcBorders>
          </w:tcPr>
          <w:p w14:paraId="2610A1AA" w14:textId="77777777" w:rsidR="00D97A44" w:rsidRPr="009B1A37" w:rsidRDefault="00D97A44" w:rsidP="00BE3D48">
            <w:pPr>
              <w:pStyle w:val="Table"/>
              <w:keepNext w:val="0"/>
              <w:keepLines w:val="0"/>
              <w:widowControl w:val="0"/>
              <w:suppressLineNumbers/>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ANC &lt; 1,0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/l</w:t>
            </w:r>
          </w:p>
          <w:p w14:paraId="6716AD27" w14:textId="77777777" w:rsidR="00D97A44" w:rsidRPr="009B1A37" w:rsidRDefault="00D97A44" w:rsidP="00BE3D48">
            <w:pPr>
              <w:pStyle w:val="Table"/>
              <w:keepNext w:val="0"/>
              <w:keepLines w:val="0"/>
              <w:widowControl w:val="0"/>
              <w:suppressLineNumbers/>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a/nebo</w:t>
            </w:r>
          </w:p>
          <w:p w14:paraId="6BFDAC6C" w14:textId="77777777" w:rsidR="00D97A44" w:rsidRPr="009B1A37" w:rsidRDefault="00BA4FF7" w:rsidP="00BE3D48">
            <w:pPr>
              <w:pStyle w:val="EndnoteText"/>
              <w:widowControl w:val="0"/>
              <w:tabs>
                <w:tab w:val="clear" w:pos="567"/>
              </w:tabs>
              <w:rPr>
                <w:color w:val="000000"/>
              </w:rPr>
            </w:pPr>
            <w:r w:rsidRPr="009B1A37">
              <w:rPr>
                <w:color w:val="000000"/>
              </w:rPr>
              <w:t>trombocyty</w:t>
            </w:r>
            <w:r w:rsidR="00D97A44" w:rsidRPr="009B1A37">
              <w:rPr>
                <w:color w:val="000000"/>
              </w:rPr>
              <w:t xml:space="preserve"> &lt; 50 x 10</w:t>
            </w:r>
            <w:r w:rsidR="00D97A44" w:rsidRPr="009B1A37">
              <w:rPr>
                <w:color w:val="000000"/>
                <w:vertAlign w:val="superscript"/>
              </w:rPr>
              <w:t>9</w:t>
            </w:r>
            <w:r w:rsidR="00D97A44" w:rsidRPr="009B1A37">
              <w:rPr>
                <w:color w:val="000000"/>
              </w:rPr>
              <w:t>/l</w:t>
            </w:r>
          </w:p>
        </w:tc>
        <w:tc>
          <w:tcPr>
            <w:tcW w:w="4444" w:type="dxa"/>
            <w:tcBorders>
              <w:top w:val="single" w:sz="4" w:space="0" w:color="000000"/>
              <w:left w:val="single" w:sz="4" w:space="0" w:color="000000"/>
              <w:bottom w:val="single" w:sz="4" w:space="0" w:color="000000"/>
              <w:right w:val="single" w:sz="4" w:space="0" w:color="000000"/>
            </w:tcBorders>
          </w:tcPr>
          <w:p w14:paraId="7DCCA3B7" w14:textId="77777777" w:rsidR="00D97A44" w:rsidRPr="009B1A37" w:rsidRDefault="00D82ADC" w:rsidP="00BE3D48">
            <w:pPr>
              <w:pStyle w:val="Table"/>
              <w:keepNext w:val="0"/>
              <w:keepLines w:val="0"/>
              <w:widowControl w:val="0"/>
              <w:suppressLineNumbers/>
              <w:tabs>
                <w:tab w:val="clear" w:pos="284"/>
                <w:tab w:val="clear" w:pos="567"/>
              </w:tabs>
              <w:snapToGrid w:val="0"/>
              <w:spacing w:before="0" w:after="0"/>
              <w:ind w:left="489" w:hanging="489"/>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1.</w:t>
            </w:r>
            <w:r w:rsidRPr="009B1A37">
              <w:rPr>
                <w:rFonts w:ascii="Times New Roman" w:hAnsi="Times New Roman" w:cs="Times New Roman"/>
                <w:color w:val="000000"/>
                <w:sz w:val="22"/>
                <w:szCs w:val="22"/>
                <w:lang w:val="cs-CZ"/>
              </w:rPr>
              <w:tab/>
            </w:r>
            <w:r w:rsidR="00D97A44" w:rsidRPr="009B1A37">
              <w:rPr>
                <w:rFonts w:ascii="Times New Roman" w:hAnsi="Times New Roman" w:cs="Times New Roman"/>
                <w:color w:val="000000"/>
                <w:sz w:val="22"/>
                <w:szCs w:val="22"/>
                <w:lang w:val="cs-CZ"/>
              </w:rPr>
              <w:t xml:space="preserve">Přerušte podávání Glivecu, dokud není ANC </w:t>
            </w:r>
            <w:r w:rsidR="00D97A44" w:rsidRPr="009B1A37">
              <w:rPr>
                <w:rFonts w:ascii="Symbol" w:hAnsi="Symbol"/>
                <w:color w:val="000000"/>
                <w:sz w:val="22"/>
                <w:szCs w:val="22"/>
                <w:lang w:val="cs-CZ"/>
              </w:rPr>
              <w:t></w:t>
            </w:r>
            <w:r w:rsidR="00D97A44" w:rsidRPr="009B1A37">
              <w:rPr>
                <w:rFonts w:ascii="Times New Roman" w:hAnsi="Times New Roman" w:cs="Times New Roman"/>
                <w:color w:val="000000"/>
                <w:sz w:val="22"/>
                <w:szCs w:val="22"/>
                <w:lang w:val="cs-CZ"/>
              </w:rPr>
              <w:t> 1,5 x 10</w:t>
            </w:r>
            <w:r w:rsidR="00D97A44" w:rsidRPr="009B1A37">
              <w:rPr>
                <w:rFonts w:ascii="Times New Roman" w:hAnsi="Times New Roman" w:cs="Times New Roman"/>
                <w:color w:val="000000"/>
                <w:sz w:val="22"/>
                <w:szCs w:val="22"/>
                <w:vertAlign w:val="superscript"/>
                <w:lang w:val="cs-CZ"/>
              </w:rPr>
              <w:t>9</w:t>
            </w:r>
            <w:r w:rsidR="00D97A44" w:rsidRPr="009B1A37">
              <w:rPr>
                <w:rFonts w:ascii="Times New Roman" w:hAnsi="Times New Roman" w:cs="Times New Roman"/>
                <w:color w:val="000000"/>
                <w:sz w:val="22"/>
                <w:szCs w:val="22"/>
                <w:lang w:val="cs-CZ"/>
              </w:rPr>
              <w:t xml:space="preserve">/l a </w:t>
            </w:r>
            <w:r w:rsidR="00BA4FF7" w:rsidRPr="009B1A37">
              <w:rPr>
                <w:rFonts w:ascii="Times New Roman" w:hAnsi="Times New Roman" w:cs="Times New Roman"/>
                <w:color w:val="000000"/>
                <w:sz w:val="22"/>
                <w:szCs w:val="22"/>
                <w:lang w:val="cs-CZ"/>
              </w:rPr>
              <w:t>trombocyty</w:t>
            </w:r>
            <w:r w:rsidR="00D97A44" w:rsidRPr="009B1A37">
              <w:rPr>
                <w:rFonts w:ascii="Times New Roman" w:hAnsi="Times New Roman" w:cs="Times New Roman"/>
                <w:color w:val="000000"/>
                <w:sz w:val="22"/>
                <w:szCs w:val="22"/>
                <w:lang w:val="cs-CZ"/>
              </w:rPr>
              <w:t xml:space="preserve"> </w:t>
            </w:r>
            <w:r w:rsidR="00D97A44" w:rsidRPr="009B1A37">
              <w:rPr>
                <w:rFonts w:ascii="Symbol" w:hAnsi="Symbol"/>
                <w:color w:val="000000"/>
                <w:sz w:val="22"/>
                <w:szCs w:val="22"/>
                <w:lang w:val="cs-CZ"/>
              </w:rPr>
              <w:t></w:t>
            </w:r>
            <w:r w:rsidR="00D97A44" w:rsidRPr="009B1A37">
              <w:rPr>
                <w:rFonts w:ascii="Times New Roman" w:hAnsi="Times New Roman" w:cs="Times New Roman"/>
                <w:color w:val="000000"/>
                <w:sz w:val="22"/>
                <w:szCs w:val="22"/>
                <w:lang w:val="cs-CZ"/>
              </w:rPr>
              <w:t> 75 x 10</w:t>
            </w:r>
            <w:r w:rsidR="00D97A44" w:rsidRPr="009B1A37">
              <w:rPr>
                <w:rFonts w:ascii="Times New Roman" w:hAnsi="Times New Roman" w:cs="Times New Roman"/>
                <w:color w:val="000000"/>
                <w:sz w:val="22"/>
                <w:szCs w:val="22"/>
                <w:vertAlign w:val="superscript"/>
                <w:lang w:val="cs-CZ"/>
              </w:rPr>
              <w:t>9</w:t>
            </w:r>
            <w:r w:rsidR="00D97A44" w:rsidRPr="009B1A37">
              <w:rPr>
                <w:rFonts w:ascii="Times New Roman" w:hAnsi="Times New Roman" w:cs="Times New Roman"/>
                <w:color w:val="000000"/>
                <w:sz w:val="22"/>
                <w:szCs w:val="22"/>
                <w:lang w:val="cs-CZ"/>
              </w:rPr>
              <w:t>/l.</w:t>
            </w:r>
          </w:p>
          <w:p w14:paraId="2EB1A6AE" w14:textId="77777777" w:rsidR="00D97A44" w:rsidRPr="009B1A37" w:rsidRDefault="00D82ADC" w:rsidP="00BE3D48">
            <w:pPr>
              <w:pStyle w:val="Table"/>
              <w:keepNext w:val="0"/>
              <w:keepLines w:val="0"/>
              <w:widowControl w:val="0"/>
              <w:suppressLineNumbers/>
              <w:tabs>
                <w:tab w:val="clear" w:pos="284"/>
                <w:tab w:val="clear" w:pos="567"/>
              </w:tabs>
              <w:spacing w:before="0" w:after="0"/>
              <w:ind w:left="489" w:hanging="489"/>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2.</w:t>
            </w:r>
            <w:r w:rsidRPr="009B1A37">
              <w:rPr>
                <w:rFonts w:ascii="Times New Roman" w:hAnsi="Times New Roman" w:cs="Times New Roman"/>
                <w:color w:val="000000"/>
                <w:sz w:val="22"/>
                <w:szCs w:val="22"/>
                <w:lang w:val="cs-CZ"/>
              </w:rPr>
              <w:tab/>
            </w:r>
            <w:r w:rsidR="00D97A44" w:rsidRPr="009B1A37">
              <w:rPr>
                <w:rFonts w:ascii="Times New Roman" w:hAnsi="Times New Roman" w:cs="Times New Roman"/>
                <w:color w:val="000000"/>
                <w:sz w:val="22"/>
                <w:szCs w:val="22"/>
                <w:lang w:val="cs-CZ"/>
              </w:rPr>
              <w:t xml:space="preserve">Obnovte léčbu Glivecem na úroveň předchozí dávky (tj. před </w:t>
            </w:r>
            <w:r w:rsidR="00BA4FF7" w:rsidRPr="009B1A37">
              <w:rPr>
                <w:rFonts w:ascii="Times New Roman" w:hAnsi="Times New Roman" w:cs="Times New Roman"/>
                <w:color w:val="000000"/>
                <w:sz w:val="22"/>
                <w:szCs w:val="22"/>
                <w:lang w:val="cs-CZ"/>
              </w:rPr>
              <w:t>záva</w:t>
            </w:r>
            <w:r w:rsidR="00D97A44" w:rsidRPr="009B1A37">
              <w:rPr>
                <w:rFonts w:ascii="Times New Roman" w:hAnsi="Times New Roman" w:cs="Times New Roman"/>
                <w:color w:val="000000"/>
                <w:sz w:val="22"/>
                <w:szCs w:val="22"/>
                <w:lang w:val="cs-CZ"/>
              </w:rPr>
              <w:t xml:space="preserve">žnými nežádoucími </w:t>
            </w:r>
            <w:r w:rsidR="00BA4FF7" w:rsidRPr="009B1A37">
              <w:rPr>
                <w:rFonts w:ascii="Times New Roman" w:hAnsi="Times New Roman" w:cs="Times New Roman"/>
                <w:color w:val="000000"/>
                <w:sz w:val="22"/>
                <w:szCs w:val="22"/>
                <w:lang w:val="cs-CZ"/>
              </w:rPr>
              <w:t>účinky</w:t>
            </w:r>
            <w:r w:rsidR="00D97A44" w:rsidRPr="009B1A37">
              <w:rPr>
                <w:rFonts w:ascii="Times New Roman" w:hAnsi="Times New Roman" w:cs="Times New Roman"/>
                <w:color w:val="000000"/>
                <w:sz w:val="22"/>
                <w:szCs w:val="22"/>
                <w:lang w:val="cs-CZ"/>
              </w:rPr>
              <w:t>).</w:t>
            </w:r>
          </w:p>
          <w:p w14:paraId="70543D25" w14:textId="77777777" w:rsidR="00D97A44" w:rsidRPr="009B1A37" w:rsidRDefault="00D82ADC" w:rsidP="00BE3D48">
            <w:pPr>
              <w:pStyle w:val="EndnoteText"/>
              <w:widowControl w:val="0"/>
              <w:tabs>
                <w:tab w:val="clear" w:pos="567"/>
              </w:tabs>
              <w:ind w:left="489" w:hanging="489"/>
              <w:rPr>
                <w:color w:val="000000"/>
              </w:rPr>
            </w:pPr>
            <w:r w:rsidRPr="009B1A37">
              <w:rPr>
                <w:color w:val="000000"/>
              </w:rPr>
              <w:t>3.</w:t>
            </w:r>
            <w:r w:rsidRPr="009B1A37">
              <w:rPr>
                <w:color w:val="000000"/>
              </w:rPr>
              <w:tab/>
            </w:r>
            <w:r w:rsidR="00D97A44" w:rsidRPr="009B1A37">
              <w:rPr>
                <w:color w:val="000000"/>
              </w:rPr>
              <w:t>V případě opakování ANC &lt; 1,0 x 10</w:t>
            </w:r>
            <w:r w:rsidR="00D97A44" w:rsidRPr="009B1A37">
              <w:rPr>
                <w:color w:val="000000"/>
                <w:vertAlign w:val="superscript"/>
              </w:rPr>
              <w:t>9</w:t>
            </w:r>
            <w:r w:rsidR="00D97A44" w:rsidRPr="009B1A37">
              <w:rPr>
                <w:color w:val="000000"/>
              </w:rPr>
              <w:t xml:space="preserve">/l a/nebo </w:t>
            </w:r>
            <w:r w:rsidR="00BA4FF7" w:rsidRPr="009B1A37">
              <w:rPr>
                <w:color w:val="000000"/>
              </w:rPr>
              <w:t>trombocytů</w:t>
            </w:r>
            <w:r w:rsidR="00D97A44" w:rsidRPr="009B1A37">
              <w:rPr>
                <w:color w:val="000000"/>
              </w:rPr>
              <w:t xml:space="preserve"> k &lt; 50 x 10</w:t>
            </w:r>
            <w:r w:rsidR="00D97A44" w:rsidRPr="009B1A37">
              <w:rPr>
                <w:color w:val="000000"/>
                <w:vertAlign w:val="superscript"/>
              </w:rPr>
              <w:t>9</w:t>
            </w:r>
            <w:r w:rsidR="00D97A44" w:rsidRPr="009B1A37">
              <w:rPr>
                <w:color w:val="000000"/>
              </w:rPr>
              <w:t xml:space="preserve">/l, opakujte bod </w:t>
            </w:r>
            <w:smartTag w:uri="urn:schemas-microsoft-com:office:smarttags" w:element="metricconverter">
              <w:smartTagPr>
                <w:attr w:name="ProductID" w:val="1 a"/>
              </w:smartTagPr>
              <w:r w:rsidR="00D97A44" w:rsidRPr="009B1A37">
                <w:rPr>
                  <w:color w:val="000000"/>
                </w:rPr>
                <w:t>1 a</w:t>
              </w:r>
            </w:smartTag>
            <w:r w:rsidR="00D97A44" w:rsidRPr="009B1A37">
              <w:rPr>
                <w:color w:val="000000"/>
              </w:rPr>
              <w:t xml:space="preserve"> léčbu Glivecem obnovte sníženou dávkou 300 mg.</w:t>
            </w:r>
          </w:p>
        </w:tc>
      </w:tr>
      <w:tr w:rsidR="00D97A44" w:rsidRPr="009B1A37" w14:paraId="07537C37" w14:textId="77777777" w:rsidTr="00F75C2F">
        <w:trPr>
          <w:cantSplit/>
        </w:trPr>
        <w:tc>
          <w:tcPr>
            <w:tcW w:w="2376" w:type="dxa"/>
            <w:tcBorders>
              <w:top w:val="single" w:sz="4" w:space="0" w:color="000000"/>
              <w:left w:val="single" w:sz="4" w:space="0" w:color="000000"/>
              <w:bottom w:val="single" w:sz="4" w:space="0" w:color="000000"/>
            </w:tcBorders>
          </w:tcPr>
          <w:p w14:paraId="16F6182C" w14:textId="77777777" w:rsidR="00D97A44" w:rsidRPr="009B1A37" w:rsidRDefault="00D97A44" w:rsidP="00BE3D48">
            <w:pPr>
              <w:pStyle w:val="EndnoteText"/>
              <w:widowControl w:val="0"/>
              <w:tabs>
                <w:tab w:val="clear" w:pos="567"/>
              </w:tabs>
              <w:snapToGrid w:val="0"/>
              <w:rPr>
                <w:color w:val="000000"/>
              </w:rPr>
            </w:pPr>
            <w:r w:rsidRPr="009B1A37">
              <w:rPr>
                <w:color w:val="000000"/>
              </w:rPr>
              <w:t>Chronická fáze CML u dětí (dávka 340 mg/m</w:t>
            </w:r>
            <w:r w:rsidRPr="009B1A37">
              <w:rPr>
                <w:color w:val="000000"/>
                <w:vertAlign w:val="superscript"/>
              </w:rPr>
              <w:t>2</w:t>
            </w:r>
            <w:r w:rsidRPr="009B1A37">
              <w:rPr>
                <w:color w:val="000000"/>
              </w:rPr>
              <w:t>)</w:t>
            </w:r>
          </w:p>
        </w:tc>
        <w:tc>
          <w:tcPr>
            <w:tcW w:w="2400" w:type="dxa"/>
            <w:tcBorders>
              <w:top w:val="single" w:sz="4" w:space="0" w:color="000000"/>
              <w:left w:val="single" w:sz="4" w:space="0" w:color="000000"/>
              <w:bottom w:val="single" w:sz="4" w:space="0" w:color="000000"/>
            </w:tcBorders>
          </w:tcPr>
          <w:p w14:paraId="7A0A1045" w14:textId="77777777" w:rsidR="00D97A44" w:rsidRPr="009B1A37" w:rsidRDefault="00D97A44" w:rsidP="00BE3D48">
            <w:pPr>
              <w:pStyle w:val="Table"/>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ANC &lt; 1,0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/l</w:t>
            </w:r>
          </w:p>
          <w:p w14:paraId="6F1F216C" w14:textId="77777777" w:rsidR="00D97A44" w:rsidRPr="009B1A37" w:rsidRDefault="00D97A44" w:rsidP="00BE3D48">
            <w:pPr>
              <w:pStyle w:val="Table"/>
              <w:widowControl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a/nebo</w:t>
            </w:r>
          </w:p>
          <w:p w14:paraId="18521DE7" w14:textId="77777777" w:rsidR="00D97A44" w:rsidRPr="009B1A37" w:rsidRDefault="00BA4FF7" w:rsidP="00BE3D48">
            <w:pPr>
              <w:pStyle w:val="Table"/>
              <w:widowControl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 xml:space="preserve">trombocyty </w:t>
            </w:r>
            <w:r w:rsidR="00D97A44" w:rsidRPr="009B1A37">
              <w:rPr>
                <w:rFonts w:ascii="Times New Roman" w:hAnsi="Times New Roman" w:cs="Times New Roman"/>
                <w:color w:val="000000"/>
                <w:sz w:val="22"/>
                <w:szCs w:val="22"/>
                <w:lang w:val="cs-CZ"/>
              </w:rPr>
              <w:t>&lt; 50 x 10</w:t>
            </w:r>
            <w:r w:rsidR="00D97A44" w:rsidRPr="009B1A37">
              <w:rPr>
                <w:rFonts w:ascii="Times New Roman" w:hAnsi="Times New Roman" w:cs="Times New Roman"/>
                <w:color w:val="000000"/>
                <w:sz w:val="22"/>
                <w:szCs w:val="22"/>
                <w:vertAlign w:val="superscript"/>
                <w:lang w:val="cs-CZ"/>
              </w:rPr>
              <w:t>9</w:t>
            </w:r>
            <w:r w:rsidR="00D97A44" w:rsidRPr="009B1A37">
              <w:rPr>
                <w:rFonts w:ascii="Times New Roman" w:hAnsi="Times New Roman" w:cs="Times New Roman"/>
                <w:color w:val="000000"/>
                <w:sz w:val="22"/>
                <w:szCs w:val="22"/>
                <w:lang w:val="cs-CZ"/>
              </w:rPr>
              <w:t>/l</w:t>
            </w:r>
          </w:p>
          <w:p w14:paraId="2151EF87" w14:textId="77777777" w:rsidR="00D97A44" w:rsidRPr="009B1A37" w:rsidRDefault="00D97A44" w:rsidP="00BE3D48">
            <w:pPr>
              <w:pStyle w:val="Table"/>
              <w:keepNext w:val="0"/>
              <w:keepLines w:val="0"/>
              <w:widowControl w:val="0"/>
              <w:suppressLineNumbers/>
              <w:spacing w:before="0" w:after="0"/>
              <w:rPr>
                <w:rFonts w:ascii="Times New Roman" w:hAnsi="Times New Roman" w:cs="Times New Roman"/>
                <w:color w:val="000000"/>
                <w:sz w:val="22"/>
                <w:szCs w:val="22"/>
                <w:lang w:val="cs-CZ"/>
              </w:rPr>
            </w:pPr>
          </w:p>
        </w:tc>
        <w:tc>
          <w:tcPr>
            <w:tcW w:w="4444" w:type="dxa"/>
            <w:tcBorders>
              <w:top w:val="single" w:sz="4" w:space="0" w:color="000000"/>
              <w:left w:val="single" w:sz="4" w:space="0" w:color="000000"/>
              <w:bottom w:val="single" w:sz="4" w:space="0" w:color="000000"/>
              <w:right w:val="single" w:sz="4" w:space="0" w:color="000000"/>
            </w:tcBorders>
          </w:tcPr>
          <w:p w14:paraId="5F5EC1E4" w14:textId="77777777" w:rsidR="00D97A44" w:rsidRPr="009B1A37" w:rsidRDefault="00D82ADC" w:rsidP="00BE3D48">
            <w:pPr>
              <w:pStyle w:val="Table"/>
              <w:keepNext w:val="0"/>
              <w:keepLines w:val="0"/>
              <w:widowControl w:val="0"/>
              <w:suppressLineNumbers/>
              <w:tabs>
                <w:tab w:val="clear" w:pos="284"/>
                <w:tab w:val="clear" w:pos="567"/>
              </w:tabs>
              <w:snapToGrid w:val="0"/>
              <w:spacing w:before="0" w:after="0"/>
              <w:ind w:left="489" w:hanging="489"/>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1.</w:t>
            </w:r>
            <w:r w:rsidRPr="009B1A37">
              <w:rPr>
                <w:rFonts w:ascii="Times New Roman" w:hAnsi="Times New Roman" w:cs="Times New Roman"/>
                <w:color w:val="000000"/>
                <w:sz w:val="22"/>
                <w:szCs w:val="22"/>
                <w:lang w:val="cs-CZ"/>
              </w:rPr>
              <w:tab/>
            </w:r>
            <w:r w:rsidR="00D97A44" w:rsidRPr="009B1A37">
              <w:rPr>
                <w:rFonts w:ascii="Times New Roman" w:hAnsi="Times New Roman" w:cs="Times New Roman"/>
                <w:color w:val="000000"/>
                <w:sz w:val="22"/>
                <w:szCs w:val="22"/>
                <w:lang w:val="cs-CZ"/>
              </w:rPr>
              <w:t xml:space="preserve">Přerušte podávání Glivecu, dokud není ANC </w:t>
            </w:r>
            <w:r w:rsidR="00D97A44" w:rsidRPr="009B1A37">
              <w:rPr>
                <w:rFonts w:ascii="Symbol" w:hAnsi="Symbol"/>
                <w:color w:val="000000"/>
                <w:sz w:val="22"/>
                <w:szCs w:val="22"/>
                <w:lang w:val="cs-CZ"/>
              </w:rPr>
              <w:t></w:t>
            </w:r>
            <w:r w:rsidR="00D97A44" w:rsidRPr="009B1A37">
              <w:rPr>
                <w:rFonts w:ascii="Times New Roman" w:hAnsi="Times New Roman" w:cs="Times New Roman"/>
                <w:color w:val="000000"/>
                <w:sz w:val="22"/>
                <w:szCs w:val="22"/>
                <w:lang w:val="cs-CZ"/>
              </w:rPr>
              <w:t> 1,5 x 10</w:t>
            </w:r>
            <w:r w:rsidR="00D97A44" w:rsidRPr="009B1A37">
              <w:rPr>
                <w:rFonts w:ascii="Times New Roman" w:hAnsi="Times New Roman" w:cs="Times New Roman"/>
                <w:color w:val="000000"/>
                <w:sz w:val="22"/>
                <w:szCs w:val="22"/>
                <w:vertAlign w:val="superscript"/>
                <w:lang w:val="cs-CZ"/>
              </w:rPr>
              <w:t>9</w:t>
            </w:r>
            <w:r w:rsidR="00D97A44" w:rsidRPr="009B1A37">
              <w:rPr>
                <w:rFonts w:ascii="Times New Roman" w:hAnsi="Times New Roman" w:cs="Times New Roman"/>
                <w:color w:val="000000"/>
                <w:sz w:val="22"/>
                <w:szCs w:val="22"/>
                <w:lang w:val="cs-CZ"/>
              </w:rPr>
              <w:t xml:space="preserve">/l a </w:t>
            </w:r>
            <w:r w:rsidR="00BA4FF7" w:rsidRPr="009B1A37">
              <w:rPr>
                <w:rFonts w:ascii="Times New Roman" w:hAnsi="Times New Roman" w:cs="Times New Roman"/>
                <w:color w:val="000000"/>
                <w:sz w:val="22"/>
                <w:szCs w:val="22"/>
                <w:lang w:val="cs-CZ"/>
              </w:rPr>
              <w:t xml:space="preserve">trombocyty </w:t>
            </w:r>
            <w:r w:rsidR="00D97A44" w:rsidRPr="009B1A37">
              <w:rPr>
                <w:rFonts w:ascii="Symbol" w:hAnsi="Symbol"/>
                <w:color w:val="000000"/>
                <w:sz w:val="22"/>
                <w:szCs w:val="22"/>
                <w:lang w:val="cs-CZ"/>
              </w:rPr>
              <w:t></w:t>
            </w:r>
            <w:r w:rsidR="00D97A44" w:rsidRPr="009B1A37">
              <w:rPr>
                <w:rFonts w:ascii="Times New Roman" w:hAnsi="Times New Roman" w:cs="Times New Roman"/>
                <w:color w:val="000000"/>
                <w:sz w:val="22"/>
                <w:szCs w:val="22"/>
                <w:lang w:val="cs-CZ"/>
              </w:rPr>
              <w:t> 75 x 10</w:t>
            </w:r>
            <w:r w:rsidR="00D97A44" w:rsidRPr="009B1A37">
              <w:rPr>
                <w:rFonts w:ascii="Times New Roman" w:hAnsi="Times New Roman" w:cs="Times New Roman"/>
                <w:color w:val="000000"/>
                <w:sz w:val="22"/>
                <w:szCs w:val="22"/>
                <w:vertAlign w:val="superscript"/>
                <w:lang w:val="cs-CZ"/>
              </w:rPr>
              <w:t>9</w:t>
            </w:r>
            <w:r w:rsidR="00D97A44" w:rsidRPr="009B1A37">
              <w:rPr>
                <w:rFonts w:ascii="Times New Roman" w:hAnsi="Times New Roman" w:cs="Times New Roman"/>
                <w:color w:val="000000"/>
                <w:sz w:val="22"/>
                <w:szCs w:val="22"/>
                <w:lang w:val="cs-CZ"/>
              </w:rPr>
              <w:t>/l.</w:t>
            </w:r>
          </w:p>
          <w:p w14:paraId="51413C57" w14:textId="77777777" w:rsidR="00D97A44" w:rsidRPr="009B1A37" w:rsidRDefault="00D82ADC" w:rsidP="00BE3D48">
            <w:pPr>
              <w:pStyle w:val="Table"/>
              <w:keepNext w:val="0"/>
              <w:keepLines w:val="0"/>
              <w:widowControl w:val="0"/>
              <w:suppressLineNumbers/>
              <w:tabs>
                <w:tab w:val="clear" w:pos="284"/>
                <w:tab w:val="clear" w:pos="567"/>
              </w:tabs>
              <w:spacing w:before="0" w:after="0"/>
              <w:ind w:left="489" w:hanging="489"/>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2.</w:t>
            </w:r>
            <w:r w:rsidRPr="009B1A37">
              <w:rPr>
                <w:rFonts w:ascii="Times New Roman" w:hAnsi="Times New Roman" w:cs="Times New Roman"/>
                <w:color w:val="000000"/>
                <w:sz w:val="22"/>
                <w:szCs w:val="22"/>
                <w:lang w:val="cs-CZ"/>
              </w:rPr>
              <w:tab/>
            </w:r>
            <w:r w:rsidR="00D97A44" w:rsidRPr="009B1A37">
              <w:rPr>
                <w:rFonts w:ascii="Times New Roman" w:hAnsi="Times New Roman" w:cs="Times New Roman"/>
                <w:color w:val="000000"/>
                <w:sz w:val="22"/>
                <w:szCs w:val="22"/>
                <w:lang w:val="cs-CZ"/>
              </w:rPr>
              <w:t xml:space="preserve">Obnovte léčbu Glivecem na úroveň předchozí dávky (tj. před </w:t>
            </w:r>
            <w:r w:rsidR="00BA4FF7" w:rsidRPr="009B1A37">
              <w:rPr>
                <w:rFonts w:ascii="Times New Roman" w:hAnsi="Times New Roman" w:cs="Times New Roman"/>
                <w:color w:val="000000"/>
                <w:sz w:val="22"/>
                <w:szCs w:val="22"/>
                <w:lang w:val="cs-CZ"/>
              </w:rPr>
              <w:t>záva</w:t>
            </w:r>
            <w:r w:rsidR="00D97A44" w:rsidRPr="009B1A37">
              <w:rPr>
                <w:rFonts w:ascii="Times New Roman" w:hAnsi="Times New Roman" w:cs="Times New Roman"/>
                <w:color w:val="000000"/>
                <w:sz w:val="22"/>
                <w:szCs w:val="22"/>
                <w:lang w:val="cs-CZ"/>
              </w:rPr>
              <w:t xml:space="preserve">žnými nežádoucími </w:t>
            </w:r>
            <w:r w:rsidR="00BA4FF7" w:rsidRPr="009B1A37">
              <w:rPr>
                <w:rFonts w:ascii="Times New Roman" w:hAnsi="Times New Roman" w:cs="Times New Roman"/>
                <w:color w:val="000000"/>
                <w:sz w:val="22"/>
                <w:szCs w:val="22"/>
                <w:lang w:val="cs-CZ"/>
              </w:rPr>
              <w:t>účinky</w:t>
            </w:r>
            <w:r w:rsidR="00D97A44" w:rsidRPr="009B1A37">
              <w:rPr>
                <w:rFonts w:ascii="Times New Roman" w:hAnsi="Times New Roman" w:cs="Times New Roman"/>
                <w:color w:val="000000"/>
                <w:sz w:val="22"/>
                <w:szCs w:val="22"/>
                <w:lang w:val="cs-CZ"/>
              </w:rPr>
              <w:t>).</w:t>
            </w:r>
          </w:p>
          <w:p w14:paraId="4EB4C0C1" w14:textId="77777777" w:rsidR="00D97A44" w:rsidRPr="009B1A37" w:rsidRDefault="00D82ADC" w:rsidP="00BE3D48">
            <w:pPr>
              <w:pStyle w:val="Table"/>
              <w:keepNext w:val="0"/>
              <w:keepLines w:val="0"/>
              <w:widowControl w:val="0"/>
              <w:suppressLineNumbers/>
              <w:tabs>
                <w:tab w:val="clear" w:pos="284"/>
                <w:tab w:val="clear" w:pos="567"/>
              </w:tabs>
              <w:spacing w:before="0" w:after="0"/>
              <w:ind w:left="489" w:hanging="489"/>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3.</w:t>
            </w:r>
            <w:r w:rsidRPr="009B1A37">
              <w:rPr>
                <w:rFonts w:ascii="Times New Roman" w:hAnsi="Times New Roman" w:cs="Times New Roman"/>
                <w:color w:val="000000"/>
                <w:sz w:val="22"/>
                <w:szCs w:val="22"/>
                <w:lang w:val="cs-CZ"/>
              </w:rPr>
              <w:tab/>
            </w:r>
            <w:r w:rsidR="00D97A44" w:rsidRPr="009B1A37">
              <w:rPr>
                <w:rFonts w:ascii="Times New Roman" w:hAnsi="Times New Roman" w:cs="Times New Roman"/>
                <w:color w:val="000000"/>
                <w:sz w:val="22"/>
                <w:szCs w:val="22"/>
                <w:lang w:val="cs-CZ"/>
              </w:rPr>
              <w:t>V případě opakování ANC &lt; 1,0 x10</w:t>
            </w:r>
            <w:r w:rsidR="00D97A44" w:rsidRPr="009B1A37">
              <w:rPr>
                <w:rFonts w:ascii="Times New Roman" w:hAnsi="Times New Roman" w:cs="Times New Roman"/>
                <w:color w:val="000000"/>
                <w:sz w:val="22"/>
                <w:szCs w:val="22"/>
                <w:vertAlign w:val="superscript"/>
                <w:lang w:val="cs-CZ"/>
              </w:rPr>
              <w:t>9</w:t>
            </w:r>
            <w:r w:rsidR="00D97A44" w:rsidRPr="009B1A37">
              <w:rPr>
                <w:rFonts w:ascii="Times New Roman" w:hAnsi="Times New Roman" w:cs="Times New Roman"/>
                <w:color w:val="000000"/>
                <w:sz w:val="22"/>
                <w:szCs w:val="22"/>
                <w:lang w:val="cs-CZ"/>
              </w:rPr>
              <w:t xml:space="preserve">/l a/nebo </w:t>
            </w:r>
            <w:r w:rsidR="00BA4FF7" w:rsidRPr="009B1A37">
              <w:rPr>
                <w:rFonts w:ascii="Times New Roman" w:hAnsi="Times New Roman" w:cs="Times New Roman"/>
                <w:color w:val="000000"/>
                <w:sz w:val="22"/>
                <w:szCs w:val="22"/>
                <w:lang w:val="cs-CZ"/>
              </w:rPr>
              <w:t xml:space="preserve">trombocytů </w:t>
            </w:r>
            <w:r w:rsidR="00D97A44" w:rsidRPr="009B1A37">
              <w:rPr>
                <w:rFonts w:ascii="Times New Roman" w:hAnsi="Times New Roman" w:cs="Times New Roman"/>
                <w:color w:val="000000"/>
                <w:sz w:val="22"/>
                <w:szCs w:val="22"/>
                <w:lang w:val="cs-CZ"/>
              </w:rPr>
              <w:t>&lt; 50 x10</w:t>
            </w:r>
            <w:r w:rsidR="00D97A44" w:rsidRPr="009B1A37">
              <w:rPr>
                <w:rFonts w:ascii="Times New Roman" w:hAnsi="Times New Roman" w:cs="Times New Roman"/>
                <w:color w:val="000000"/>
                <w:sz w:val="22"/>
                <w:szCs w:val="22"/>
                <w:vertAlign w:val="superscript"/>
                <w:lang w:val="cs-CZ"/>
              </w:rPr>
              <w:t>9</w:t>
            </w:r>
            <w:r w:rsidR="00D97A44" w:rsidRPr="009B1A37">
              <w:rPr>
                <w:rFonts w:ascii="Times New Roman" w:hAnsi="Times New Roman" w:cs="Times New Roman"/>
                <w:color w:val="000000"/>
                <w:sz w:val="22"/>
                <w:szCs w:val="22"/>
                <w:lang w:val="cs-CZ"/>
              </w:rPr>
              <w:t>/l, opakujte bod 1 a léčbu Glivecem obnovte sníženou dávkou 260 mg/m</w:t>
            </w:r>
            <w:r w:rsidR="00D97A44" w:rsidRPr="009B1A37">
              <w:rPr>
                <w:rFonts w:ascii="Times New Roman" w:hAnsi="Times New Roman" w:cs="Times New Roman"/>
                <w:color w:val="000000"/>
                <w:sz w:val="22"/>
                <w:szCs w:val="22"/>
                <w:vertAlign w:val="superscript"/>
                <w:lang w:val="cs-CZ"/>
              </w:rPr>
              <w:t>2</w:t>
            </w:r>
            <w:r w:rsidR="00D97A44" w:rsidRPr="009B1A37">
              <w:rPr>
                <w:rFonts w:ascii="Times New Roman" w:hAnsi="Times New Roman" w:cs="Times New Roman"/>
                <w:color w:val="000000"/>
                <w:sz w:val="22"/>
                <w:szCs w:val="22"/>
                <w:lang w:val="cs-CZ"/>
              </w:rPr>
              <w:t>.</w:t>
            </w:r>
          </w:p>
        </w:tc>
      </w:tr>
      <w:tr w:rsidR="00D97A44" w:rsidRPr="009B1A37" w14:paraId="47B2ED3B" w14:textId="77777777" w:rsidTr="00F75C2F">
        <w:trPr>
          <w:cantSplit/>
        </w:trPr>
        <w:tc>
          <w:tcPr>
            <w:tcW w:w="2376" w:type="dxa"/>
            <w:tcBorders>
              <w:top w:val="single" w:sz="4" w:space="0" w:color="000000"/>
              <w:left w:val="single" w:sz="4" w:space="0" w:color="000000"/>
            </w:tcBorders>
          </w:tcPr>
          <w:p w14:paraId="28D10420" w14:textId="77777777" w:rsidR="00D97A44" w:rsidRPr="009B1A37" w:rsidRDefault="00D97A44" w:rsidP="00BE3D48">
            <w:pPr>
              <w:pStyle w:val="EndnoteText"/>
              <w:widowControl w:val="0"/>
              <w:tabs>
                <w:tab w:val="clear" w:pos="567"/>
              </w:tabs>
              <w:snapToGrid w:val="0"/>
              <w:rPr>
                <w:color w:val="000000"/>
              </w:rPr>
            </w:pPr>
            <w:r w:rsidRPr="009B1A37">
              <w:rPr>
                <w:color w:val="000000"/>
              </w:rPr>
              <w:t xml:space="preserve">Akcelerovaná fáze CML a blastická krize a Ph+ </w:t>
            </w:r>
            <w:smartTag w:uri="urn:schemas-microsoft-com:office:smarttags" w:element="stockticker">
              <w:r w:rsidRPr="009B1A37">
                <w:rPr>
                  <w:color w:val="000000"/>
                </w:rPr>
                <w:t>ALL</w:t>
              </w:r>
            </w:smartTag>
            <w:r w:rsidRPr="009B1A37">
              <w:rPr>
                <w:color w:val="000000"/>
              </w:rPr>
              <w:t xml:space="preserve"> (počáteční dávka 600 mg)</w:t>
            </w:r>
          </w:p>
        </w:tc>
        <w:tc>
          <w:tcPr>
            <w:tcW w:w="2400" w:type="dxa"/>
            <w:tcBorders>
              <w:top w:val="single" w:sz="4" w:space="0" w:color="000000"/>
              <w:left w:val="single" w:sz="4" w:space="0" w:color="000000"/>
            </w:tcBorders>
          </w:tcPr>
          <w:p w14:paraId="759817AA" w14:textId="77777777" w:rsidR="00D97A44" w:rsidRPr="009B1A37" w:rsidRDefault="00D97A44" w:rsidP="00BE3D48">
            <w:pPr>
              <w:pStyle w:val="Table"/>
              <w:keepNext w:val="0"/>
              <w:keepLines w:val="0"/>
              <w:widowControl w:val="0"/>
              <w:suppressLineNumbers/>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vertAlign w:val="superscript"/>
                <w:lang w:val="cs-CZ"/>
              </w:rPr>
              <w:t>a</w:t>
            </w:r>
            <w:r w:rsidRPr="009B1A37">
              <w:rPr>
                <w:rFonts w:ascii="Times New Roman" w:hAnsi="Times New Roman" w:cs="Times New Roman"/>
                <w:color w:val="000000"/>
                <w:sz w:val="22"/>
                <w:szCs w:val="22"/>
                <w:lang w:val="cs-CZ"/>
              </w:rPr>
              <w:t>ANC &lt; 0,5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/l</w:t>
            </w:r>
          </w:p>
          <w:p w14:paraId="66D0BF01" w14:textId="77777777" w:rsidR="00D97A44" w:rsidRPr="009B1A37" w:rsidRDefault="00D97A44" w:rsidP="00BE3D48">
            <w:pPr>
              <w:pStyle w:val="Table"/>
              <w:keepNext w:val="0"/>
              <w:keepLines w:val="0"/>
              <w:widowControl w:val="0"/>
              <w:suppressLineNumbers/>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a/nebo</w:t>
            </w:r>
          </w:p>
          <w:p w14:paraId="713C7914" w14:textId="77777777" w:rsidR="00D97A44" w:rsidRPr="009B1A37" w:rsidRDefault="00BA4FF7" w:rsidP="00BE3D48">
            <w:pPr>
              <w:pStyle w:val="EndnoteText"/>
              <w:widowControl w:val="0"/>
              <w:tabs>
                <w:tab w:val="clear" w:pos="567"/>
              </w:tabs>
              <w:rPr>
                <w:color w:val="000000"/>
              </w:rPr>
            </w:pPr>
            <w:r w:rsidRPr="009B1A37">
              <w:rPr>
                <w:color w:val="000000"/>
              </w:rPr>
              <w:t xml:space="preserve">trombocyty </w:t>
            </w:r>
            <w:r w:rsidR="00D97A44" w:rsidRPr="009B1A37">
              <w:rPr>
                <w:color w:val="000000"/>
              </w:rPr>
              <w:t>&lt; 10 x 10</w:t>
            </w:r>
            <w:r w:rsidR="00D97A44" w:rsidRPr="009B1A37">
              <w:rPr>
                <w:color w:val="000000"/>
                <w:vertAlign w:val="superscript"/>
              </w:rPr>
              <w:t>9</w:t>
            </w:r>
            <w:r w:rsidR="00D97A44" w:rsidRPr="009B1A37">
              <w:rPr>
                <w:color w:val="000000"/>
              </w:rPr>
              <w:t>/l</w:t>
            </w:r>
          </w:p>
        </w:tc>
        <w:tc>
          <w:tcPr>
            <w:tcW w:w="4444" w:type="dxa"/>
            <w:tcBorders>
              <w:top w:val="single" w:sz="4" w:space="0" w:color="000000"/>
              <w:left w:val="single" w:sz="4" w:space="0" w:color="000000"/>
              <w:right w:val="single" w:sz="4" w:space="0" w:color="000000"/>
            </w:tcBorders>
          </w:tcPr>
          <w:p w14:paraId="37FDEDCD" w14:textId="77777777" w:rsidR="00D97A44" w:rsidRPr="009B1A37" w:rsidRDefault="00D82ADC" w:rsidP="00BE3D48">
            <w:pPr>
              <w:pStyle w:val="Table"/>
              <w:keepNext w:val="0"/>
              <w:keepLines w:val="0"/>
              <w:widowControl w:val="0"/>
              <w:suppressLineNumbers/>
              <w:tabs>
                <w:tab w:val="clear" w:pos="284"/>
                <w:tab w:val="clear" w:pos="567"/>
              </w:tabs>
              <w:snapToGrid w:val="0"/>
              <w:spacing w:before="0" w:after="0"/>
              <w:ind w:left="489" w:hanging="489"/>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1.</w:t>
            </w:r>
            <w:r w:rsidRPr="009B1A37">
              <w:rPr>
                <w:rFonts w:ascii="Times New Roman" w:hAnsi="Times New Roman" w:cs="Times New Roman"/>
                <w:color w:val="000000"/>
                <w:sz w:val="22"/>
                <w:szCs w:val="22"/>
                <w:lang w:val="cs-CZ"/>
              </w:rPr>
              <w:tab/>
            </w:r>
            <w:r w:rsidR="00D97A44" w:rsidRPr="009B1A37">
              <w:rPr>
                <w:rFonts w:ascii="Times New Roman" w:hAnsi="Times New Roman" w:cs="Times New Roman"/>
                <w:color w:val="000000"/>
                <w:sz w:val="22"/>
                <w:szCs w:val="22"/>
                <w:lang w:val="cs-CZ"/>
              </w:rPr>
              <w:t>Zjistěte, zda cytopenie souvisí s leukemií (aspirací kostní dřeně nebo biopsií).</w:t>
            </w:r>
          </w:p>
          <w:p w14:paraId="23989CED" w14:textId="77777777" w:rsidR="00D97A44" w:rsidRPr="009B1A37" w:rsidRDefault="00D82ADC" w:rsidP="00BE3D48">
            <w:pPr>
              <w:pStyle w:val="Table"/>
              <w:keepNext w:val="0"/>
              <w:keepLines w:val="0"/>
              <w:widowControl w:val="0"/>
              <w:suppressLineNumbers/>
              <w:tabs>
                <w:tab w:val="clear" w:pos="284"/>
                <w:tab w:val="clear" w:pos="567"/>
              </w:tabs>
              <w:spacing w:before="0" w:after="0"/>
              <w:ind w:left="489" w:hanging="489"/>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2.</w:t>
            </w:r>
            <w:r w:rsidRPr="009B1A37">
              <w:rPr>
                <w:rFonts w:ascii="Times New Roman" w:hAnsi="Times New Roman" w:cs="Times New Roman"/>
                <w:color w:val="000000"/>
                <w:sz w:val="22"/>
                <w:szCs w:val="22"/>
                <w:lang w:val="cs-CZ"/>
              </w:rPr>
              <w:tab/>
            </w:r>
            <w:r w:rsidR="00D97A44" w:rsidRPr="009B1A37">
              <w:rPr>
                <w:rFonts w:ascii="Times New Roman" w:hAnsi="Times New Roman" w:cs="Times New Roman"/>
                <w:color w:val="000000"/>
                <w:sz w:val="22"/>
                <w:szCs w:val="22"/>
                <w:lang w:val="cs-CZ"/>
              </w:rPr>
              <w:t>Pokud cytopenie nesouvisí s leukemií, snižte dávku Glivecu na 400 mg.</w:t>
            </w:r>
          </w:p>
          <w:p w14:paraId="30C90691" w14:textId="77777777" w:rsidR="00D97A44" w:rsidRPr="009B1A37" w:rsidRDefault="00D82ADC" w:rsidP="00BE3D48">
            <w:pPr>
              <w:pStyle w:val="Table"/>
              <w:keepNext w:val="0"/>
              <w:keepLines w:val="0"/>
              <w:widowControl w:val="0"/>
              <w:suppressLineNumbers/>
              <w:tabs>
                <w:tab w:val="clear" w:pos="284"/>
                <w:tab w:val="clear" w:pos="567"/>
              </w:tabs>
              <w:spacing w:before="0" w:after="0"/>
              <w:ind w:left="489" w:hanging="489"/>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3.</w:t>
            </w:r>
            <w:r w:rsidRPr="009B1A37">
              <w:rPr>
                <w:rFonts w:ascii="Times New Roman" w:hAnsi="Times New Roman" w:cs="Times New Roman"/>
                <w:color w:val="000000"/>
                <w:sz w:val="22"/>
                <w:szCs w:val="22"/>
                <w:lang w:val="cs-CZ"/>
              </w:rPr>
              <w:tab/>
            </w:r>
            <w:r w:rsidR="00D97A44" w:rsidRPr="009B1A37">
              <w:rPr>
                <w:rFonts w:ascii="Times New Roman" w:hAnsi="Times New Roman" w:cs="Times New Roman"/>
                <w:color w:val="000000"/>
                <w:sz w:val="22"/>
                <w:szCs w:val="22"/>
                <w:lang w:val="cs-CZ"/>
              </w:rPr>
              <w:t>Pokud cytopenie přetrvává po 2 týdny, snižte dále dávku na 300 mg.</w:t>
            </w:r>
          </w:p>
          <w:p w14:paraId="2B0DB3AE" w14:textId="77777777" w:rsidR="00D97A44" w:rsidRPr="009B1A37" w:rsidRDefault="00D82ADC" w:rsidP="00BE3D48">
            <w:pPr>
              <w:pStyle w:val="EndnoteText"/>
              <w:widowControl w:val="0"/>
              <w:tabs>
                <w:tab w:val="clear" w:pos="567"/>
              </w:tabs>
              <w:ind w:left="489" w:hanging="489"/>
              <w:rPr>
                <w:color w:val="000000"/>
              </w:rPr>
            </w:pPr>
            <w:r w:rsidRPr="009B1A37">
              <w:rPr>
                <w:color w:val="000000"/>
              </w:rPr>
              <w:t>4.</w:t>
            </w:r>
            <w:r w:rsidRPr="009B1A37">
              <w:rPr>
                <w:color w:val="000000"/>
              </w:rPr>
              <w:tab/>
            </w:r>
            <w:r w:rsidR="00D97A44" w:rsidRPr="009B1A37">
              <w:rPr>
                <w:color w:val="000000"/>
              </w:rPr>
              <w:t xml:space="preserve">Pokud cytopenie přetrvává po 4 týdny a stále nesouvisí s leukemií, přerušte podávání Glivecu dokud není ANC </w:t>
            </w:r>
            <w:r w:rsidR="00D97A44" w:rsidRPr="009B1A37">
              <w:rPr>
                <w:rFonts w:ascii="Symbol" w:hAnsi="Symbol"/>
                <w:color w:val="000000"/>
              </w:rPr>
              <w:t></w:t>
            </w:r>
            <w:r w:rsidR="00D97A44" w:rsidRPr="009B1A37">
              <w:rPr>
                <w:color w:val="000000"/>
              </w:rPr>
              <w:t> 1 x 10</w:t>
            </w:r>
            <w:r w:rsidR="00D97A44" w:rsidRPr="009B1A37">
              <w:rPr>
                <w:color w:val="000000"/>
                <w:vertAlign w:val="superscript"/>
              </w:rPr>
              <w:t>9</w:t>
            </w:r>
            <w:r w:rsidR="00D97A44" w:rsidRPr="009B1A37">
              <w:rPr>
                <w:color w:val="000000"/>
              </w:rPr>
              <w:t xml:space="preserve">/l a </w:t>
            </w:r>
            <w:r w:rsidR="00BA4FF7" w:rsidRPr="009B1A37">
              <w:rPr>
                <w:color w:val="000000"/>
              </w:rPr>
              <w:t xml:space="preserve">trombocyty </w:t>
            </w:r>
            <w:r w:rsidR="00D97A44" w:rsidRPr="009B1A37">
              <w:rPr>
                <w:rFonts w:ascii="Symbol" w:hAnsi="Symbol"/>
                <w:color w:val="000000"/>
              </w:rPr>
              <w:t></w:t>
            </w:r>
            <w:r w:rsidR="00D97A44" w:rsidRPr="009B1A37">
              <w:rPr>
                <w:color w:val="000000"/>
              </w:rPr>
              <w:t> 20 x 10</w:t>
            </w:r>
            <w:r w:rsidR="00D97A44" w:rsidRPr="009B1A37">
              <w:rPr>
                <w:color w:val="000000"/>
                <w:vertAlign w:val="superscript"/>
              </w:rPr>
              <w:t>9</w:t>
            </w:r>
            <w:r w:rsidR="00D97A44" w:rsidRPr="009B1A37">
              <w:rPr>
                <w:color w:val="000000"/>
              </w:rPr>
              <w:t>/l, potom obnovte léčbu dávkou 300 mg.</w:t>
            </w:r>
          </w:p>
        </w:tc>
      </w:tr>
      <w:tr w:rsidR="00D97A44" w:rsidRPr="009B1A37" w14:paraId="1D9767A2" w14:textId="77777777" w:rsidTr="00F75C2F">
        <w:trPr>
          <w:cantSplit/>
        </w:trPr>
        <w:tc>
          <w:tcPr>
            <w:tcW w:w="2376" w:type="dxa"/>
            <w:tcBorders>
              <w:top w:val="single" w:sz="4" w:space="0" w:color="000000"/>
              <w:left w:val="single" w:sz="4" w:space="0" w:color="000000"/>
            </w:tcBorders>
          </w:tcPr>
          <w:p w14:paraId="3643D42A" w14:textId="77777777" w:rsidR="00D97A44" w:rsidRPr="009B1A37" w:rsidRDefault="00D97A44" w:rsidP="00BE3D48">
            <w:pPr>
              <w:pStyle w:val="EndnoteText"/>
              <w:widowControl w:val="0"/>
              <w:tabs>
                <w:tab w:val="clear" w:pos="567"/>
              </w:tabs>
              <w:snapToGrid w:val="0"/>
              <w:rPr>
                <w:color w:val="000000"/>
              </w:rPr>
            </w:pPr>
            <w:r w:rsidRPr="009B1A37">
              <w:rPr>
                <w:color w:val="000000"/>
              </w:rPr>
              <w:lastRenderedPageBreak/>
              <w:t>Akcelerovaná fáze CML a blastická krize u dětí (počáteční dávka 340 mg/m</w:t>
            </w:r>
            <w:r w:rsidRPr="009B1A37">
              <w:rPr>
                <w:color w:val="000000"/>
                <w:vertAlign w:val="superscript"/>
              </w:rPr>
              <w:t>2</w:t>
            </w:r>
            <w:r w:rsidRPr="009B1A37">
              <w:rPr>
                <w:color w:val="000000"/>
              </w:rPr>
              <w:t>)</w:t>
            </w:r>
          </w:p>
        </w:tc>
        <w:tc>
          <w:tcPr>
            <w:tcW w:w="2400" w:type="dxa"/>
            <w:tcBorders>
              <w:top w:val="single" w:sz="4" w:space="0" w:color="000000"/>
              <w:left w:val="single" w:sz="4" w:space="0" w:color="000000"/>
            </w:tcBorders>
          </w:tcPr>
          <w:p w14:paraId="632F2007" w14:textId="77777777" w:rsidR="00D97A44" w:rsidRPr="009B1A37" w:rsidRDefault="00D97A44" w:rsidP="00BE3D48">
            <w:pPr>
              <w:pStyle w:val="Table"/>
              <w:keepNext w:val="0"/>
              <w:keepLines w:val="0"/>
              <w:widowControl w:val="0"/>
              <w:suppressLineNumbers/>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vertAlign w:val="superscript"/>
                <w:lang w:val="cs-CZ"/>
              </w:rPr>
              <w:t>a</w:t>
            </w:r>
            <w:r w:rsidRPr="009B1A37">
              <w:rPr>
                <w:rFonts w:ascii="Times New Roman" w:hAnsi="Times New Roman" w:cs="Times New Roman"/>
                <w:color w:val="000000"/>
                <w:sz w:val="22"/>
                <w:szCs w:val="22"/>
                <w:lang w:val="cs-CZ"/>
              </w:rPr>
              <w:t>ANC &lt; 0,5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/l</w:t>
            </w:r>
          </w:p>
          <w:p w14:paraId="21ECA568" w14:textId="77777777" w:rsidR="00D97A44" w:rsidRPr="009B1A37" w:rsidRDefault="00D97A44" w:rsidP="00BE3D48">
            <w:pPr>
              <w:pStyle w:val="Table"/>
              <w:keepNext w:val="0"/>
              <w:keepLines w:val="0"/>
              <w:widowControl w:val="0"/>
              <w:suppressLineNumbers/>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a/nebo</w:t>
            </w:r>
          </w:p>
          <w:p w14:paraId="0E9239BC" w14:textId="77777777" w:rsidR="00D97A44" w:rsidRPr="009B1A37" w:rsidRDefault="00BA4FF7" w:rsidP="00BE3D48">
            <w:pPr>
              <w:pStyle w:val="EndnoteText"/>
              <w:widowControl w:val="0"/>
              <w:tabs>
                <w:tab w:val="clear" w:pos="567"/>
              </w:tabs>
              <w:rPr>
                <w:color w:val="000000"/>
              </w:rPr>
            </w:pPr>
            <w:r w:rsidRPr="009B1A37">
              <w:rPr>
                <w:color w:val="000000"/>
              </w:rPr>
              <w:t xml:space="preserve">trombocyty </w:t>
            </w:r>
            <w:r w:rsidR="00D97A44" w:rsidRPr="009B1A37">
              <w:rPr>
                <w:color w:val="000000"/>
              </w:rPr>
              <w:t>&lt; 10 x 10</w:t>
            </w:r>
            <w:r w:rsidR="00D97A44" w:rsidRPr="009B1A37">
              <w:rPr>
                <w:color w:val="000000"/>
                <w:vertAlign w:val="superscript"/>
              </w:rPr>
              <w:t>9</w:t>
            </w:r>
            <w:r w:rsidR="00D97A44" w:rsidRPr="009B1A37">
              <w:rPr>
                <w:color w:val="000000"/>
              </w:rPr>
              <w:t>/l</w:t>
            </w:r>
          </w:p>
        </w:tc>
        <w:tc>
          <w:tcPr>
            <w:tcW w:w="4444" w:type="dxa"/>
            <w:tcBorders>
              <w:top w:val="single" w:sz="4" w:space="0" w:color="000000"/>
              <w:left w:val="single" w:sz="4" w:space="0" w:color="000000"/>
              <w:right w:val="single" w:sz="4" w:space="0" w:color="000000"/>
            </w:tcBorders>
          </w:tcPr>
          <w:p w14:paraId="1ABDA88E" w14:textId="77777777" w:rsidR="00D97A44" w:rsidRPr="009B1A37" w:rsidRDefault="00D82ADC" w:rsidP="00BE3D48">
            <w:pPr>
              <w:pStyle w:val="Table"/>
              <w:keepNext w:val="0"/>
              <w:keepLines w:val="0"/>
              <w:widowControl w:val="0"/>
              <w:suppressLineNumbers/>
              <w:tabs>
                <w:tab w:val="clear" w:pos="284"/>
                <w:tab w:val="clear" w:pos="567"/>
              </w:tabs>
              <w:snapToGrid w:val="0"/>
              <w:spacing w:before="0" w:after="0"/>
              <w:ind w:left="489" w:hanging="489"/>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1.</w:t>
            </w:r>
            <w:r w:rsidRPr="009B1A37">
              <w:rPr>
                <w:rFonts w:ascii="Times New Roman" w:hAnsi="Times New Roman" w:cs="Times New Roman"/>
                <w:color w:val="000000"/>
                <w:sz w:val="22"/>
                <w:szCs w:val="22"/>
                <w:lang w:val="cs-CZ"/>
              </w:rPr>
              <w:tab/>
            </w:r>
            <w:r w:rsidR="00D97A44" w:rsidRPr="009B1A37">
              <w:rPr>
                <w:rFonts w:ascii="Times New Roman" w:hAnsi="Times New Roman" w:cs="Times New Roman"/>
                <w:color w:val="000000"/>
                <w:sz w:val="22"/>
                <w:szCs w:val="22"/>
                <w:lang w:val="cs-CZ"/>
              </w:rPr>
              <w:t>Zjistěte, zda cytopenie souvisí s leukemií (aspirací kostní dřeně nebo biopsií).</w:t>
            </w:r>
          </w:p>
          <w:p w14:paraId="78F81F75" w14:textId="77777777" w:rsidR="00D97A44" w:rsidRPr="009B1A37" w:rsidRDefault="00D82ADC" w:rsidP="00BE3D48">
            <w:pPr>
              <w:pStyle w:val="Table"/>
              <w:keepNext w:val="0"/>
              <w:keepLines w:val="0"/>
              <w:widowControl w:val="0"/>
              <w:suppressLineNumbers/>
              <w:tabs>
                <w:tab w:val="clear" w:pos="284"/>
                <w:tab w:val="clear" w:pos="567"/>
              </w:tabs>
              <w:spacing w:before="0" w:after="0"/>
              <w:ind w:left="489" w:hanging="489"/>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2.</w:t>
            </w:r>
            <w:r w:rsidRPr="009B1A37">
              <w:rPr>
                <w:rFonts w:ascii="Times New Roman" w:hAnsi="Times New Roman" w:cs="Times New Roman"/>
                <w:color w:val="000000"/>
                <w:sz w:val="22"/>
                <w:szCs w:val="22"/>
                <w:lang w:val="cs-CZ"/>
              </w:rPr>
              <w:tab/>
            </w:r>
            <w:r w:rsidR="00D97A44" w:rsidRPr="009B1A37">
              <w:rPr>
                <w:rFonts w:ascii="Times New Roman" w:hAnsi="Times New Roman" w:cs="Times New Roman"/>
                <w:color w:val="000000"/>
                <w:sz w:val="22"/>
                <w:szCs w:val="22"/>
                <w:lang w:val="cs-CZ"/>
              </w:rPr>
              <w:t>Pokud cytopenie nesouvisí s leukemií, snižte dávku Glivecu na 260 mg/m</w:t>
            </w:r>
            <w:r w:rsidR="00D97A44" w:rsidRPr="009B1A37">
              <w:rPr>
                <w:rFonts w:ascii="Times New Roman" w:hAnsi="Times New Roman" w:cs="Times New Roman"/>
                <w:color w:val="000000"/>
                <w:sz w:val="22"/>
                <w:szCs w:val="22"/>
                <w:vertAlign w:val="superscript"/>
                <w:lang w:val="cs-CZ"/>
              </w:rPr>
              <w:t>2</w:t>
            </w:r>
            <w:r w:rsidR="00D97A44" w:rsidRPr="009B1A37">
              <w:rPr>
                <w:rFonts w:ascii="Times New Roman" w:hAnsi="Times New Roman" w:cs="Times New Roman"/>
                <w:color w:val="000000"/>
                <w:sz w:val="22"/>
                <w:szCs w:val="22"/>
                <w:lang w:val="cs-CZ"/>
              </w:rPr>
              <w:t>.</w:t>
            </w:r>
          </w:p>
          <w:p w14:paraId="61DBBD78" w14:textId="77777777" w:rsidR="00D97A44" w:rsidRPr="009B1A37" w:rsidRDefault="00D82ADC" w:rsidP="00BE3D48">
            <w:pPr>
              <w:pStyle w:val="Table"/>
              <w:keepNext w:val="0"/>
              <w:keepLines w:val="0"/>
              <w:widowControl w:val="0"/>
              <w:suppressLineNumbers/>
              <w:tabs>
                <w:tab w:val="clear" w:pos="284"/>
                <w:tab w:val="clear" w:pos="567"/>
              </w:tabs>
              <w:spacing w:before="0" w:after="0"/>
              <w:ind w:left="489" w:hanging="489"/>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3.</w:t>
            </w:r>
            <w:r w:rsidRPr="009B1A37">
              <w:rPr>
                <w:rFonts w:ascii="Times New Roman" w:hAnsi="Times New Roman" w:cs="Times New Roman"/>
                <w:color w:val="000000"/>
                <w:sz w:val="22"/>
                <w:szCs w:val="22"/>
                <w:lang w:val="cs-CZ"/>
              </w:rPr>
              <w:tab/>
            </w:r>
            <w:r w:rsidR="00D97A44" w:rsidRPr="009B1A37">
              <w:rPr>
                <w:rFonts w:ascii="Times New Roman" w:hAnsi="Times New Roman" w:cs="Times New Roman"/>
                <w:color w:val="000000"/>
                <w:sz w:val="22"/>
                <w:szCs w:val="22"/>
                <w:lang w:val="cs-CZ"/>
              </w:rPr>
              <w:t>Pokud cytopenie přetrvává po 2 týdny, snižte dále dávku na 200 mg/m</w:t>
            </w:r>
            <w:r w:rsidR="00D97A44" w:rsidRPr="009B1A37">
              <w:rPr>
                <w:rFonts w:ascii="Times New Roman" w:hAnsi="Times New Roman" w:cs="Times New Roman"/>
                <w:color w:val="000000"/>
                <w:sz w:val="22"/>
                <w:szCs w:val="22"/>
                <w:vertAlign w:val="superscript"/>
                <w:lang w:val="cs-CZ"/>
              </w:rPr>
              <w:t>2</w:t>
            </w:r>
            <w:r w:rsidR="00D97A44" w:rsidRPr="009B1A37">
              <w:rPr>
                <w:rFonts w:ascii="Times New Roman" w:hAnsi="Times New Roman" w:cs="Times New Roman"/>
                <w:color w:val="000000"/>
                <w:sz w:val="22"/>
                <w:szCs w:val="22"/>
                <w:lang w:val="cs-CZ"/>
              </w:rPr>
              <w:t>.</w:t>
            </w:r>
          </w:p>
          <w:p w14:paraId="46008913" w14:textId="77777777" w:rsidR="00D97A44" w:rsidRPr="009B1A37" w:rsidRDefault="00D82ADC" w:rsidP="00BE3D48">
            <w:pPr>
              <w:pStyle w:val="EndnoteText"/>
              <w:widowControl w:val="0"/>
              <w:tabs>
                <w:tab w:val="clear" w:pos="567"/>
              </w:tabs>
              <w:ind w:left="489" w:hanging="489"/>
              <w:rPr>
                <w:color w:val="000000"/>
              </w:rPr>
            </w:pPr>
            <w:r w:rsidRPr="009B1A37">
              <w:rPr>
                <w:color w:val="000000"/>
              </w:rPr>
              <w:t>4.</w:t>
            </w:r>
            <w:r w:rsidRPr="009B1A37">
              <w:rPr>
                <w:color w:val="000000"/>
              </w:rPr>
              <w:tab/>
            </w:r>
            <w:r w:rsidR="00D97A44" w:rsidRPr="009B1A37">
              <w:rPr>
                <w:color w:val="000000"/>
              </w:rPr>
              <w:t xml:space="preserve">Pokud cytopenie přetrvává po 4 týdny a stále nesouvisí s leukemií, přerušte podávání Glivecu, dokud není ANC </w:t>
            </w:r>
            <w:r w:rsidR="00D97A44" w:rsidRPr="009B1A37">
              <w:rPr>
                <w:rFonts w:ascii="Symbol" w:hAnsi="Symbol"/>
                <w:color w:val="000000"/>
              </w:rPr>
              <w:t></w:t>
            </w:r>
            <w:r w:rsidR="00D97A44" w:rsidRPr="009B1A37">
              <w:rPr>
                <w:color w:val="000000"/>
              </w:rPr>
              <w:t> 1 x 10</w:t>
            </w:r>
            <w:r w:rsidR="00D97A44" w:rsidRPr="009B1A37">
              <w:rPr>
                <w:color w:val="000000"/>
                <w:vertAlign w:val="superscript"/>
              </w:rPr>
              <w:t>9</w:t>
            </w:r>
            <w:r w:rsidR="00D97A44" w:rsidRPr="009B1A37">
              <w:rPr>
                <w:color w:val="000000"/>
              </w:rPr>
              <w:t xml:space="preserve">/l a </w:t>
            </w:r>
            <w:r w:rsidR="00BA4FF7" w:rsidRPr="009B1A37">
              <w:rPr>
                <w:color w:val="000000"/>
              </w:rPr>
              <w:t xml:space="preserve">trombocyty </w:t>
            </w:r>
            <w:r w:rsidR="00D97A44" w:rsidRPr="009B1A37">
              <w:rPr>
                <w:rFonts w:ascii="Symbol" w:hAnsi="Symbol"/>
                <w:color w:val="000000"/>
              </w:rPr>
              <w:t></w:t>
            </w:r>
            <w:r w:rsidR="00D97A44" w:rsidRPr="009B1A37">
              <w:rPr>
                <w:color w:val="000000"/>
              </w:rPr>
              <w:t> 20 x 10</w:t>
            </w:r>
            <w:r w:rsidR="00D97A44" w:rsidRPr="009B1A37">
              <w:rPr>
                <w:color w:val="000000"/>
                <w:vertAlign w:val="superscript"/>
              </w:rPr>
              <w:t>9</w:t>
            </w:r>
            <w:r w:rsidR="00D97A44" w:rsidRPr="009B1A37">
              <w:rPr>
                <w:color w:val="000000"/>
              </w:rPr>
              <w:t>/l, potom obnovte léčbu dávkou 200 mg/m</w:t>
            </w:r>
            <w:r w:rsidR="00D97A44" w:rsidRPr="009B1A37">
              <w:rPr>
                <w:color w:val="000000"/>
                <w:vertAlign w:val="superscript"/>
              </w:rPr>
              <w:t>2</w:t>
            </w:r>
            <w:r w:rsidR="00D97A44" w:rsidRPr="009B1A37">
              <w:rPr>
                <w:color w:val="000000"/>
              </w:rPr>
              <w:t>.</w:t>
            </w:r>
          </w:p>
        </w:tc>
      </w:tr>
      <w:tr w:rsidR="00D97A44" w:rsidRPr="009B1A37" w14:paraId="343DE23D" w14:textId="77777777" w:rsidTr="00F75C2F">
        <w:trPr>
          <w:cantSplit/>
        </w:trPr>
        <w:tc>
          <w:tcPr>
            <w:tcW w:w="2376" w:type="dxa"/>
            <w:tcBorders>
              <w:top w:val="single" w:sz="4" w:space="0" w:color="000000"/>
              <w:left w:val="single" w:sz="4" w:space="0" w:color="000000"/>
            </w:tcBorders>
          </w:tcPr>
          <w:p w14:paraId="546F8180" w14:textId="77777777" w:rsidR="00D97A44" w:rsidRPr="009B1A37" w:rsidRDefault="00D97A44" w:rsidP="00BE3D48">
            <w:pPr>
              <w:pStyle w:val="Table"/>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DFSP</w:t>
            </w:r>
          </w:p>
          <w:p w14:paraId="54C7E88F" w14:textId="77777777" w:rsidR="00D97A44" w:rsidRPr="009B1A37" w:rsidRDefault="00D97A44" w:rsidP="00BE3D48">
            <w:pPr>
              <w:pStyle w:val="EndnoteText"/>
              <w:widowControl w:val="0"/>
              <w:tabs>
                <w:tab w:val="clear" w:pos="567"/>
              </w:tabs>
              <w:rPr>
                <w:color w:val="000000"/>
              </w:rPr>
            </w:pPr>
            <w:r w:rsidRPr="009B1A37">
              <w:rPr>
                <w:color w:val="000000"/>
              </w:rPr>
              <w:t>(při dávce 800 mg)</w:t>
            </w:r>
          </w:p>
        </w:tc>
        <w:tc>
          <w:tcPr>
            <w:tcW w:w="2400" w:type="dxa"/>
            <w:tcBorders>
              <w:top w:val="single" w:sz="4" w:space="0" w:color="000000"/>
              <w:left w:val="single" w:sz="4" w:space="0" w:color="000000"/>
            </w:tcBorders>
          </w:tcPr>
          <w:p w14:paraId="1431A6B8" w14:textId="77777777" w:rsidR="00D97A44" w:rsidRPr="009B1A37" w:rsidRDefault="00D97A44" w:rsidP="00BE3D48">
            <w:pPr>
              <w:pStyle w:val="Table"/>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ANC &lt; 1,0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/l</w:t>
            </w:r>
          </w:p>
          <w:p w14:paraId="4FD5A27B" w14:textId="77777777" w:rsidR="00D97A44" w:rsidRPr="009B1A37" w:rsidRDefault="00D97A44" w:rsidP="00BE3D48">
            <w:pPr>
              <w:pStyle w:val="Table"/>
              <w:widowControl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a/nebo</w:t>
            </w:r>
          </w:p>
          <w:p w14:paraId="51C72704" w14:textId="77777777" w:rsidR="00D97A44" w:rsidRPr="009B1A37" w:rsidRDefault="00BA4FF7" w:rsidP="00BE3D48">
            <w:pPr>
              <w:pStyle w:val="Table"/>
              <w:keepNext w:val="0"/>
              <w:keepLines w:val="0"/>
              <w:widowControl w:val="0"/>
              <w:suppressLineNumbers/>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 xml:space="preserve">trombocyty </w:t>
            </w:r>
            <w:r w:rsidR="00D97A44" w:rsidRPr="009B1A37">
              <w:rPr>
                <w:rFonts w:ascii="Times New Roman" w:hAnsi="Times New Roman" w:cs="Times New Roman"/>
                <w:color w:val="000000"/>
                <w:sz w:val="22"/>
                <w:szCs w:val="22"/>
                <w:lang w:val="cs-CZ"/>
              </w:rPr>
              <w:t>&lt; 50 x 10</w:t>
            </w:r>
            <w:r w:rsidR="00D97A44" w:rsidRPr="009B1A37">
              <w:rPr>
                <w:rFonts w:ascii="Times New Roman" w:hAnsi="Times New Roman" w:cs="Times New Roman"/>
                <w:color w:val="000000"/>
                <w:sz w:val="22"/>
                <w:szCs w:val="22"/>
                <w:vertAlign w:val="superscript"/>
                <w:lang w:val="cs-CZ"/>
              </w:rPr>
              <w:t>9</w:t>
            </w:r>
            <w:r w:rsidR="00D97A44" w:rsidRPr="009B1A37">
              <w:rPr>
                <w:rFonts w:ascii="Times New Roman" w:hAnsi="Times New Roman" w:cs="Times New Roman"/>
                <w:color w:val="000000"/>
                <w:sz w:val="22"/>
                <w:szCs w:val="22"/>
                <w:lang w:val="cs-CZ"/>
              </w:rPr>
              <w:t>/l</w:t>
            </w:r>
          </w:p>
        </w:tc>
        <w:tc>
          <w:tcPr>
            <w:tcW w:w="4444" w:type="dxa"/>
            <w:tcBorders>
              <w:top w:val="single" w:sz="4" w:space="0" w:color="000000"/>
              <w:left w:val="single" w:sz="4" w:space="0" w:color="000000"/>
              <w:right w:val="single" w:sz="4" w:space="0" w:color="000000"/>
            </w:tcBorders>
          </w:tcPr>
          <w:p w14:paraId="6030B897" w14:textId="77777777" w:rsidR="00D97A44" w:rsidRPr="009B1A37" w:rsidRDefault="00D97A44" w:rsidP="00BE3D48">
            <w:pPr>
              <w:pStyle w:val="EndnoteText"/>
              <w:widowControl w:val="0"/>
              <w:tabs>
                <w:tab w:val="clear" w:pos="567"/>
                <w:tab w:val="left" w:pos="3053"/>
              </w:tabs>
              <w:snapToGrid w:val="0"/>
              <w:ind w:left="489" w:hanging="489"/>
              <w:rPr>
                <w:color w:val="000000"/>
              </w:rPr>
            </w:pPr>
            <w:r w:rsidRPr="009B1A37">
              <w:rPr>
                <w:color w:val="000000"/>
              </w:rPr>
              <w:t>1.</w:t>
            </w:r>
            <w:r w:rsidRPr="009B1A37">
              <w:rPr>
                <w:color w:val="000000"/>
              </w:rPr>
              <w:tab/>
              <w:t xml:space="preserve">Přerušte podávání Glivecu, dokud není ANC </w:t>
            </w:r>
            <w:r w:rsidRPr="009B1A37">
              <w:rPr>
                <w:rFonts w:ascii="Symbol" w:hAnsi="Symbol"/>
                <w:color w:val="000000"/>
              </w:rPr>
              <w:t></w:t>
            </w:r>
            <w:r w:rsidRPr="009B1A37">
              <w:rPr>
                <w:color w:val="000000"/>
              </w:rPr>
              <w:t> 1,5 x 10</w:t>
            </w:r>
            <w:r w:rsidRPr="009B1A37">
              <w:rPr>
                <w:color w:val="000000"/>
                <w:vertAlign w:val="superscript"/>
              </w:rPr>
              <w:t>9</w:t>
            </w:r>
            <w:r w:rsidRPr="009B1A37">
              <w:rPr>
                <w:color w:val="000000"/>
              </w:rPr>
              <w:t xml:space="preserve">/l a </w:t>
            </w:r>
            <w:r w:rsidR="00BA4FF7" w:rsidRPr="009B1A37">
              <w:rPr>
                <w:color w:val="000000"/>
              </w:rPr>
              <w:t xml:space="preserve">trombocyty </w:t>
            </w:r>
            <w:r w:rsidRPr="009B1A37">
              <w:rPr>
                <w:rFonts w:ascii="Symbol" w:hAnsi="Symbol"/>
                <w:color w:val="000000"/>
              </w:rPr>
              <w:t></w:t>
            </w:r>
            <w:r w:rsidRPr="009B1A37">
              <w:rPr>
                <w:color w:val="000000"/>
              </w:rPr>
              <w:t> 75 x 10</w:t>
            </w:r>
            <w:r w:rsidRPr="009B1A37">
              <w:rPr>
                <w:color w:val="000000"/>
                <w:vertAlign w:val="superscript"/>
              </w:rPr>
              <w:t>9</w:t>
            </w:r>
            <w:r w:rsidRPr="009B1A37">
              <w:rPr>
                <w:color w:val="000000"/>
              </w:rPr>
              <w:t>/l.</w:t>
            </w:r>
          </w:p>
          <w:p w14:paraId="48266786" w14:textId="77777777" w:rsidR="00D97A44" w:rsidRPr="009B1A37" w:rsidRDefault="00D97A44" w:rsidP="00BE3D48">
            <w:pPr>
              <w:pStyle w:val="EndnoteText"/>
              <w:widowControl w:val="0"/>
              <w:tabs>
                <w:tab w:val="clear" w:pos="567"/>
                <w:tab w:val="left" w:pos="3053"/>
              </w:tabs>
              <w:ind w:left="489" w:hanging="489"/>
              <w:rPr>
                <w:color w:val="000000"/>
              </w:rPr>
            </w:pPr>
            <w:r w:rsidRPr="009B1A37">
              <w:rPr>
                <w:color w:val="000000"/>
              </w:rPr>
              <w:t>2.</w:t>
            </w:r>
            <w:r w:rsidRPr="009B1A37">
              <w:rPr>
                <w:color w:val="000000"/>
              </w:rPr>
              <w:tab/>
              <w:t>Obnovte léčbu Glivecem v dávce 600 mg.</w:t>
            </w:r>
          </w:p>
          <w:p w14:paraId="045E6463" w14:textId="77777777" w:rsidR="00D97A44" w:rsidRPr="009B1A37" w:rsidRDefault="00D97A44" w:rsidP="00BE3D48">
            <w:pPr>
              <w:pStyle w:val="Table"/>
              <w:keepNext w:val="0"/>
              <w:keepLines w:val="0"/>
              <w:widowControl w:val="0"/>
              <w:suppressLineNumbers/>
              <w:tabs>
                <w:tab w:val="clear" w:pos="284"/>
                <w:tab w:val="clear" w:pos="567"/>
                <w:tab w:val="left" w:pos="2400"/>
                <w:tab w:val="left" w:pos="3055"/>
              </w:tabs>
              <w:spacing w:before="0" w:after="0"/>
              <w:ind w:left="489" w:hanging="489"/>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3.</w:t>
            </w:r>
            <w:r w:rsidRPr="009B1A37">
              <w:rPr>
                <w:rFonts w:ascii="Times New Roman" w:hAnsi="Times New Roman" w:cs="Times New Roman"/>
                <w:color w:val="000000"/>
                <w:sz w:val="22"/>
                <w:szCs w:val="22"/>
                <w:lang w:val="cs-CZ"/>
              </w:rPr>
              <w:tab/>
              <w:t>V případě opakování ANC &lt; 1,0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 xml:space="preserve">/l a/nebo </w:t>
            </w:r>
            <w:r w:rsidR="00BA4FF7" w:rsidRPr="009B1A37">
              <w:rPr>
                <w:rFonts w:ascii="Times New Roman" w:hAnsi="Times New Roman" w:cs="Times New Roman"/>
                <w:color w:val="000000"/>
                <w:sz w:val="22"/>
                <w:szCs w:val="22"/>
                <w:lang w:val="cs-CZ"/>
              </w:rPr>
              <w:t xml:space="preserve">trombocytů </w:t>
            </w:r>
            <w:r w:rsidRPr="009B1A37">
              <w:rPr>
                <w:rFonts w:ascii="Times New Roman" w:hAnsi="Times New Roman" w:cs="Times New Roman"/>
                <w:color w:val="000000"/>
                <w:sz w:val="22"/>
                <w:szCs w:val="22"/>
                <w:lang w:val="cs-CZ"/>
              </w:rPr>
              <w:t>k</w:t>
            </w:r>
            <w:r w:rsidRPr="009B1A37">
              <w:rPr>
                <w:color w:val="000000"/>
                <w:lang w:val="cs-CZ"/>
              </w:rPr>
              <w:t> </w:t>
            </w:r>
            <w:r w:rsidRPr="009B1A37">
              <w:rPr>
                <w:rFonts w:ascii="Times New Roman" w:hAnsi="Times New Roman" w:cs="Times New Roman"/>
                <w:color w:val="000000"/>
                <w:sz w:val="22"/>
                <w:szCs w:val="22"/>
                <w:lang w:val="cs-CZ"/>
              </w:rPr>
              <w:t>&lt; 50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/l, opakujte</w:t>
            </w:r>
            <w:r w:rsidR="00BA4FF7" w:rsidRPr="009B1A37">
              <w:rPr>
                <w:rFonts w:ascii="Times New Roman" w:hAnsi="Times New Roman" w:cs="Times New Roman"/>
                <w:color w:val="000000"/>
                <w:sz w:val="22"/>
                <w:szCs w:val="22"/>
                <w:lang w:val="cs-CZ"/>
              </w:rPr>
              <w:t xml:space="preserve"> krok</w:t>
            </w:r>
            <w:r w:rsidRPr="009B1A37">
              <w:rPr>
                <w:rFonts w:ascii="Times New Roman" w:hAnsi="Times New Roman" w:cs="Times New Roman"/>
                <w:color w:val="000000"/>
                <w:sz w:val="22"/>
                <w:szCs w:val="22"/>
                <w:lang w:val="cs-CZ"/>
              </w:rPr>
              <w:t> 1 a léčbu Glivecem obnovte se sníženou dávkou 400 mg.</w:t>
            </w:r>
          </w:p>
        </w:tc>
      </w:tr>
      <w:tr w:rsidR="00D97A44" w:rsidRPr="009B1A37" w14:paraId="04CD509A" w14:textId="77777777" w:rsidTr="00F75C2F">
        <w:trPr>
          <w:cantSplit/>
        </w:trPr>
        <w:tc>
          <w:tcPr>
            <w:tcW w:w="9220" w:type="dxa"/>
            <w:gridSpan w:val="3"/>
            <w:tcBorders>
              <w:top w:val="single" w:sz="4" w:space="0" w:color="000000"/>
              <w:left w:val="single" w:sz="4" w:space="0" w:color="000000"/>
              <w:right w:val="single" w:sz="4" w:space="0" w:color="000000"/>
            </w:tcBorders>
          </w:tcPr>
          <w:p w14:paraId="451D0172" w14:textId="77777777" w:rsidR="00D97A44" w:rsidRPr="009B1A37" w:rsidRDefault="00D97A44" w:rsidP="009F41EF">
            <w:pPr>
              <w:pStyle w:val="EndnoteText"/>
              <w:keepNext/>
              <w:widowControl w:val="0"/>
              <w:tabs>
                <w:tab w:val="clear" w:pos="567"/>
              </w:tabs>
              <w:suppressAutoHyphens w:val="0"/>
              <w:snapToGrid w:val="0"/>
              <w:rPr>
                <w:color w:val="000000"/>
              </w:rPr>
            </w:pPr>
            <w:r w:rsidRPr="009B1A37">
              <w:rPr>
                <w:color w:val="000000"/>
              </w:rPr>
              <w:t>ANC = absolutní počet neutrofilů</w:t>
            </w:r>
          </w:p>
        </w:tc>
      </w:tr>
      <w:tr w:rsidR="00D97A44" w:rsidRPr="009B1A37" w14:paraId="51C46691" w14:textId="77777777" w:rsidTr="00F75C2F">
        <w:trPr>
          <w:cantSplit/>
        </w:trPr>
        <w:tc>
          <w:tcPr>
            <w:tcW w:w="9220" w:type="dxa"/>
            <w:gridSpan w:val="3"/>
            <w:tcBorders>
              <w:left w:val="single" w:sz="4" w:space="0" w:color="000000"/>
              <w:bottom w:val="single" w:sz="4" w:space="0" w:color="000000"/>
              <w:right w:val="single" w:sz="4" w:space="0" w:color="000000"/>
            </w:tcBorders>
          </w:tcPr>
          <w:p w14:paraId="5399E3C9" w14:textId="77777777" w:rsidR="00D97A44" w:rsidRPr="009B1A37" w:rsidRDefault="00D97A44" w:rsidP="00BE3D48">
            <w:pPr>
              <w:pStyle w:val="EndnoteText"/>
              <w:widowControl w:val="0"/>
              <w:tabs>
                <w:tab w:val="clear" w:pos="567"/>
              </w:tabs>
              <w:snapToGrid w:val="0"/>
            </w:pPr>
            <w:r w:rsidRPr="009B1A37">
              <w:rPr>
                <w:color w:val="000000"/>
                <w:vertAlign w:val="superscript"/>
              </w:rPr>
              <w:t>a</w:t>
            </w:r>
            <w:r w:rsidRPr="009B1A37">
              <w:rPr>
                <w:color w:val="000000"/>
              </w:rPr>
              <w:t xml:space="preserve"> výskyt </w:t>
            </w:r>
            <w:r w:rsidR="00BA4FF7" w:rsidRPr="009B1A37">
              <w:rPr>
                <w:color w:val="000000"/>
              </w:rPr>
              <w:t>alespoň</w:t>
            </w:r>
            <w:r w:rsidRPr="009B1A37">
              <w:rPr>
                <w:color w:val="000000"/>
              </w:rPr>
              <w:t xml:space="preserve"> po 1 měsíci léčby</w:t>
            </w:r>
          </w:p>
        </w:tc>
      </w:tr>
    </w:tbl>
    <w:p w14:paraId="769FACA1" w14:textId="77777777" w:rsidR="00D97A44" w:rsidRPr="009B1A37" w:rsidRDefault="00D97A44" w:rsidP="00BE3D48">
      <w:pPr>
        <w:pStyle w:val="EndnoteText"/>
        <w:widowControl w:val="0"/>
        <w:tabs>
          <w:tab w:val="clear" w:pos="567"/>
        </w:tabs>
      </w:pPr>
    </w:p>
    <w:p w14:paraId="66AE822A" w14:textId="77777777" w:rsidR="006143A6" w:rsidRPr="009B1A37" w:rsidRDefault="006143A6" w:rsidP="00BE3D48">
      <w:pPr>
        <w:pStyle w:val="EndnoteText"/>
        <w:keepNext/>
        <w:widowControl w:val="0"/>
        <w:tabs>
          <w:tab w:val="clear" w:pos="567"/>
        </w:tabs>
        <w:rPr>
          <w:u w:val="single"/>
        </w:rPr>
      </w:pPr>
      <w:r w:rsidRPr="009B1A37">
        <w:rPr>
          <w:u w:val="single"/>
        </w:rPr>
        <w:t>Zvláštní populace</w:t>
      </w:r>
    </w:p>
    <w:p w14:paraId="4FC471D4" w14:textId="77777777" w:rsidR="00324A6B" w:rsidRPr="009B1A37" w:rsidRDefault="00BA4FF7" w:rsidP="00BE3D48">
      <w:pPr>
        <w:widowControl w:val="0"/>
        <w:spacing w:line="240" w:lineRule="auto"/>
        <w:rPr>
          <w:color w:val="000000"/>
        </w:rPr>
      </w:pPr>
      <w:r w:rsidRPr="009B1A37">
        <w:rPr>
          <w:i/>
          <w:color w:val="000000"/>
        </w:rPr>
        <w:t>Pou</w:t>
      </w:r>
      <w:r w:rsidR="00D97A44" w:rsidRPr="009B1A37">
        <w:rPr>
          <w:i/>
          <w:color w:val="000000"/>
        </w:rPr>
        <w:t>žití u dětí</w:t>
      </w:r>
      <w:r w:rsidR="00D97A44" w:rsidRPr="009B1A37">
        <w:rPr>
          <w:color w:val="000000"/>
        </w:rPr>
        <w:t xml:space="preserve">: Nejsou žádné zkušenosti s podáváním u dětí s CML mladších než 2 roky </w:t>
      </w:r>
      <w:r w:rsidR="006D1CF6" w:rsidRPr="009B1A37">
        <w:rPr>
          <w:color w:val="000000"/>
        </w:rPr>
        <w:t xml:space="preserve">a u dětí s Ph+ </w:t>
      </w:r>
      <w:smartTag w:uri="urn:schemas-microsoft-com:office:smarttags" w:element="stockticker">
        <w:r w:rsidR="006D1CF6" w:rsidRPr="009B1A37">
          <w:rPr>
            <w:color w:val="000000"/>
          </w:rPr>
          <w:t>ALL</w:t>
        </w:r>
      </w:smartTag>
      <w:r w:rsidR="006D1CF6" w:rsidRPr="009B1A37">
        <w:rPr>
          <w:color w:val="000000"/>
        </w:rPr>
        <w:t xml:space="preserve"> mladších než 1 rok </w:t>
      </w:r>
      <w:r w:rsidR="00D97A44" w:rsidRPr="009B1A37">
        <w:rPr>
          <w:color w:val="000000"/>
        </w:rPr>
        <w:t xml:space="preserve">(viz bod 5.1). </w:t>
      </w:r>
      <w:r w:rsidR="006D1CF6" w:rsidRPr="009B1A37">
        <w:rPr>
          <w:color w:val="000000"/>
        </w:rPr>
        <w:t>Z</w:t>
      </w:r>
      <w:r w:rsidR="00D97A44" w:rsidRPr="009B1A37">
        <w:rPr>
          <w:color w:val="000000"/>
        </w:rPr>
        <w:t>kušenosti u dětí s </w:t>
      </w:r>
      <w:smartTag w:uri="urn:schemas-microsoft-com:office:smarttags" w:element="stockticker">
        <w:r w:rsidR="00D97A44" w:rsidRPr="009B1A37">
          <w:rPr>
            <w:color w:val="000000"/>
          </w:rPr>
          <w:t>MDS</w:t>
        </w:r>
      </w:smartTag>
      <w:r w:rsidR="00D97A44" w:rsidRPr="009B1A37">
        <w:rPr>
          <w:color w:val="000000"/>
        </w:rPr>
        <w:t>/MPD</w:t>
      </w:r>
      <w:r w:rsidR="00324A6B" w:rsidRPr="009B1A37">
        <w:rPr>
          <w:color w:val="000000"/>
        </w:rPr>
        <w:t>,</w:t>
      </w:r>
      <w:r w:rsidR="00D97A44" w:rsidRPr="009B1A37">
        <w:rPr>
          <w:color w:val="000000"/>
        </w:rPr>
        <w:t xml:space="preserve"> DFSP</w:t>
      </w:r>
      <w:r w:rsidR="00324A6B" w:rsidRPr="009B1A37">
        <w:rPr>
          <w:color w:val="000000"/>
        </w:rPr>
        <w:t>, GIST a HES/</w:t>
      </w:r>
      <w:smartTag w:uri="urn:schemas-microsoft-com:office:smarttags" w:element="stockticker">
        <w:r w:rsidR="00324A6B" w:rsidRPr="009B1A37">
          <w:rPr>
            <w:color w:val="000000"/>
          </w:rPr>
          <w:t>CEL</w:t>
        </w:r>
      </w:smartTag>
      <w:r w:rsidR="00D97A44" w:rsidRPr="009B1A37">
        <w:rPr>
          <w:color w:val="000000"/>
        </w:rPr>
        <w:t xml:space="preserve"> jsou velmi omezené.</w:t>
      </w:r>
    </w:p>
    <w:p w14:paraId="3E4FB36C" w14:textId="77777777" w:rsidR="00324A6B" w:rsidRPr="009B1A37" w:rsidRDefault="00324A6B" w:rsidP="00BE3D48">
      <w:pPr>
        <w:widowControl w:val="0"/>
        <w:spacing w:line="240" w:lineRule="auto"/>
        <w:rPr>
          <w:color w:val="000000"/>
        </w:rPr>
      </w:pPr>
    </w:p>
    <w:p w14:paraId="12A3152C" w14:textId="77777777" w:rsidR="00324A6B" w:rsidRPr="009B1A37" w:rsidRDefault="00324A6B" w:rsidP="00BE3D48">
      <w:pPr>
        <w:widowControl w:val="0"/>
        <w:spacing w:line="240" w:lineRule="auto"/>
        <w:rPr>
          <w:color w:val="000000"/>
        </w:rPr>
      </w:pPr>
      <w:r w:rsidRPr="009B1A37">
        <w:rPr>
          <w:color w:val="000000"/>
        </w:rPr>
        <w:t>Bezpečnost a účinnost im</w:t>
      </w:r>
      <w:r w:rsidR="0044561A" w:rsidRPr="009B1A37">
        <w:rPr>
          <w:color w:val="000000"/>
        </w:rPr>
        <w:t>a</w:t>
      </w:r>
      <w:r w:rsidRPr="009B1A37">
        <w:rPr>
          <w:color w:val="000000"/>
        </w:rPr>
        <w:t>tinibu u</w:t>
      </w:r>
      <w:r w:rsidR="0044561A" w:rsidRPr="009B1A37">
        <w:rPr>
          <w:color w:val="000000"/>
        </w:rPr>
        <w:t> </w:t>
      </w:r>
      <w:r w:rsidRPr="009B1A37">
        <w:rPr>
          <w:color w:val="000000"/>
        </w:rPr>
        <w:t xml:space="preserve">dětí </w:t>
      </w:r>
      <w:r w:rsidR="00F226E7" w:rsidRPr="009B1A37">
        <w:rPr>
          <w:color w:val="000000"/>
        </w:rPr>
        <w:t>mladších než 18</w:t>
      </w:r>
      <w:r w:rsidR="00F226E7" w:rsidRPr="009B1A37">
        <w:t xml:space="preserve"> let </w:t>
      </w:r>
      <w:r w:rsidRPr="009B1A37">
        <w:rPr>
          <w:color w:val="000000"/>
        </w:rPr>
        <w:t>s</w:t>
      </w:r>
      <w:r w:rsidR="0044561A" w:rsidRPr="009B1A37">
        <w:rPr>
          <w:color w:val="000000"/>
        </w:rPr>
        <w:t> </w:t>
      </w:r>
      <w:r w:rsidRPr="009B1A37">
        <w:rPr>
          <w:color w:val="000000"/>
        </w:rPr>
        <w:t xml:space="preserve">MDS/MPD, DFSP, GIST a HES/CEL </w:t>
      </w:r>
      <w:r w:rsidRPr="009B1A37">
        <w:t>nebyla v</w:t>
      </w:r>
      <w:r w:rsidR="0044561A" w:rsidRPr="009B1A37">
        <w:rPr>
          <w:color w:val="000000"/>
        </w:rPr>
        <w:t> </w:t>
      </w:r>
      <w:r w:rsidRPr="009B1A37">
        <w:rPr>
          <w:color w:val="000000"/>
        </w:rPr>
        <w:t xml:space="preserve">klinických studiích stanovena. </w:t>
      </w:r>
      <w:r w:rsidR="00C05495" w:rsidRPr="009B1A37">
        <w:rPr>
          <w:color w:val="000000"/>
        </w:rPr>
        <w:t>V s</w:t>
      </w:r>
      <w:r w:rsidR="0044561A" w:rsidRPr="009B1A37">
        <w:rPr>
          <w:color w:val="000000"/>
        </w:rPr>
        <w:t>oučasn</w:t>
      </w:r>
      <w:r w:rsidR="00C05495" w:rsidRPr="009B1A37">
        <w:rPr>
          <w:color w:val="000000"/>
        </w:rPr>
        <w:t>osti</w:t>
      </w:r>
      <w:r w:rsidR="0044561A" w:rsidRPr="009B1A37">
        <w:rPr>
          <w:color w:val="000000"/>
        </w:rPr>
        <w:t xml:space="preserve"> dostupn</w:t>
      </w:r>
      <w:r w:rsidR="00C05495" w:rsidRPr="009B1A37">
        <w:rPr>
          <w:color w:val="000000"/>
        </w:rPr>
        <w:t>é</w:t>
      </w:r>
      <w:r w:rsidR="0044561A" w:rsidRPr="009B1A37">
        <w:rPr>
          <w:color w:val="000000"/>
        </w:rPr>
        <w:t xml:space="preserve"> p</w:t>
      </w:r>
      <w:r w:rsidRPr="009B1A37">
        <w:rPr>
          <w:color w:val="000000"/>
        </w:rPr>
        <w:t>ublikovan</w:t>
      </w:r>
      <w:r w:rsidR="00C05495" w:rsidRPr="009B1A37">
        <w:rPr>
          <w:color w:val="000000"/>
        </w:rPr>
        <w:t>é</w:t>
      </w:r>
      <w:r w:rsidRPr="009B1A37">
        <w:rPr>
          <w:color w:val="000000"/>
        </w:rPr>
        <w:t xml:space="preserve"> </w:t>
      </w:r>
      <w:r w:rsidR="00C05495" w:rsidRPr="009B1A37">
        <w:rPr>
          <w:color w:val="000000"/>
        </w:rPr>
        <w:t>údaje</w:t>
      </w:r>
      <w:r w:rsidRPr="009B1A37">
        <w:rPr>
          <w:color w:val="000000"/>
        </w:rPr>
        <w:t xml:space="preserve"> jsou </w:t>
      </w:r>
      <w:r w:rsidR="00C05495" w:rsidRPr="009B1A37">
        <w:rPr>
          <w:color w:val="000000"/>
        </w:rPr>
        <w:t>shrnuty v</w:t>
      </w:r>
      <w:r w:rsidR="0044561A" w:rsidRPr="009B1A37">
        <w:rPr>
          <w:color w:val="000000"/>
        </w:rPr>
        <w:t> </w:t>
      </w:r>
      <w:r w:rsidRPr="009B1A37">
        <w:rPr>
          <w:color w:val="000000"/>
        </w:rPr>
        <w:t>bod</w:t>
      </w:r>
      <w:r w:rsidR="00C05495" w:rsidRPr="009B1A37">
        <w:rPr>
          <w:color w:val="000000"/>
        </w:rPr>
        <w:t>ě</w:t>
      </w:r>
      <w:r w:rsidRPr="009B1A37">
        <w:rPr>
          <w:color w:val="000000"/>
        </w:rPr>
        <w:t xml:space="preserve"> 5.1, </w:t>
      </w:r>
      <w:r w:rsidR="00C05495" w:rsidRPr="009B1A37">
        <w:rPr>
          <w:color w:val="000000"/>
        </w:rPr>
        <w:t>ale na jejich základě nelze učinit žádná doporučení ohledně dávkování</w:t>
      </w:r>
      <w:r w:rsidRPr="009B1A37">
        <w:rPr>
          <w:color w:val="000000"/>
        </w:rPr>
        <w:t>.</w:t>
      </w:r>
    </w:p>
    <w:p w14:paraId="156FF1C8" w14:textId="77777777" w:rsidR="00D97A44" w:rsidRPr="009B1A37" w:rsidRDefault="00D97A44" w:rsidP="00BE3D48">
      <w:pPr>
        <w:pStyle w:val="EndnoteText"/>
        <w:widowControl w:val="0"/>
        <w:tabs>
          <w:tab w:val="clear" w:pos="567"/>
        </w:tabs>
        <w:rPr>
          <w:color w:val="000000"/>
        </w:rPr>
      </w:pPr>
    </w:p>
    <w:p w14:paraId="029B535C" w14:textId="77777777" w:rsidR="00D97A44" w:rsidRPr="009B1A37" w:rsidRDefault="00BA4FF7" w:rsidP="00BE3D48">
      <w:pPr>
        <w:pStyle w:val="EndnoteText"/>
        <w:widowControl w:val="0"/>
        <w:tabs>
          <w:tab w:val="clear" w:pos="567"/>
        </w:tabs>
        <w:rPr>
          <w:color w:val="000000"/>
        </w:rPr>
      </w:pPr>
      <w:r w:rsidRPr="009B1A37">
        <w:rPr>
          <w:i/>
          <w:color w:val="000000"/>
        </w:rPr>
        <w:t>Porucha funkce jater</w:t>
      </w:r>
      <w:r w:rsidR="00D97A44" w:rsidRPr="009B1A37">
        <w:rPr>
          <w:i/>
          <w:color w:val="000000"/>
        </w:rPr>
        <w:t>:</w:t>
      </w:r>
      <w:r w:rsidR="00D97A44" w:rsidRPr="009B1A37">
        <w:rPr>
          <w:color w:val="000000"/>
        </w:rPr>
        <w:t xml:space="preserve"> Imatinib je metabolizován především játry. Pacientům s </w:t>
      </w:r>
      <w:r w:rsidRPr="009B1A37">
        <w:rPr>
          <w:color w:val="000000"/>
        </w:rPr>
        <w:t>lehkou</w:t>
      </w:r>
      <w:r w:rsidR="00D97A44" w:rsidRPr="009B1A37">
        <w:rPr>
          <w:color w:val="000000"/>
        </w:rPr>
        <w:t xml:space="preserve">, středně těžkou nebo těžkou dysfunkcí jater </w:t>
      </w:r>
      <w:r w:rsidRPr="009B1A37">
        <w:rPr>
          <w:color w:val="000000"/>
        </w:rPr>
        <w:t>má</w:t>
      </w:r>
      <w:r w:rsidR="00D97A44" w:rsidRPr="009B1A37">
        <w:rPr>
          <w:color w:val="000000"/>
        </w:rPr>
        <w:t xml:space="preserve"> být podávána minimální doporučená dávka 400 mg denně. Dávka může být snížena, pokud není tolerována (viz body 4.4, </w:t>
      </w:r>
      <w:smartTag w:uri="urn:schemas-microsoft-com:office:smarttags" w:element="metricconverter">
        <w:smartTagPr>
          <w:attr w:name="ProductID" w:val="4.8 a"/>
        </w:smartTagPr>
        <w:r w:rsidR="00D97A44" w:rsidRPr="009B1A37">
          <w:rPr>
            <w:color w:val="000000"/>
          </w:rPr>
          <w:t>4.8 a</w:t>
        </w:r>
      </w:smartTag>
      <w:r w:rsidR="00D97A44" w:rsidRPr="009B1A37">
        <w:rPr>
          <w:color w:val="000000"/>
        </w:rPr>
        <w:t xml:space="preserve"> 5.2).</w:t>
      </w:r>
    </w:p>
    <w:p w14:paraId="1BD9B1C3" w14:textId="77777777" w:rsidR="00D97A44" w:rsidRPr="009B1A37" w:rsidRDefault="00D97A44" w:rsidP="00BE3D48">
      <w:pPr>
        <w:pStyle w:val="EndnoteText"/>
        <w:widowControl w:val="0"/>
        <w:tabs>
          <w:tab w:val="clear" w:pos="567"/>
        </w:tabs>
        <w:rPr>
          <w:color w:val="000000"/>
        </w:rPr>
      </w:pPr>
    </w:p>
    <w:p w14:paraId="0985484F" w14:textId="77777777" w:rsidR="00D97A44" w:rsidRPr="009B1A37" w:rsidRDefault="00D97A44" w:rsidP="00BE3D48">
      <w:pPr>
        <w:pStyle w:val="Text"/>
        <w:keepNext/>
        <w:keepLines/>
        <w:widowControl w:val="0"/>
        <w:spacing w:before="0"/>
        <w:jc w:val="left"/>
        <w:rPr>
          <w:color w:val="000000"/>
          <w:sz w:val="22"/>
          <w:szCs w:val="22"/>
          <w:lang w:val="cs-CZ"/>
        </w:rPr>
      </w:pPr>
      <w:r w:rsidRPr="009B1A37">
        <w:rPr>
          <w:color w:val="000000"/>
          <w:sz w:val="22"/>
          <w:szCs w:val="22"/>
          <w:lang w:val="cs-CZ"/>
        </w:rPr>
        <w:t>Klasifikace dysfunkce jater:</w:t>
      </w:r>
    </w:p>
    <w:p w14:paraId="5933A73C" w14:textId="77777777" w:rsidR="00D97A44" w:rsidRPr="009B1A37" w:rsidRDefault="00D97A44" w:rsidP="00BE3D48">
      <w:pPr>
        <w:pStyle w:val="Text"/>
        <w:keepNext/>
        <w:keepLines/>
        <w:widowControl w:val="0"/>
        <w:spacing w:before="0"/>
        <w:jc w:val="left"/>
        <w:rPr>
          <w:color w:val="000000"/>
          <w:sz w:val="22"/>
          <w:szCs w:val="22"/>
          <w:lang w:val="cs-CZ"/>
        </w:rPr>
      </w:pPr>
    </w:p>
    <w:tbl>
      <w:tblPr>
        <w:tblW w:w="0" w:type="auto"/>
        <w:tblInd w:w="-20" w:type="dxa"/>
        <w:tblLayout w:type="fixed"/>
        <w:tblLook w:val="0000" w:firstRow="0" w:lastRow="0" w:firstColumn="0" w:lastColumn="0" w:noHBand="0" w:noVBand="0"/>
      </w:tblPr>
      <w:tblGrid>
        <w:gridCol w:w="3369"/>
        <w:gridCol w:w="5958"/>
      </w:tblGrid>
      <w:tr w:rsidR="00D97A44" w:rsidRPr="009B1A37" w14:paraId="0CF420E1" w14:textId="77777777" w:rsidTr="009F41EF">
        <w:trPr>
          <w:cantSplit/>
        </w:trPr>
        <w:tc>
          <w:tcPr>
            <w:tcW w:w="3369" w:type="dxa"/>
            <w:tcBorders>
              <w:top w:val="single" w:sz="4" w:space="0" w:color="000000"/>
              <w:left w:val="single" w:sz="4" w:space="0" w:color="000000"/>
              <w:bottom w:val="single" w:sz="4" w:space="0" w:color="000000"/>
            </w:tcBorders>
          </w:tcPr>
          <w:p w14:paraId="2DA38CE7" w14:textId="77777777" w:rsidR="00D97A44" w:rsidRPr="009B1A37" w:rsidRDefault="00D97A44" w:rsidP="009F41EF">
            <w:pPr>
              <w:pStyle w:val="Text"/>
              <w:keepNext/>
              <w:widowControl w:val="0"/>
              <w:snapToGrid w:val="0"/>
              <w:spacing w:before="0"/>
              <w:jc w:val="left"/>
              <w:rPr>
                <w:color w:val="000000"/>
                <w:sz w:val="22"/>
                <w:szCs w:val="22"/>
                <w:lang w:val="cs-CZ"/>
              </w:rPr>
            </w:pPr>
            <w:r w:rsidRPr="009B1A37">
              <w:rPr>
                <w:color w:val="000000"/>
                <w:sz w:val="22"/>
                <w:szCs w:val="22"/>
                <w:lang w:val="cs-CZ"/>
              </w:rPr>
              <w:t>Dysfunkce jater</w:t>
            </w:r>
          </w:p>
        </w:tc>
        <w:tc>
          <w:tcPr>
            <w:tcW w:w="5958" w:type="dxa"/>
            <w:tcBorders>
              <w:top w:val="single" w:sz="4" w:space="0" w:color="000000"/>
              <w:left w:val="single" w:sz="4" w:space="0" w:color="000000"/>
              <w:bottom w:val="single" w:sz="4" w:space="0" w:color="000000"/>
              <w:right w:val="single" w:sz="4" w:space="0" w:color="000000"/>
            </w:tcBorders>
          </w:tcPr>
          <w:p w14:paraId="7661472B" w14:textId="77777777" w:rsidR="00D97A44" w:rsidRPr="009B1A37" w:rsidRDefault="00D97A44" w:rsidP="009F41EF">
            <w:pPr>
              <w:pStyle w:val="Text"/>
              <w:keepNext/>
              <w:widowControl w:val="0"/>
              <w:snapToGrid w:val="0"/>
              <w:spacing w:before="0"/>
              <w:jc w:val="left"/>
              <w:rPr>
                <w:color w:val="000000"/>
                <w:sz w:val="22"/>
                <w:szCs w:val="22"/>
                <w:lang w:val="cs-CZ"/>
              </w:rPr>
            </w:pPr>
            <w:r w:rsidRPr="009B1A37">
              <w:rPr>
                <w:color w:val="000000"/>
                <w:sz w:val="22"/>
                <w:szCs w:val="22"/>
                <w:lang w:val="cs-CZ"/>
              </w:rPr>
              <w:t>Vyšetření jaterních funkcí</w:t>
            </w:r>
          </w:p>
        </w:tc>
      </w:tr>
      <w:tr w:rsidR="00D97A44" w:rsidRPr="009B1A37" w14:paraId="2251AFBB" w14:textId="77777777" w:rsidTr="009F41EF">
        <w:trPr>
          <w:cantSplit/>
        </w:trPr>
        <w:tc>
          <w:tcPr>
            <w:tcW w:w="3369" w:type="dxa"/>
            <w:tcBorders>
              <w:top w:val="single" w:sz="4" w:space="0" w:color="000000"/>
              <w:left w:val="single" w:sz="4" w:space="0" w:color="000000"/>
              <w:bottom w:val="single" w:sz="4" w:space="0" w:color="000000"/>
            </w:tcBorders>
          </w:tcPr>
          <w:p w14:paraId="0C9E0CB7" w14:textId="77777777" w:rsidR="00D97A44" w:rsidRPr="009B1A37" w:rsidRDefault="00BA4FF7" w:rsidP="009F41EF">
            <w:pPr>
              <w:pStyle w:val="Text"/>
              <w:keepNext/>
              <w:widowControl w:val="0"/>
              <w:snapToGrid w:val="0"/>
              <w:spacing w:before="0"/>
              <w:jc w:val="left"/>
              <w:rPr>
                <w:color w:val="000000"/>
                <w:sz w:val="22"/>
                <w:szCs w:val="22"/>
                <w:lang w:val="cs-CZ"/>
              </w:rPr>
            </w:pPr>
            <w:r w:rsidRPr="009B1A37">
              <w:rPr>
                <w:color w:val="000000"/>
                <w:sz w:val="22"/>
                <w:szCs w:val="22"/>
                <w:lang w:val="cs-CZ"/>
              </w:rPr>
              <w:t>Lehká</w:t>
            </w:r>
          </w:p>
        </w:tc>
        <w:tc>
          <w:tcPr>
            <w:tcW w:w="5958" w:type="dxa"/>
            <w:tcBorders>
              <w:top w:val="single" w:sz="4" w:space="0" w:color="000000"/>
              <w:left w:val="single" w:sz="4" w:space="0" w:color="000000"/>
              <w:bottom w:val="single" w:sz="4" w:space="0" w:color="000000"/>
              <w:right w:val="single" w:sz="4" w:space="0" w:color="000000"/>
            </w:tcBorders>
          </w:tcPr>
          <w:p w14:paraId="265A8C11" w14:textId="77777777" w:rsidR="00D97A44" w:rsidRPr="009B1A37" w:rsidRDefault="00D97A44" w:rsidP="009F41EF">
            <w:pPr>
              <w:keepNext/>
              <w:widowControl w:val="0"/>
              <w:snapToGrid w:val="0"/>
              <w:spacing w:line="240" w:lineRule="auto"/>
              <w:rPr>
                <w:color w:val="000000"/>
              </w:rPr>
            </w:pPr>
            <w:r w:rsidRPr="009B1A37">
              <w:rPr>
                <w:color w:val="000000"/>
              </w:rPr>
              <w:t>Celkový bilirubin: = 1,5 ULN</w:t>
            </w:r>
          </w:p>
          <w:p w14:paraId="7ABC3BDE" w14:textId="77777777" w:rsidR="00D97A44" w:rsidRPr="009B1A37" w:rsidRDefault="00D97A44" w:rsidP="009F41EF">
            <w:pPr>
              <w:pStyle w:val="Text"/>
              <w:keepNext/>
              <w:widowControl w:val="0"/>
              <w:spacing w:before="0"/>
              <w:jc w:val="left"/>
              <w:rPr>
                <w:color w:val="000000"/>
                <w:sz w:val="22"/>
                <w:szCs w:val="22"/>
                <w:lang w:val="cs-CZ"/>
              </w:rPr>
            </w:pPr>
            <w:r w:rsidRPr="009B1A37">
              <w:rPr>
                <w:color w:val="000000"/>
                <w:sz w:val="22"/>
                <w:szCs w:val="22"/>
                <w:lang w:val="cs-CZ"/>
              </w:rPr>
              <w:t>AST: &gt; ULN (může být normální nebo &lt; ULN, pokud celkový bilirubin je &gt; ULN)</w:t>
            </w:r>
          </w:p>
        </w:tc>
      </w:tr>
      <w:tr w:rsidR="00AC383E" w:rsidRPr="009B1A37" w14:paraId="70169461" w14:textId="77777777" w:rsidTr="009F41EF">
        <w:trPr>
          <w:cantSplit/>
        </w:trPr>
        <w:tc>
          <w:tcPr>
            <w:tcW w:w="3369" w:type="dxa"/>
            <w:tcBorders>
              <w:top w:val="single" w:sz="4" w:space="0" w:color="000000"/>
              <w:left w:val="single" w:sz="4" w:space="0" w:color="000000"/>
              <w:bottom w:val="single" w:sz="4" w:space="0" w:color="000000"/>
            </w:tcBorders>
          </w:tcPr>
          <w:p w14:paraId="32CF6AFB" w14:textId="77777777" w:rsidR="00AC383E" w:rsidRPr="009B1A37" w:rsidRDefault="00AC383E" w:rsidP="009F41EF">
            <w:pPr>
              <w:pStyle w:val="Text"/>
              <w:keepNext/>
              <w:widowControl w:val="0"/>
              <w:snapToGrid w:val="0"/>
              <w:spacing w:before="0"/>
              <w:jc w:val="left"/>
              <w:rPr>
                <w:color w:val="000000"/>
                <w:sz w:val="22"/>
                <w:szCs w:val="22"/>
                <w:lang w:val="cs-CZ"/>
              </w:rPr>
            </w:pPr>
            <w:r w:rsidRPr="009B1A37">
              <w:rPr>
                <w:color w:val="000000"/>
                <w:sz w:val="22"/>
                <w:szCs w:val="22"/>
                <w:lang w:val="cs-CZ"/>
              </w:rPr>
              <w:t>Středně těžká</w:t>
            </w:r>
          </w:p>
        </w:tc>
        <w:tc>
          <w:tcPr>
            <w:tcW w:w="5958" w:type="dxa"/>
            <w:tcBorders>
              <w:top w:val="single" w:sz="4" w:space="0" w:color="000000"/>
              <w:left w:val="single" w:sz="4" w:space="0" w:color="000000"/>
              <w:bottom w:val="single" w:sz="4" w:space="0" w:color="000000"/>
              <w:right w:val="single" w:sz="4" w:space="0" w:color="000000"/>
            </w:tcBorders>
          </w:tcPr>
          <w:p w14:paraId="5A47F50D" w14:textId="77777777" w:rsidR="00AC383E" w:rsidRPr="009B1A37" w:rsidRDefault="00AC383E" w:rsidP="009F41EF">
            <w:pPr>
              <w:keepNext/>
              <w:widowControl w:val="0"/>
              <w:spacing w:line="240" w:lineRule="auto"/>
              <w:rPr>
                <w:snapToGrid w:val="0"/>
                <w:color w:val="000000"/>
              </w:rPr>
            </w:pPr>
            <w:r w:rsidRPr="009B1A37">
              <w:rPr>
                <w:snapToGrid w:val="0"/>
                <w:color w:val="000000"/>
              </w:rPr>
              <w:t>Celkový bilirubin: &gt; 1,5</w:t>
            </w:r>
            <w:r w:rsidRPr="009B1A37">
              <w:rPr>
                <w:color w:val="000000"/>
              </w:rPr>
              <w:t>–</w:t>
            </w:r>
            <w:r w:rsidRPr="009B1A37">
              <w:rPr>
                <w:snapToGrid w:val="0"/>
                <w:color w:val="000000"/>
              </w:rPr>
              <w:t>3,0 ULN</w:t>
            </w:r>
          </w:p>
          <w:p w14:paraId="1590D3B5" w14:textId="77777777" w:rsidR="00AC383E" w:rsidRPr="009B1A37" w:rsidRDefault="00AC383E" w:rsidP="009F41EF">
            <w:pPr>
              <w:keepNext/>
              <w:widowControl w:val="0"/>
              <w:snapToGrid w:val="0"/>
              <w:spacing w:line="240" w:lineRule="auto"/>
              <w:rPr>
                <w:color w:val="000000"/>
              </w:rPr>
            </w:pPr>
            <w:r w:rsidRPr="009B1A37">
              <w:rPr>
                <w:snapToGrid w:val="0"/>
                <w:color w:val="000000"/>
              </w:rPr>
              <w:t>AST: jakákoliv</w:t>
            </w:r>
          </w:p>
        </w:tc>
      </w:tr>
      <w:tr w:rsidR="00D97A44" w:rsidRPr="009B1A37" w14:paraId="1247DB8A" w14:textId="77777777" w:rsidTr="009F41EF">
        <w:trPr>
          <w:cantSplit/>
        </w:trPr>
        <w:tc>
          <w:tcPr>
            <w:tcW w:w="3369" w:type="dxa"/>
            <w:tcBorders>
              <w:top w:val="single" w:sz="4" w:space="0" w:color="000000"/>
              <w:left w:val="single" w:sz="4" w:space="0" w:color="000000"/>
              <w:bottom w:val="single" w:sz="4" w:space="0" w:color="000000"/>
            </w:tcBorders>
          </w:tcPr>
          <w:p w14:paraId="2D472DF9" w14:textId="77777777" w:rsidR="00D97A44" w:rsidRPr="009B1A37" w:rsidRDefault="00F85A9B" w:rsidP="009F41EF">
            <w:pPr>
              <w:pStyle w:val="Text"/>
              <w:keepNext/>
              <w:widowControl w:val="0"/>
              <w:snapToGrid w:val="0"/>
              <w:spacing w:before="0"/>
              <w:jc w:val="left"/>
              <w:rPr>
                <w:color w:val="000000"/>
                <w:lang w:val="cs-CZ"/>
              </w:rPr>
            </w:pPr>
            <w:r w:rsidRPr="009B1A37">
              <w:rPr>
                <w:color w:val="000000"/>
                <w:sz w:val="22"/>
                <w:szCs w:val="22"/>
                <w:lang w:val="cs-CZ"/>
              </w:rPr>
              <w:t>T</w:t>
            </w:r>
            <w:r w:rsidR="00D97A44" w:rsidRPr="009B1A37">
              <w:rPr>
                <w:color w:val="000000"/>
                <w:sz w:val="22"/>
                <w:szCs w:val="22"/>
                <w:lang w:val="cs-CZ"/>
              </w:rPr>
              <w:t>ěžká</w:t>
            </w:r>
          </w:p>
        </w:tc>
        <w:tc>
          <w:tcPr>
            <w:tcW w:w="5958" w:type="dxa"/>
            <w:tcBorders>
              <w:top w:val="single" w:sz="4" w:space="0" w:color="000000"/>
              <w:left w:val="single" w:sz="4" w:space="0" w:color="000000"/>
              <w:bottom w:val="single" w:sz="4" w:space="0" w:color="000000"/>
              <w:right w:val="single" w:sz="4" w:space="0" w:color="000000"/>
            </w:tcBorders>
          </w:tcPr>
          <w:p w14:paraId="1EBB701E" w14:textId="77777777" w:rsidR="00D97A44" w:rsidRPr="009B1A37" w:rsidRDefault="00D97A44" w:rsidP="009F41EF">
            <w:pPr>
              <w:keepNext/>
              <w:widowControl w:val="0"/>
              <w:snapToGrid w:val="0"/>
              <w:spacing w:line="240" w:lineRule="auto"/>
              <w:rPr>
                <w:color w:val="000000"/>
              </w:rPr>
            </w:pPr>
            <w:r w:rsidRPr="009B1A37">
              <w:rPr>
                <w:color w:val="000000"/>
              </w:rPr>
              <w:t>Celkový bilirubin: &gt; 3–10 ULN</w:t>
            </w:r>
          </w:p>
          <w:p w14:paraId="17C8ED64" w14:textId="77777777" w:rsidR="00D97A44" w:rsidRPr="009B1A37" w:rsidRDefault="00D97A44" w:rsidP="009F41EF">
            <w:pPr>
              <w:pStyle w:val="Text"/>
              <w:keepNext/>
              <w:widowControl w:val="0"/>
              <w:spacing w:before="0"/>
              <w:jc w:val="left"/>
              <w:rPr>
                <w:color w:val="000000"/>
                <w:sz w:val="22"/>
                <w:szCs w:val="22"/>
                <w:lang w:val="cs-CZ"/>
              </w:rPr>
            </w:pPr>
            <w:r w:rsidRPr="009B1A37">
              <w:rPr>
                <w:color w:val="000000"/>
                <w:sz w:val="22"/>
                <w:szCs w:val="22"/>
                <w:lang w:val="cs-CZ"/>
              </w:rPr>
              <w:t>AST: jakákoliv</w:t>
            </w:r>
          </w:p>
        </w:tc>
      </w:tr>
    </w:tbl>
    <w:p w14:paraId="69BDF82D" w14:textId="77777777" w:rsidR="00D97A44" w:rsidRPr="009B1A37" w:rsidRDefault="00D97A44" w:rsidP="009F41EF">
      <w:pPr>
        <w:pStyle w:val="Text"/>
        <w:keepNext/>
        <w:widowControl w:val="0"/>
        <w:spacing w:before="0"/>
        <w:jc w:val="left"/>
        <w:rPr>
          <w:color w:val="000000"/>
          <w:sz w:val="22"/>
          <w:szCs w:val="22"/>
          <w:lang w:val="cs-CZ"/>
        </w:rPr>
      </w:pPr>
      <w:r w:rsidRPr="009B1A37">
        <w:rPr>
          <w:color w:val="000000"/>
          <w:sz w:val="22"/>
          <w:szCs w:val="22"/>
          <w:lang w:val="cs-CZ"/>
        </w:rPr>
        <w:t>ULN = horní hranice normy</w:t>
      </w:r>
    </w:p>
    <w:p w14:paraId="37E6B548" w14:textId="77777777" w:rsidR="00D97A44" w:rsidRPr="009B1A37" w:rsidRDefault="00D97A44" w:rsidP="009F41EF">
      <w:pPr>
        <w:widowControl w:val="0"/>
        <w:suppressAutoHyphens w:val="0"/>
        <w:autoSpaceDE w:val="0"/>
        <w:spacing w:line="240" w:lineRule="auto"/>
        <w:ind w:left="992" w:hanging="992"/>
        <w:rPr>
          <w:color w:val="000000"/>
        </w:rPr>
      </w:pPr>
      <w:r w:rsidRPr="009B1A37">
        <w:rPr>
          <w:rFonts w:eastAsia="MS Mincho"/>
          <w:color w:val="000000"/>
        </w:rPr>
        <w:t xml:space="preserve">AST = </w:t>
      </w:r>
      <w:r w:rsidRPr="009B1A37">
        <w:rPr>
          <w:color w:val="000000"/>
        </w:rPr>
        <w:t>aspartátaminotransferáza</w:t>
      </w:r>
    </w:p>
    <w:p w14:paraId="28C56A51" w14:textId="77777777" w:rsidR="00D97A44" w:rsidRPr="009B1A37" w:rsidRDefault="00D97A44" w:rsidP="00BE3D48">
      <w:pPr>
        <w:pStyle w:val="EndnoteText"/>
        <w:widowControl w:val="0"/>
        <w:tabs>
          <w:tab w:val="clear" w:pos="567"/>
        </w:tabs>
        <w:rPr>
          <w:color w:val="000000"/>
        </w:rPr>
      </w:pPr>
    </w:p>
    <w:p w14:paraId="388C7321" w14:textId="77777777" w:rsidR="00D97A44" w:rsidRPr="009B1A37" w:rsidRDefault="00BA4FF7" w:rsidP="00BE3D48">
      <w:pPr>
        <w:pStyle w:val="EndnoteText"/>
        <w:widowControl w:val="0"/>
        <w:tabs>
          <w:tab w:val="clear" w:pos="567"/>
        </w:tabs>
        <w:rPr>
          <w:color w:val="000000"/>
        </w:rPr>
      </w:pPr>
      <w:r w:rsidRPr="009B1A37">
        <w:rPr>
          <w:i/>
          <w:color w:val="000000"/>
        </w:rPr>
        <w:t>Porucha funkce ledvin</w:t>
      </w:r>
      <w:r w:rsidR="00D97A44" w:rsidRPr="009B1A37">
        <w:rPr>
          <w:i/>
          <w:color w:val="000000"/>
        </w:rPr>
        <w:t>:</w:t>
      </w:r>
      <w:r w:rsidR="00D97A44" w:rsidRPr="009B1A37">
        <w:rPr>
          <w:color w:val="000000"/>
        </w:rPr>
        <w:t xml:space="preserve"> U pacientů s dysfunkcí ledvin </w:t>
      </w:r>
      <w:r w:rsidR="00E72D1D" w:rsidRPr="009B1A37">
        <w:rPr>
          <w:color w:val="000000"/>
        </w:rPr>
        <w:t xml:space="preserve">nebo u dialyzovaných pacientů má být použita počáteční minimální </w:t>
      </w:r>
      <w:r w:rsidR="00D97A44" w:rsidRPr="009B1A37">
        <w:rPr>
          <w:color w:val="000000"/>
        </w:rPr>
        <w:t xml:space="preserve">dávka 400 mg denně. </w:t>
      </w:r>
      <w:r w:rsidR="00E72D1D" w:rsidRPr="009B1A37">
        <w:rPr>
          <w:color w:val="000000"/>
        </w:rPr>
        <w:t>U </w:t>
      </w:r>
      <w:r w:rsidR="00D97A44" w:rsidRPr="009B1A37">
        <w:rPr>
          <w:color w:val="000000"/>
        </w:rPr>
        <w:t xml:space="preserve">těchto pacientů se </w:t>
      </w:r>
      <w:r w:rsidR="00E72D1D" w:rsidRPr="009B1A37">
        <w:rPr>
          <w:color w:val="000000"/>
        </w:rPr>
        <w:t xml:space="preserve">však </w:t>
      </w:r>
      <w:r w:rsidR="00D97A44" w:rsidRPr="009B1A37">
        <w:rPr>
          <w:color w:val="000000"/>
        </w:rPr>
        <w:t>doporučuje opatrnost. Pokud dávka není tolerována, může být snížena</w:t>
      </w:r>
      <w:r w:rsidR="00E72D1D" w:rsidRPr="009B1A37">
        <w:rPr>
          <w:color w:val="000000"/>
        </w:rPr>
        <w:t xml:space="preserve">. Pokud je tolerována, může být </w:t>
      </w:r>
      <w:r w:rsidR="00D97A44" w:rsidRPr="009B1A37">
        <w:rPr>
          <w:color w:val="000000"/>
        </w:rPr>
        <w:t>v případě nedostat</w:t>
      </w:r>
      <w:r w:rsidR="00E72D1D" w:rsidRPr="009B1A37">
        <w:rPr>
          <w:color w:val="000000"/>
        </w:rPr>
        <w:t>ečné</w:t>
      </w:r>
      <w:r w:rsidR="00D97A44" w:rsidRPr="009B1A37">
        <w:rPr>
          <w:color w:val="000000"/>
        </w:rPr>
        <w:t xml:space="preserve"> účinnosti zvýšena (viz bod</w:t>
      </w:r>
      <w:r w:rsidRPr="009B1A37">
        <w:rPr>
          <w:color w:val="000000"/>
        </w:rPr>
        <w:t>y</w:t>
      </w:r>
      <w:r w:rsidR="00D97A44" w:rsidRPr="009B1A37">
        <w:rPr>
          <w:color w:val="000000"/>
        </w:rPr>
        <w:t xml:space="preserve"> </w:t>
      </w:r>
      <w:smartTag w:uri="urn:schemas-microsoft-com:office:smarttags" w:element="metricconverter">
        <w:smartTagPr>
          <w:attr w:name="ProductID" w:val="4.4 a"/>
        </w:smartTagPr>
        <w:r w:rsidR="00D97A44" w:rsidRPr="009B1A37">
          <w:rPr>
            <w:color w:val="000000"/>
          </w:rPr>
          <w:t>4.4 a</w:t>
        </w:r>
      </w:smartTag>
      <w:r w:rsidR="00D97A44" w:rsidRPr="009B1A37">
        <w:rPr>
          <w:color w:val="000000"/>
        </w:rPr>
        <w:t xml:space="preserve"> 5.2).</w:t>
      </w:r>
    </w:p>
    <w:p w14:paraId="7F297A52" w14:textId="77777777" w:rsidR="00D97A44" w:rsidRPr="009B1A37" w:rsidRDefault="00D97A44" w:rsidP="00BE3D48">
      <w:pPr>
        <w:pStyle w:val="EndnoteText"/>
        <w:widowControl w:val="0"/>
        <w:tabs>
          <w:tab w:val="clear" w:pos="567"/>
        </w:tabs>
        <w:rPr>
          <w:color w:val="000000"/>
        </w:rPr>
      </w:pPr>
    </w:p>
    <w:p w14:paraId="7546AAF9" w14:textId="77777777" w:rsidR="00D97A44" w:rsidRPr="009B1A37" w:rsidRDefault="00D97A44" w:rsidP="00BE3D48">
      <w:pPr>
        <w:pStyle w:val="EndnoteText"/>
        <w:widowControl w:val="0"/>
        <w:tabs>
          <w:tab w:val="clear" w:pos="567"/>
        </w:tabs>
        <w:rPr>
          <w:color w:val="000000"/>
        </w:rPr>
      </w:pPr>
      <w:r w:rsidRPr="009B1A37">
        <w:rPr>
          <w:i/>
          <w:color w:val="000000"/>
        </w:rPr>
        <w:t xml:space="preserve">Starší </w:t>
      </w:r>
      <w:r w:rsidR="00BA4FF7" w:rsidRPr="009B1A37">
        <w:rPr>
          <w:i/>
          <w:color w:val="000000"/>
        </w:rPr>
        <w:t>pacienti</w:t>
      </w:r>
      <w:r w:rsidRPr="009B1A37">
        <w:rPr>
          <w:i/>
          <w:color w:val="000000"/>
        </w:rPr>
        <w:t>:</w:t>
      </w:r>
      <w:r w:rsidRPr="009B1A37">
        <w:rPr>
          <w:color w:val="000000"/>
        </w:rPr>
        <w:t xml:space="preserve"> U starších </w:t>
      </w:r>
      <w:r w:rsidR="00BA4FF7" w:rsidRPr="009B1A37">
        <w:rPr>
          <w:color w:val="000000"/>
        </w:rPr>
        <w:t>pacientů</w:t>
      </w:r>
      <w:r w:rsidRPr="009B1A37">
        <w:rPr>
          <w:color w:val="000000"/>
        </w:rPr>
        <w:t xml:space="preserve"> nebyla farmakokinetika imatinibu cíleně studována. V klinických studiích, které zahrnovaly 20</w:t>
      </w:r>
      <w:r w:rsidR="00216BEF" w:rsidRPr="009B1A37">
        <w:rPr>
          <w:color w:val="000000"/>
        </w:rPr>
        <w:t> </w:t>
      </w:r>
      <w:r w:rsidRPr="009B1A37">
        <w:rPr>
          <w:color w:val="000000"/>
        </w:rPr>
        <w:t>% pacientů ve věku 65 let a starších, nebyly u dospělých pacientů pozorovány významné rozdíly ve farmakokinetice v závislosti na věku</w:t>
      </w:r>
      <w:r w:rsidR="00F85A9B" w:rsidRPr="009B1A37">
        <w:rPr>
          <w:color w:val="000000"/>
        </w:rPr>
        <w:t>.</w:t>
      </w:r>
      <w:r w:rsidRPr="009B1A37">
        <w:rPr>
          <w:color w:val="000000"/>
        </w:rPr>
        <w:t xml:space="preserve"> U starších </w:t>
      </w:r>
      <w:r w:rsidR="00BA4FF7" w:rsidRPr="009B1A37">
        <w:rPr>
          <w:color w:val="000000"/>
        </w:rPr>
        <w:t>pacientů</w:t>
      </w:r>
      <w:r w:rsidRPr="009B1A37">
        <w:rPr>
          <w:color w:val="000000"/>
        </w:rPr>
        <w:t xml:space="preserve"> není nutné doporučovat zvláštní dávkování.</w:t>
      </w:r>
    </w:p>
    <w:p w14:paraId="331A1728" w14:textId="77777777" w:rsidR="00D97A44" w:rsidRPr="009B1A37" w:rsidRDefault="00D97A44" w:rsidP="00BE3D48">
      <w:pPr>
        <w:pStyle w:val="EndnoteText"/>
        <w:widowControl w:val="0"/>
        <w:tabs>
          <w:tab w:val="clear" w:pos="567"/>
        </w:tabs>
        <w:rPr>
          <w:color w:val="000000"/>
        </w:rPr>
      </w:pPr>
    </w:p>
    <w:p w14:paraId="0AF72763"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4.3</w:t>
      </w:r>
      <w:r w:rsidRPr="009B1A37">
        <w:rPr>
          <w:b/>
          <w:bCs/>
          <w:color w:val="000000"/>
        </w:rPr>
        <w:tab/>
        <w:t>Kontraindikace</w:t>
      </w:r>
    </w:p>
    <w:p w14:paraId="46AEA9E0" w14:textId="77777777" w:rsidR="00D97A44" w:rsidRPr="009B1A37" w:rsidRDefault="00D97A44" w:rsidP="00BE3D48">
      <w:pPr>
        <w:pStyle w:val="EndnoteText"/>
        <w:keepNext/>
        <w:widowControl w:val="0"/>
        <w:tabs>
          <w:tab w:val="clear" w:pos="567"/>
        </w:tabs>
        <w:rPr>
          <w:color w:val="000000"/>
        </w:rPr>
      </w:pPr>
    </w:p>
    <w:p w14:paraId="35B7D6F5" w14:textId="77777777" w:rsidR="00D97A44" w:rsidRPr="009B1A37" w:rsidRDefault="00D97A44" w:rsidP="00BE3D48">
      <w:pPr>
        <w:pStyle w:val="EndnoteText"/>
        <w:widowControl w:val="0"/>
        <w:tabs>
          <w:tab w:val="clear" w:pos="567"/>
        </w:tabs>
        <w:rPr>
          <w:color w:val="000000"/>
        </w:rPr>
      </w:pPr>
      <w:r w:rsidRPr="009B1A37">
        <w:rPr>
          <w:color w:val="000000"/>
        </w:rPr>
        <w:t xml:space="preserve">Hypersenzitivita na léčivou látku nebo na kteroukoli pomocnou látku </w:t>
      </w:r>
      <w:r w:rsidR="003C29EE" w:rsidRPr="009B1A37">
        <w:rPr>
          <w:color w:val="000000"/>
        </w:rPr>
        <w:t>uvedenou v bodě 6.1</w:t>
      </w:r>
      <w:r w:rsidRPr="009B1A37">
        <w:rPr>
          <w:color w:val="000000"/>
        </w:rPr>
        <w:t>.</w:t>
      </w:r>
    </w:p>
    <w:p w14:paraId="68BE5403" w14:textId="77777777" w:rsidR="00D97A44" w:rsidRPr="009B1A37" w:rsidRDefault="00D97A44" w:rsidP="00BE3D48">
      <w:pPr>
        <w:pStyle w:val="EndnoteText"/>
        <w:widowControl w:val="0"/>
        <w:tabs>
          <w:tab w:val="clear" w:pos="567"/>
        </w:tabs>
        <w:rPr>
          <w:color w:val="000000"/>
        </w:rPr>
      </w:pPr>
    </w:p>
    <w:p w14:paraId="68A9DD37"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4.4</w:t>
      </w:r>
      <w:r w:rsidRPr="009B1A37">
        <w:rPr>
          <w:b/>
          <w:bCs/>
          <w:color w:val="000000"/>
        </w:rPr>
        <w:tab/>
        <w:t>Zvláštní upozornění a opatření pro použití</w:t>
      </w:r>
    </w:p>
    <w:p w14:paraId="579876EC" w14:textId="77777777" w:rsidR="00D97A44" w:rsidRPr="009B1A37" w:rsidRDefault="00D97A44" w:rsidP="00BE3D48">
      <w:pPr>
        <w:pStyle w:val="EndnoteText"/>
        <w:keepNext/>
        <w:widowControl w:val="0"/>
        <w:tabs>
          <w:tab w:val="clear" w:pos="567"/>
        </w:tabs>
        <w:rPr>
          <w:color w:val="000000"/>
        </w:rPr>
      </w:pPr>
    </w:p>
    <w:p w14:paraId="0F1723D0" w14:textId="77777777" w:rsidR="00D97A44" w:rsidRPr="009B1A37" w:rsidRDefault="00D97A44" w:rsidP="00BE3D48">
      <w:pPr>
        <w:pStyle w:val="EndnoteText"/>
        <w:widowControl w:val="0"/>
        <w:tabs>
          <w:tab w:val="clear" w:pos="567"/>
          <w:tab w:val="left" w:pos="7655"/>
        </w:tabs>
        <w:rPr>
          <w:color w:val="000000"/>
        </w:rPr>
      </w:pPr>
      <w:r w:rsidRPr="009B1A37">
        <w:rPr>
          <w:color w:val="000000"/>
        </w:rPr>
        <w:t>Pokud je Glivec podáván společně s jinými léčivými přípravky, je možné očekávat lékové interakce</w:t>
      </w:r>
      <w:r w:rsidR="005C0D22" w:rsidRPr="009B1A37">
        <w:rPr>
          <w:color w:val="000000"/>
        </w:rPr>
        <w:t>.</w:t>
      </w:r>
      <w:r w:rsidRPr="009B1A37">
        <w:rPr>
          <w:color w:val="000000"/>
        </w:rPr>
        <w:t xml:space="preserve"> </w:t>
      </w:r>
      <w:r w:rsidR="00E72D1D" w:rsidRPr="009B1A37">
        <w:t>Při užívání Glivecu s</w:t>
      </w:r>
      <w:r w:rsidR="00B10789" w:rsidRPr="009B1A37">
        <w:rPr>
          <w:color w:val="000000"/>
        </w:rPr>
        <w:t> inhibitory proteáz, azolovými antimykotiky,</w:t>
      </w:r>
      <w:r w:rsidR="008B7412" w:rsidRPr="009B1A37">
        <w:rPr>
          <w:color w:val="000000"/>
        </w:rPr>
        <w:t xml:space="preserve"> </w:t>
      </w:r>
      <w:r w:rsidR="00B10789" w:rsidRPr="009B1A37">
        <w:rPr>
          <w:color w:val="000000"/>
        </w:rPr>
        <w:t>některými makrolidy (viz bod 4.5)</w:t>
      </w:r>
      <w:r w:rsidR="00E72D1D" w:rsidRPr="009B1A37">
        <w:t xml:space="preserve">, substráty CYP3A4 s úzkým terapeutickým </w:t>
      </w:r>
      <w:r w:rsidR="00BA4FF7" w:rsidRPr="009B1A37">
        <w:t>oknem</w:t>
      </w:r>
      <w:r w:rsidR="00E72D1D" w:rsidRPr="009B1A37">
        <w:t xml:space="preserve"> (např. cyklosporin</w:t>
      </w:r>
      <w:r w:rsidR="00B10789" w:rsidRPr="009B1A37">
        <w:t>,</w:t>
      </w:r>
      <w:r w:rsidR="00E72D1D" w:rsidRPr="009B1A37">
        <w:t xml:space="preserve"> pimozid</w:t>
      </w:r>
      <w:r w:rsidR="00B10789" w:rsidRPr="009B1A37">
        <w:t>, takrolimus, sirolimus, ergotamin, diergotamin, fentanyl, alfentanil, terf</w:t>
      </w:r>
      <w:r w:rsidR="00BA4FF7" w:rsidRPr="009B1A37">
        <w:t>e</w:t>
      </w:r>
      <w:r w:rsidR="00B10789" w:rsidRPr="009B1A37">
        <w:t xml:space="preserve">nadin, bortezomib, docetaxel, </w:t>
      </w:r>
      <w:r w:rsidR="008B7412" w:rsidRPr="009B1A37">
        <w:t>ch</w:t>
      </w:r>
      <w:r w:rsidR="00B10789" w:rsidRPr="009B1A37">
        <w:t>inidin</w:t>
      </w:r>
      <w:r w:rsidR="00E72D1D" w:rsidRPr="009B1A37">
        <w:t>) nebo warfarin</w:t>
      </w:r>
      <w:r w:rsidR="008B7412" w:rsidRPr="009B1A37">
        <w:t>em</w:t>
      </w:r>
      <w:r w:rsidR="00E72D1D" w:rsidRPr="009B1A37">
        <w:t xml:space="preserve"> a jin</w:t>
      </w:r>
      <w:r w:rsidR="008B7412" w:rsidRPr="009B1A37">
        <w:t>ými</w:t>
      </w:r>
      <w:r w:rsidR="00E72D1D" w:rsidRPr="009B1A37">
        <w:t xml:space="preserve"> deriváty kumarinu je nutné dbát opatrnosti (viz bod 4.5).</w:t>
      </w:r>
    </w:p>
    <w:p w14:paraId="05C5A182" w14:textId="77777777" w:rsidR="00D97A44" w:rsidRPr="009B1A37" w:rsidRDefault="00D97A44" w:rsidP="00BE3D48">
      <w:pPr>
        <w:pStyle w:val="EndnoteText"/>
        <w:widowControl w:val="0"/>
        <w:tabs>
          <w:tab w:val="clear" w:pos="567"/>
          <w:tab w:val="left" w:pos="7655"/>
        </w:tabs>
        <w:rPr>
          <w:color w:val="000000"/>
        </w:rPr>
      </w:pPr>
    </w:p>
    <w:p w14:paraId="09D19B85" w14:textId="77777777" w:rsidR="00D97A44" w:rsidRPr="009B1A37" w:rsidRDefault="00D97A44" w:rsidP="00BE3D48">
      <w:pPr>
        <w:pStyle w:val="EndnoteText"/>
        <w:widowControl w:val="0"/>
        <w:tabs>
          <w:tab w:val="clear" w:pos="567"/>
          <w:tab w:val="left" w:pos="7655"/>
        </w:tabs>
        <w:rPr>
          <w:color w:val="000000"/>
        </w:rPr>
      </w:pPr>
      <w:r w:rsidRPr="009B1A37">
        <w:rPr>
          <w:color w:val="000000"/>
        </w:rPr>
        <w:t xml:space="preserve">Souběžné užívání imatinibu a léčivých přípravků, které indukují CYP3A4 (např. dexamethason, fenytoin, karbamazepin, rifampicin, fenobarbital nebo </w:t>
      </w:r>
      <w:r w:rsidRPr="009B1A37">
        <w:rPr>
          <w:i/>
          <w:iCs/>
          <w:color w:val="000000"/>
        </w:rPr>
        <w:t>Hypericum perforatum</w:t>
      </w:r>
      <w:r w:rsidRPr="009B1A37">
        <w:rPr>
          <w:color w:val="000000"/>
        </w:rPr>
        <w:t>, také známé jako třezalka tečkovaná) mohou významně snižovat hladinu Glivecu a potenciálně zvyšovat riziko selhání léčby Proto se m</w:t>
      </w:r>
      <w:r w:rsidR="00BA4FF7" w:rsidRPr="009B1A37">
        <w:rPr>
          <w:color w:val="000000"/>
        </w:rPr>
        <w:t>á</w:t>
      </w:r>
      <w:r w:rsidRPr="009B1A37">
        <w:rPr>
          <w:color w:val="000000"/>
        </w:rPr>
        <w:t xml:space="preserve"> zabránit souběžnému užívání silných induktorů CYP3A4 a imatinibu (viz bod 4.5).</w:t>
      </w:r>
    </w:p>
    <w:p w14:paraId="494805FF" w14:textId="77777777" w:rsidR="00E8437D" w:rsidRPr="009B1A37" w:rsidRDefault="00E8437D" w:rsidP="00BE3D48">
      <w:pPr>
        <w:pStyle w:val="EndnoteText"/>
        <w:widowControl w:val="0"/>
        <w:tabs>
          <w:tab w:val="clear" w:pos="567"/>
          <w:tab w:val="left" w:pos="7655"/>
        </w:tabs>
        <w:rPr>
          <w:color w:val="000000"/>
        </w:rPr>
      </w:pPr>
    </w:p>
    <w:p w14:paraId="6B1AE8D1" w14:textId="77777777" w:rsidR="00D97A44" w:rsidRPr="009B1A37" w:rsidRDefault="00E8437D" w:rsidP="00BE3D48">
      <w:pPr>
        <w:pStyle w:val="EndnoteText"/>
        <w:keepNext/>
        <w:widowControl w:val="0"/>
        <w:tabs>
          <w:tab w:val="clear" w:pos="567"/>
          <w:tab w:val="left" w:pos="7655"/>
        </w:tabs>
        <w:rPr>
          <w:color w:val="000000"/>
          <w:u w:val="single"/>
        </w:rPr>
      </w:pPr>
      <w:r w:rsidRPr="009B1A37">
        <w:rPr>
          <w:color w:val="000000"/>
          <w:u w:val="single"/>
        </w:rPr>
        <w:t>Hypotyreóza</w:t>
      </w:r>
    </w:p>
    <w:p w14:paraId="02628A53" w14:textId="77777777" w:rsidR="00D97A44" w:rsidRPr="009B1A37" w:rsidRDefault="00D97A44" w:rsidP="00BE3D48">
      <w:pPr>
        <w:pStyle w:val="EndnoteText"/>
        <w:widowControl w:val="0"/>
        <w:tabs>
          <w:tab w:val="clear" w:pos="567"/>
          <w:tab w:val="left" w:pos="7655"/>
        </w:tabs>
        <w:rPr>
          <w:color w:val="000000"/>
        </w:rPr>
      </w:pPr>
      <w:r w:rsidRPr="009B1A37">
        <w:rPr>
          <w:color w:val="000000"/>
        </w:rPr>
        <w:t xml:space="preserve">Během léčby Glivecem byly hlášeny klinické případy hypotyreózy u pacientů, kterým byla provedena tyreoidektomie a kteří byli substitučně léčeni levothyroxinem (viz bod 4.5). U těchto pacientů je třeba důkladně kontrolovat hladiny </w:t>
      </w:r>
      <w:r w:rsidR="00E64FEE" w:rsidRPr="009B1A37">
        <w:rPr>
          <w:color w:val="000000"/>
        </w:rPr>
        <w:t>tyreotropního hormonu (</w:t>
      </w:r>
      <w:r w:rsidRPr="009B1A37">
        <w:rPr>
          <w:color w:val="000000"/>
        </w:rPr>
        <w:t>TSH</w:t>
      </w:r>
      <w:r w:rsidR="00E64FEE" w:rsidRPr="009B1A37">
        <w:rPr>
          <w:color w:val="000000"/>
        </w:rPr>
        <w:t>)</w:t>
      </w:r>
      <w:r w:rsidRPr="009B1A37">
        <w:rPr>
          <w:color w:val="000000"/>
        </w:rPr>
        <w:t>.</w:t>
      </w:r>
    </w:p>
    <w:p w14:paraId="196130F3" w14:textId="77777777" w:rsidR="00E8437D" w:rsidRPr="009B1A37" w:rsidRDefault="00E8437D" w:rsidP="00BE3D48">
      <w:pPr>
        <w:pStyle w:val="EndnoteText"/>
        <w:widowControl w:val="0"/>
        <w:tabs>
          <w:tab w:val="clear" w:pos="567"/>
          <w:tab w:val="left" w:pos="7655"/>
        </w:tabs>
        <w:rPr>
          <w:color w:val="000000"/>
        </w:rPr>
      </w:pPr>
    </w:p>
    <w:p w14:paraId="409FA6DB" w14:textId="77777777" w:rsidR="00D97A44" w:rsidRPr="009B1A37" w:rsidRDefault="00E8437D" w:rsidP="00BE3D48">
      <w:pPr>
        <w:pStyle w:val="EndnoteText"/>
        <w:keepNext/>
        <w:widowControl w:val="0"/>
        <w:tabs>
          <w:tab w:val="clear" w:pos="567"/>
          <w:tab w:val="left" w:pos="7655"/>
        </w:tabs>
        <w:rPr>
          <w:color w:val="000000"/>
          <w:u w:val="single"/>
        </w:rPr>
      </w:pPr>
      <w:r w:rsidRPr="009B1A37">
        <w:rPr>
          <w:color w:val="000000"/>
          <w:u w:val="single"/>
        </w:rPr>
        <w:t>Hepatotoxicita</w:t>
      </w:r>
    </w:p>
    <w:p w14:paraId="47D10277" w14:textId="77777777" w:rsidR="00D97A44" w:rsidRPr="009B1A37" w:rsidRDefault="00D97A44" w:rsidP="00BE3D48">
      <w:pPr>
        <w:pStyle w:val="EndnoteText"/>
        <w:widowControl w:val="0"/>
        <w:tabs>
          <w:tab w:val="clear" w:pos="567"/>
        </w:tabs>
        <w:rPr>
          <w:color w:val="000000"/>
        </w:rPr>
      </w:pPr>
      <w:r w:rsidRPr="009B1A37">
        <w:rPr>
          <w:color w:val="000000"/>
        </w:rPr>
        <w:t>Glivec je metabolizován převážně játry a pouze 13</w:t>
      </w:r>
      <w:r w:rsidR="00BB39E8" w:rsidRPr="009B1A37">
        <w:rPr>
          <w:color w:val="000000"/>
        </w:rPr>
        <w:t> </w:t>
      </w:r>
      <w:r w:rsidRPr="009B1A37">
        <w:rPr>
          <w:color w:val="000000"/>
        </w:rPr>
        <w:t>% je vylučováno ledvinami. U pacientů s dysfunkcí jater (</w:t>
      </w:r>
      <w:r w:rsidR="00BA4FF7" w:rsidRPr="009B1A37">
        <w:rPr>
          <w:color w:val="000000"/>
        </w:rPr>
        <w:t>lehkou</w:t>
      </w:r>
      <w:r w:rsidRPr="009B1A37">
        <w:rPr>
          <w:color w:val="000000"/>
        </w:rPr>
        <w:t xml:space="preserve">, středně </w:t>
      </w:r>
      <w:r w:rsidR="00BA4FF7" w:rsidRPr="009B1A37">
        <w:rPr>
          <w:color w:val="000000"/>
        </w:rPr>
        <w:t>těžkou</w:t>
      </w:r>
      <w:r w:rsidRPr="009B1A37">
        <w:rPr>
          <w:color w:val="000000"/>
        </w:rPr>
        <w:t xml:space="preserve"> nebo </w:t>
      </w:r>
      <w:r w:rsidR="00BA4FF7" w:rsidRPr="009B1A37">
        <w:rPr>
          <w:color w:val="000000"/>
        </w:rPr>
        <w:t>těžkou</w:t>
      </w:r>
      <w:r w:rsidRPr="009B1A37">
        <w:rPr>
          <w:color w:val="000000"/>
        </w:rPr>
        <w:t xml:space="preserve">) </w:t>
      </w:r>
      <w:r w:rsidR="00BA4FF7" w:rsidRPr="009B1A37">
        <w:rPr>
          <w:color w:val="000000"/>
        </w:rPr>
        <w:t>má</w:t>
      </w:r>
      <w:r w:rsidRPr="009B1A37">
        <w:rPr>
          <w:color w:val="000000"/>
        </w:rPr>
        <w:t xml:space="preserve"> být pečlivě sledován počet krevních elementů v periferní krvi a jaterní enzymy (viz body 4.2, </w:t>
      </w:r>
      <w:smartTag w:uri="urn:schemas-microsoft-com:office:smarttags" w:element="metricconverter">
        <w:smartTagPr>
          <w:attr w:name="ProductID" w:val="4.8 a"/>
        </w:smartTagPr>
        <w:r w:rsidRPr="009B1A37">
          <w:rPr>
            <w:color w:val="000000"/>
          </w:rPr>
          <w:t>4.8 a</w:t>
        </w:r>
      </w:smartTag>
      <w:r w:rsidRPr="009B1A37">
        <w:rPr>
          <w:color w:val="000000"/>
        </w:rPr>
        <w:t xml:space="preserve"> 5.2). Je nutné si uvědomit, že pacienti s GIST mohou mít jaterní metastázy, které mohou vést ke zhoršení jaterních funkcí.</w:t>
      </w:r>
    </w:p>
    <w:p w14:paraId="38586014" w14:textId="77777777" w:rsidR="00D97A44" w:rsidRPr="009B1A37" w:rsidRDefault="00D97A44" w:rsidP="00BE3D48">
      <w:pPr>
        <w:pStyle w:val="EndnoteText"/>
        <w:widowControl w:val="0"/>
        <w:tabs>
          <w:tab w:val="clear" w:pos="567"/>
        </w:tabs>
        <w:rPr>
          <w:color w:val="000000"/>
        </w:rPr>
      </w:pPr>
    </w:p>
    <w:p w14:paraId="316AB8BB" w14:textId="77777777" w:rsidR="00D97A44" w:rsidRPr="009B1A37" w:rsidRDefault="00D97A44" w:rsidP="00BE3D48">
      <w:pPr>
        <w:pStyle w:val="EndnoteText"/>
        <w:widowControl w:val="0"/>
        <w:tabs>
          <w:tab w:val="clear" w:pos="567"/>
        </w:tabs>
        <w:rPr>
          <w:color w:val="000000"/>
        </w:rPr>
      </w:pPr>
      <w:r w:rsidRPr="009B1A37">
        <w:rPr>
          <w:color w:val="000000"/>
        </w:rPr>
        <w:t>Při léčbě imatinibem byly pozorovány případy jaterního poškození včetně jaterního selhání a jaterní nekrózy. Pokud bylo podávání imatinibu kombinováno s vysokodávkov</w:t>
      </w:r>
      <w:r w:rsidR="00F85A9B" w:rsidRPr="009B1A37">
        <w:rPr>
          <w:color w:val="000000"/>
        </w:rPr>
        <w:t>ý</w:t>
      </w:r>
      <w:r w:rsidRPr="009B1A37">
        <w:rPr>
          <w:color w:val="000000"/>
        </w:rPr>
        <w:t xml:space="preserve">mi chemoterapeutickými režimy, byl zjištěn nárůst závažných jaterních reakcí. Jaterní funkce </w:t>
      </w:r>
      <w:r w:rsidR="00F230A2" w:rsidRPr="009B1A37">
        <w:rPr>
          <w:color w:val="000000"/>
        </w:rPr>
        <w:t>mají</w:t>
      </w:r>
      <w:r w:rsidRPr="009B1A37">
        <w:rPr>
          <w:color w:val="000000"/>
        </w:rPr>
        <w:t xml:space="preserve"> být pečlivě monitorovány, jestliže se imatinib kombinuje s chemoterapeutickými režimy, o kterých je také známo, že bývají spojeny s poruchou jaterních funkcí (viz bod</w:t>
      </w:r>
      <w:r w:rsidR="00F230A2" w:rsidRPr="009B1A37">
        <w:rPr>
          <w:color w:val="000000"/>
        </w:rPr>
        <w:t>y</w:t>
      </w:r>
      <w:r w:rsidRPr="009B1A37">
        <w:rPr>
          <w:color w:val="000000"/>
        </w:rPr>
        <w:t xml:space="preserve"> </w:t>
      </w:r>
      <w:smartTag w:uri="urn:schemas-microsoft-com:office:smarttags" w:element="metricconverter">
        <w:smartTagPr>
          <w:attr w:name="ProductID" w:val="4.5 a"/>
        </w:smartTagPr>
        <w:r w:rsidRPr="009B1A37">
          <w:rPr>
            <w:color w:val="000000"/>
          </w:rPr>
          <w:t>4.5 a</w:t>
        </w:r>
      </w:smartTag>
      <w:r w:rsidRPr="009B1A37">
        <w:rPr>
          <w:color w:val="000000"/>
        </w:rPr>
        <w:t xml:space="preserve"> 4.8).</w:t>
      </w:r>
    </w:p>
    <w:p w14:paraId="663DB320" w14:textId="77777777" w:rsidR="00E8437D" w:rsidRPr="009B1A37" w:rsidRDefault="00E8437D" w:rsidP="00BE3D48">
      <w:pPr>
        <w:pStyle w:val="EndnoteText"/>
        <w:widowControl w:val="0"/>
        <w:tabs>
          <w:tab w:val="clear" w:pos="567"/>
        </w:tabs>
        <w:rPr>
          <w:color w:val="000000"/>
        </w:rPr>
      </w:pPr>
    </w:p>
    <w:p w14:paraId="680DC09E" w14:textId="77777777" w:rsidR="00D97A44" w:rsidRPr="009B1A37" w:rsidRDefault="00E8437D" w:rsidP="00BE3D48">
      <w:pPr>
        <w:pStyle w:val="EndnoteText"/>
        <w:keepNext/>
        <w:widowControl w:val="0"/>
        <w:tabs>
          <w:tab w:val="clear" w:pos="567"/>
          <w:tab w:val="left" w:pos="7655"/>
        </w:tabs>
        <w:rPr>
          <w:color w:val="000000"/>
          <w:u w:val="single"/>
        </w:rPr>
      </w:pPr>
      <w:r w:rsidRPr="009B1A37">
        <w:rPr>
          <w:color w:val="000000"/>
          <w:u w:val="single"/>
        </w:rPr>
        <w:t>Retence tekutin</w:t>
      </w:r>
    </w:p>
    <w:p w14:paraId="72A3601C" w14:textId="77777777" w:rsidR="00D97A44" w:rsidRPr="009B1A37" w:rsidRDefault="00D97A44" w:rsidP="00BE3D48">
      <w:pPr>
        <w:pStyle w:val="EndnoteText"/>
        <w:widowControl w:val="0"/>
        <w:tabs>
          <w:tab w:val="clear" w:pos="567"/>
        </w:tabs>
        <w:rPr>
          <w:color w:val="000000"/>
        </w:rPr>
      </w:pPr>
      <w:r w:rsidRPr="009B1A37">
        <w:rPr>
          <w:color w:val="000000"/>
        </w:rPr>
        <w:t>Výskyt závažné retence tekutin (pleurální výpotek, edém, plicní edém, ascites, povrchový edém) byl hlášen přibližně u 2,5</w:t>
      </w:r>
      <w:r w:rsidR="00BB39E8" w:rsidRPr="009B1A37">
        <w:rPr>
          <w:color w:val="000000"/>
        </w:rPr>
        <w:t> </w:t>
      </w:r>
      <w:r w:rsidRPr="009B1A37">
        <w:rPr>
          <w:color w:val="000000"/>
        </w:rPr>
        <w:t xml:space="preserve">% nově diagnostikovaných pacientů s CML užívajících Glivec. Proto se velice doporučuje pravidelné vážení pacientů. Neočekávaný, rychlý nárůst tělesné hmotnosti </w:t>
      </w:r>
      <w:r w:rsidR="00F230A2" w:rsidRPr="009B1A37">
        <w:rPr>
          <w:color w:val="000000"/>
        </w:rPr>
        <w:t>má</w:t>
      </w:r>
      <w:r w:rsidRPr="009B1A37">
        <w:rPr>
          <w:color w:val="000000"/>
        </w:rPr>
        <w:t xml:space="preserve"> být pečlivě vyšetřen, a pokud je to nezbytné, m</w:t>
      </w:r>
      <w:r w:rsidR="00F230A2" w:rsidRPr="009B1A37">
        <w:rPr>
          <w:color w:val="000000"/>
        </w:rPr>
        <w:t>ají</w:t>
      </w:r>
      <w:r w:rsidRPr="009B1A37">
        <w:rPr>
          <w:color w:val="000000"/>
        </w:rPr>
        <w:t xml:space="preserve"> být zavedena příslušná podpůrná a léčebná opatření. V klinických studiích byl zvýšený výskyt těchto příhod u starších </w:t>
      </w:r>
      <w:r w:rsidR="00F230A2" w:rsidRPr="009B1A37">
        <w:rPr>
          <w:color w:val="000000"/>
        </w:rPr>
        <w:t>pacientů</w:t>
      </w:r>
      <w:r w:rsidRPr="009B1A37">
        <w:rPr>
          <w:color w:val="000000"/>
        </w:rPr>
        <w:t xml:space="preserve"> a u pacientů se srdečním onemocněním v anamnéze. Proto je nutné pacientům se srdeční dysfunkcí věnovat zvýšenou pozornost.</w:t>
      </w:r>
    </w:p>
    <w:p w14:paraId="00AB15E6" w14:textId="77777777" w:rsidR="00E8437D" w:rsidRPr="009B1A37" w:rsidRDefault="00E8437D" w:rsidP="00BE3D48">
      <w:pPr>
        <w:pStyle w:val="EndnoteText"/>
        <w:widowControl w:val="0"/>
        <w:tabs>
          <w:tab w:val="clear" w:pos="567"/>
        </w:tabs>
        <w:rPr>
          <w:color w:val="000000"/>
          <w:u w:val="single"/>
        </w:rPr>
      </w:pPr>
    </w:p>
    <w:p w14:paraId="3E73D89E" w14:textId="77777777" w:rsidR="00D97A44" w:rsidRPr="009B1A37" w:rsidRDefault="00E8437D" w:rsidP="00BE3D48">
      <w:pPr>
        <w:pStyle w:val="EndnoteText"/>
        <w:keepNext/>
        <w:widowControl w:val="0"/>
        <w:tabs>
          <w:tab w:val="clear" w:pos="567"/>
          <w:tab w:val="left" w:pos="7655"/>
        </w:tabs>
        <w:rPr>
          <w:color w:val="000000"/>
        </w:rPr>
      </w:pPr>
      <w:r w:rsidRPr="009B1A37">
        <w:rPr>
          <w:color w:val="000000"/>
          <w:u w:val="single"/>
        </w:rPr>
        <w:t>Pacienti se srdečním onemocněním</w:t>
      </w:r>
    </w:p>
    <w:p w14:paraId="7D4A0AD9" w14:textId="77777777" w:rsidR="00D97A44" w:rsidRPr="009B1A37" w:rsidRDefault="00D97A44" w:rsidP="00BE3D48">
      <w:pPr>
        <w:pStyle w:val="EndnoteText"/>
        <w:widowControl w:val="0"/>
        <w:tabs>
          <w:tab w:val="clear" w:pos="567"/>
        </w:tabs>
        <w:rPr>
          <w:color w:val="000000"/>
        </w:rPr>
      </w:pPr>
      <w:r w:rsidRPr="009B1A37">
        <w:rPr>
          <w:color w:val="000000"/>
        </w:rPr>
        <w:t>Pacienti se srdečním onemocněním</w:t>
      </w:r>
      <w:r w:rsidR="00E65B7B" w:rsidRPr="009B1A37">
        <w:rPr>
          <w:color w:val="000000"/>
        </w:rPr>
        <w:t>,</w:t>
      </w:r>
      <w:r w:rsidRPr="009B1A37">
        <w:rPr>
          <w:color w:val="000000"/>
        </w:rPr>
        <w:t xml:space="preserve"> s rizikovými faktory vzniku srdečního selhání </w:t>
      </w:r>
      <w:r w:rsidR="00E65B7B" w:rsidRPr="009B1A37">
        <w:rPr>
          <w:color w:val="000000"/>
        </w:rPr>
        <w:t xml:space="preserve">nebo </w:t>
      </w:r>
      <w:r w:rsidR="00952AED" w:rsidRPr="009B1A37">
        <w:rPr>
          <w:color w:val="000000"/>
        </w:rPr>
        <w:t>renálním</w:t>
      </w:r>
      <w:r w:rsidR="00E65B7B" w:rsidRPr="009B1A37">
        <w:rPr>
          <w:color w:val="000000"/>
        </w:rPr>
        <w:t xml:space="preserve"> selháním v anamnéze </w:t>
      </w:r>
      <w:r w:rsidR="00F230A2" w:rsidRPr="009B1A37">
        <w:rPr>
          <w:color w:val="000000"/>
        </w:rPr>
        <w:t>mají</w:t>
      </w:r>
      <w:r w:rsidRPr="009B1A37">
        <w:rPr>
          <w:color w:val="000000"/>
        </w:rPr>
        <w:t xml:space="preserve"> být pečlivě sledováni, a každý pacient s</w:t>
      </w:r>
      <w:r w:rsidR="00F230A2" w:rsidRPr="009B1A37">
        <w:rPr>
          <w:color w:val="000000"/>
        </w:rPr>
        <w:t>e známkami nebo</w:t>
      </w:r>
      <w:r w:rsidRPr="009B1A37">
        <w:rPr>
          <w:color w:val="000000"/>
        </w:rPr>
        <w:t xml:space="preserve"> příznaky shodnými s příznaky srdečního </w:t>
      </w:r>
      <w:r w:rsidR="00952AED" w:rsidRPr="009B1A37">
        <w:rPr>
          <w:color w:val="000000"/>
        </w:rPr>
        <w:t xml:space="preserve">nebo renálního </w:t>
      </w:r>
      <w:r w:rsidRPr="009B1A37">
        <w:rPr>
          <w:color w:val="000000"/>
        </w:rPr>
        <w:t xml:space="preserve">selhání </w:t>
      </w:r>
      <w:r w:rsidR="00F230A2" w:rsidRPr="009B1A37">
        <w:rPr>
          <w:color w:val="000000"/>
        </w:rPr>
        <w:t>má</w:t>
      </w:r>
      <w:r w:rsidRPr="009B1A37">
        <w:rPr>
          <w:color w:val="000000"/>
        </w:rPr>
        <w:t xml:space="preserve"> být vyšetřen a léčen.</w:t>
      </w:r>
    </w:p>
    <w:p w14:paraId="1C8F3041" w14:textId="77777777" w:rsidR="00D97A44" w:rsidRPr="009B1A37" w:rsidRDefault="00D97A44" w:rsidP="00BE3D48">
      <w:pPr>
        <w:pStyle w:val="EndnoteText"/>
        <w:widowControl w:val="0"/>
        <w:tabs>
          <w:tab w:val="clear" w:pos="567"/>
        </w:tabs>
        <w:rPr>
          <w:color w:val="000000"/>
        </w:rPr>
      </w:pPr>
    </w:p>
    <w:p w14:paraId="3C3AE62F" w14:textId="77777777" w:rsidR="00A072B0" w:rsidRPr="009B1A37" w:rsidRDefault="00D97A44" w:rsidP="00BE3D48">
      <w:pPr>
        <w:pStyle w:val="EndnoteText"/>
        <w:widowControl w:val="0"/>
        <w:tabs>
          <w:tab w:val="clear" w:pos="567"/>
        </w:tabs>
        <w:rPr>
          <w:color w:val="000000"/>
        </w:rPr>
      </w:pPr>
      <w:r w:rsidRPr="009B1A37">
        <w:rPr>
          <w:color w:val="000000"/>
        </w:rPr>
        <w:t xml:space="preserve">U pacientů s hypereosinofilním syndromem (HES) </w:t>
      </w:r>
      <w:r w:rsidR="00B10789" w:rsidRPr="009B1A37">
        <w:rPr>
          <w:color w:val="000000"/>
        </w:rPr>
        <w:t xml:space="preserve">s okultní infiltrací HES </w:t>
      </w:r>
      <w:r w:rsidR="00321D0E" w:rsidRPr="009B1A37">
        <w:rPr>
          <w:color w:val="000000"/>
        </w:rPr>
        <w:t xml:space="preserve">buněk </w:t>
      </w:r>
      <w:r w:rsidR="00B10789" w:rsidRPr="009B1A37">
        <w:rPr>
          <w:color w:val="000000"/>
        </w:rPr>
        <w:t xml:space="preserve">do myokardu </w:t>
      </w:r>
      <w:r w:rsidRPr="009B1A37">
        <w:rPr>
          <w:color w:val="000000"/>
        </w:rPr>
        <w:t>byl</w:t>
      </w:r>
      <w:r w:rsidR="00A072B0" w:rsidRPr="009B1A37">
        <w:rPr>
          <w:color w:val="000000"/>
        </w:rPr>
        <w:t xml:space="preserve">y </w:t>
      </w:r>
      <w:r w:rsidRPr="009B1A37">
        <w:rPr>
          <w:color w:val="000000"/>
        </w:rPr>
        <w:t>ojediněl</w:t>
      </w:r>
      <w:r w:rsidR="00A072B0" w:rsidRPr="009B1A37">
        <w:rPr>
          <w:color w:val="000000"/>
        </w:rPr>
        <w:t>é</w:t>
      </w:r>
      <w:r w:rsidRPr="009B1A37">
        <w:rPr>
          <w:color w:val="000000"/>
        </w:rPr>
        <w:t xml:space="preserve"> případ</w:t>
      </w:r>
      <w:r w:rsidR="00A072B0" w:rsidRPr="009B1A37">
        <w:rPr>
          <w:color w:val="000000"/>
        </w:rPr>
        <w:t>y</w:t>
      </w:r>
      <w:r w:rsidRPr="009B1A37">
        <w:rPr>
          <w:color w:val="000000"/>
        </w:rPr>
        <w:t xml:space="preserve"> </w:t>
      </w:r>
      <w:r w:rsidR="00A072B0" w:rsidRPr="009B1A37">
        <w:rPr>
          <w:color w:val="000000"/>
        </w:rPr>
        <w:t xml:space="preserve">kardiogenního šoku či dysfunkce levé komory </w:t>
      </w:r>
      <w:r w:rsidR="00292CC3" w:rsidRPr="009B1A37">
        <w:rPr>
          <w:color w:val="000000"/>
        </w:rPr>
        <w:t xml:space="preserve">spojeny </w:t>
      </w:r>
      <w:r w:rsidR="00A072B0" w:rsidRPr="009B1A37">
        <w:rPr>
          <w:color w:val="000000"/>
        </w:rPr>
        <w:t xml:space="preserve">s degranulací HES buněk po </w:t>
      </w:r>
      <w:r w:rsidRPr="009B1A37">
        <w:rPr>
          <w:color w:val="000000"/>
        </w:rPr>
        <w:t>zahájení léčby imatinibem. Dle hlášení byl stav reverzibilní při podávání systémových kortikosteroidů, zavedení opatření k podpoře cirkulace a dočasném vysazení imatinibu. Protože byly hlášeny méně časté kardiální nežádoucí účinky při podávání Glivecu, m</w:t>
      </w:r>
      <w:r w:rsidR="00F230A2" w:rsidRPr="009B1A37">
        <w:rPr>
          <w:color w:val="000000"/>
        </w:rPr>
        <w:t>á</w:t>
      </w:r>
      <w:r w:rsidRPr="009B1A37">
        <w:rPr>
          <w:color w:val="000000"/>
        </w:rPr>
        <w:t xml:space="preserve"> být před zahájením léčby pečlivě zváženo stanovení prospěchu/rizika léčby imatinibem u pacientů s HES/</w:t>
      </w:r>
      <w:smartTag w:uri="urn:schemas-microsoft-com:office:smarttags" w:element="stockticker">
        <w:r w:rsidRPr="009B1A37">
          <w:rPr>
            <w:color w:val="000000"/>
          </w:rPr>
          <w:t>CEL</w:t>
        </w:r>
      </w:smartTag>
      <w:r w:rsidRPr="009B1A37">
        <w:rPr>
          <w:color w:val="000000"/>
        </w:rPr>
        <w:t>.</w:t>
      </w:r>
    </w:p>
    <w:p w14:paraId="3A9D783C" w14:textId="77777777" w:rsidR="00A072B0" w:rsidRPr="009B1A37" w:rsidRDefault="00A072B0" w:rsidP="00BE3D48">
      <w:pPr>
        <w:pStyle w:val="EndnoteText"/>
        <w:widowControl w:val="0"/>
        <w:tabs>
          <w:tab w:val="clear" w:pos="567"/>
        </w:tabs>
        <w:rPr>
          <w:color w:val="000000"/>
        </w:rPr>
      </w:pPr>
    </w:p>
    <w:p w14:paraId="461A637F" w14:textId="77777777" w:rsidR="00D97A44" w:rsidRPr="009B1A37" w:rsidRDefault="00D97A44" w:rsidP="00BE3D48">
      <w:pPr>
        <w:pStyle w:val="EndnoteText"/>
        <w:widowControl w:val="0"/>
        <w:tabs>
          <w:tab w:val="clear" w:pos="567"/>
        </w:tabs>
        <w:rPr>
          <w:color w:val="000000"/>
        </w:rPr>
      </w:pPr>
      <w:r w:rsidRPr="009B1A37">
        <w:rPr>
          <w:color w:val="000000"/>
        </w:rPr>
        <w:t>Myelodysplastické/myeloproliferativní onemocnění s</w:t>
      </w:r>
      <w:r w:rsidR="00F230A2" w:rsidRPr="009B1A37">
        <w:rPr>
          <w:color w:val="000000"/>
        </w:rPr>
        <w:t xml:space="preserve"> přeskupením</w:t>
      </w:r>
      <w:r w:rsidRPr="009B1A37">
        <w:rPr>
          <w:color w:val="000000"/>
        </w:rPr>
        <w:t xml:space="preserve"> genu receptoru PDGFR by mohlo </w:t>
      </w:r>
      <w:r w:rsidRPr="009B1A37">
        <w:rPr>
          <w:color w:val="000000"/>
        </w:rPr>
        <w:lastRenderedPageBreak/>
        <w:t>být spojeno s vysokými hladinami eosinofilů. Proto se m</w:t>
      </w:r>
      <w:r w:rsidR="00C83E66" w:rsidRPr="009B1A37">
        <w:rPr>
          <w:color w:val="000000"/>
        </w:rPr>
        <w:t>á</w:t>
      </w:r>
      <w:r w:rsidRPr="009B1A37">
        <w:rPr>
          <w:color w:val="000000"/>
        </w:rPr>
        <w:t xml:space="preserve"> před podáním Glivecu pacientům s HES/</w:t>
      </w:r>
      <w:smartTag w:uri="urn:schemas-microsoft-com:office:smarttags" w:element="stockticker">
        <w:r w:rsidRPr="009B1A37">
          <w:rPr>
            <w:color w:val="000000"/>
          </w:rPr>
          <w:t>CEL</w:t>
        </w:r>
      </w:smartTag>
      <w:r w:rsidRPr="009B1A37">
        <w:rPr>
          <w:color w:val="000000"/>
        </w:rPr>
        <w:t xml:space="preserve"> a pacientům s </w:t>
      </w:r>
      <w:smartTag w:uri="urn:schemas-microsoft-com:office:smarttags" w:element="stockticker">
        <w:r w:rsidRPr="009B1A37">
          <w:rPr>
            <w:color w:val="000000"/>
          </w:rPr>
          <w:t>MDS</w:t>
        </w:r>
      </w:smartTag>
      <w:r w:rsidRPr="009B1A37">
        <w:rPr>
          <w:color w:val="000000"/>
        </w:rPr>
        <w:t>/MPD spojeným s vysokými hladinami eosinofilů zvážit vyšetření kardiologem, provedení echokardiogramu a stanovení troponinu v séru. Pokud je výsledek kteréhokoli vyšetření abnormální, m</w:t>
      </w:r>
      <w:r w:rsidR="00F230A2" w:rsidRPr="009B1A37">
        <w:rPr>
          <w:color w:val="000000"/>
        </w:rPr>
        <w:t>á</w:t>
      </w:r>
      <w:r w:rsidRPr="009B1A37">
        <w:rPr>
          <w:color w:val="000000"/>
        </w:rPr>
        <w:t xml:space="preserve"> být zváženo </w:t>
      </w:r>
      <w:r w:rsidR="00F230A2" w:rsidRPr="009B1A37">
        <w:rPr>
          <w:color w:val="000000"/>
        </w:rPr>
        <w:t>sledování</w:t>
      </w:r>
      <w:r w:rsidRPr="009B1A37">
        <w:rPr>
          <w:color w:val="000000"/>
        </w:rPr>
        <w:t xml:space="preserve"> kardiologem a profylaktické podávání systémových kortikosteroidů (1</w:t>
      </w:r>
      <w:r w:rsidRPr="009B1A37">
        <w:rPr>
          <w:color w:val="000000"/>
        </w:rPr>
        <w:noBreakHyphen/>
        <w:t>2 mg/kg) po dobu jednoho až dvou týdnů souběžně se zahájením léčby imatinibem.</w:t>
      </w:r>
    </w:p>
    <w:p w14:paraId="7D67E6D6" w14:textId="77777777" w:rsidR="00E8437D" w:rsidRPr="009B1A37" w:rsidRDefault="00E8437D" w:rsidP="00BE3D48">
      <w:pPr>
        <w:pStyle w:val="EndnoteText"/>
        <w:widowControl w:val="0"/>
        <w:tabs>
          <w:tab w:val="clear" w:pos="567"/>
        </w:tabs>
        <w:rPr>
          <w:color w:val="000000"/>
          <w:u w:val="single"/>
        </w:rPr>
      </w:pPr>
    </w:p>
    <w:p w14:paraId="160F8892" w14:textId="77777777" w:rsidR="00D97A44" w:rsidRPr="009B1A37" w:rsidRDefault="00E8437D" w:rsidP="00BE3D48">
      <w:pPr>
        <w:pStyle w:val="EndnoteText"/>
        <w:keepNext/>
        <w:widowControl w:val="0"/>
        <w:tabs>
          <w:tab w:val="clear" w:pos="567"/>
          <w:tab w:val="left" w:pos="7655"/>
        </w:tabs>
        <w:rPr>
          <w:color w:val="000000"/>
        </w:rPr>
      </w:pPr>
      <w:r w:rsidRPr="009B1A37">
        <w:rPr>
          <w:color w:val="000000"/>
          <w:u w:val="single"/>
        </w:rPr>
        <w:t>Gastrointestinální krvácení</w:t>
      </w:r>
    </w:p>
    <w:p w14:paraId="6CF70102" w14:textId="77777777" w:rsidR="00D97A44" w:rsidRPr="009B1A37" w:rsidRDefault="00D97A44" w:rsidP="00BE3D48">
      <w:pPr>
        <w:pStyle w:val="EndnoteText"/>
        <w:widowControl w:val="0"/>
        <w:tabs>
          <w:tab w:val="clear" w:pos="567"/>
        </w:tabs>
        <w:rPr>
          <w:color w:val="000000"/>
        </w:rPr>
      </w:pPr>
      <w:r w:rsidRPr="009B1A37">
        <w:rPr>
          <w:color w:val="000000"/>
        </w:rPr>
        <w:t>Ve studii u pacientů s inoperabilním a/nebo metastatickým GIST bylo hlášeno jak gastrointestinální, tak i intratumorózní krvácení (viz bod</w:t>
      </w:r>
      <w:r w:rsidR="001826E6" w:rsidRPr="009B1A37">
        <w:rPr>
          <w:color w:val="000000"/>
        </w:rPr>
        <w:t> </w:t>
      </w:r>
      <w:r w:rsidRPr="009B1A37">
        <w:rPr>
          <w:color w:val="000000"/>
        </w:rPr>
        <w:t>4.8). Na základě dostupných údajů nebyly identifikovány žádné predispoziční faktory (např.</w:t>
      </w:r>
      <w:r w:rsidR="003B72A7" w:rsidRPr="009B1A37">
        <w:rPr>
          <w:color w:val="000000"/>
        </w:rPr>
        <w:t xml:space="preserve"> </w:t>
      </w:r>
      <w:r w:rsidRPr="009B1A37">
        <w:rPr>
          <w:color w:val="000000"/>
        </w:rPr>
        <w:t>velikost nádoru, lokalizace nádoru, poruchy koagulace), které by zařadily pacienty s GIST do skupiny s vyšším rizikem kteréhokoli typu krvácení. Protože je zvýšená vaskularizace a sklon ke krvácivosti součástí povahy a klinického průběhu GIST, m</w:t>
      </w:r>
      <w:r w:rsidR="00F230A2" w:rsidRPr="009B1A37">
        <w:rPr>
          <w:color w:val="000000"/>
        </w:rPr>
        <w:t>á</w:t>
      </w:r>
      <w:r w:rsidRPr="009B1A37">
        <w:rPr>
          <w:color w:val="000000"/>
        </w:rPr>
        <w:t xml:space="preserve"> být u všech pacientů použit standardní postup pro monitorování a zvládání krvácení.</w:t>
      </w:r>
    </w:p>
    <w:p w14:paraId="5AEE9DDD" w14:textId="77777777" w:rsidR="00211688" w:rsidRPr="009B1A37" w:rsidRDefault="00211688" w:rsidP="00BE3D48">
      <w:pPr>
        <w:pStyle w:val="EndnoteText"/>
        <w:widowControl w:val="0"/>
        <w:tabs>
          <w:tab w:val="clear" w:pos="567"/>
        </w:tabs>
      </w:pPr>
    </w:p>
    <w:p w14:paraId="0F2B161B" w14:textId="77777777" w:rsidR="00211688" w:rsidRPr="009B1A37" w:rsidRDefault="00211688" w:rsidP="00BE3D48">
      <w:pPr>
        <w:pStyle w:val="EndnoteText"/>
        <w:widowControl w:val="0"/>
        <w:tabs>
          <w:tab w:val="clear" w:pos="567"/>
        </w:tabs>
        <w:rPr>
          <w:snapToGrid w:val="0"/>
        </w:rPr>
      </w:pPr>
      <w:r w:rsidRPr="009B1A37">
        <w:t>V postma</w:t>
      </w:r>
      <w:r w:rsidR="00DF452F" w:rsidRPr="009B1A37">
        <w:t>r</w:t>
      </w:r>
      <w:r w:rsidRPr="009B1A37">
        <w:t xml:space="preserve">ketingovém </w:t>
      </w:r>
      <w:r w:rsidR="00DF452F" w:rsidRPr="009B1A37">
        <w:t>období byla u</w:t>
      </w:r>
      <w:r w:rsidR="00DF452F" w:rsidRPr="009B1A37">
        <w:rPr>
          <w:color w:val="000000"/>
        </w:rPr>
        <w:t> </w:t>
      </w:r>
      <w:r w:rsidR="00DF452F" w:rsidRPr="009B1A37">
        <w:t>pacientů s</w:t>
      </w:r>
      <w:r w:rsidR="00DF452F" w:rsidRPr="009B1A37">
        <w:rPr>
          <w:color w:val="000000"/>
        </w:rPr>
        <w:t> </w:t>
      </w:r>
      <w:r w:rsidR="00DF452F" w:rsidRPr="009B1A37">
        <w:t>CML, ALL a jiným</w:t>
      </w:r>
      <w:r w:rsidR="00A40A1C" w:rsidRPr="009B1A37">
        <w:t>i</w:t>
      </w:r>
      <w:r w:rsidR="00DF452F" w:rsidRPr="009B1A37">
        <w:t xml:space="preserve"> onemocněním</w:t>
      </w:r>
      <w:r w:rsidR="00A40A1C" w:rsidRPr="009B1A37">
        <w:t>i</w:t>
      </w:r>
      <w:r w:rsidR="00DF452F" w:rsidRPr="009B1A37">
        <w:t xml:space="preserve"> </w:t>
      </w:r>
      <w:r w:rsidRPr="009B1A37">
        <w:t xml:space="preserve">hlášena </w:t>
      </w:r>
      <w:r w:rsidR="00DF452F" w:rsidRPr="009B1A37">
        <w:t xml:space="preserve">také </w:t>
      </w:r>
      <w:r w:rsidR="00D66CA4" w:rsidRPr="009B1A37">
        <w:t>gastrická antrální vaskulární</w:t>
      </w:r>
      <w:r w:rsidRPr="009B1A37">
        <w:t xml:space="preserve"> </w:t>
      </w:r>
      <w:r w:rsidR="00D66CA4" w:rsidRPr="009B1A37">
        <w:t>ektázie</w:t>
      </w:r>
      <w:r w:rsidRPr="009B1A37">
        <w:t xml:space="preserve"> (GAVE), vzácný typ gastrointestinálního krvácení (viz bod 4.8). V případě potřeby může být léčba přípravkem Glivec ukončena.</w:t>
      </w:r>
    </w:p>
    <w:p w14:paraId="02FBD617" w14:textId="77777777" w:rsidR="00E8437D" w:rsidRPr="009B1A37" w:rsidRDefault="00E8437D" w:rsidP="00BE3D48">
      <w:pPr>
        <w:pStyle w:val="EndnoteText"/>
        <w:widowControl w:val="0"/>
        <w:tabs>
          <w:tab w:val="clear" w:pos="567"/>
        </w:tabs>
        <w:rPr>
          <w:color w:val="000000"/>
          <w:u w:val="single"/>
        </w:rPr>
      </w:pPr>
    </w:p>
    <w:p w14:paraId="1250E063" w14:textId="77777777" w:rsidR="00D97A44" w:rsidRPr="009B1A37" w:rsidRDefault="00E8437D" w:rsidP="00BE3D48">
      <w:pPr>
        <w:pStyle w:val="EndnoteText"/>
        <w:keepNext/>
        <w:widowControl w:val="0"/>
        <w:tabs>
          <w:tab w:val="clear" w:pos="567"/>
          <w:tab w:val="left" w:pos="7655"/>
        </w:tabs>
        <w:rPr>
          <w:color w:val="000000"/>
        </w:rPr>
      </w:pPr>
      <w:r w:rsidRPr="009B1A37">
        <w:rPr>
          <w:color w:val="000000"/>
          <w:u w:val="single"/>
        </w:rPr>
        <w:t>Syndrom nádorového rozpadu</w:t>
      </w:r>
    </w:p>
    <w:p w14:paraId="43BCFA01" w14:textId="77777777" w:rsidR="00901DC3" w:rsidRPr="009B1A37" w:rsidRDefault="00870CB8" w:rsidP="00BE3D48">
      <w:pPr>
        <w:pStyle w:val="EndnoteText"/>
        <w:widowControl w:val="0"/>
        <w:tabs>
          <w:tab w:val="clear" w:pos="567"/>
        </w:tabs>
        <w:rPr>
          <w:snapToGrid w:val="0"/>
          <w:color w:val="000000"/>
        </w:rPr>
      </w:pPr>
      <w:r w:rsidRPr="009B1A37">
        <w:rPr>
          <w:snapToGrid w:val="0"/>
          <w:color w:val="000000"/>
        </w:rPr>
        <w:t>Před za</w:t>
      </w:r>
      <w:r w:rsidR="00F230A2" w:rsidRPr="009B1A37">
        <w:rPr>
          <w:snapToGrid w:val="0"/>
          <w:color w:val="000000"/>
        </w:rPr>
        <w:t>hájením</w:t>
      </w:r>
      <w:r w:rsidRPr="009B1A37">
        <w:rPr>
          <w:snapToGrid w:val="0"/>
          <w:color w:val="000000"/>
        </w:rPr>
        <w:t xml:space="preserve"> léčby přípravkem Glivec je doporučená </w:t>
      </w:r>
      <w:r w:rsidR="0059615F" w:rsidRPr="009B1A37">
        <w:rPr>
          <w:snapToGrid w:val="0"/>
          <w:color w:val="000000"/>
        </w:rPr>
        <w:t xml:space="preserve">úprava klinicky významné dehydratace a léčba vysokých hladin kyseliny močové </w:t>
      </w:r>
      <w:r w:rsidRPr="009B1A37">
        <w:rPr>
          <w:snapToGrid w:val="0"/>
          <w:color w:val="000000"/>
        </w:rPr>
        <w:t>z</w:t>
      </w:r>
      <w:r w:rsidR="00BD0ACD" w:rsidRPr="009B1A37">
        <w:rPr>
          <w:color w:val="000000"/>
        </w:rPr>
        <w:t> </w:t>
      </w:r>
      <w:r w:rsidRPr="009B1A37">
        <w:rPr>
          <w:snapToGrid w:val="0"/>
          <w:color w:val="000000"/>
        </w:rPr>
        <w:t xml:space="preserve">důvodu možného výskytu syndromu nádorového rozpadu (TLS) </w:t>
      </w:r>
      <w:r w:rsidR="0059615F" w:rsidRPr="009B1A37">
        <w:rPr>
          <w:snapToGrid w:val="0"/>
          <w:color w:val="000000"/>
        </w:rPr>
        <w:t>(viz bod 4.8).</w:t>
      </w:r>
    </w:p>
    <w:p w14:paraId="43CFC025" w14:textId="77777777" w:rsidR="00901DC3" w:rsidRPr="009B1A37" w:rsidRDefault="00901DC3" w:rsidP="00BE3D48">
      <w:pPr>
        <w:pStyle w:val="EndnoteText"/>
        <w:widowControl w:val="0"/>
        <w:tabs>
          <w:tab w:val="clear" w:pos="567"/>
        </w:tabs>
        <w:rPr>
          <w:snapToGrid w:val="0"/>
          <w:color w:val="000000"/>
        </w:rPr>
      </w:pPr>
    </w:p>
    <w:p w14:paraId="140B25BC" w14:textId="77777777" w:rsidR="00901DC3" w:rsidRPr="009B1A37" w:rsidRDefault="00901DC3" w:rsidP="00BE3D48">
      <w:pPr>
        <w:pStyle w:val="EndnoteText"/>
        <w:keepNext/>
        <w:widowControl w:val="0"/>
        <w:tabs>
          <w:tab w:val="clear" w:pos="567"/>
          <w:tab w:val="left" w:pos="7655"/>
        </w:tabs>
        <w:rPr>
          <w:snapToGrid w:val="0"/>
          <w:color w:val="000000"/>
          <w:u w:val="single"/>
        </w:rPr>
      </w:pPr>
      <w:r w:rsidRPr="009B1A37">
        <w:rPr>
          <w:color w:val="000000"/>
          <w:u w:val="single"/>
        </w:rPr>
        <w:t>Reaktivace</w:t>
      </w:r>
      <w:r w:rsidRPr="009B1A37">
        <w:rPr>
          <w:snapToGrid w:val="0"/>
          <w:color w:val="000000"/>
          <w:u w:val="single"/>
        </w:rPr>
        <w:t xml:space="preserve"> hepatitidy B</w:t>
      </w:r>
    </w:p>
    <w:p w14:paraId="0AB34C0E" w14:textId="77777777" w:rsidR="00901DC3" w:rsidRPr="009B1A37" w:rsidRDefault="00901DC3" w:rsidP="00BE3D48">
      <w:pPr>
        <w:pStyle w:val="EndnoteText"/>
        <w:widowControl w:val="0"/>
        <w:tabs>
          <w:tab w:val="clear" w:pos="567"/>
        </w:tabs>
        <w:rPr>
          <w:snapToGrid w:val="0"/>
          <w:color w:val="000000"/>
        </w:rPr>
      </w:pPr>
      <w:r w:rsidRPr="009B1A37">
        <w:rPr>
          <w:snapToGrid w:val="0"/>
          <w:color w:val="000000"/>
        </w:rPr>
        <w:t>U pacientů, kteří jsou chronickými nosiči hepatitidy B, dochází k reaktivaci po zahájení léčby inhibitory tyrosinkinázy bcr-abl. Některé případy vyústily v akutní selhání jater nebo ve fulminantní hepatitidu vedoucí k transplantaci jater nebo došlo k úmrtí pacienta.</w:t>
      </w:r>
    </w:p>
    <w:p w14:paraId="1B7975C0" w14:textId="77777777" w:rsidR="00901DC3" w:rsidRPr="009B1A37" w:rsidRDefault="00901DC3" w:rsidP="00BE3D48">
      <w:pPr>
        <w:pStyle w:val="EndnoteText"/>
        <w:widowControl w:val="0"/>
        <w:tabs>
          <w:tab w:val="clear" w:pos="567"/>
        </w:tabs>
        <w:rPr>
          <w:snapToGrid w:val="0"/>
          <w:color w:val="000000"/>
        </w:rPr>
      </w:pPr>
    </w:p>
    <w:p w14:paraId="1DA7173A" w14:textId="77777777" w:rsidR="00901DC3" w:rsidRPr="009B1A37" w:rsidRDefault="00901DC3" w:rsidP="00BE3D48">
      <w:pPr>
        <w:pStyle w:val="EndnoteText"/>
        <w:widowControl w:val="0"/>
        <w:tabs>
          <w:tab w:val="clear" w:pos="567"/>
        </w:tabs>
        <w:rPr>
          <w:snapToGrid w:val="0"/>
          <w:color w:val="000000"/>
        </w:rPr>
      </w:pPr>
      <w:r w:rsidRPr="009B1A37">
        <w:rPr>
          <w:snapToGrid w:val="0"/>
          <w:color w:val="000000"/>
        </w:rPr>
        <w:t>Před zahájením léčby přípravkem GLIVEC mají být pacienti vyšetřeni na infekci HBV. Před zahájením léčby u pacientů s pozitivní sérologií hepatitidy B (včetně těch s aktivním onemocněním) a u pacientů, u kterých v průběhu léčby vyjde pozitivní test infekce HBV, je třeba se obrátit na odborníky na onemocnění jater a léčbu hepatitidy B. Nosiči HBV, kteří potřebují léčbu přípravkem GLIVEC, mají být po celou dobu léčby a několik měsíců po jejím ukončení pečlivě sledováni s ohledem na možný výskyt známek a příznaků aktivní infekce HBV (viz bod</w:t>
      </w:r>
      <w:r w:rsidR="00E03C1F" w:rsidRPr="009B1A37">
        <w:rPr>
          <w:snapToGrid w:val="0"/>
          <w:color w:val="000000"/>
        </w:rPr>
        <w:t> </w:t>
      </w:r>
      <w:r w:rsidRPr="009B1A37">
        <w:rPr>
          <w:snapToGrid w:val="0"/>
          <w:color w:val="000000"/>
        </w:rPr>
        <w:t>4.8).</w:t>
      </w:r>
    </w:p>
    <w:p w14:paraId="2E32C2B2" w14:textId="77777777" w:rsidR="007C240E" w:rsidRPr="009B1A37" w:rsidRDefault="007C240E" w:rsidP="00BE3D48">
      <w:pPr>
        <w:pStyle w:val="EndnoteText"/>
        <w:widowControl w:val="0"/>
        <w:tabs>
          <w:tab w:val="clear" w:pos="567"/>
        </w:tabs>
        <w:rPr>
          <w:snapToGrid w:val="0"/>
          <w:color w:val="000000"/>
        </w:rPr>
      </w:pPr>
    </w:p>
    <w:p w14:paraId="6C63EA19" w14:textId="77777777" w:rsidR="00AD1512" w:rsidRPr="009B1A37" w:rsidRDefault="007C240E" w:rsidP="00BE3D48">
      <w:pPr>
        <w:pStyle w:val="EndnoteText"/>
        <w:keepNext/>
        <w:widowControl w:val="0"/>
        <w:tabs>
          <w:tab w:val="clear" w:pos="567"/>
        </w:tabs>
        <w:rPr>
          <w:snapToGrid w:val="0"/>
          <w:color w:val="000000"/>
        </w:rPr>
      </w:pPr>
      <w:r w:rsidRPr="009B1A37">
        <w:rPr>
          <w:color w:val="000000"/>
          <w:u w:val="single"/>
        </w:rPr>
        <w:t>Fototoxicita</w:t>
      </w:r>
    </w:p>
    <w:p w14:paraId="5018AD34" w14:textId="77777777" w:rsidR="00AD1512" w:rsidRPr="009B1A37" w:rsidRDefault="00AA491C" w:rsidP="00BE3D48">
      <w:pPr>
        <w:pStyle w:val="EndnoteText"/>
        <w:widowControl w:val="0"/>
        <w:tabs>
          <w:tab w:val="clear" w:pos="567"/>
        </w:tabs>
        <w:rPr>
          <w:snapToGrid w:val="0"/>
          <w:color w:val="000000"/>
        </w:rPr>
      </w:pPr>
      <w:r w:rsidRPr="009B1A37">
        <w:rPr>
          <w:snapToGrid w:val="0"/>
          <w:color w:val="000000"/>
        </w:rPr>
        <w:t xml:space="preserve">Z důvodu </w:t>
      </w:r>
      <w:r w:rsidR="00941C2F" w:rsidRPr="009B1A37">
        <w:rPr>
          <w:snapToGrid w:val="0"/>
          <w:color w:val="000000"/>
        </w:rPr>
        <w:t xml:space="preserve">možného </w:t>
      </w:r>
      <w:r w:rsidRPr="009B1A37">
        <w:rPr>
          <w:snapToGrid w:val="0"/>
          <w:color w:val="000000"/>
        </w:rPr>
        <w:t xml:space="preserve">rizika fototoxicity </w:t>
      </w:r>
      <w:r w:rsidR="007C240E" w:rsidRPr="009B1A37">
        <w:rPr>
          <w:snapToGrid w:val="0"/>
          <w:color w:val="000000"/>
        </w:rPr>
        <w:t>spojeného s</w:t>
      </w:r>
      <w:r w:rsidRPr="009B1A37">
        <w:rPr>
          <w:snapToGrid w:val="0"/>
          <w:color w:val="000000"/>
        </w:rPr>
        <w:t> </w:t>
      </w:r>
      <w:r w:rsidR="007C240E" w:rsidRPr="009B1A37">
        <w:rPr>
          <w:snapToGrid w:val="0"/>
          <w:color w:val="000000"/>
        </w:rPr>
        <w:t>léčbo</w:t>
      </w:r>
      <w:r w:rsidRPr="009B1A37">
        <w:rPr>
          <w:snapToGrid w:val="0"/>
          <w:color w:val="000000"/>
        </w:rPr>
        <w:t xml:space="preserve">u </w:t>
      </w:r>
      <w:r w:rsidR="007C240E" w:rsidRPr="009B1A37">
        <w:rPr>
          <w:snapToGrid w:val="0"/>
          <w:color w:val="000000"/>
        </w:rPr>
        <w:t xml:space="preserve">imatinibem </w:t>
      </w:r>
      <w:r w:rsidR="00941C2F" w:rsidRPr="009B1A37">
        <w:rPr>
          <w:snapToGrid w:val="0"/>
          <w:color w:val="000000"/>
        </w:rPr>
        <w:t xml:space="preserve">je třeba se vyhnout nebo minimalizovat přímou expozici </w:t>
      </w:r>
      <w:r w:rsidR="007C240E" w:rsidRPr="009B1A37">
        <w:rPr>
          <w:snapToGrid w:val="0"/>
          <w:color w:val="000000"/>
        </w:rPr>
        <w:t xml:space="preserve">slunečnímu záření. </w:t>
      </w:r>
      <w:r w:rsidR="00941C2F" w:rsidRPr="009B1A37">
        <w:rPr>
          <w:snapToGrid w:val="0"/>
          <w:color w:val="000000"/>
        </w:rPr>
        <w:t xml:space="preserve">Pacienti mají </w:t>
      </w:r>
      <w:r w:rsidR="007C240E" w:rsidRPr="009B1A37">
        <w:rPr>
          <w:snapToGrid w:val="0"/>
          <w:color w:val="000000"/>
        </w:rPr>
        <w:t xml:space="preserve">být </w:t>
      </w:r>
      <w:r w:rsidR="00941C2F" w:rsidRPr="009B1A37">
        <w:rPr>
          <w:snapToGrid w:val="0"/>
          <w:color w:val="000000"/>
        </w:rPr>
        <w:t xml:space="preserve">o tomto riziku </w:t>
      </w:r>
      <w:r w:rsidR="007C240E" w:rsidRPr="009B1A37">
        <w:rPr>
          <w:snapToGrid w:val="0"/>
          <w:color w:val="000000"/>
        </w:rPr>
        <w:t>p</w:t>
      </w:r>
      <w:r w:rsidR="00941C2F" w:rsidRPr="009B1A37">
        <w:rPr>
          <w:snapToGrid w:val="0"/>
          <w:color w:val="000000"/>
        </w:rPr>
        <w:t xml:space="preserve">oučeni a mají používat </w:t>
      </w:r>
      <w:r w:rsidR="007C240E" w:rsidRPr="009B1A37">
        <w:rPr>
          <w:snapToGrid w:val="0"/>
          <w:color w:val="000000"/>
        </w:rPr>
        <w:t xml:space="preserve">ochranný oděv a opalovací krém s vysokým </w:t>
      </w:r>
      <w:r w:rsidR="00941C2F" w:rsidRPr="009B1A37">
        <w:rPr>
          <w:snapToGrid w:val="0"/>
          <w:color w:val="000000"/>
        </w:rPr>
        <w:t xml:space="preserve">ochranným </w:t>
      </w:r>
      <w:r w:rsidR="007C240E" w:rsidRPr="009B1A37">
        <w:rPr>
          <w:snapToGrid w:val="0"/>
          <w:color w:val="000000"/>
        </w:rPr>
        <w:t>fakto</w:t>
      </w:r>
      <w:r w:rsidR="00941C2F" w:rsidRPr="009B1A37">
        <w:rPr>
          <w:snapToGrid w:val="0"/>
          <w:color w:val="000000"/>
        </w:rPr>
        <w:t>rem proti slunečnímu záření (OF</w:t>
      </w:r>
      <w:r w:rsidR="007C240E" w:rsidRPr="009B1A37">
        <w:rPr>
          <w:snapToGrid w:val="0"/>
          <w:color w:val="000000"/>
        </w:rPr>
        <w:t>).</w:t>
      </w:r>
    </w:p>
    <w:p w14:paraId="5DB981ED" w14:textId="77777777" w:rsidR="00901DC3" w:rsidRPr="009B1A37" w:rsidRDefault="00901DC3" w:rsidP="00BE3D48">
      <w:pPr>
        <w:pStyle w:val="EndnoteText"/>
        <w:widowControl w:val="0"/>
        <w:tabs>
          <w:tab w:val="clear" w:pos="567"/>
        </w:tabs>
      </w:pPr>
    </w:p>
    <w:p w14:paraId="30BA395D" w14:textId="77777777" w:rsidR="009040EB" w:rsidRPr="009B1A37" w:rsidRDefault="000C70DE" w:rsidP="00BE3D48">
      <w:pPr>
        <w:pStyle w:val="EndnoteText"/>
        <w:keepNext/>
        <w:widowControl w:val="0"/>
        <w:tabs>
          <w:tab w:val="clear" w:pos="567"/>
        </w:tabs>
        <w:rPr>
          <w:u w:val="single"/>
        </w:rPr>
      </w:pPr>
      <w:r w:rsidRPr="009B1A37">
        <w:rPr>
          <w:u w:val="single"/>
        </w:rPr>
        <w:t>Trombotická mikroangiopatie</w:t>
      </w:r>
    </w:p>
    <w:p w14:paraId="73377D93" w14:textId="77777777" w:rsidR="000C70DE" w:rsidRPr="009B1A37" w:rsidRDefault="00ED2780" w:rsidP="00BE3D48">
      <w:pPr>
        <w:pStyle w:val="EndnoteText"/>
        <w:widowControl w:val="0"/>
        <w:tabs>
          <w:tab w:val="clear" w:pos="567"/>
        </w:tabs>
        <w:rPr>
          <w:snapToGrid w:val="0"/>
          <w:color w:val="000000"/>
        </w:rPr>
      </w:pPr>
      <w:r w:rsidRPr="009B1A37">
        <w:rPr>
          <w:snapToGrid w:val="0"/>
          <w:color w:val="000000"/>
        </w:rPr>
        <w:t xml:space="preserve">Inhibitory tyrosinkinázy </w:t>
      </w:r>
      <w:r w:rsidR="002F2A4D" w:rsidRPr="009B1A37">
        <w:rPr>
          <w:snapToGrid w:val="0"/>
          <w:color w:val="000000"/>
        </w:rPr>
        <w:t>BCR-ABL</w:t>
      </w:r>
      <w:r w:rsidR="003B72A7" w:rsidRPr="009B1A37">
        <w:rPr>
          <w:snapToGrid w:val="0"/>
          <w:color w:val="000000"/>
        </w:rPr>
        <w:t>,</w:t>
      </w:r>
      <w:r w:rsidRPr="009B1A37">
        <w:rPr>
          <w:snapToGrid w:val="0"/>
          <w:color w:val="000000"/>
        </w:rPr>
        <w:t xml:space="preserve"> </w:t>
      </w:r>
      <w:r w:rsidR="003B72A7" w:rsidRPr="009B1A37">
        <w:rPr>
          <w:snapToGrid w:val="0"/>
          <w:color w:val="000000"/>
        </w:rPr>
        <w:t xml:space="preserve">včetně případů souvisejících s užíváním přípravku Glivec, </w:t>
      </w:r>
      <w:r w:rsidRPr="009B1A37">
        <w:rPr>
          <w:snapToGrid w:val="0"/>
          <w:color w:val="000000"/>
        </w:rPr>
        <w:t>jsou spojovány s</w:t>
      </w:r>
      <w:r w:rsidR="00580ADD" w:rsidRPr="009B1A37">
        <w:rPr>
          <w:snapToGrid w:val="0"/>
          <w:color w:val="000000"/>
        </w:rPr>
        <w:t xml:space="preserve"> výskytem</w:t>
      </w:r>
      <w:r w:rsidRPr="009B1A37">
        <w:rPr>
          <w:snapToGrid w:val="0"/>
          <w:color w:val="000000"/>
        </w:rPr>
        <w:t xml:space="preserve"> trombotické mikroangiopatie </w:t>
      </w:r>
      <w:r w:rsidRPr="009B1A37">
        <w:rPr>
          <w:u w:val="single"/>
        </w:rPr>
        <w:t>(TMA)</w:t>
      </w:r>
      <w:r w:rsidRPr="009B1A37">
        <w:rPr>
          <w:snapToGrid w:val="0"/>
          <w:color w:val="000000"/>
        </w:rPr>
        <w:t xml:space="preserve"> (viz bod</w:t>
      </w:r>
      <w:r w:rsidR="009040EB" w:rsidRPr="009B1A37">
        <w:rPr>
          <w:snapToGrid w:val="0"/>
          <w:color w:val="000000"/>
        </w:rPr>
        <w:t> </w:t>
      </w:r>
      <w:r w:rsidRPr="009B1A37">
        <w:rPr>
          <w:snapToGrid w:val="0"/>
          <w:color w:val="000000"/>
        </w:rPr>
        <w:t>4.8). Pokud se u pacienta</w:t>
      </w:r>
      <w:r w:rsidR="00580ADD" w:rsidRPr="009B1A37">
        <w:rPr>
          <w:snapToGrid w:val="0"/>
          <w:color w:val="000000"/>
        </w:rPr>
        <w:t>, který užívá</w:t>
      </w:r>
      <w:r w:rsidRPr="009B1A37">
        <w:rPr>
          <w:snapToGrid w:val="0"/>
          <w:color w:val="000000"/>
        </w:rPr>
        <w:t xml:space="preserve"> příprav</w:t>
      </w:r>
      <w:r w:rsidR="00580ADD" w:rsidRPr="009B1A37">
        <w:rPr>
          <w:snapToGrid w:val="0"/>
          <w:color w:val="000000"/>
        </w:rPr>
        <w:t>e</w:t>
      </w:r>
      <w:r w:rsidRPr="009B1A37">
        <w:rPr>
          <w:snapToGrid w:val="0"/>
          <w:color w:val="000000"/>
        </w:rPr>
        <w:t>k Glivec</w:t>
      </w:r>
      <w:r w:rsidR="00580ADD" w:rsidRPr="009B1A37">
        <w:rPr>
          <w:snapToGrid w:val="0"/>
          <w:color w:val="000000"/>
        </w:rPr>
        <w:t>,</w:t>
      </w:r>
      <w:r w:rsidRPr="009B1A37">
        <w:rPr>
          <w:snapToGrid w:val="0"/>
          <w:color w:val="000000"/>
        </w:rPr>
        <w:t xml:space="preserve"> vyskytnou laboratorní nebo klinické nálezy </w:t>
      </w:r>
      <w:r w:rsidR="00BE243B" w:rsidRPr="009B1A37">
        <w:rPr>
          <w:snapToGrid w:val="0"/>
          <w:color w:val="000000"/>
        </w:rPr>
        <w:t xml:space="preserve">spojené s </w:t>
      </w:r>
      <w:r w:rsidRPr="009B1A37">
        <w:rPr>
          <w:snapToGrid w:val="0"/>
          <w:color w:val="000000"/>
        </w:rPr>
        <w:t xml:space="preserve">TMA, má </w:t>
      </w:r>
      <w:r w:rsidR="00BE243B" w:rsidRPr="009B1A37">
        <w:rPr>
          <w:snapToGrid w:val="0"/>
          <w:color w:val="000000"/>
        </w:rPr>
        <w:t>se</w:t>
      </w:r>
      <w:r w:rsidRPr="009B1A37">
        <w:rPr>
          <w:snapToGrid w:val="0"/>
          <w:color w:val="000000"/>
        </w:rPr>
        <w:t xml:space="preserve"> léčba přeruš</w:t>
      </w:r>
      <w:r w:rsidR="00BE243B" w:rsidRPr="009B1A37">
        <w:rPr>
          <w:snapToGrid w:val="0"/>
          <w:color w:val="000000"/>
        </w:rPr>
        <w:t>it</w:t>
      </w:r>
      <w:r w:rsidRPr="009B1A37">
        <w:rPr>
          <w:snapToGrid w:val="0"/>
          <w:color w:val="000000"/>
        </w:rPr>
        <w:t xml:space="preserve"> a </w:t>
      </w:r>
      <w:r w:rsidR="00BE243B" w:rsidRPr="009B1A37">
        <w:rPr>
          <w:snapToGrid w:val="0"/>
          <w:color w:val="000000"/>
        </w:rPr>
        <w:t xml:space="preserve">mají se </w:t>
      </w:r>
      <w:r w:rsidRPr="009B1A37">
        <w:rPr>
          <w:snapToGrid w:val="0"/>
          <w:color w:val="000000"/>
        </w:rPr>
        <w:t>důkladn</w:t>
      </w:r>
      <w:r w:rsidR="00BE243B" w:rsidRPr="009B1A37">
        <w:rPr>
          <w:snapToGrid w:val="0"/>
          <w:color w:val="000000"/>
        </w:rPr>
        <w:t>ě</w:t>
      </w:r>
      <w:r w:rsidRPr="009B1A37">
        <w:rPr>
          <w:snapToGrid w:val="0"/>
          <w:color w:val="000000"/>
        </w:rPr>
        <w:t xml:space="preserve"> </w:t>
      </w:r>
      <w:r w:rsidR="00BE243B" w:rsidRPr="009B1A37">
        <w:rPr>
          <w:snapToGrid w:val="0"/>
          <w:color w:val="000000"/>
        </w:rPr>
        <w:t>vy</w:t>
      </w:r>
      <w:r w:rsidRPr="009B1A37">
        <w:rPr>
          <w:snapToGrid w:val="0"/>
          <w:color w:val="000000"/>
        </w:rPr>
        <w:t>hodno</w:t>
      </w:r>
      <w:r w:rsidR="00BE243B" w:rsidRPr="009B1A37">
        <w:rPr>
          <w:snapToGrid w:val="0"/>
          <w:color w:val="000000"/>
        </w:rPr>
        <w:t>tit příznaky</w:t>
      </w:r>
      <w:r w:rsidRPr="009B1A37">
        <w:rPr>
          <w:snapToGrid w:val="0"/>
          <w:color w:val="000000"/>
        </w:rPr>
        <w:t xml:space="preserve"> TMA včetně aktivity ADAMTS13 a </w:t>
      </w:r>
      <w:r w:rsidR="00580ADD" w:rsidRPr="009B1A37">
        <w:rPr>
          <w:snapToGrid w:val="0"/>
          <w:color w:val="000000"/>
        </w:rPr>
        <w:t xml:space="preserve">stanovení </w:t>
      </w:r>
      <w:r w:rsidR="002F2A4D" w:rsidRPr="009B1A37">
        <w:rPr>
          <w:snapToGrid w:val="0"/>
          <w:color w:val="000000"/>
        </w:rPr>
        <w:t>anti-A</w:t>
      </w:r>
      <w:r w:rsidRPr="009B1A37">
        <w:rPr>
          <w:snapToGrid w:val="0"/>
          <w:color w:val="000000"/>
        </w:rPr>
        <w:t>DAMTS13</w:t>
      </w:r>
      <w:r w:rsidR="002F2A4D" w:rsidRPr="009B1A37">
        <w:rPr>
          <w:snapToGrid w:val="0"/>
          <w:color w:val="000000"/>
        </w:rPr>
        <w:t xml:space="preserve"> protilátek</w:t>
      </w:r>
      <w:r w:rsidRPr="009B1A37">
        <w:rPr>
          <w:snapToGrid w:val="0"/>
          <w:color w:val="000000"/>
        </w:rPr>
        <w:t>.</w:t>
      </w:r>
      <w:r w:rsidR="002F2A4D" w:rsidRPr="009B1A37">
        <w:rPr>
          <w:snapToGrid w:val="0"/>
          <w:color w:val="000000"/>
        </w:rPr>
        <w:t xml:space="preserve"> </w:t>
      </w:r>
      <w:r w:rsidRPr="009B1A37">
        <w:rPr>
          <w:snapToGrid w:val="0"/>
          <w:color w:val="000000"/>
        </w:rPr>
        <w:t xml:space="preserve">Pokud </w:t>
      </w:r>
      <w:r w:rsidR="0008276E" w:rsidRPr="009B1A37">
        <w:rPr>
          <w:snapToGrid w:val="0"/>
          <w:color w:val="000000"/>
        </w:rPr>
        <w:t xml:space="preserve">je protilátka proti </w:t>
      </w:r>
      <w:r w:rsidR="002F2A4D" w:rsidRPr="009B1A37">
        <w:rPr>
          <w:snapToGrid w:val="0"/>
          <w:color w:val="000000"/>
        </w:rPr>
        <w:t xml:space="preserve">ADAMTS13 </w:t>
      </w:r>
      <w:r w:rsidR="0008276E" w:rsidRPr="009B1A37">
        <w:rPr>
          <w:snapToGrid w:val="0"/>
          <w:color w:val="000000"/>
        </w:rPr>
        <w:t>zvýšená</w:t>
      </w:r>
      <w:r w:rsidR="002F2A4D" w:rsidRPr="009B1A37">
        <w:rPr>
          <w:snapToGrid w:val="0"/>
          <w:color w:val="000000"/>
        </w:rPr>
        <w:t xml:space="preserve"> ve spojení s</w:t>
      </w:r>
      <w:r w:rsidR="0008276E" w:rsidRPr="009B1A37">
        <w:rPr>
          <w:snapToGrid w:val="0"/>
          <w:color w:val="000000"/>
        </w:rPr>
        <w:t xml:space="preserve"> nízkou</w:t>
      </w:r>
      <w:r w:rsidR="002F2A4D" w:rsidRPr="009B1A37">
        <w:rPr>
          <w:snapToGrid w:val="0"/>
          <w:color w:val="000000"/>
        </w:rPr>
        <w:t xml:space="preserve"> aktivitou ADAMTS13, </w:t>
      </w:r>
      <w:r w:rsidR="0008276E" w:rsidRPr="009B1A37">
        <w:rPr>
          <w:snapToGrid w:val="0"/>
          <w:color w:val="000000"/>
        </w:rPr>
        <w:t xml:space="preserve">léčba </w:t>
      </w:r>
      <w:r w:rsidR="002F2A4D" w:rsidRPr="009B1A37">
        <w:rPr>
          <w:snapToGrid w:val="0"/>
          <w:color w:val="000000"/>
        </w:rPr>
        <w:t xml:space="preserve">přípravkem Glivec </w:t>
      </w:r>
      <w:r w:rsidR="0008276E" w:rsidRPr="009B1A37">
        <w:rPr>
          <w:snapToGrid w:val="0"/>
          <w:color w:val="000000"/>
        </w:rPr>
        <w:t>nemá být obnovena</w:t>
      </w:r>
      <w:r w:rsidR="002F2A4D" w:rsidRPr="009B1A37">
        <w:rPr>
          <w:snapToGrid w:val="0"/>
          <w:color w:val="000000"/>
        </w:rPr>
        <w:t>.</w:t>
      </w:r>
    </w:p>
    <w:p w14:paraId="32D9539C" w14:textId="77777777" w:rsidR="002F2A4D" w:rsidRPr="009B1A37" w:rsidRDefault="002F2A4D" w:rsidP="00BE3D48">
      <w:pPr>
        <w:pStyle w:val="EndnoteText"/>
        <w:widowControl w:val="0"/>
        <w:tabs>
          <w:tab w:val="clear" w:pos="567"/>
        </w:tabs>
        <w:rPr>
          <w:snapToGrid w:val="0"/>
          <w:color w:val="000000"/>
        </w:rPr>
      </w:pPr>
    </w:p>
    <w:p w14:paraId="56694E07" w14:textId="77777777" w:rsidR="00D97A44" w:rsidRPr="009B1A37" w:rsidRDefault="00D97A44" w:rsidP="00BE3D48">
      <w:pPr>
        <w:pStyle w:val="EndnoteText"/>
        <w:keepNext/>
        <w:widowControl w:val="0"/>
        <w:tabs>
          <w:tab w:val="clear" w:pos="567"/>
          <w:tab w:val="left" w:pos="7655"/>
        </w:tabs>
        <w:rPr>
          <w:color w:val="000000"/>
          <w:u w:val="single"/>
        </w:rPr>
      </w:pPr>
      <w:r w:rsidRPr="009B1A37">
        <w:rPr>
          <w:color w:val="000000"/>
          <w:u w:val="single"/>
        </w:rPr>
        <w:t>Laboratorní testy</w:t>
      </w:r>
    </w:p>
    <w:p w14:paraId="20E351E3" w14:textId="77777777" w:rsidR="00D97A44" w:rsidRPr="009B1A37" w:rsidRDefault="00D97A44" w:rsidP="00BE3D48">
      <w:pPr>
        <w:pStyle w:val="EndnoteText"/>
        <w:widowControl w:val="0"/>
        <w:tabs>
          <w:tab w:val="clear" w:pos="567"/>
        </w:tabs>
        <w:rPr>
          <w:color w:val="000000"/>
        </w:rPr>
      </w:pPr>
      <w:r w:rsidRPr="009B1A37">
        <w:rPr>
          <w:color w:val="000000"/>
        </w:rPr>
        <w:t>Během léčby Glivecem musí být pravidelně vyšetřován kompletní krevní obraz. Léčba Glivecem u pacientů s CML byla doprovázena výskytem neutropenie nebo trombocytopenie. Avšak výskyt těchto cytopenií pravděpodobně souvisí se st</w:t>
      </w:r>
      <w:r w:rsidR="00C83E66" w:rsidRPr="009B1A37">
        <w:rPr>
          <w:color w:val="000000"/>
        </w:rPr>
        <w:t>a</w:t>
      </w:r>
      <w:r w:rsidRPr="009B1A37">
        <w:rPr>
          <w:color w:val="000000"/>
        </w:rPr>
        <w:t>diem léčeného onemocnění a byl častější u pacientů s akcelerovanou fází CML nebo v blastické krizi než u pacientů s chronickou fází CML. Léčba Glivecem může být přerušena nebo dávky mohou být sníženy, jak je doporučeno v</w:t>
      </w:r>
      <w:r w:rsidR="001826E6" w:rsidRPr="009B1A37">
        <w:rPr>
          <w:color w:val="000000"/>
        </w:rPr>
        <w:t> </w:t>
      </w:r>
      <w:r w:rsidRPr="009B1A37">
        <w:rPr>
          <w:color w:val="000000"/>
        </w:rPr>
        <w:t>bod</w:t>
      </w:r>
      <w:r w:rsidR="00F230A2" w:rsidRPr="009B1A37">
        <w:rPr>
          <w:color w:val="000000"/>
        </w:rPr>
        <w:t>ě</w:t>
      </w:r>
      <w:r w:rsidR="001826E6" w:rsidRPr="009B1A37">
        <w:rPr>
          <w:color w:val="000000"/>
        </w:rPr>
        <w:t> </w:t>
      </w:r>
      <w:r w:rsidRPr="009B1A37">
        <w:rPr>
          <w:color w:val="000000"/>
        </w:rPr>
        <w:t>4.2.</w:t>
      </w:r>
    </w:p>
    <w:p w14:paraId="4BC94828" w14:textId="77777777" w:rsidR="00D97A44" w:rsidRPr="009B1A37" w:rsidRDefault="00D97A44" w:rsidP="00BE3D48">
      <w:pPr>
        <w:pStyle w:val="EndnoteText"/>
        <w:widowControl w:val="0"/>
        <w:tabs>
          <w:tab w:val="clear" w:pos="567"/>
        </w:tabs>
        <w:rPr>
          <w:color w:val="000000"/>
        </w:rPr>
      </w:pPr>
    </w:p>
    <w:p w14:paraId="03E20672" w14:textId="77777777" w:rsidR="00D97A44" w:rsidRPr="009B1A37" w:rsidRDefault="00D97A44" w:rsidP="00BE3D48">
      <w:pPr>
        <w:pStyle w:val="EndnoteText"/>
        <w:widowControl w:val="0"/>
        <w:tabs>
          <w:tab w:val="clear" w:pos="567"/>
        </w:tabs>
        <w:rPr>
          <w:color w:val="000000"/>
        </w:rPr>
      </w:pPr>
      <w:r w:rsidRPr="009B1A37">
        <w:rPr>
          <w:color w:val="000000"/>
        </w:rPr>
        <w:lastRenderedPageBreak/>
        <w:t xml:space="preserve">U pacientů užívajících Glivec </w:t>
      </w:r>
      <w:r w:rsidR="00F230A2" w:rsidRPr="009B1A37">
        <w:rPr>
          <w:color w:val="000000"/>
        </w:rPr>
        <w:t>mají</w:t>
      </w:r>
      <w:r w:rsidRPr="009B1A37">
        <w:rPr>
          <w:color w:val="000000"/>
        </w:rPr>
        <w:t xml:space="preserve"> být pravidelně monitorovány jaterní funkce (transaminázy, bilirubin, alkalická fosfatáza).</w:t>
      </w:r>
    </w:p>
    <w:p w14:paraId="111DE3B6" w14:textId="77777777" w:rsidR="00D97A44" w:rsidRPr="009B1A37" w:rsidRDefault="00D97A44" w:rsidP="00BE3D48">
      <w:pPr>
        <w:pStyle w:val="EndnoteText"/>
        <w:widowControl w:val="0"/>
        <w:tabs>
          <w:tab w:val="clear" w:pos="567"/>
        </w:tabs>
        <w:rPr>
          <w:color w:val="000000"/>
        </w:rPr>
      </w:pPr>
    </w:p>
    <w:p w14:paraId="42B57B9C" w14:textId="77777777" w:rsidR="00D97A44" w:rsidRPr="009B1A37" w:rsidRDefault="00D97A44" w:rsidP="00BE3D48">
      <w:pPr>
        <w:pStyle w:val="EndnoteText"/>
        <w:widowControl w:val="0"/>
        <w:tabs>
          <w:tab w:val="clear" w:pos="567"/>
        </w:tabs>
        <w:rPr>
          <w:color w:val="000000"/>
        </w:rPr>
      </w:pPr>
      <w:r w:rsidRPr="009B1A37">
        <w:rPr>
          <w:color w:val="000000"/>
        </w:rPr>
        <w:t>U pacientů s poruchou renálních funkcí je expozice imatinib</w:t>
      </w:r>
      <w:r w:rsidR="00F230A2" w:rsidRPr="009B1A37">
        <w:rPr>
          <w:color w:val="000000"/>
        </w:rPr>
        <w:t>u</w:t>
      </w:r>
      <w:r w:rsidRPr="009B1A37">
        <w:rPr>
          <w:color w:val="000000"/>
        </w:rPr>
        <w:t xml:space="preserve"> v plazmě patrně vyšší, než u pacientů s normální funkcí ledvin, pravděpodobně v důsledku zvýšené hladiny alfa-</w:t>
      </w:r>
      <w:r w:rsidR="00F230A2" w:rsidRPr="009B1A37">
        <w:rPr>
          <w:color w:val="000000"/>
        </w:rPr>
        <w:t>kyselého</w:t>
      </w:r>
      <w:r w:rsidRPr="009B1A37">
        <w:rPr>
          <w:color w:val="000000"/>
        </w:rPr>
        <w:t xml:space="preserve"> gly</w:t>
      </w:r>
      <w:r w:rsidR="00F230A2" w:rsidRPr="009B1A37">
        <w:rPr>
          <w:color w:val="000000"/>
        </w:rPr>
        <w:t>k</w:t>
      </w:r>
      <w:r w:rsidRPr="009B1A37">
        <w:rPr>
          <w:color w:val="000000"/>
        </w:rPr>
        <w:t>oproteinu (AGP) a vazby imatinibu na proteiny u těchto pacientů. Pacientům s renální nedostatečností se m</w:t>
      </w:r>
      <w:r w:rsidR="00F230A2" w:rsidRPr="009B1A37">
        <w:rPr>
          <w:color w:val="000000"/>
        </w:rPr>
        <w:t>á</w:t>
      </w:r>
      <w:r w:rsidRPr="009B1A37">
        <w:rPr>
          <w:color w:val="000000"/>
        </w:rPr>
        <w:t xml:space="preserve"> podávat minimální zahajovací dávka. Pacienti s</w:t>
      </w:r>
      <w:r w:rsidR="00F230A2" w:rsidRPr="009B1A37">
        <w:rPr>
          <w:color w:val="000000"/>
        </w:rPr>
        <w:t xml:space="preserve"> těžkou</w:t>
      </w:r>
      <w:r w:rsidRPr="009B1A37">
        <w:rPr>
          <w:color w:val="000000"/>
        </w:rPr>
        <w:t xml:space="preserve"> renální nedostatečností </w:t>
      </w:r>
      <w:r w:rsidR="00F230A2" w:rsidRPr="009B1A37">
        <w:rPr>
          <w:color w:val="000000"/>
        </w:rPr>
        <w:t>mají</w:t>
      </w:r>
      <w:r w:rsidRPr="009B1A37">
        <w:rPr>
          <w:color w:val="000000"/>
        </w:rPr>
        <w:t xml:space="preserve"> být léčeni s opatrností. Pokud není dávka imatinibu tolerována, může být snížena (viz body </w:t>
      </w:r>
      <w:smartTag w:uri="urn:schemas-microsoft-com:office:smarttags" w:element="metricconverter">
        <w:smartTagPr>
          <w:attr w:name="ProductID" w:val="4.2 a"/>
        </w:smartTagPr>
        <w:r w:rsidRPr="009B1A37">
          <w:rPr>
            <w:color w:val="000000"/>
          </w:rPr>
          <w:t>4.2 a</w:t>
        </w:r>
      </w:smartTag>
      <w:r w:rsidRPr="009B1A37">
        <w:rPr>
          <w:color w:val="000000"/>
        </w:rPr>
        <w:t xml:space="preserve"> 5.2).</w:t>
      </w:r>
    </w:p>
    <w:p w14:paraId="4753D5E1" w14:textId="77777777" w:rsidR="00C8535E" w:rsidRPr="009B1A37" w:rsidRDefault="00C8535E" w:rsidP="00BE3D48">
      <w:pPr>
        <w:pStyle w:val="EndnoteText"/>
        <w:widowControl w:val="0"/>
        <w:tabs>
          <w:tab w:val="clear" w:pos="567"/>
        </w:tabs>
        <w:rPr>
          <w:color w:val="000000"/>
        </w:rPr>
      </w:pPr>
    </w:p>
    <w:p w14:paraId="7640FA24" w14:textId="77777777" w:rsidR="008913CE" w:rsidRPr="009B1A37" w:rsidRDefault="008913CE" w:rsidP="00BE3D48">
      <w:pPr>
        <w:pStyle w:val="EndnoteText"/>
        <w:widowControl w:val="0"/>
        <w:tabs>
          <w:tab w:val="clear" w:pos="567"/>
        </w:tabs>
        <w:rPr>
          <w:color w:val="000000"/>
        </w:rPr>
      </w:pPr>
      <w:r w:rsidRPr="009B1A37">
        <w:rPr>
          <w:color w:val="000000"/>
        </w:rPr>
        <w:t>Dlouhodobá léčba imatinibem může být spojená s klinicky významným omezením renálních funkcí. Proto mají být renální funkce před zahájením léčby imatinibem vyhodnoceny a během léčby pečlivě sledovány, pozornost má být věnována pacientům, u nichž se projevují rizikové faktory pro renální dysfunkci. Pokud je zjištěna renální dysfunkce, musí být předepsána vhodná opatření a léčba, která je v souladu se standardními léčebnými doporučeními.</w:t>
      </w:r>
    </w:p>
    <w:p w14:paraId="35C93C60" w14:textId="77777777" w:rsidR="00AD4E44" w:rsidRPr="009B1A37" w:rsidRDefault="00AD4E44" w:rsidP="00BE3D48">
      <w:pPr>
        <w:pStyle w:val="EndnoteText"/>
        <w:widowControl w:val="0"/>
        <w:tabs>
          <w:tab w:val="clear" w:pos="567"/>
        </w:tabs>
        <w:rPr>
          <w:color w:val="000000"/>
        </w:rPr>
      </w:pPr>
    </w:p>
    <w:p w14:paraId="041E0E1D" w14:textId="77777777" w:rsidR="00AD4E44" w:rsidRPr="009B1A37" w:rsidRDefault="00E8437D" w:rsidP="00BE3D48">
      <w:pPr>
        <w:pStyle w:val="EndnoteText"/>
        <w:keepNext/>
        <w:widowControl w:val="0"/>
        <w:tabs>
          <w:tab w:val="clear" w:pos="567"/>
          <w:tab w:val="left" w:pos="7655"/>
        </w:tabs>
        <w:rPr>
          <w:color w:val="000000"/>
          <w:u w:val="single"/>
        </w:rPr>
      </w:pPr>
      <w:r w:rsidRPr="009B1A37">
        <w:rPr>
          <w:color w:val="000000"/>
          <w:u w:val="single"/>
        </w:rPr>
        <w:t>Pediatrická populace</w:t>
      </w:r>
    </w:p>
    <w:p w14:paraId="10101CD8" w14:textId="77777777" w:rsidR="00AD4E44" w:rsidRPr="009B1A37" w:rsidRDefault="00AD4E44" w:rsidP="00BE3D48">
      <w:pPr>
        <w:pStyle w:val="EndnoteText"/>
        <w:widowControl w:val="0"/>
        <w:tabs>
          <w:tab w:val="clear" w:pos="567"/>
        </w:tabs>
        <w:rPr>
          <w:color w:val="000000"/>
        </w:rPr>
      </w:pPr>
      <w:r w:rsidRPr="009B1A37">
        <w:rPr>
          <w:color w:val="000000"/>
        </w:rPr>
        <w:t>U</w:t>
      </w:r>
      <w:r w:rsidR="0010744D" w:rsidRPr="009B1A37">
        <w:rPr>
          <w:color w:val="000000"/>
        </w:rPr>
        <w:t> </w:t>
      </w:r>
      <w:r w:rsidRPr="009B1A37">
        <w:rPr>
          <w:color w:val="000000"/>
        </w:rPr>
        <w:t xml:space="preserve">dětí a jedinců v prepubertálním věku (preadolescentů) užívajících imatinib byly hlášené případy retardace růstu. </w:t>
      </w:r>
      <w:r w:rsidR="006809DB" w:rsidRPr="009B1A37">
        <w:rPr>
          <w:color w:val="000000"/>
        </w:rPr>
        <w:t xml:space="preserve">V observační studii provedené u pediatrických pacientů s CML byl ve dvou malých podskupinách bez ohledu na </w:t>
      </w:r>
      <w:r w:rsidR="004E0891" w:rsidRPr="009B1A37">
        <w:rPr>
          <w:color w:val="000000"/>
        </w:rPr>
        <w:t xml:space="preserve">stupeň </w:t>
      </w:r>
      <w:r w:rsidR="006809DB" w:rsidRPr="009B1A37">
        <w:rPr>
          <w:color w:val="000000"/>
        </w:rPr>
        <w:t>pubertální</w:t>
      </w:r>
      <w:r w:rsidR="004E0891" w:rsidRPr="009B1A37">
        <w:rPr>
          <w:color w:val="000000"/>
        </w:rPr>
        <w:t>h</w:t>
      </w:r>
      <w:r w:rsidR="00E03E0C" w:rsidRPr="009B1A37">
        <w:rPr>
          <w:color w:val="000000"/>
        </w:rPr>
        <w:t>o</w:t>
      </w:r>
      <w:r w:rsidR="004E0891" w:rsidRPr="009B1A37">
        <w:rPr>
          <w:color w:val="000000"/>
        </w:rPr>
        <w:t xml:space="preserve"> </w:t>
      </w:r>
      <w:r w:rsidR="00E03E0C" w:rsidRPr="009B1A37">
        <w:rPr>
          <w:color w:val="000000"/>
        </w:rPr>
        <w:t>vývoje</w:t>
      </w:r>
      <w:r w:rsidR="006809DB" w:rsidRPr="009B1A37">
        <w:rPr>
          <w:color w:val="000000"/>
        </w:rPr>
        <w:t xml:space="preserve"> a pohlaví po 12 a 24 měsících léčby hlášen </w:t>
      </w:r>
      <w:r w:rsidR="00FB51D0" w:rsidRPr="009B1A37">
        <w:rPr>
          <w:color w:val="000000"/>
        </w:rPr>
        <w:t>statisticky významný</w:t>
      </w:r>
      <w:r w:rsidR="006809DB" w:rsidRPr="009B1A37">
        <w:rPr>
          <w:color w:val="000000"/>
        </w:rPr>
        <w:t xml:space="preserve"> pokles </w:t>
      </w:r>
      <w:r w:rsidR="00FB51D0" w:rsidRPr="009B1A37">
        <w:rPr>
          <w:color w:val="000000"/>
        </w:rPr>
        <w:t>(</w:t>
      </w:r>
      <w:r w:rsidR="004E0891" w:rsidRPr="009B1A37">
        <w:rPr>
          <w:color w:val="000000"/>
        </w:rPr>
        <w:t xml:space="preserve">ale </w:t>
      </w:r>
      <w:r w:rsidR="00FB51D0" w:rsidRPr="009B1A37">
        <w:rPr>
          <w:color w:val="000000"/>
        </w:rPr>
        <w:t xml:space="preserve">s nejistým klinickým významem) </w:t>
      </w:r>
      <w:r w:rsidR="006809DB" w:rsidRPr="009B1A37">
        <w:rPr>
          <w:color w:val="000000"/>
        </w:rPr>
        <w:t xml:space="preserve">skóre </w:t>
      </w:r>
      <w:r w:rsidR="00636024" w:rsidRPr="009B1A37">
        <w:rPr>
          <w:color w:val="000000"/>
        </w:rPr>
        <w:t>směrodatné</w:t>
      </w:r>
      <w:r w:rsidR="000E0849" w:rsidRPr="009B1A37">
        <w:rPr>
          <w:color w:val="000000"/>
        </w:rPr>
        <w:t xml:space="preserve"> odchylky </w:t>
      </w:r>
      <w:r w:rsidR="00636024" w:rsidRPr="009B1A37">
        <w:rPr>
          <w:color w:val="000000"/>
        </w:rPr>
        <w:t xml:space="preserve">střední </w:t>
      </w:r>
      <w:r w:rsidR="00FB51D0" w:rsidRPr="009B1A37">
        <w:rPr>
          <w:color w:val="000000"/>
        </w:rPr>
        <w:t>výšky</w:t>
      </w:r>
      <w:r w:rsidR="006809DB" w:rsidRPr="009B1A37">
        <w:rPr>
          <w:color w:val="000000"/>
        </w:rPr>
        <w:t>. Doporučuje se</w:t>
      </w:r>
      <w:r w:rsidRPr="009B1A37">
        <w:rPr>
          <w:color w:val="000000"/>
        </w:rPr>
        <w:t>pečlivé sledování růstu dětí léčených imatinibem (viz bod</w:t>
      </w:r>
      <w:r w:rsidR="006809DB" w:rsidRPr="009B1A37">
        <w:rPr>
          <w:color w:val="000000"/>
        </w:rPr>
        <w:t> </w:t>
      </w:r>
      <w:r w:rsidRPr="009B1A37">
        <w:rPr>
          <w:color w:val="000000"/>
        </w:rPr>
        <w:t>4.8).</w:t>
      </w:r>
    </w:p>
    <w:p w14:paraId="552F47AF" w14:textId="77777777" w:rsidR="00D97A44" w:rsidRPr="009B1A37" w:rsidRDefault="00D97A44" w:rsidP="00BE3D48">
      <w:pPr>
        <w:pStyle w:val="EndnoteText"/>
        <w:widowControl w:val="0"/>
        <w:tabs>
          <w:tab w:val="clear" w:pos="567"/>
        </w:tabs>
        <w:rPr>
          <w:color w:val="000000"/>
        </w:rPr>
      </w:pPr>
    </w:p>
    <w:p w14:paraId="11DDEDC7"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4.5</w:t>
      </w:r>
      <w:r w:rsidRPr="009B1A37">
        <w:rPr>
          <w:b/>
          <w:bCs/>
          <w:color w:val="000000"/>
        </w:rPr>
        <w:tab/>
        <w:t>Interakce s jinými léčivými přípravky a jiné formy interakce</w:t>
      </w:r>
    </w:p>
    <w:p w14:paraId="09F79FAC" w14:textId="77777777" w:rsidR="00D97A44" w:rsidRPr="009B1A37" w:rsidRDefault="00D97A44" w:rsidP="00BE3D48">
      <w:pPr>
        <w:pStyle w:val="EndnoteText"/>
        <w:keepNext/>
        <w:widowControl w:val="0"/>
        <w:tabs>
          <w:tab w:val="clear" w:pos="567"/>
        </w:tabs>
        <w:rPr>
          <w:color w:val="000000"/>
        </w:rPr>
      </w:pPr>
    </w:p>
    <w:p w14:paraId="7BB53BAF" w14:textId="77777777" w:rsidR="00D97A44" w:rsidRPr="009B1A37" w:rsidRDefault="00D97A44" w:rsidP="00BE3D48">
      <w:pPr>
        <w:pStyle w:val="EndnoteText"/>
        <w:keepNext/>
        <w:widowControl w:val="0"/>
        <w:tabs>
          <w:tab w:val="clear" w:pos="567"/>
          <w:tab w:val="left" w:pos="7655"/>
        </w:tabs>
        <w:rPr>
          <w:color w:val="000000"/>
          <w:u w:val="single"/>
        </w:rPr>
      </w:pPr>
      <w:r w:rsidRPr="009B1A37">
        <w:rPr>
          <w:color w:val="000000"/>
          <w:u w:val="single"/>
        </w:rPr>
        <w:t xml:space="preserve">Léčivé látky, které mohou </w:t>
      </w:r>
      <w:r w:rsidRPr="009B1A37">
        <w:rPr>
          <w:b/>
          <w:bCs/>
          <w:color w:val="000000"/>
          <w:u w:val="single"/>
        </w:rPr>
        <w:t>zvyšovat</w:t>
      </w:r>
      <w:r w:rsidRPr="009B1A37">
        <w:rPr>
          <w:color w:val="000000"/>
          <w:u w:val="single"/>
        </w:rPr>
        <w:t xml:space="preserve"> koncentraci imatinibu v plazmě:</w:t>
      </w:r>
    </w:p>
    <w:p w14:paraId="72BF9D3C"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 xml:space="preserve">Látky, které inhibují aktivitu izoenzymu CYP3A4 cytochromu P450 (např. </w:t>
      </w:r>
      <w:r w:rsidR="00A072B0" w:rsidRPr="009B1A37">
        <w:rPr>
          <w:color w:val="000000"/>
          <w:sz w:val="22"/>
          <w:szCs w:val="22"/>
          <w:lang w:val="cs-CZ"/>
        </w:rPr>
        <w:t>inhibitory proteáz jako je indinavir, lopinavir/ritonavir, ritonavir, sa</w:t>
      </w:r>
      <w:r w:rsidR="00292CC3" w:rsidRPr="009B1A37">
        <w:rPr>
          <w:color w:val="000000"/>
          <w:sz w:val="22"/>
          <w:szCs w:val="22"/>
          <w:lang w:val="cs-CZ"/>
        </w:rPr>
        <w:t>ch</w:t>
      </w:r>
      <w:r w:rsidR="00A072B0" w:rsidRPr="009B1A37">
        <w:rPr>
          <w:color w:val="000000"/>
          <w:sz w:val="22"/>
          <w:szCs w:val="22"/>
          <w:lang w:val="cs-CZ"/>
        </w:rPr>
        <w:t xml:space="preserve">inavir, telaprevir, nelfinavir, boceprevir; azolová antimykotika zahrnující </w:t>
      </w:r>
      <w:r w:rsidRPr="009B1A37">
        <w:rPr>
          <w:color w:val="000000"/>
          <w:sz w:val="22"/>
          <w:szCs w:val="22"/>
          <w:lang w:val="cs-CZ"/>
        </w:rPr>
        <w:t xml:space="preserve">ketokonazol, itrakonazol, </w:t>
      </w:r>
      <w:r w:rsidR="00A072B0" w:rsidRPr="009B1A37">
        <w:rPr>
          <w:color w:val="000000"/>
          <w:sz w:val="22"/>
          <w:szCs w:val="22"/>
          <w:lang w:val="cs-CZ"/>
        </w:rPr>
        <w:t>posakonazol, vorikonazol</w:t>
      </w:r>
      <w:r w:rsidR="001B1F02" w:rsidRPr="009B1A37">
        <w:rPr>
          <w:color w:val="000000"/>
          <w:sz w:val="22"/>
          <w:szCs w:val="22"/>
          <w:lang w:val="cs-CZ"/>
        </w:rPr>
        <w:t>;</w:t>
      </w:r>
      <w:r w:rsidR="00A072B0" w:rsidRPr="009B1A37">
        <w:rPr>
          <w:color w:val="000000"/>
          <w:sz w:val="22"/>
          <w:szCs w:val="22"/>
          <w:lang w:val="cs-CZ"/>
        </w:rPr>
        <w:t xml:space="preserve"> některé makrolidy jako je </w:t>
      </w:r>
      <w:r w:rsidRPr="009B1A37">
        <w:rPr>
          <w:color w:val="000000"/>
          <w:sz w:val="22"/>
          <w:szCs w:val="22"/>
          <w:lang w:val="cs-CZ"/>
        </w:rPr>
        <w:t>erythromycin, klarithromycin</w:t>
      </w:r>
      <w:r w:rsidR="00A072B0" w:rsidRPr="009B1A37">
        <w:rPr>
          <w:color w:val="000000"/>
          <w:sz w:val="22"/>
          <w:szCs w:val="22"/>
          <w:lang w:val="cs-CZ"/>
        </w:rPr>
        <w:t xml:space="preserve"> a telithromycin</w:t>
      </w:r>
      <w:r w:rsidRPr="009B1A37">
        <w:rPr>
          <w:color w:val="000000"/>
          <w:sz w:val="22"/>
          <w:szCs w:val="22"/>
          <w:lang w:val="cs-CZ"/>
        </w:rPr>
        <w:t>) by mohly snižovat metabolismus a zvyšovat koncentraci imatinibu. Při souběžné jednotlivé dávce ketokonazolu (inhibitoru CYP3A4) zdravým jedincům bylo pozorováno významné zvýšení účinku imatinibu (průměrná C</w:t>
      </w:r>
      <w:r w:rsidRPr="009B1A37">
        <w:rPr>
          <w:color w:val="000000"/>
          <w:sz w:val="22"/>
          <w:szCs w:val="22"/>
          <w:vertAlign w:val="subscript"/>
          <w:lang w:val="cs-CZ"/>
        </w:rPr>
        <w:t>max</w:t>
      </w:r>
      <w:r w:rsidRPr="009B1A37">
        <w:rPr>
          <w:color w:val="000000"/>
          <w:sz w:val="22"/>
          <w:szCs w:val="22"/>
          <w:lang w:val="cs-CZ"/>
        </w:rPr>
        <w:t xml:space="preserve"> imatinibu vzrostla o 26</w:t>
      </w:r>
      <w:r w:rsidR="008A6924" w:rsidRPr="009B1A37">
        <w:rPr>
          <w:color w:val="000000"/>
          <w:sz w:val="22"/>
          <w:szCs w:val="22"/>
          <w:lang w:val="cs-CZ"/>
        </w:rPr>
        <w:t> </w:t>
      </w:r>
      <w:r w:rsidRPr="009B1A37">
        <w:rPr>
          <w:color w:val="000000"/>
          <w:sz w:val="22"/>
          <w:szCs w:val="22"/>
          <w:lang w:val="cs-CZ"/>
        </w:rPr>
        <w:t>% a AUC o 40</w:t>
      </w:r>
      <w:r w:rsidR="008A6924" w:rsidRPr="009B1A37">
        <w:rPr>
          <w:color w:val="000000"/>
          <w:sz w:val="22"/>
          <w:szCs w:val="22"/>
          <w:lang w:val="cs-CZ"/>
        </w:rPr>
        <w:t> </w:t>
      </w:r>
      <w:r w:rsidRPr="009B1A37">
        <w:rPr>
          <w:color w:val="000000"/>
          <w:sz w:val="22"/>
          <w:szCs w:val="22"/>
          <w:lang w:val="cs-CZ"/>
        </w:rPr>
        <w:t>%). Při podávání Glivecu s inhibitory skupiny CYP3A4 je nutná opatrnost.</w:t>
      </w:r>
    </w:p>
    <w:p w14:paraId="3BFFFFF5" w14:textId="77777777" w:rsidR="00D97A44" w:rsidRPr="009B1A37" w:rsidRDefault="00D97A44" w:rsidP="00BE3D48">
      <w:pPr>
        <w:pStyle w:val="Text"/>
        <w:widowControl w:val="0"/>
        <w:spacing w:before="0"/>
        <w:jc w:val="left"/>
        <w:rPr>
          <w:color w:val="000000"/>
          <w:sz w:val="22"/>
          <w:szCs w:val="22"/>
          <w:lang w:val="cs-CZ"/>
        </w:rPr>
      </w:pPr>
    </w:p>
    <w:p w14:paraId="670B28E7" w14:textId="77777777" w:rsidR="00D97A44" w:rsidRPr="009B1A37" w:rsidRDefault="00D97A44" w:rsidP="00BE3D48">
      <w:pPr>
        <w:pStyle w:val="EndnoteText"/>
        <w:keepNext/>
        <w:widowControl w:val="0"/>
        <w:tabs>
          <w:tab w:val="clear" w:pos="567"/>
          <w:tab w:val="left" w:pos="7655"/>
        </w:tabs>
        <w:rPr>
          <w:color w:val="000000"/>
          <w:u w:val="single"/>
        </w:rPr>
      </w:pPr>
      <w:r w:rsidRPr="009B1A37">
        <w:rPr>
          <w:color w:val="000000"/>
          <w:u w:val="single"/>
        </w:rPr>
        <w:t xml:space="preserve">Léčivé látky, které mohou </w:t>
      </w:r>
      <w:r w:rsidRPr="009B1A37">
        <w:rPr>
          <w:b/>
          <w:bCs/>
          <w:color w:val="000000"/>
          <w:u w:val="single"/>
        </w:rPr>
        <w:t xml:space="preserve">snižovat </w:t>
      </w:r>
      <w:r w:rsidRPr="009B1A37">
        <w:rPr>
          <w:color w:val="000000"/>
          <w:u w:val="single"/>
        </w:rPr>
        <w:t>koncentraci</w:t>
      </w:r>
      <w:r w:rsidRPr="009B1A37">
        <w:rPr>
          <w:b/>
          <w:bCs/>
          <w:color w:val="000000"/>
          <w:u w:val="single"/>
        </w:rPr>
        <w:t xml:space="preserve"> </w:t>
      </w:r>
      <w:r w:rsidRPr="009B1A37">
        <w:rPr>
          <w:color w:val="000000"/>
          <w:u w:val="single"/>
        </w:rPr>
        <w:t>imatinibu v plazmě:</w:t>
      </w:r>
    </w:p>
    <w:p w14:paraId="322D0A06"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 xml:space="preserve">Látky, které indukují aktivitu CYP3A4 (např. dexamethason, fenytoin, karbamazepin, rifampicin, fenobarbital, fosfenytoin, primidon nebo </w:t>
      </w:r>
      <w:r w:rsidRPr="009B1A37">
        <w:rPr>
          <w:i/>
          <w:iCs/>
          <w:color w:val="000000"/>
          <w:sz w:val="22"/>
          <w:szCs w:val="22"/>
          <w:lang w:val="cs-CZ"/>
        </w:rPr>
        <w:t>Hypericum perforatum</w:t>
      </w:r>
      <w:r w:rsidRPr="009B1A37">
        <w:rPr>
          <w:color w:val="000000"/>
          <w:sz w:val="22"/>
          <w:szCs w:val="22"/>
          <w:lang w:val="cs-CZ"/>
        </w:rPr>
        <w:t>, známé také jako třezalka tečkovaná) m</w:t>
      </w:r>
      <w:r w:rsidR="00A52EF0" w:rsidRPr="009B1A37">
        <w:rPr>
          <w:color w:val="000000"/>
          <w:sz w:val="22"/>
          <w:szCs w:val="22"/>
          <w:lang w:val="cs-CZ"/>
        </w:rPr>
        <w:t>ohou</w:t>
      </w:r>
      <w:r w:rsidRPr="009B1A37">
        <w:rPr>
          <w:color w:val="000000"/>
          <w:sz w:val="22"/>
          <w:szCs w:val="22"/>
          <w:lang w:val="cs-CZ"/>
        </w:rPr>
        <w:t xml:space="preserve"> významně snižovat </w:t>
      </w:r>
      <w:r w:rsidR="00F230A2" w:rsidRPr="009B1A37">
        <w:rPr>
          <w:color w:val="000000"/>
          <w:sz w:val="22"/>
          <w:szCs w:val="22"/>
          <w:lang w:val="cs-CZ"/>
        </w:rPr>
        <w:t>expozici</w:t>
      </w:r>
      <w:r w:rsidRPr="009B1A37">
        <w:rPr>
          <w:color w:val="000000"/>
          <w:sz w:val="22"/>
          <w:szCs w:val="22"/>
          <w:lang w:val="cs-CZ"/>
        </w:rPr>
        <w:t xml:space="preserve"> Glivecu a potenciálně zvyšovat riziko selhání léčby. Předchozí léčba opakovaným</w:t>
      </w:r>
      <w:r w:rsidR="00F230A2" w:rsidRPr="009B1A37">
        <w:rPr>
          <w:color w:val="000000"/>
          <w:sz w:val="22"/>
          <w:szCs w:val="22"/>
          <w:lang w:val="cs-CZ"/>
        </w:rPr>
        <w:t>i dávkami</w:t>
      </w:r>
      <w:r w:rsidRPr="009B1A37">
        <w:rPr>
          <w:color w:val="000000"/>
          <w:sz w:val="22"/>
          <w:szCs w:val="22"/>
          <w:lang w:val="cs-CZ"/>
        </w:rPr>
        <w:t xml:space="preserve"> rifampicinu 600 mg následovaná jednorázovou dávkou 400 mg Glivecu měla za následek snížení C</w:t>
      </w:r>
      <w:r w:rsidRPr="009B1A37">
        <w:rPr>
          <w:color w:val="000000"/>
          <w:sz w:val="22"/>
          <w:szCs w:val="22"/>
          <w:vertAlign w:val="subscript"/>
          <w:lang w:val="cs-CZ"/>
        </w:rPr>
        <w:t>max</w:t>
      </w:r>
      <w:r w:rsidRPr="009B1A37">
        <w:rPr>
          <w:color w:val="000000"/>
          <w:sz w:val="22"/>
          <w:szCs w:val="22"/>
          <w:lang w:val="cs-CZ"/>
        </w:rPr>
        <w:t xml:space="preserve"> nejméně o 54</w:t>
      </w:r>
      <w:r w:rsidR="00BB39E8" w:rsidRPr="009B1A37">
        <w:rPr>
          <w:color w:val="000000"/>
          <w:sz w:val="22"/>
          <w:szCs w:val="22"/>
          <w:lang w:val="cs-CZ"/>
        </w:rPr>
        <w:t> </w:t>
      </w:r>
      <w:r w:rsidRPr="009B1A37">
        <w:rPr>
          <w:color w:val="000000"/>
          <w:sz w:val="22"/>
          <w:szCs w:val="22"/>
          <w:lang w:val="cs-CZ"/>
        </w:rPr>
        <w:t>% a AUC</w:t>
      </w:r>
      <w:r w:rsidRPr="009B1A37">
        <w:rPr>
          <w:color w:val="000000"/>
          <w:sz w:val="22"/>
          <w:szCs w:val="22"/>
          <w:vertAlign w:val="subscript"/>
          <w:lang w:val="cs-CZ"/>
        </w:rPr>
        <w:t>(0-∞)</w:t>
      </w:r>
      <w:r w:rsidRPr="009B1A37">
        <w:rPr>
          <w:color w:val="000000"/>
          <w:sz w:val="22"/>
          <w:szCs w:val="22"/>
          <w:lang w:val="cs-CZ"/>
        </w:rPr>
        <w:t xml:space="preserve"> o 74</w:t>
      </w:r>
      <w:r w:rsidR="00BB39E8" w:rsidRPr="009B1A37">
        <w:rPr>
          <w:color w:val="000000"/>
          <w:sz w:val="22"/>
          <w:szCs w:val="22"/>
          <w:lang w:val="cs-CZ"/>
        </w:rPr>
        <w:t> </w:t>
      </w:r>
      <w:r w:rsidRPr="009B1A37">
        <w:rPr>
          <w:color w:val="000000"/>
          <w:sz w:val="22"/>
          <w:szCs w:val="22"/>
          <w:lang w:val="cs-CZ"/>
        </w:rPr>
        <w:t>% ve srovnání s hodnotami bez předchozí léčby rifampicinem. Podobné výsledky byly pozorovány u pacientů s maligními gliomy, kteří byli léčeni Glivecem a užívali antiepilepti</w:t>
      </w:r>
      <w:r w:rsidR="00F230A2" w:rsidRPr="009B1A37">
        <w:rPr>
          <w:color w:val="000000"/>
          <w:sz w:val="22"/>
          <w:szCs w:val="22"/>
          <w:lang w:val="cs-CZ"/>
        </w:rPr>
        <w:t>ka</w:t>
      </w:r>
      <w:r w:rsidRPr="009B1A37">
        <w:rPr>
          <w:color w:val="000000"/>
          <w:sz w:val="22"/>
          <w:szCs w:val="22"/>
          <w:lang w:val="cs-CZ"/>
        </w:rPr>
        <w:t xml:space="preserve"> (EIAED) jako např. karbamazepin, oxkarbazepin a fenytoin, které indukovaly příslušné jaterní enzymy. Došlo ke snížení AUC imatinibu v plazmě o 73</w:t>
      </w:r>
      <w:r w:rsidR="00BB39E8" w:rsidRPr="009B1A37">
        <w:rPr>
          <w:color w:val="000000"/>
          <w:sz w:val="22"/>
          <w:szCs w:val="22"/>
          <w:lang w:val="cs-CZ"/>
        </w:rPr>
        <w:t> </w:t>
      </w:r>
      <w:r w:rsidRPr="009B1A37">
        <w:rPr>
          <w:color w:val="000000"/>
          <w:sz w:val="22"/>
          <w:szCs w:val="22"/>
          <w:lang w:val="cs-CZ"/>
        </w:rPr>
        <w:t>% oproti pacientům, kteří neužívali EIAED. M</w:t>
      </w:r>
      <w:r w:rsidR="00F230A2" w:rsidRPr="009B1A37">
        <w:rPr>
          <w:color w:val="000000"/>
          <w:sz w:val="22"/>
          <w:szCs w:val="22"/>
          <w:lang w:val="cs-CZ"/>
        </w:rPr>
        <w:t>á</w:t>
      </w:r>
      <w:r w:rsidRPr="009B1A37">
        <w:rPr>
          <w:color w:val="000000"/>
          <w:sz w:val="22"/>
          <w:szCs w:val="22"/>
          <w:lang w:val="cs-CZ"/>
        </w:rPr>
        <w:t xml:space="preserve"> se zabránit souběžnému užívání rifampicinu nebo jiných silných induktorů CYP3A4 a imatinibu.</w:t>
      </w:r>
    </w:p>
    <w:p w14:paraId="04E6556F" w14:textId="77777777" w:rsidR="00D97A44" w:rsidRPr="009B1A37" w:rsidRDefault="00D97A44" w:rsidP="00BE3D48">
      <w:pPr>
        <w:pStyle w:val="Text"/>
        <w:widowControl w:val="0"/>
        <w:spacing w:before="0"/>
        <w:jc w:val="left"/>
        <w:rPr>
          <w:color w:val="000000"/>
          <w:sz w:val="22"/>
          <w:szCs w:val="22"/>
          <w:lang w:val="cs-CZ"/>
        </w:rPr>
      </w:pPr>
    </w:p>
    <w:p w14:paraId="13684138" w14:textId="77777777" w:rsidR="00D97A44" w:rsidRPr="009B1A37" w:rsidRDefault="00D97A44" w:rsidP="00BE3D48">
      <w:pPr>
        <w:pStyle w:val="Text"/>
        <w:keepNext/>
        <w:widowControl w:val="0"/>
        <w:spacing w:before="0"/>
        <w:jc w:val="left"/>
        <w:rPr>
          <w:b/>
          <w:bCs/>
          <w:color w:val="000000"/>
          <w:sz w:val="22"/>
          <w:szCs w:val="22"/>
          <w:lang w:val="cs-CZ"/>
        </w:rPr>
      </w:pPr>
      <w:r w:rsidRPr="009B1A37">
        <w:rPr>
          <w:b/>
          <w:bCs/>
          <w:color w:val="000000"/>
          <w:sz w:val="22"/>
          <w:szCs w:val="22"/>
          <w:lang w:val="cs-CZ"/>
        </w:rPr>
        <w:t>Léčivé látky, jejichž koncentrace v plazmě by mohla být ovlivněna Glivecem</w:t>
      </w:r>
    </w:p>
    <w:p w14:paraId="219AB62C"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Imatinib zvyšuje průměrnou C</w:t>
      </w:r>
      <w:r w:rsidRPr="009B1A37">
        <w:rPr>
          <w:color w:val="000000"/>
          <w:sz w:val="22"/>
          <w:szCs w:val="22"/>
          <w:vertAlign w:val="subscript"/>
          <w:lang w:val="cs-CZ"/>
        </w:rPr>
        <w:t>max</w:t>
      </w:r>
      <w:r w:rsidRPr="009B1A37">
        <w:rPr>
          <w:color w:val="000000"/>
          <w:sz w:val="22"/>
          <w:szCs w:val="22"/>
          <w:lang w:val="cs-CZ"/>
        </w:rPr>
        <w:t xml:space="preserve"> simvastatinu 2krát a AUC simvastatinu (CYP3A4 substrát) 3,5krát, což znamená, že je CYP3A4 inhibován imatinibem. Při podávání Glivecu se substráty CYP3A4 s úzkým terapeutickým oknem se proto doporučuje opatrnost (např. cyklosporin</w:t>
      </w:r>
      <w:r w:rsidR="00A072B0" w:rsidRPr="009B1A37">
        <w:rPr>
          <w:color w:val="000000"/>
          <w:sz w:val="22"/>
          <w:szCs w:val="22"/>
          <w:lang w:val="cs-CZ"/>
        </w:rPr>
        <w:t>,</w:t>
      </w:r>
      <w:r w:rsidRPr="009B1A37">
        <w:rPr>
          <w:color w:val="000000"/>
          <w:sz w:val="22"/>
          <w:szCs w:val="22"/>
          <w:lang w:val="cs-CZ"/>
        </w:rPr>
        <w:t xml:space="preserve"> pimozid</w:t>
      </w:r>
      <w:r w:rsidR="00A072B0" w:rsidRPr="009B1A37">
        <w:rPr>
          <w:color w:val="000000"/>
          <w:sz w:val="22"/>
          <w:szCs w:val="22"/>
          <w:lang w:val="cs-CZ"/>
        </w:rPr>
        <w:t xml:space="preserve">, takrolimus, sirolimus, ergotamin, diergotamin, fentanyl, alfentanil, terfenadin, bortezomib, docetaxel a </w:t>
      </w:r>
      <w:r w:rsidR="005C33E1" w:rsidRPr="009B1A37">
        <w:rPr>
          <w:color w:val="000000"/>
          <w:sz w:val="22"/>
          <w:szCs w:val="22"/>
          <w:lang w:val="cs-CZ"/>
        </w:rPr>
        <w:t>ch</w:t>
      </w:r>
      <w:r w:rsidR="00A072B0" w:rsidRPr="009B1A37">
        <w:rPr>
          <w:color w:val="000000"/>
          <w:sz w:val="22"/>
          <w:szCs w:val="22"/>
          <w:lang w:val="cs-CZ"/>
        </w:rPr>
        <w:t>inidin</w:t>
      </w:r>
      <w:r w:rsidRPr="009B1A37">
        <w:rPr>
          <w:color w:val="000000"/>
          <w:sz w:val="22"/>
          <w:szCs w:val="22"/>
          <w:lang w:val="cs-CZ"/>
        </w:rPr>
        <w:t xml:space="preserve">). Glivec může zvyšovat plazmatickou koncentraci jiných léků metabolizovaných CYP3A4 (např. triazolo-benzodiazepinů, dihydropyridinových blokátorů kalciových kanálů, některých inhibitorů </w:t>
      </w:r>
      <w:smartTag w:uri="urn:schemas-microsoft-com:office:smarttags" w:element="stockticker">
        <w:r w:rsidRPr="009B1A37">
          <w:rPr>
            <w:color w:val="000000"/>
            <w:sz w:val="22"/>
            <w:szCs w:val="22"/>
            <w:lang w:val="cs-CZ"/>
          </w:rPr>
          <w:t>HMG</w:t>
        </w:r>
      </w:smartTag>
      <w:r w:rsidRPr="009B1A37">
        <w:rPr>
          <w:color w:val="000000"/>
          <w:sz w:val="22"/>
          <w:szCs w:val="22"/>
          <w:lang w:val="cs-CZ"/>
        </w:rPr>
        <w:t>-CoA reduktázy, tj. statinů atd.).</w:t>
      </w:r>
    </w:p>
    <w:p w14:paraId="474B6BA2" w14:textId="77777777" w:rsidR="00D97A44" w:rsidRPr="009B1A37" w:rsidRDefault="00D97A44" w:rsidP="00BE3D48">
      <w:pPr>
        <w:pStyle w:val="Text"/>
        <w:widowControl w:val="0"/>
        <w:spacing w:before="0"/>
        <w:jc w:val="left"/>
        <w:rPr>
          <w:color w:val="000000"/>
          <w:sz w:val="22"/>
          <w:szCs w:val="22"/>
          <w:lang w:val="cs-CZ"/>
        </w:rPr>
      </w:pPr>
    </w:p>
    <w:p w14:paraId="336D01CA" w14:textId="77777777" w:rsidR="00D97A44" w:rsidRPr="009B1A37" w:rsidRDefault="00E90933" w:rsidP="00BE3D48">
      <w:pPr>
        <w:pStyle w:val="Text"/>
        <w:widowControl w:val="0"/>
        <w:spacing w:before="0"/>
        <w:jc w:val="left"/>
        <w:rPr>
          <w:color w:val="000000"/>
          <w:sz w:val="22"/>
          <w:szCs w:val="22"/>
          <w:lang w:val="cs-CZ"/>
        </w:rPr>
      </w:pPr>
      <w:r w:rsidRPr="009B1A37">
        <w:rPr>
          <w:color w:val="000000"/>
          <w:sz w:val="22"/>
          <w:szCs w:val="22"/>
          <w:lang w:val="cs-CZ"/>
        </w:rPr>
        <w:t xml:space="preserve">Vzhledem ke </w:t>
      </w:r>
      <w:r w:rsidR="00321D0E" w:rsidRPr="009B1A37">
        <w:rPr>
          <w:color w:val="000000"/>
          <w:sz w:val="22"/>
          <w:szCs w:val="22"/>
          <w:lang w:val="cs-CZ"/>
        </w:rPr>
        <w:t>známému</w:t>
      </w:r>
      <w:r w:rsidRPr="009B1A37">
        <w:rPr>
          <w:color w:val="000000"/>
          <w:sz w:val="22"/>
          <w:szCs w:val="22"/>
          <w:lang w:val="cs-CZ"/>
        </w:rPr>
        <w:t xml:space="preserve"> zvýšenému riziku krvácení spojen</w:t>
      </w:r>
      <w:r w:rsidR="00321D0E" w:rsidRPr="009B1A37">
        <w:rPr>
          <w:color w:val="000000"/>
          <w:sz w:val="22"/>
          <w:szCs w:val="22"/>
          <w:lang w:val="cs-CZ"/>
        </w:rPr>
        <w:t>é</w:t>
      </w:r>
      <w:r w:rsidRPr="009B1A37">
        <w:rPr>
          <w:color w:val="000000"/>
          <w:sz w:val="22"/>
          <w:szCs w:val="22"/>
          <w:lang w:val="cs-CZ"/>
        </w:rPr>
        <w:t>m</w:t>
      </w:r>
      <w:r w:rsidR="00321D0E" w:rsidRPr="009B1A37">
        <w:rPr>
          <w:color w:val="000000"/>
          <w:sz w:val="22"/>
          <w:szCs w:val="22"/>
          <w:lang w:val="cs-CZ"/>
        </w:rPr>
        <w:t>u</w:t>
      </w:r>
      <w:r w:rsidRPr="009B1A37">
        <w:rPr>
          <w:color w:val="000000"/>
          <w:sz w:val="22"/>
          <w:szCs w:val="22"/>
          <w:lang w:val="cs-CZ"/>
        </w:rPr>
        <w:t xml:space="preserve"> s užíváním imatinibu (např. h</w:t>
      </w:r>
      <w:r w:rsidR="00321D0E" w:rsidRPr="009B1A37">
        <w:rPr>
          <w:color w:val="000000"/>
          <w:sz w:val="22"/>
          <w:szCs w:val="22"/>
          <w:lang w:val="cs-CZ"/>
        </w:rPr>
        <w:t>e</w:t>
      </w:r>
      <w:r w:rsidRPr="009B1A37">
        <w:rPr>
          <w:color w:val="000000"/>
          <w:sz w:val="22"/>
          <w:szCs w:val="22"/>
          <w:lang w:val="cs-CZ"/>
        </w:rPr>
        <w:t>moragie)</w:t>
      </w:r>
      <w:r w:rsidR="00321D0E" w:rsidRPr="009B1A37">
        <w:rPr>
          <w:color w:val="000000"/>
          <w:sz w:val="22"/>
          <w:szCs w:val="22"/>
          <w:lang w:val="cs-CZ"/>
        </w:rPr>
        <w:t xml:space="preserve"> </w:t>
      </w:r>
      <w:r w:rsidR="00F230A2" w:rsidRPr="009B1A37">
        <w:rPr>
          <w:color w:val="000000"/>
          <w:sz w:val="22"/>
          <w:szCs w:val="22"/>
          <w:lang w:val="cs-CZ"/>
        </w:rPr>
        <w:t>mají</w:t>
      </w:r>
      <w:r w:rsidR="00D97A44" w:rsidRPr="009B1A37">
        <w:rPr>
          <w:color w:val="000000"/>
          <w:sz w:val="22"/>
          <w:szCs w:val="22"/>
          <w:lang w:val="cs-CZ"/>
        </w:rPr>
        <w:t xml:space="preserve"> pacienti vyžadující antikoagulační léčbu </w:t>
      </w:r>
      <w:r w:rsidRPr="009B1A37">
        <w:rPr>
          <w:color w:val="000000"/>
          <w:sz w:val="22"/>
          <w:szCs w:val="22"/>
          <w:lang w:val="cs-CZ"/>
        </w:rPr>
        <w:t>místo kumarin</w:t>
      </w:r>
      <w:r w:rsidR="00DE2D76" w:rsidRPr="009B1A37">
        <w:rPr>
          <w:color w:val="000000"/>
          <w:sz w:val="22"/>
          <w:szCs w:val="22"/>
          <w:lang w:val="cs-CZ"/>
        </w:rPr>
        <w:t>ov</w:t>
      </w:r>
      <w:r w:rsidRPr="009B1A37">
        <w:rPr>
          <w:color w:val="000000"/>
          <w:sz w:val="22"/>
          <w:szCs w:val="22"/>
          <w:lang w:val="cs-CZ"/>
        </w:rPr>
        <w:t xml:space="preserve">ých derivátů, jako je warfarin, </w:t>
      </w:r>
      <w:r w:rsidR="00D97A44" w:rsidRPr="009B1A37">
        <w:rPr>
          <w:color w:val="000000"/>
          <w:sz w:val="22"/>
          <w:szCs w:val="22"/>
          <w:lang w:val="cs-CZ"/>
        </w:rPr>
        <w:t>dostávat nízkomolekulární nebo standardní heparin.</w:t>
      </w:r>
    </w:p>
    <w:p w14:paraId="77EA7759" w14:textId="77777777" w:rsidR="00D97A44" w:rsidRPr="009B1A37" w:rsidRDefault="00D97A44" w:rsidP="00BE3D48">
      <w:pPr>
        <w:pStyle w:val="Text"/>
        <w:widowControl w:val="0"/>
        <w:spacing w:before="0"/>
        <w:rPr>
          <w:color w:val="000000"/>
          <w:sz w:val="22"/>
          <w:szCs w:val="22"/>
          <w:lang w:val="cs-CZ"/>
        </w:rPr>
      </w:pPr>
    </w:p>
    <w:p w14:paraId="78F190C8" w14:textId="77777777" w:rsidR="00DA6035" w:rsidRPr="009B1A37" w:rsidRDefault="00D97A44" w:rsidP="00BE3D48">
      <w:pPr>
        <w:pStyle w:val="Text"/>
        <w:widowControl w:val="0"/>
        <w:spacing w:before="0"/>
        <w:jc w:val="left"/>
        <w:rPr>
          <w:color w:val="000000"/>
          <w:sz w:val="22"/>
          <w:szCs w:val="22"/>
          <w:lang w:val="cs-CZ"/>
        </w:rPr>
      </w:pPr>
      <w:r w:rsidRPr="009B1A37">
        <w:rPr>
          <w:i/>
          <w:iCs/>
          <w:color w:val="000000"/>
          <w:sz w:val="22"/>
          <w:szCs w:val="22"/>
          <w:lang w:val="cs-CZ"/>
        </w:rPr>
        <w:t>In vitro</w:t>
      </w:r>
      <w:r w:rsidRPr="009B1A37">
        <w:rPr>
          <w:color w:val="000000"/>
          <w:sz w:val="22"/>
          <w:szCs w:val="22"/>
          <w:lang w:val="cs-CZ"/>
        </w:rPr>
        <w:t xml:space="preserve"> Glivec inhibuje aktivitu izoenzymu CYP2D6 cytochromu P450 v koncentraci podobné té, která ovlivňuje aktivitu CYP3A4. Imatinib v dávce 400 mg dvakrát denně působil inhibičně na metabolismus metoprololu zprostředkovaný CYP2D6; došlo ke zvýšení C</w:t>
      </w:r>
      <w:r w:rsidRPr="009B1A37">
        <w:rPr>
          <w:color w:val="000000"/>
          <w:sz w:val="22"/>
          <w:szCs w:val="22"/>
          <w:vertAlign w:val="subscript"/>
          <w:lang w:val="cs-CZ"/>
        </w:rPr>
        <w:t>max</w:t>
      </w:r>
      <w:r w:rsidRPr="009B1A37">
        <w:rPr>
          <w:color w:val="000000"/>
          <w:sz w:val="22"/>
          <w:szCs w:val="22"/>
          <w:lang w:val="cs-CZ"/>
        </w:rPr>
        <w:t xml:space="preserve"> a AUC metoprololu o přibližně 23</w:t>
      </w:r>
      <w:r w:rsidR="00BB39E8" w:rsidRPr="009B1A37">
        <w:rPr>
          <w:color w:val="000000"/>
          <w:sz w:val="22"/>
          <w:szCs w:val="22"/>
          <w:lang w:val="cs-CZ"/>
        </w:rPr>
        <w:t> </w:t>
      </w:r>
      <w:r w:rsidRPr="009B1A37">
        <w:rPr>
          <w:color w:val="000000"/>
          <w:sz w:val="22"/>
          <w:szCs w:val="22"/>
          <w:lang w:val="cs-CZ"/>
        </w:rPr>
        <w:t>% (90% CI [1,16</w:t>
      </w:r>
      <w:r w:rsidRPr="009B1A37">
        <w:rPr>
          <w:color w:val="000000"/>
          <w:sz w:val="22"/>
          <w:szCs w:val="22"/>
          <w:lang w:val="cs-CZ"/>
        </w:rPr>
        <w:noBreakHyphen/>
        <w:t>1,30]).</w:t>
      </w:r>
      <w:r w:rsidR="00C56CC8" w:rsidRPr="009B1A37">
        <w:rPr>
          <w:color w:val="000000"/>
          <w:sz w:val="22"/>
          <w:szCs w:val="22"/>
          <w:lang w:val="cs-CZ"/>
        </w:rPr>
        <w:t xml:space="preserve"> </w:t>
      </w:r>
      <w:r w:rsidRPr="009B1A37">
        <w:rPr>
          <w:color w:val="000000"/>
          <w:sz w:val="22"/>
          <w:szCs w:val="22"/>
          <w:lang w:val="cs-CZ"/>
        </w:rPr>
        <w:t>Zdá se, že při souběžném podávání imatinibu se substráty CYP2D6 není nutno upravovat dávkování, doporučuje se však věnovat zvýšenou pozornost substrátům CYP2D6 s úzkým terapeutickým oknem, jako je např. metoprolol. U pacientů léčených metoprololem je nutno zvážit klinické monitorování.</w:t>
      </w:r>
    </w:p>
    <w:p w14:paraId="664C47CF" w14:textId="77777777" w:rsidR="00DA6035" w:rsidRPr="009B1A37" w:rsidRDefault="00DA6035" w:rsidP="00BE3D48">
      <w:pPr>
        <w:pStyle w:val="Text"/>
        <w:widowControl w:val="0"/>
        <w:spacing w:before="0"/>
        <w:jc w:val="left"/>
        <w:rPr>
          <w:color w:val="000000"/>
          <w:sz w:val="22"/>
          <w:szCs w:val="22"/>
          <w:lang w:val="cs-CZ"/>
        </w:rPr>
      </w:pPr>
    </w:p>
    <w:p w14:paraId="176BB37B" w14:textId="77777777" w:rsidR="00DA6035" w:rsidRPr="009B1A37" w:rsidRDefault="00DA6035" w:rsidP="00BE3D48">
      <w:pPr>
        <w:pStyle w:val="Text"/>
        <w:widowControl w:val="0"/>
        <w:spacing w:before="0"/>
        <w:jc w:val="left"/>
        <w:rPr>
          <w:color w:val="000000"/>
          <w:sz w:val="22"/>
          <w:szCs w:val="22"/>
          <w:lang w:val="cs-CZ"/>
        </w:rPr>
      </w:pPr>
      <w:r w:rsidRPr="009B1A37">
        <w:rPr>
          <w:i/>
          <w:iCs/>
          <w:color w:val="000000"/>
          <w:sz w:val="22"/>
          <w:szCs w:val="22"/>
          <w:lang w:val="cs-CZ"/>
        </w:rPr>
        <w:t>In vitro</w:t>
      </w:r>
      <w:r w:rsidRPr="009B1A37">
        <w:rPr>
          <w:color w:val="000000"/>
          <w:sz w:val="22"/>
          <w:szCs w:val="22"/>
          <w:lang w:val="cs-CZ"/>
        </w:rPr>
        <w:t xml:space="preserve"> Glivec inhibuje O-glukuronidaci paracetamolu </w:t>
      </w:r>
      <w:r w:rsidR="00135076" w:rsidRPr="009B1A37">
        <w:rPr>
          <w:color w:val="000000"/>
          <w:sz w:val="22"/>
          <w:szCs w:val="22"/>
          <w:lang w:val="cs-CZ"/>
        </w:rPr>
        <w:t>s </w:t>
      </w:r>
      <w:r w:rsidRPr="009B1A37">
        <w:rPr>
          <w:color w:val="000000"/>
          <w:sz w:val="22"/>
          <w:szCs w:val="22"/>
          <w:lang w:val="cs-CZ"/>
        </w:rPr>
        <w:t>Ki hodnot</w:t>
      </w:r>
      <w:r w:rsidR="00135076" w:rsidRPr="009B1A37">
        <w:rPr>
          <w:color w:val="000000"/>
          <w:sz w:val="22"/>
          <w:szCs w:val="22"/>
          <w:lang w:val="cs-CZ"/>
        </w:rPr>
        <w:t>ou</w:t>
      </w:r>
      <w:r w:rsidRPr="009B1A37">
        <w:rPr>
          <w:color w:val="000000"/>
          <w:sz w:val="22"/>
          <w:szCs w:val="22"/>
          <w:lang w:val="cs-CZ"/>
        </w:rPr>
        <w:t xml:space="preserve"> 58,5 mikromol/l.</w:t>
      </w:r>
      <w:r w:rsidR="00135076" w:rsidRPr="009B1A37">
        <w:rPr>
          <w:color w:val="000000"/>
          <w:sz w:val="22"/>
          <w:szCs w:val="22"/>
          <w:lang w:val="cs-CZ"/>
        </w:rPr>
        <w:t xml:space="preserve"> </w:t>
      </w:r>
      <w:r w:rsidR="00135076" w:rsidRPr="009B1A37">
        <w:rPr>
          <w:iCs/>
          <w:color w:val="000000"/>
          <w:sz w:val="22"/>
          <w:szCs w:val="22"/>
          <w:lang w:val="cs-CZ"/>
        </w:rPr>
        <w:t>Tato</w:t>
      </w:r>
      <w:r w:rsidR="00135076" w:rsidRPr="009B1A37">
        <w:rPr>
          <w:iCs/>
          <w:color w:val="000000"/>
          <w:sz w:val="22"/>
          <w:szCs w:val="22"/>
          <w:u w:val="single"/>
          <w:lang w:val="cs-CZ"/>
        </w:rPr>
        <w:t xml:space="preserve"> </w:t>
      </w:r>
      <w:r w:rsidR="00135076" w:rsidRPr="009B1A37">
        <w:rPr>
          <w:iCs/>
          <w:color w:val="000000"/>
          <w:sz w:val="22"/>
          <w:szCs w:val="22"/>
          <w:lang w:val="cs-CZ"/>
        </w:rPr>
        <w:t>inhibice nebyla zjištěna po podání Glivecu 400 mg a paracetamolu 1000 mg</w:t>
      </w:r>
      <w:r w:rsidR="003B270B" w:rsidRPr="009B1A37">
        <w:rPr>
          <w:iCs/>
          <w:color w:val="000000"/>
          <w:sz w:val="22"/>
          <w:szCs w:val="22"/>
          <w:lang w:val="cs-CZ"/>
        </w:rPr>
        <w:t xml:space="preserve"> </w:t>
      </w:r>
      <w:r w:rsidR="003B270B" w:rsidRPr="009B1A37">
        <w:rPr>
          <w:i/>
          <w:iCs/>
          <w:color w:val="000000"/>
          <w:sz w:val="22"/>
          <w:szCs w:val="22"/>
          <w:lang w:val="cs-CZ"/>
        </w:rPr>
        <w:t>in vivo</w:t>
      </w:r>
      <w:r w:rsidR="00135076" w:rsidRPr="009B1A37">
        <w:rPr>
          <w:iCs/>
          <w:color w:val="000000"/>
          <w:sz w:val="22"/>
          <w:szCs w:val="22"/>
          <w:lang w:val="cs-CZ"/>
        </w:rPr>
        <w:t>. Vyšší dávky Glivecu a paracetamolu nebyly studovány.</w:t>
      </w:r>
    </w:p>
    <w:p w14:paraId="19D14303" w14:textId="77777777" w:rsidR="00DA6035" w:rsidRPr="009B1A37" w:rsidRDefault="00DA6035" w:rsidP="00BE3D48">
      <w:pPr>
        <w:pStyle w:val="Text"/>
        <w:widowControl w:val="0"/>
        <w:spacing w:before="0"/>
        <w:jc w:val="left"/>
        <w:rPr>
          <w:color w:val="000000"/>
          <w:sz w:val="22"/>
          <w:szCs w:val="22"/>
          <w:lang w:val="cs-CZ"/>
        </w:rPr>
      </w:pPr>
    </w:p>
    <w:p w14:paraId="0C048EF4" w14:textId="77777777" w:rsidR="00DA6035" w:rsidRPr="009B1A37" w:rsidRDefault="00DA6035" w:rsidP="00BE3D48">
      <w:pPr>
        <w:pStyle w:val="Text"/>
        <w:widowControl w:val="0"/>
        <w:spacing w:before="0"/>
        <w:jc w:val="left"/>
        <w:rPr>
          <w:color w:val="000000"/>
          <w:sz w:val="22"/>
          <w:szCs w:val="22"/>
          <w:lang w:val="cs-CZ"/>
        </w:rPr>
      </w:pPr>
      <w:r w:rsidRPr="009B1A37">
        <w:rPr>
          <w:color w:val="000000"/>
          <w:sz w:val="22"/>
          <w:szCs w:val="22"/>
          <w:lang w:val="cs-CZ"/>
        </w:rPr>
        <w:t>Obezřetnost proto m</w:t>
      </w:r>
      <w:r w:rsidR="00F230A2" w:rsidRPr="009B1A37">
        <w:rPr>
          <w:color w:val="000000"/>
          <w:sz w:val="22"/>
          <w:szCs w:val="22"/>
          <w:lang w:val="cs-CZ"/>
        </w:rPr>
        <w:t>á</w:t>
      </w:r>
      <w:r w:rsidRPr="009B1A37">
        <w:rPr>
          <w:color w:val="000000"/>
          <w:sz w:val="22"/>
          <w:szCs w:val="22"/>
          <w:lang w:val="cs-CZ"/>
        </w:rPr>
        <w:t xml:space="preserve"> být uplatněna při souběžném užívání </w:t>
      </w:r>
      <w:r w:rsidR="00135076" w:rsidRPr="009B1A37">
        <w:rPr>
          <w:color w:val="000000"/>
          <w:sz w:val="22"/>
          <w:szCs w:val="22"/>
          <w:lang w:val="cs-CZ"/>
        </w:rPr>
        <w:t xml:space="preserve">vyšších dávek </w:t>
      </w:r>
      <w:r w:rsidRPr="009B1A37">
        <w:rPr>
          <w:color w:val="000000"/>
          <w:sz w:val="22"/>
          <w:szCs w:val="22"/>
          <w:lang w:val="cs-CZ"/>
        </w:rPr>
        <w:t>Glivecu a paracetamolu</w:t>
      </w:r>
      <w:r w:rsidR="00135076" w:rsidRPr="009B1A37">
        <w:rPr>
          <w:color w:val="000000"/>
          <w:sz w:val="22"/>
          <w:szCs w:val="22"/>
          <w:lang w:val="cs-CZ"/>
        </w:rPr>
        <w:t>.</w:t>
      </w:r>
    </w:p>
    <w:p w14:paraId="25ECD759" w14:textId="77777777" w:rsidR="00135076" w:rsidRPr="009B1A37" w:rsidRDefault="00135076" w:rsidP="00BE3D48">
      <w:pPr>
        <w:pStyle w:val="Text"/>
        <w:widowControl w:val="0"/>
        <w:spacing w:before="0"/>
        <w:jc w:val="left"/>
        <w:rPr>
          <w:color w:val="000000"/>
          <w:sz w:val="22"/>
          <w:szCs w:val="22"/>
          <w:lang w:val="cs-CZ"/>
        </w:rPr>
      </w:pPr>
    </w:p>
    <w:p w14:paraId="0A0E275C" w14:textId="77777777" w:rsidR="00D97A44" w:rsidRPr="009B1A37" w:rsidRDefault="00DA6035" w:rsidP="00BE3D48">
      <w:pPr>
        <w:pStyle w:val="Text"/>
        <w:widowControl w:val="0"/>
        <w:spacing w:before="0"/>
        <w:jc w:val="left"/>
        <w:rPr>
          <w:color w:val="000000"/>
          <w:sz w:val="22"/>
          <w:szCs w:val="22"/>
          <w:lang w:val="cs-CZ"/>
        </w:rPr>
      </w:pPr>
      <w:r w:rsidRPr="009B1A37">
        <w:rPr>
          <w:color w:val="000000"/>
          <w:sz w:val="22"/>
          <w:szCs w:val="22"/>
          <w:lang w:val="cs-CZ"/>
        </w:rPr>
        <w:t>U</w:t>
      </w:r>
      <w:r w:rsidR="00D97A44" w:rsidRPr="009B1A37">
        <w:rPr>
          <w:color w:val="000000"/>
          <w:sz w:val="22"/>
          <w:szCs w:val="22"/>
          <w:lang w:val="cs-CZ"/>
        </w:rPr>
        <w:t xml:space="preserve"> pacientů s tyreoidektomií léčených levothyroxinem, může být plazmatická expozice levothyroxinu snížena, pokud se podává spolu s Glivecem (viz bod 4.4). Proto se doporučuje opatrnost. Nicméně mechanismus pozorované interakce v současnosti není znám.</w:t>
      </w:r>
    </w:p>
    <w:p w14:paraId="5C08A679" w14:textId="77777777" w:rsidR="00D97A44" w:rsidRPr="009B1A37" w:rsidRDefault="00D97A44" w:rsidP="00BE3D48">
      <w:pPr>
        <w:pStyle w:val="Text"/>
        <w:widowControl w:val="0"/>
        <w:spacing w:before="0"/>
        <w:jc w:val="left"/>
        <w:rPr>
          <w:color w:val="000000"/>
          <w:sz w:val="22"/>
          <w:szCs w:val="22"/>
          <w:lang w:val="cs-CZ"/>
        </w:rPr>
      </w:pPr>
    </w:p>
    <w:p w14:paraId="52E756AF"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 xml:space="preserve">U pacientů s Ph+ </w:t>
      </w:r>
      <w:smartTag w:uri="urn:schemas-microsoft-com:office:smarttags" w:element="stockticker">
        <w:r w:rsidRPr="009B1A37">
          <w:rPr>
            <w:color w:val="000000"/>
            <w:sz w:val="22"/>
            <w:szCs w:val="22"/>
            <w:lang w:val="cs-CZ"/>
          </w:rPr>
          <w:t>ALL</w:t>
        </w:r>
      </w:smartTag>
      <w:r w:rsidRPr="009B1A37">
        <w:rPr>
          <w:color w:val="000000"/>
          <w:sz w:val="22"/>
          <w:szCs w:val="22"/>
          <w:lang w:val="cs-CZ"/>
        </w:rPr>
        <w:t xml:space="preserve"> existují klinické zkušenosti souběžného podávání Glivecu a chemoterapie (viz bod 5.1), avšak lékové interakce mezi imatinibem a chemoterapeutickými režimy nejsou dobře známy. Nežádoucí účinky imatinibu jako jaterní toxicita, myelosuprese a další se mohou zvyšovat, p</w:t>
      </w:r>
      <w:r w:rsidR="00F230A2" w:rsidRPr="009B1A37">
        <w:rPr>
          <w:color w:val="000000"/>
          <w:sz w:val="22"/>
          <w:szCs w:val="22"/>
          <w:lang w:val="cs-CZ"/>
        </w:rPr>
        <w:t>rotože bylo hlášeno, že</w:t>
      </w:r>
      <w:r w:rsidRPr="009B1A37">
        <w:rPr>
          <w:color w:val="000000"/>
          <w:sz w:val="22"/>
          <w:szCs w:val="22"/>
          <w:lang w:val="cs-CZ"/>
        </w:rPr>
        <w:t xml:space="preserve"> souběžné užívání s L-asparaginázou by mohlo být spojeno se zvýšením jaterní toxicity (viz bod 4.8). Proto je třeba zvláštní opatrnosti, pokud se Glivec užívá v kombinaci.</w:t>
      </w:r>
    </w:p>
    <w:p w14:paraId="0FF5528A" w14:textId="77777777" w:rsidR="00D97A44" w:rsidRPr="009B1A37" w:rsidRDefault="00D97A44" w:rsidP="00BE3D48">
      <w:pPr>
        <w:pStyle w:val="EndnoteText"/>
        <w:widowControl w:val="0"/>
        <w:tabs>
          <w:tab w:val="clear" w:pos="567"/>
        </w:tabs>
        <w:rPr>
          <w:color w:val="000000"/>
        </w:rPr>
      </w:pPr>
    </w:p>
    <w:p w14:paraId="516C3F3D"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4.6</w:t>
      </w:r>
      <w:r w:rsidRPr="009B1A37">
        <w:rPr>
          <w:b/>
          <w:bCs/>
          <w:color w:val="000000"/>
        </w:rPr>
        <w:tab/>
      </w:r>
      <w:r w:rsidR="00F5227B" w:rsidRPr="009B1A37">
        <w:rPr>
          <w:b/>
          <w:bCs/>
          <w:color w:val="000000"/>
        </w:rPr>
        <w:t>Fertilita, t</w:t>
      </w:r>
      <w:r w:rsidRPr="009B1A37">
        <w:rPr>
          <w:b/>
          <w:bCs/>
          <w:color w:val="000000"/>
        </w:rPr>
        <w:t>ěhotenství a kojení</w:t>
      </w:r>
    </w:p>
    <w:p w14:paraId="40C2EF76" w14:textId="77777777" w:rsidR="00830485" w:rsidRPr="009B1A37" w:rsidRDefault="00830485" w:rsidP="00BE3D48">
      <w:pPr>
        <w:pStyle w:val="EndnoteText"/>
        <w:keepNext/>
        <w:widowControl w:val="0"/>
        <w:rPr>
          <w:color w:val="000000"/>
        </w:rPr>
      </w:pPr>
    </w:p>
    <w:p w14:paraId="116955B7" w14:textId="77777777" w:rsidR="00830485" w:rsidRPr="009B1A37" w:rsidRDefault="00830485" w:rsidP="00BE3D48">
      <w:pPr>
        <w:pStyle w:val="EndnoteText"/>
        <w:keepNext/>
        <w:widowControl w:val="0"/>
        <w:tabs>
          <w:tab w:val="clear" w:pos="567"/>
          <w:tab w:val="left" w:pos="7655"/>
        </w:tabs>
        <w:rPr>
          <w:color w:val="000000"/>
          <w:u w:val="single"/>
        </w:rPr>
      </w:pPr>
      <w:r w:rsidRPr="009B1A37">
        <w:rPr>
          <w:color w:val="000000"/>
          <w:u w:val="single"/>
        </w:rPr>
        <w:t>Ženy ve fertilním věku</w:t>
      </w:r>
    </w:p>
    <w:p w14:paraId="110A0AC6" w14:textId="62A962D3" w:rsidR="00830485" w:rsidRPr="009B1A37" w:rsidRDefault="00830485" w:rsidP="00BE3D48">
      <w:pPr>
        <w:pStyle w:val="EndnoteText"/>
        <w:widowControl w:val="0"/>
        <w:rPr>
          <w:color w:val="000000"/>
        </w:rPr>
      </w:pPr>
      <w:r w:rsidRPr="009B1A37">
        <w:rPr>
          <w:color w:val="000000"/>
        </w:rPr>
        <w:t>Ženám ve fertilním věku musí být doporučeno</w:t>
      </w:r>
      <w:r w:rsidR="00B00FB6" w:rsidRPr="009B1A37">
        <w:rPr>
          <w:color w:val="000000"/>
        </w:rPr>
        <w:t>, aby</w:t>
      </w:r>
      <w:r w:rsidRPr="009B1A37">
        <w:rPr>
          <w:color w:val="000000"/>
        </w:rPr>
        <w:t xml:space="preserve"> </w:t>
      </w:r>
      <w:r w:rsidR="00A72445" w:rsidRPr="009B1A37">
        <w:rPr>
          <w:color w:val="000000"/>
        </w:rPr>
        <w:t>po</w:t>
      </w:r>
      <w:r w:rsidRPr="009B1A37">
        <w:rPr>
          <w:color w:val="000000"/>
        </w:rPr>
        <w:t>užív</w:t>
      </w:r>
      <w:r w:rsidR="00B00FB6" w:rsidRPr="009B1A37">
        <w:rPr>
          <w:color w:val="000000"/>
        </w:rPr>
        <w:t>aly</w:t>
      </w:r>
      <w:r w:rsidRPr="009B1A37">
        <w:rPr>
          <w:color w:val="000000"/>
        </w:rPr>
        <w:t xml:space="preserve"> účinn</w:t>
      </w:r>
      <w:r w:rsidR="00B00FB6" w:rsidRPr="009B1A37">
        <w:rPr>
          <w:color w:val="000000"/>
        </w:rPr>
        <w:t>ou</w:t>
      </w:r>
      <w:r w:rsidRPr="009B1A37">
        <w:rPr>
          <w:color w:val="000000"/>
        </w:rPr>
        <w:t xml:space="preserve"> antikoncepc</w:t>
      </w:r>
      <w:r w:rsidR="00B00FB6" w:rsidRPr="009B1A37">
        <w:rPr>
          <w:color w:val="000000"/>
        </w:rPr>
        <w:t>i</w:t>
      </w:r>
      <w:r w:rsidRPr="009B1A37">
        <w:rPr>
          <w:color w:val="000000"/>
        </w:rPr>
        <w:t xml:space="preserve"> během léčby</w:t>
      </w:r>
      <w:r w:rsidR="003442C3" w:rsidRPr="009B1A37">
        <w:rPr>
          <w:color w:val="000000"/>
        </w:rPr>
        <w:t xml:space="preserve"> a po dobu nejméně 15</w:t>
      </w:r>
      <w:r w:rsidR="00577E6F" w:rsidRPr="009B1A37">
        <w:rPr>
          <w:color w:val="000000"/>
        </w:rPr>
        <w:t> </w:t>
      </w:r>
      <w:r w:rsidR="003442C3" w:rsidRPr="009B1A37">
        <w:rPr>
          <w:color w:val="000000"/>
        </w:rPr>
        <w:t>dnů po ukončení léčby přípravkem Glivec</w:t>
      </w:r>
      <w:r w:rsidRPr="009B1A37">
        <w:rPr>
          <w:color w:val="000000"/>
        </w:rPr>
        <w:t>.</w:t>
      </w:r>
    </w:p>
    <w:p w14:paraId="494C17BC" w14:textId="77777777" w:rsidR="00D97A44" w:rsidRPr="009B1A37" w:rsidRDefault="00D97A44" w:rsidP="00BE3D48">
      <w:pPr>
        <w:pStyle w:val="EndnoteText"/>
        <w:widowControl w:val="0"/>
        <w:rPr>
          <w:color w:val="000000"/>
        </w:rPr>
      </w:pPr>
    </w:p>
    <w:p w14:paraId="07375DEB" w14:textId="77777777" w:rsidR="00D97A44" w:rsidRPr="009B1A37" w:rsidRDefault="00D97A44" w:rsidP="00BE3D48">
      <w:pPr>
        <w:pStyle w:val="EndnoteText"/>
        <w:keepNext/>
        <w:widowControl w:val="0"/>
        <w:rPr>
          <w:color w:val="000000"/>
          <w:u w:val="single"/>
        </w:rPr>
      </w:pPr>
      <w:r w:rsidRPr="009B1A37">
        <w:rPr>
          <w:color w:val="000000"/>
          <w:u w:val="single"/>
        </w:rPr>
        <w:t>Těhotenství</w:t>
      </w:r>
    </w:p>
    <w:p w14:paraId="721AB2F2" w14:textId="0C873EA3" w:rsidR="009C49BB" w:rsidRPr="009B1A37" w:rsidRDefault="00952AED" w:rsidP="00BE3D48">
      <w:pPr>
        <w:pStyle w:val="EndnoteText"/>
        <w:widowControl w:val="0"/>
        <w:rPr>
          <w:color w:val="000000"/>
        </w:rPr>
      </w:pPr>
      <w:r w:rsidRPr="009B1A37">
        <w:rPr>
          <w:color w:val="000000"/>
        </w:rPr>
        <w:t>K</w:t>
      </w:r>
      <w:r w:rsidR="00D97A44" w:rsidRPr="009B1A37">
        <w:rPr>
          <w:color w:val="000000"/>
        </w:rPr>
        <w:t xml:space="preserve"> dispozici </w:t>
      </w:r>
      <w:r w:rsidRPr="009B1A37">
        <w:rPr>
          <w:color w:val="000000"/>
        </w:rPr>
        <w:t>jsou omezené</w:t>
      </w:r>
      <w:r w:rsidR="00D97A44" w:rsidRPr="009B1A37">
        <w:rPr>
          <w:color w:val="000000"/>
        </w:rPr>
        <w:t xml:space="preserve"> údaje o po</w:t>
      </w:r>
      <w:r w:rsidR="00F14846" w:rsidRPr="009B1A37">
        <w:rPr>
          <w:color w:val="000000"/>
        </w:rPr>
        <w:t>dávání imatinibu těhotným ženám</w:t>
      </w:r>
      <w:r w:rsidR="00D97A44" w:rsidRPr="009B1A37">
        <w:rPr>
          <w:color w:val="000000"/>
        </w:rPr>
        <w:t xml:space="preserve">. </w:t>
      </w:r>
      <w:r w:rsidR="00A75A3E" w:rsidRPr="009B1A37">
        <w:rPr>
          <w:color w:val="000000"/>
        </w:rPr>
        <w:t>P</w:t>
      </w:r>
      <w:r w:rsidR="00597D55" w:rsidRPr="009B1A37">
        <w:rPr>
          <w:color w:val="000000"/>
        </w:rPr>
        <w:t xml:space="preserve">o uvedení </w:t>
      </w:r>
      <w:r w:rsidR="00A75A3E" w:rsidRPr="009B1A37">
        <w:rPr>
          <w:color w:val="000000"/>
        </w:rPr>
        <w:t xml:space="preserve">přípravku </w:t>
      </w:r>
      <w:r w:rsidR="00597D55" w:rsidRPr="009B1A37">
        <w:rPr>
          <w:color w:val="000000"/>
        </w:rPr>
        <w:t xml:space="preserve">na trh </w:t>
      </w:r>
      <w:r w:rsidR="00A75A3E" w:rsidRPr="009B1A37">
        <w:rPr>
          <w:color w:val="000000"/>
        </w:rPr>
        <w:t xml:space="preserve">byly u žen užívajících Glivec </w:t>
      </w:r>
      <w:r w:rsidR="00597D55" w:rsidRPr="009B1A37">
        <w:rPr>
          <w:color w:val="000000"/>
        </w:rPr>
        <w:t>hlášeny případy</w:t>
      </w:r>
      <w:r w:rsidR="00A75A3E" w:rsidRPr="009B1A37">
        <w:rPr>
          <w:color w:val="000000"/>
        </w:rPr>
        <w:t xml:space="preserve"> spontánních potratů a </w:t>
      </w:r>
      <w:r w:rsidR="00597D55" w:rsidRPr="009B1A37">
        <w:rPr>
          <w:color w:val="000000"/>
        </w:rPr>
        <w:t>vrozených vad</w:t>
      </w:r>
      <w:r w:rsidR="000D0D6E" w:rsidRPr="009B1A37">
        <w:rPr>
          <w:color w:val="000000"/>
        </w:rPr>
        <w:t xml:space="preserve"> u narozených dětí</w:t>
      </w:r>
      <w:r w:rsidR="00597D55" w:rsidRPr="009B1A37">
        <w:rPr>
          <w:color w:val="000000"/>
        </w:rPr>
        <w:t xml:space="preserve">. </w:t>
      </w:r>
      <w:r w:rsidR="00D97A44" w:rsidRPr="009B1A37">
        <w:rPr>
          <w:color w:val="000000"/>
        </w:rPr>
        <w:t>Studie na zvířatech však prokázal</w:t>
      </w:r>
      <w:r w:rsidR="002A78E6" w:rsidRPr="009B1A37">
        <w:rPr>
          <w:color w:val="000000"/>
        </w:rPr>
        <w:t>y reprodukční toxicitu (viz bod </w:t>
      </w:r>
      <w:r w:rsidR="00D97A44" w:rsidRPr="009B1A37">
        <w:rPr>
          <w:color w:val="000000"/>
        </w:rPr>
        <w:t xml:space="preserve">5.3). Potenciální riziko pro plod není známé. Glivec </w:t>
      </w:r>
      <w:r w:rsidR="009C49BB" w:rsidRPr="009B1A37">
        <w:rPr>
          <w:color w:val="000000"/>
        </w:rPr>
        <w:t>lze v </w:t>
      </w:r>
      <w:r w:rsidR="00D97A44" w:rsidRPr="009B1A37">
        <w:rPr>
          <w:color w:val="000000"/>
        </w:rPr>
        <w:t xml:space="preserve">těhotenství </w:t>
      </w:r>
      <w:r w:rsidR="009C49BB" w:rsidRPr="009B1A37">
        <w:rPr>
          <w:color w:val="000000"/>
        </w:rPr>
        <w:t>použít</w:t>
      </w:r>
      <w:r w:rsidR="00C56CC8" w:rsidRPr="009B1A37">
        <w:rPr>
          <w:color w:val="000000"/>
        </w:rPr>
        <w:t>,</w:t>
      </w:r>
      <w:r w:rsidR="009C49BB" w:rsidRPr="009B1A37">
        <w:rPr>
          <w:color w:val="000000"/>
        </w:rPr>
        <w:t xml:space="preserve"> pouze pokud je to nezbytně nutné. </w:t>
      </w:r>
      <w:r w:rsidR="00D97A44" w:rsidRPr="009B1A37">
        <w:rPr>
          <w:color w:val="000000"/>
        </w:rPr>
        <w:t>Pokud je během těhotenství užíván, pacientka musí být informována o možném riziku pro plod.</w:t>
      </w:r>
    </w:p>
    <w:p w14:paraId="054FDF0F" w14:textId="77777777" w:rsidR="009C49BB" w:rsidRPr="009B1A37" w:rsidRDefault="009C49BB" w:rsidP="00BE3D48">
      <w:pPr>
        <w:pStyle w:val="EndnoteText"/>
        <w:widowControl w:val="0"/>
        <w:rPr>
          <w:color w:val="000000"/>
        </w:rPr>
      </w:pPr>
    </w:p>
    <w:p w14:paraId="642D00B6" w14:textId="77777777" w:rsidR="00D97A44" w:rsidRPr="009B1A37" w:rsidRDefault="00D97A44" w:rsidP="00BE3D48">
      <w:pPr>
        <w:pStyle w:val="EndnoteText"/>
        <w:keepNext/>
        <w:widowControl w:val="0"/>
        <w:rPr>
          <w:color w:val="000000"/>
          <w:u w:val="single"/>
        </w:rPr>
      </w:pPr>
      <w:r w:rsidRPr="009B1A37">
        <w:rPr>
          <w:color w:val="000000"/>
          <w:u w:val="single"/>
        </w:rPr>
        <w:t>Kojení</w:t>
      </w:r>
    </w:p>
    <w:p w14:paraId="2D814426" w14:textId="17412AD9" w:rsidR="00D97A44" w:rsidRPr="009B1A37" w:rsidRDefault="00D97A44" w:rsidP="00BE3D48">
      <w:pPr>
        <w:pStyle w:val="EndnoteText"/>
        <w:widowControl w:val="0"/>
        <w:rPr>
          <w:color w:val="000000"/>
        </w:rPr>
      </w:pPr>
      <w:r w:rsidRPr="009B1A37">
        <w:rPr>
          <w:color w:val="000000"/>
        </w:rPr>
        <w:t xml:space="preserve">O vylučování imatinibu do mateřského mléka jsou jen omezené informace. Studie </w:t>
      </w:r>
      <w:r w:rsidR="00C83E66" w:rsidRPr="009B1A37">
        <w:rPr>
          <w:color w:val="000000"/>
        </w:rPr>
        <w:t>u</w:t>
      </w:r>
      <w:r w:rsidRPr="009B1A37">
        <w:rPr>
          <w:color w:val="000000"/>
        </w:rPr>
        <w:t xml:space="preserve"> dvou kojících žen ukázaly, že jak imatinib, tak jeho aktivní metabolit může být vylučován do mateřského mléka. Koeficient mléko/plazma imatinibu a jeho metabolitu </w:t>
      </w:r>
      <w:r w:rsidR="00F230A2" w:rsidRPr="009B1A37">
        <w:rPr>
          <w:color w:val="000000"/>
        </w:rPr>
        <w:t>hodnocený</w:t>
      </w:r>
      <w:r w:rsidRPr="009B1A37">
        <w:rPr>
          <w:color w:val="000000"/>
        </w:rPr>
        <w:t xml:space="preserve"> u jedné pacientky byl stanoven 0,5 pro imatinib a 0,9 pro jeho metab</w:t>
      </w:r>
      <w:r w:rsidR="00F230A2" w:rsidRPr="009B1A37">
        <w:rPr>
          <w:color w:val="000000"/>
        </w:rPr>
        <w:t>o</w:t>
      </w:r>
      <w:r w:rsidRPr="009B1A37">
        <w:rPr>
          <w:color w:val="000000"/>
        </w:rPr>
        <w:t>lit, což nasvědčuje zvýšenému vylučování metabolitu do mléka. Zvážíme-li kombinovanou koncentraci imatinibu a jeho metabolitu a maximální denní příjem mléka kojenci, byla by očekávaná celková expozice nízká (přibližně 10</w:t>
      </w:r>
      <w:r w:rsidR="00BB39E8" w:rsidRPr="009B1A37">
        <w:rPr>
          <w:color w:val="000000"/>
        </w:rPr>
        <w:t> </w:t>
      </w:r>
      <w:r w:rsidRPr="009B1A37">
        <w:rPr>
          <w:color w:val="000000"/>
        </w:rPr>
        <w:t>% terapeutické dávky). Nicméně jelikož účinky expozice nízké dávce imatinibu u kojenců nejsou známé, nem</w:t>
      </w:r>
      <w:r w:rsidR="00F230A2" w:rsidRPr="009B1A37">
        <w:rPr>
          <w:color w:val="000000"/>
        </w:rPr>
        <w:t>ají</w:t>
      </w:r>
      <w:r w:rsidRPr="009B1A37">
        <w:rPr>
          <w:color w:val="000000"/>
        </w:rPr>
        <w:t xml:space="preserve"> ženy kojit</w:t>
      </w:r>
      <w:r w:rsidR="003442C3" w:rsidRPr="009B1A37">
        <w:rPr>
          <w:color w:val="000000"/>
        </w:rPr>
        <w:t xml:space="preserve"> během léčby a po dobu nejméně 15</w:t>
      </w:r>
      <w:r w:rsidR="00577E6F" w:rsidRPr="009B1A37">
        <w:rPr>
          <w:color w:val="000000"/>
        </w:rPr>
        <w:t> </w:t>
      </w:r>
      <w:r w:rsidR="003442C3" w:rsidRPr="009B1A37">
        <w:rPr>
          <w:color w:val="000000"/>
        </w:rPr>
        <w:t>dnů po ukončení léčby přípravkem Glivec</w:t>
      </w:r>
      <w:r w:rsidRPr="009B1A37">
        <w:rPr>
          <w:color w:val="000000"/>
        </w:rPr>
        <w:t>.</w:t>
      </w:r>
    </w:p>
    <w:p w14:paraId="53202D36" w14:textId="77777777" w:rsidR="009C49BB" w:rsidRPr="009B1A37" w:rsidRDefault="009C49BB" w:rsidP="00BE3D48">
      <w:pPr>
        <w:pStyle w:val="EndnoteText"/>
        <w:widowControl w:val="0"/>
        <w:rPr>
          <w:u w:val="single"/>
        </w:rPr>
      </w:pPr>
    </w:p>
    <w:p w14:paraId="14734E6E" w14:textId="77777777" w:rsidR="009C49BB" w:rsidRPr="009B1A37" w:rsidRDefault="009C49BB" w:rsidP="00BE3D48">
      <w:pPr>
        <w:pStyle w:val="EndnoteText"/>
        <w:keepNext/>
        <w:widowControl w:val="0"/>
        <w:rPr>
          <w:u w:val="single"/>
        </w:rPr>
      </w:pPr>
      <w:r w:rsidRPr="009B1A37">
        <w:rPr>
          <w:u w:val="single"/>
        </w:rPr>
        <w:t>Fertilita</w:t>
      </w:r>
    </w:p>
    <w:p w14:paraId="26949553" w14:textId="77777777" w:rsidR="009C49BB" w:rsidRPr="009B1A37" w:rsidRDefault="00424714" w:rsidP="00BE3D48">
      <w:pPr>
        <w:pStyle w:val="EndnoteText"/>
        <w:widowControl w:val="0"/>
        <w:rPr>
          <w:color w:val="000000"/>
        </w:rPr>
      </w:pPr>
      <w:r w:rsidRPr="009B1A37">
        <w:t>Fertilita u samců a samic potkanů nebyla v neklinických studiích ovlivněna</w:t>
      </w:r>
      <w:r w:rsidR="006974F8" w:rsidRPr="009B1A37">
        <w:t>, byly však pozorovány účinky na reprodukční parametry</w:t>
      </w:r>
      <w:r w:rsidRPr="009B1A37">
        <w:t xml:space="preserve"> (viz bod 5.3). </w:t>
      </w:r>
      <w:r w:rsidR="009C49BB" w:rsidRPr="009B1A37">
        <w:t>Studie u</w:t>
      </w:r>
      <w:r w:rsidR="009C49BB" w:rsidRPr="009B1A37">
        <w:rPr>
          <w:color w:val="000000"/>
        </w:rPr>
        <w:t> </w:t>
      </w:r>
      <w:r w:rsidR="009C49BB" w:rsidRPr="009B1A37">
        <w:t xml:space="preserve">pacientů užívajících </w:t>
      </w:r>
      <w:r w:rsidR="009C49BB" w:rsidRPr="009B1A37">
        <w:rPr>
          <w:color w:val="000000"/>
          <w:szCs w:val="24"/>
        </w:rPr>
        <w:t>Glivec</w:t>
      </w:r>
      <w:r w:rsidR="009C49BB" w:rsidRPr="009B1A37">
        <w:t xml:space="preserve"> zabývající se jeho účinky na </w:t>
      </w:r>
      <w:r w:rsidRPr="009B1A37">
        <w:t>f</w:t>
      </w:r>
      <w:r w:rsidR="009C49BB" w:rsidRPr="009B1A37">
        <w:t>ertilitu a spermatogenezi nebyly provedeny. Pacienti, kteří se obávají o</w:t>
      </w:r>
      <w:r w:rsidR="009C49BB" w:rsidRPr="009B1A37">
        <w:rPr>
          <w:color w:val="000000"/>
        </w:rPr>
        <w:t> </w:t>
      </w:r>
      <w:r w:rsidR="009C49BB" w:rsidRPr="009B1A37">
        <w:t>svou fertilitu během léčby Glivecem, by se měli poradit se svým lékařem.</w:t>
      </w:r>
    </w:p>
    <w:p w14:paraId="2D314FF2" w14:textId="77777777" w:rsidR="00D97A44" w:rsidRPr="009B1A37" w:rsidRDefault="00D97A44" w:rsidP="00BE3D48">
      <w:pPr>
        <w:pStyle w:val="EndnoteText"/>
        <w:widowControl w:val="0"/>
        <w:rPr>
          <w:color w:val="000000"/>
        </w:rPr>
      </w:pPr>
    </w:p>
    <w:p w14:paraId="57D4B2A1"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4.7</w:t>
      </w:r>
      <w:r w:rsidRPr="009B1A37">
        <w:rPr>
          <w:b/>
          <w:bCs/>
          <w:color w:val="000000"/>
        </w:rPr>
        <w:tab/>
        <w:t>Účinky na schopnost řídit a obsluhovat stroje</w:t>
      </w:r>
    </w:p>
    <w:p w14:paraId="15D5C1C7" w14:textId="77777777" w:rsidR="00D97A44" w:rsidRPr="009B1A37" w:rsidRDefault="00D97A44" w:rsidP="00BE3D48">
      <w:pPr>
        <w:pStyle w:val="EndnoteText"/>
        <w:keepNext/>
        <w:widowControl w:val="0"/>
        <w:tabs>
          <w:tab w:val="clear" w:pos="567"/>
        </w:tabs>
        <w:rPr>
          <w:color w:val="000000"/>
        </w:rPr>
      </w:pPr>
    </w:p>
    <w:p w14:paraId="4477A95D" w14:textId="77777777" w:rsidR="00D97A44" w:rsidRPr="009B1A37" w:rsidRDefault="00CD4225" w:rsidP="00BE3D48">
      <w:pPr>
        <w:pStyle w:val="EndnoteText"/>
        <w:widowControl w:val="0"/>
        <w:tabs>
          <w:tab w:val="clear" w:pos="567"/>
        </w:tabs>
        <w:rPr>
          <w:color w:val="000000"/>
        </w:rPr>
      </w:pPr>
      <w:r w:rsidRPr="009B1A37">
        <w:rPr>
          <w:snapToGrid w:val="0"/>
          <w:color w:val="000000"/>
        </w:rPr>
        <w:t>P</w:t>
      </w:r>
      <w:r w:rsidR="00D97A44" w:rsidRPr="009B1A37">
        <w:rPr>
          <w:color w:val="000000"/>
        </w:rPr>
        <w:t xml:space="preserve">acienti </w:t>
      </w:r>
      <w:r w:rsidR="00F230A2" w:rsidRPr="009B1A37">
        <w:rPr>
          <w:color w:val="000000"/>
        </w:rPr>
        <w:t>mají</w:t>
      </w:r>
      <w:r w:rsidR="00D97A44" w:rsidRPr="009B1A37">
        <w:rPr>
          <w:color w:val="000000"/>
        </w:rPr>
        <w:t xml:space="preserve"> být upozorněni, že se u nich mohou během léčby imatinibem vyskytnout nežádoucí </w:t>
      </w:r>
      <w:r w:rsidR="00D97A44" w:rsidRPr="009B1A37">
        <w:rPr>
          <w:color w:val="000000"/>
        </w:rPr>
        <w:lastRenderedPageBreak/>
        <w:t>účinky, jako jsou závratě</w:t>
      </w:r>
      <w:r w:rsidR="009C49BB" w:rsidRPr="009B1A37">
        <w:rPr>
          <w:color w:val="000000"/>
        </w:rPr>
        <w:t>,</w:t>
      </w:r>
      <w:r w:rsidR="00D97A44" w:rsidRPr="009B1A37">
        <w:rPr>
          <w:color w:val="000000"/>
        </w:rPr>
        <w:t xml:space="preserve"> </w:t>
      </w:r>
      <w:r w:rsidR="00F230A2" w:rsidRPr="009B1A37">
        <w:rPr>
          <w:color w:val="000000"/>
        </w:rPr>
        <w:t>rozmazané</w:t>
      </w:r>
      <w:r w:rsidR="00D97A44" w:rsidRPr="009B1A37">
        <w:rPr>
          <w:color w:val="000000"/>
        </w:rPr>
        <w:t xml:space="preserve"> vidění</w:t>
      </w:r>
      <w:r w:rsidR="009C49BB" w:rsidRPr="009B1A37">
        <w:rPr>
          <w:color w:val="000000"/>
        </w:rPr>
        <w:t xml:space="preserve"> nebo </w:t>
      </w:r>
      <w:r w:rsidR="00F230A2" w:rsidRPr="009B1A37">
        <w:rPr>
          <w:color w:val="000000"/>
        </w:rPr>
        <w:t>somnolence</w:t>
      </w:r>
      <w:r w:rsidR="00D97A44" w:rsidRPr="009B1A37">
        <w:rPr>
          <w:color w:val="000000"/>
        </w:rPr>
        <w:t>. Proto se při řízení nebo obsluze strojů doporučuje zvýšená opatrnost.</w:t>
      </w:r>
    </w:p>
    <w:p w14:paraId="3DA925DC" w14:textId="77777777" w:rsidR="00D97A44" w:rsidRPr="009B1A37" w:rsidRDefault="00D97A44" w:rsidP="00BE3D48">
      <w:pPr>
        <w:pStyle w:val="EndnoteText"/>
        <w:widowControl w:val="0"/>
        <w:tabs>
          <w:tab w:val="clear" w:pos="567"/>
        </w:tabs>
        <w:rPr>
          <w:color w:val="000000"/>
        </w:rPr>
      </w:pPr>
    </w:p>
    <w:p w14:paraId="1D1E30EE"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4.8</w:t>
      </w:r>
      <w:r w:rsidRPr="009B1A37">
        <w:rPr>
          <w:b/>
          <w:bCs/>
          <w:color w:val="000000"/>
        </w:rPr>
        <w:tab/>
        <w:t>Nežádoucí účinky</w:t>
      </w:r>
    </w:p>
    <w:p w14:paraId="2A47E34B" w14:textId="77777777" w:rsidR="00D97A44" w:rsidRPr="009B1A37" w:rsidRDefault="00D97A44" w:rsidP="00BE3D48">
      <w:pPr>
        <w:keepNext/>
        <w:widowControl w:val="0"/>
        <w:tabs>
          <w:tab w:val="clear" w:pos="567"/>
        </w:tabs>
        <w:spacing w:line="240" w:lineRule="auto"/>
        <w:rPr>
          <w:color w:val="000000"/>
        </w:rPr>
      </w:pPr>
    </w:p>
    <w:p w14:paraId="22E77D01"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 xml:space="preserve">U pacientů s pokročilým stadiem malignit se může vyskytovat řada </w:t>
      </w:r>
      <w:r w:rsidR="00F230A2" w:rsidRPr="009B1A37">
        <w:rPr>
          <w:color w:val="000000"/>
          <w:sz w:val="22"/>
          <w:szCs w:val="22"/>
          <w:lang w:val="cs-CZ"/>
        </w:rPr>
        <w:t>matoucích</w:t>
      </w:r>
      <w:r w:rsidRPr="009B1A37">
        <w:rPr>
          <w:color w:val="000000"/>
          <w:sz w:val="22"/>
          <w:szCs w:val="22"/>
          <w:lang w:val="cs-CZ"/>
        </w:rPr>
        <w:t xml:space="preserve"> zdravotních potíží vyvolaných </w:t>
      </w:r>
      <w:r w:rsidR="00F230A2" w:rsidRPr="009B1A37">
        <w:rPr>
          <w:color w:val="000000"/>
          <w:sz w:val="22"/>
          <w:szCs w:val="22"/>
          <w:lang w:val="cs-CZ"/>
        </w:rPr>
        <w:t xml:space="preserve">různorodými příznaky souvisejícími se </w:t>
      </w:r>
      <w:r w:rsidRPr="009B1A37">
        <w:rPr>
          <w:color w:val="000000"/>
          <w:sz w:val="22"/>
          <w:szCs w:val="22"/>
          <w:lang w:val="cs-CZ"/>
        </w:rPr>
        <w:t xml:space="preserve">základním onemocněním, jeho progresí nebo množstvím souběžně užívaných léčivých přípravků, což ztěžuje stanovení příčinné souvislosti výskytu nežádoucích </w:t>
      </w:r>
      <w:r w:rsidR="00F230A2" w:rsidRPr="009B1A37">
        <w:rPr>
          <w:color w:val="000000"/>
          <w:sz w:val="22"/>
          <w:szCs w:val="22"/>
          <w:lang w:val="cs-CZ"/>
        </w:rPr>
        <w:t>účinků</w:t>
      </w:r>
      <w:r w:rsidRPr="009B1A37">
        <w:rPr>
          <w:color w:val="000000"/>
          <w:sz w:val="22"/>
          <w:szCs w:val="22"/>
          <w:lang w:val="cs-CZ"/>
        </w:rPr>
        <w:t>.</w:t>
      </w:r>
    </w:p>
    <w:p w14:paraId="25B35127" w14:textId="77777777" w:rsidR="00D97A44" w:rsidRPr="009B1A37" w:rsidRDefault="00D97A44" w:rsidP="00BE3D48">
      <w:pPr>
        <w:pStyle w:val="Text"/>
        <w:widowControl w:val="0"/>
        <w:spacing w:before="0"/>
        <w:jc w:val="left"/>
        <w:rPr>
          <w:color w:val="000000"/>
          <w:sz w:val="22"/>
          <w:szCs w:val="22"/>
          <w:lang w:val="cs-CZ"/>
        </w:rPr>
      </w:pPr>
    </w:p>
    <w:p w14:paraId="6B3D0B13"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 xml:space="preserve">Během klinického hodnocení léku u CML musela být z důvodu nežádoucích </w:t>
      </w:r>
      <w:r w:rsidR="00F230A2" w:rsidRPr="009B1A37">
        <w:rPr>
          <w:color w:val="000000"/>
          <w:sz w:val="22"/>
          <w:szCs w:val="22"/>
          <w:lang w:val="cs-CZ"/>
        </w:rPr>
        <w:t>účinků</w:t>
      </w:r>
      <w:r w:rsidRPr="009B1A37">
        <w:rPr>
          <w:color w:val="000000"/>
          <w:sz w:val="22"/>
          <w:szCs w:val="22"/>
          <w:lang w:val="cs-CZ"/>
        </w:rPr>
        <w:t>, které byly v příčinné souvislosti s podáváním léku, léčba přerušena pouze u 2,4</w:t>
      </w:r>
      <w:r w:rsidR="00C9431F" w:rsidRPr="009B1A37">
        <w:rPr>
          <w:color w:val="000000"/>
          <w:sz w:val="22"/>
          <w:szCs w:val="22"/>
          <w:lang w:val="cs-CZ"/>
        </w:rPr>
        <w:t> </w:t>
      </w:r>
      <w:r w:rsidRPr="009B1A37">
        <w:rPr>
          <w:color w:val="000000"/>
          <w:sz w:val="22"/>
          <w:szCs w:val="22"/>
          <w:lang w:val="cs-CZ"/>
        </w:rPr>
        <w:t>% nově diagnostikovaných pacientů, u</w:t>
      </w:r>
      <w:r w:rsidR="00665C07" w:rsidRPr="009B1A37">
        <w:rPr>
          <w:color w:val="000000"/>
          <w:lang w:val="cs-CZ"/>
        </w:rPr>
        <w:t> </w:t>
      </w:r>
      <w:r w:rsidRPr="009B1A37">
        <w:rPr>
          <w:color w:val="000000"/>
          <w:sz w:val="22"/>
          <w:szCs w:val="22"/>
          <w:lang w:val="cs-CZ"/>
        </w:rPr>
        <w:t>4</w:t>
      </w:r>
      <w:r w:rsidR="00C9431F" w:rsidRPr="009B1A37">
        <w:rPr>
          <w:color w:val="000000"/>
          <w:sz w:val="22"/>
          <w:szCs w:val="22"/>
          <w:lang w:val="cs-CZ"/>
        </w:rPr>
        <w:t> </w:t>
      </w:r>
      <w:r w:rsidRPr="009B1A37">
        <w:rPr>
          <w:color w:val="000000"/>
          <w:sz w:val="22"/>
          <w:szCs w:val="22"/>
          <w:lang w:val="cs-CZ"/>
        </w:rPr>
        <w:t>% pacientů v pozdní chronické fázi po selhání léčby interferonem, u 4</w:t>
      </w:r>
      <w:r w:rsidR="00C9431F" w:rsidRPr="009B1A37">
        <w:rPr>
          <w:color w:val="000000"/>
          <w:sz w:val="22"/>
          <w:szCs w:val="22"/>
          <w:lang w:val="cs-CZ"/>
        </w:rPr>
        <w:t> </w:t>
      </w:r>
      <w:r w:rsidRPr="009B1A37">
        <w:rPr>
          <w:color w:val="000000"/>
          <w:sz w:val="22"/>
          <w:szCs w:val="22"/>
          <w:lang w:val="cs-CZ"/>
        </w:rPr>
        <w:t>% pacientů v akcelerované fázi po selhání léčby interferonem a u 5</w:t>
      </w:r>
      <w:r w:rsidR="00C9431F" w:rsidRPr="009B1A37">
        <w:rPr>
          <w:color w:val="000000"/>
          <w:sz w:val="22"/>
          <w:szCs w:val="22"/>
          <w:lang w:val="cs-CZ"/>
        </w:rPr>
        <w:t> </w:t>
      </w:r>
      <w:r w:rsidRPr="009B1A37">
        <w:rPr>
          <w:color w:val="000000"/>
          <w:sz w:val="22"/>
          <w:szCs w:val="22"/>
          <w:lang w:val="cs-CZ"/>
        </w:rPr>
        <w:t>% pacientů v blastické krizi po selhání léčby interferonem. U pacientů s GIST bylo podávání hodnoceného léku přerušeno pro nežádoucí reakce související s lékem u 4</w:t>
      </w:r>
      <w:r w:rsidR="00C9431F" w:rsidRPr="009B1A37">
        <w:rPr>
          <w:color w:val="000000"/>
          <w:sz w:val="22"/>
          <w:szCs w:val="22"/>
          <w:lang w:val="cs-CZ"/>
        </w:rPr>
        <w:t> </w:t>
      </w:r>
      <w:r w:rsidRPr="009B1A37">
        <w:rPr>
          <w:color w:val="000000"/>
          <w:sz w:val="22"/>
          <w:szCs w:val="22"/>
          <w:lang w:val="cs-CZ"/>
        </w:rPr>
        <w:t>% pacientů.</w:t>
      </w:r>
    </w:p>
    <w:p w14:paraId="1FDEC3CD" w14:textId="77777777" w:rsidR="00D97A44" w:rsidRPr="009B1A37" w:rsidRDefault="00D97A44" w:rsidP="00BE3D48">
      <w:pPr>
        <w:pStyle w:val="Text"/>
        <w:widowControl w:val="0"/>
        <w:spacing w:before="0"/>
        <w:jc w:val="left"/>
        <w:rPr>
          <w:color w:val="000000"/>
          <w:sz w:val="22"/>
          <w:szCs w:val="22"/>
          <w:lang w:val="cs-CZ"/>
        </w:rPr>
      </w:pPr>
    </w:p>
    <w:p w14:paraId="400A5887"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Nežádoucí účinky byly ve všech indikacích podobné, s výjimkou dvou reakcí. U pacientů s CML byla častěji pozorována myelosuprese než u pacientů s GIST, pravděpodobně způsobené základním onemocněním. Ve studii u pacientů s inoperabilním a/nebo metastatickým GIST se u 7 (5</w:t>
      </w:r>
      <w:r w:rsidR="00092B16" w:rsidRPr="009B1A37">
        <w:rPr>
          <w:color w:val="000000"/>
          <w:sz w:val="22"/>
          <w:szCs w:val="22"/>
          <w:lang w:val="cs-CZ"/>
        </w:rPr>
        <w:t> </w:t>
      </w:r>
      <w:r w:rsidRPr="009B1A37">
        <w:rPr>
          <w:color w:val="000000"/>
          <w:sz w:val="22"/>
          <w:szCs w:val="22"/>
          <w:lang w:val="cs-CZ"/>
        </w:rPr>
        <w:t xml:space="preserve">%) pacientů vyskytl </w:t>
      </w:r>
      <w:smartTag w:uri="urn:schemas-microsoft-com:office:smarttags" w:element="stockticker">
        <w:r w:rsidRPr="009B1A37">
          <w:rPr>
            <w:color w:val="000000"/>
            <w:sz w:val="22"/>
            <w:szCs w:val="22"/>
            <w:lang w:val="cs-CZ"/>
          </w:rPr>
          <w:t>CTC</w:t>
        </w:r>
      </w:smartTag>
      <w:r w:rsidRPr="009B1A37">
        <w:rPr>
          <w:color w:val="000000"/>
          <w:sz w:val="22"/>
          <w:szCs w:val="22"/>
          <w:lang w:val="cs-CZ"/>
        </w:rPr>
        <w:t xml:space="preserve"> stupeň 3/4 </w:t>
      </w:r>
      <w:r w:rsidR="00D55077" w:rsidRPr="009B1A37">
        <w:rPr>
          <w:color w:val="000000"/>
          <w:sz w:val="22"/>
          <w:szCs w:val="22"/>
          <w:lang w:val="cs-CZ"/>
        </w:rPr>
        <w:t>gastrointestinální</w:t>
      </w:r>
      <w:r w:rsidRPr="009B1A37">
        <w:rPr>
          <w:color w:val="000000"/>
          <w:sz w:val="22"/>
          <w:szCs w:val="22"/>
          <w:lang w:val="cs-CZ"/>
        </w:rPr>
        <w:t xml:space="preserve"> krvácení (3 pacienti), krvácení do nádoru (3 pacienti) nebo obojí (1 pacient). Lokalizace GI nádorů může být zdrojem krvácení do </w:t>
      </w:r>
      <w:r w:rsidR="00D55077" w:rsidRPr="009B1A37">
        <w:rPr>
          <w:color w:val="000000"/>
          <w:sz w:val="22"/>
          <w:szCs w:val="22"/>
          <w:lang w:val="cs-CZ"/>
        </w:rPr>
        <w:t>gastrointestinálního</w:t>
      </w:r>
      <w:r w:rsidRPr="009B1A37">
        <w:rPr>
          <w:color w:val="000000"/>
          <w:sz w:val="22"/>
          <w:szCs w:val="22"/>
          <w:lang w:val="cs-CZ"/>
        </w:rPr>
        <w:t xml:space="preserve"> traktu (viz bod 4.4). Krvácení do </w:t>
      </w:r>
      <w:r w:rsidR="00D55077" w:rsidRPr="009B1A37">
        <w:rPr>
          <w:color w:val="000000"/>
          <w:sz w:val="22"/>
          <w:szCs w:val="22"/>
          <w:lang w:val="cs-CZ"/>
        </w:rPr>
        <w:t>gastrointestinálního</w:t>
      </w:r>
      <w:r w:rsidRPr="009B1A37">
        <w:rPr>
          <w:color w:val="000000"/>
          <w:sz w:val="22"/>
          <w:szCs w:val="22"/>
          <w:lang w:val="cs-CZ"/>
        </w:rPr>
        <w:t xml:space="preserve"> traktu nebo z nádoru může být někdy velmi vážné, v některých případech až fatální. Nejčastěji hlášené (</w:t>
      </w:r>
      <w:r w:rsidRPr="009B1A37">
        <w:rPr>
          <w:rFonts w:ascii="Symbol" w:hAnsi="Symbol"/>
          <w:color w:val="000000"/>
          <w:sz w:val="22"/>
          <w:szCs w:val="22"/>
          <w:lang w:val="cs-CZ"/>
        </w:rPr>
        <w:t></w:t>
      </w:r>
      <w:r w:rsidRPr="009B1A37">
        <w:rPr>
          <w:color w:val="000000"/>
          <w:sz w:val="22"/>
          <w:szCs w:val="22"/>
          <w:lang w:val="cs-CZ"/>
        </w:rPr>
        <w:t> 10</w:t>
      </w:r>
      <w:r w:rsidR="00D55077" w:rsidRPr="009B1A37">
        <w:rPr>
          <w:color w:val="000000"/>
          <w:sz w:val="22"/>
          <w:szCs w:val="22"/>
          <w:lang w:val="cs-CZ"/>
        </w:rPr>
        <w:t xml:space="preserve"> </w:t>
      </w:r>
      <w:r w:rsidRPr="009B1A37">
        <w:rPr>
          <w:color w:val="000000"/>
          <w:sz w:val="22"/>
          <w:szCs w:val="22"/>
          <w:lang w:val="cs-CZ"/>
        </w:rPr>
        <w:t xml:space="preserve">%) nežádoucí </w:t>
      </w:r>
      <w:r w:rsidR="00D55077" w:rsidRPr="009B1A37">
        <w:rPr>
          <w:color w:val="000000"/>
          <w:sz w:val="22"/>
          <w:szCs w:val="22"/>
          <w:lang w:val="cs-CZ"/>
        </w:rPr>
        <w:t>účinky</w:t>
      </w:r>
      <w:r w:rsidRPr="009B1A37">
        <w:rPr>
          <w:color w:val="000000"/>
          <w:sz w:val="22"/>
          <w:szCs w:val="22"/>
          <w:lang w:val="cs-CZ"/>
        </w:rPr>
        <w:t xml:space="preserve"> vyvolané lékem v obou souborech byly </w:t>
      </w:r>
      <w:r w:rsidR="00D55077" w:rsidRPr="009B1A37">
        <w:rPr>
          <w:color w:val="000000"/>
          <w:sz w:val="22"/>
          <w:szCs w:val="22"/>
          <w:lang w:val="cs-CZ"/>
        </w:rPr>
        <w:t>lehká</w:t>
      </w:r>
      <w:r w:rsidRPr="009B1A37">
        <w:rPr>
          <w:color w:val="000000"/>
          <w:sz w:val="22"/>
          <w:szCs w:val="22"/>
          <w:lang w:val="cs-CZ"/>
        </w:rPr>
        <w:t xml:space="preserve"> nauzea, zvracení, průjem, bolest břicha, únava, svalov</w:t>
      </w:r>
      <w:r w:rsidR="00D55077" w:rsidRPr="009B1A37">
        <w:rPr>
          <w:color w:val="000000"/>
          <w:sz w:val="22"/>
          <w:szCs w:val="22"/>
          <w:lang w:val="cs-CZ"/>
        </w:rPr>
        <w:t>á</w:t>
      </w:r>
      <w:r w:rsidRPr="009B1A37">
        <w:rPr>
          <w:color w:val="000000"/>
          <w:sz w:val="22"/>
          <w:szCs w:val="22"/>
          <w:lang w:val="cs-CZ"/>
        </w:rPr>
        <w:t xml:space="preserve"> bolest, svalové křeče a vyrážka. Povrchové otoky byly společným nálezem ve všech studiích a byly popisovány hlavně jako otoky kolem očí nebo otoky dolních končetin. Tyto otoky však byly jen vzácně závažné a bylo možné je zvládnout diuretiky, jinou podpůrnou léčbou nebo snížením dávky Glivecu.</w:t>
      </w:r>
    </w:p>
    <w:p w14:paraId="67F310B4" w14:textId="77777777" w:rsidR="00D97A44" w:rsidRPr="009B1A37" w:rsidRDefault="00D97A44" w:rsidP="00BE3D48">
      <w:pPr>
        <w:pStyle w:val="Text"/>
        <w:widowControl w:val="0"/>
        <w:spacing w:before="0"/>
        <w:jc w:val="left"/>
        <w:rPr>
          <w:color w:val="000000"/>
          <w:sz w:val="22"/>
          <w:szCs w:val="22"/>
          <w:lang w:val="cs-CZ"/>
        </w:rPr>
      </w:pPr>
    </w:p>
    <w:p w14:paraId="72D4A52D"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 xml:space="preserve">Pokud se imatinib kombinoval s vysokou dávkou chemoterapie u pacientů s Ph+ </w:t>
      </w:r>
      <w:smartTag w:uri="urn:schemas-microsoft-com:office:smarttags" w:element="stockticker">
        <w:r w:rsidRPr="009B1A37">
          <w:rPr>
            <w:color w:val="000000"/>
            <w:sz w:val="22"/>
            <w:szCs w:val="22"/>
            <w:lang w:val="cs-CZ"/>
          </w:rPr>
          <w:t>ALL</w:t>
        </w:r>
      </w:smartTag>
      <w:r w:rsidRPr="009B1A37">
        <w:rPr>
          <w:color w:val="000000"/>
          <w:sz w:val="22"/>
          <w:szCs w:val="22"/>
          <w:lang w:val="cs-CZ"/>
        </w:rPr>
        <w:t>, byla pozorována přechodná jaterní toxicita ve formě zvýšení transamináz a hyperbilirubinemie.</w:t>
      </w:r>
      <w:r w:rsidR="00067F74" w:rsidRPr="009B1A37">
        <w:rPr>
          <w:color w:val="000000"/>
          <w:sz w:val="22"/>
          <w:szCs w:val="22"/>
          <w:lang w:val="cs-CZ"/>
        </w:rPr>
        <w:t xml:space="preserve"> </w:t>
      </w:r>
      <w:r w:rsidR="00B202B6" w:rsidRPr="009B1A37">
        <w:rPr>
          <w:color w:val="000000"/>
          <w:sz w:val="22"/>
          <w:szCs w:val="22"/>
          <w:lang w:val="cs-CZ"/>
        </w:rPr>
        <w:t>Při použití omezených údajů z bezpečnostních databází</w:t>
      </w:r>
      <w:r w:rsidR="00067F74" w:rsidRPr="009B1A37">
        <w:rPr>
          <w:color w:val="000000"/>
          <w:sz w:val="22"/>
          <w:szCs w:val="22"/>
          <w:lang w:val="cs-CZ"/>
        </w:rPr>
        <w:t xml:space="preserve"> </w:t>
      </w:r>
      <w:r w:rsidR="00B202B6" w:rsidRPr="009B1A37">
        <w:rPr>
          <w:color w:val="000000"/>
          <w:sz w:val="22"/>
          <w:szCs w:val="22"/>
          <w:lang w:val="cs-CZ"/>
        </w:rPr>
        <w:t>se dosud hlášené nežádoucí účinky u dětí shodují</w:t>
      </w:r>
      <w:r w:rsidR="00067F74" w:rsidRPr="009B1A37">
        <w:rPr>
          <w:color w:val="000000"/>
          <w:sz w:val="22"/>
          <w:szCs w:val="22"/>
          <w:lang w:val="cs-CZ"/>
        </w:rPr>
        <w:t xml:space="preserve"> se známým bezpečnostním profilem </w:t>
      </w:r>
      <w:r w:rsidR="00F17A67" w:rsidRPr="009B1A37">
        <w:rPr>
          <w:color w:val="000000"/>
          <w:sz w:val="22"/>
          <w:szCs w:val="22"/>
          <w:lang w:val="cs-CZ"/>
        </w:rPr>
        <w:t>u </w:t>
      </w:r>
      <w:r w:rsidR="00067F74" w:rsidRPr="009B1A37">
        <w:rPr>
          <w:color w:val="000000"/>
          <w:sz w:val="22"/>
          <w:szCs w:val="22"/>
          <w:lang w:val="cs-CZ"/>
        </w:rPr>
        <w:t>dospělých pacientů s</w:t>
      </w:r>
      <w:r w:rsidR="00B202B6" w:rsidRPr="009B1A37">
        <w:rPr>
          <w:color w:val="000000"/>
          <w:sz w:val="22"/>
          <w:szCs w:val="22"/>
          <w:lang w:val="cs-CZ"/>
        </w:rPr>
        <w:t> </w:t>
      </w:r>
      <w:r w:rsidR="00067F74" w:rsidRPr="009B1A37">
        <w:rPr>
          <w:color w:val="000000"/>
          <w:sz w:val="22"/>
          <w:szCs w:val="22"/>
          <w:lang w:val="cs-CZ"/>
        </w:rPr>
        <w:t xml:space="preserve">Ph+ ALL. </w:t>
      </w:r>
      <w:r w:rsidR="00F85A21" w:rsidRPr="009B1A37">
        <w:rPr>
          <w:color w:val="000000"/>
          <w:sz w:val="22"/>
          <w:szCs w:val="22"/>
          <w:lang w:val="cs-CZ"/>
        </w:rPr>
        <w:t xml:space="preserve">Databáze týkající se bezpečnosti u dětí s Ph+ ALL je velmi omezená, </w:t>
      </w:r>
      <w:r w:rsidR="00D55077" w:rsidRPr="009B1A37">
        <w:rPr>
          <w:color w:val="000000"/>
          <w:sz w:val="22"/>
          <w:szCs w:val="22"/>
          <w:lang w:val="cs-CZ"/>
        </w:rPr>
        <w:t>i když</w:t>
      </w:r>
      <w:r w:rsidR="00F85A21" w:rsidRPr="009B1A37">
        <w:rPr>
          <w:color w:val="000000"/>
          <w:sz w:val="22"/>
          <w:szCs w:val="22"/>
          <w:lang w:val="cs-CZ"/>
        </w:rPr>
        <w:t xml:space="preserve"> nebyly zjistěné nové </w:t>
      </w:r>
      <w:r w:rsidR="00D55077" w:rsidRPr="009B1A37">
        <w:rPr>
          <w:color w:val="000000"/>
          <w:sz w:val="22"/>
          <w:szCs w:val="22"/>
          <w:lang w:val="cs-CZ"/>
        </w:rPr>
        <w:t xml:space="preserve">obavy týkající se </w:t>
      </w:r>
      <w:r w:rsidR="00F85A21" w:rsidRPr="009B1A37">
        <w:rPr>
          <w:color w:val="000000"/>
          <w:sz w:val="22"/>
          <w:szCs w:val="22"/>
          <w:lang w:val="cs-CZ"/>
        </w:rPr>
        <w:t>bezpečnost</w:t>
      </w:r>
      <w:r w:rsidR="00D55077" w:rsidRPr="009B1A37">
        <w:rPr>
          <w:color w:val="000000"/>
          <w:sz w:val="22"/>
          <w:szCs w:val="22"/>
          <w:lang w:val="cs-CZ"/>
        </w:rPr>
        <w:t>i</w:t>
      </w:r>
      <w:r w:rsidR="00F85A21" w:rsidRPr="009B1A37">
        <w:rPr>
          <w:color w:val="000000"/>
          <w:sz w:val="22"/>
          <w:szCs w:val="22"/>
          <w:lang w:val="cs-CZ"/>
        </w:rPr>
        <w:t>.</w:t>
      </w:r>
    </w:p>
    <w:p w14:paraId="62D19CBE" w14:textId="77777777" w:rsidR="00D97A44" w:rsidRPr="009B1A37" w:rsidRDefault="00D97A44" w:rsidP="00BE3D48">
      <w:pPr>
        <w:pStyle w:val="Text"/>
        <w:widowControl w:val="0"/>
        <w:spacing w:before="0"/>
        <w:jc w:val="left"/>
        <w:rPr>
          <w:color w:val="000000"/>
          <w:sz w:val="22"/>
          <w:szCs w:val="22"/>
          <w:lang w:val="cs-CZ"/>
        </w:rPr>
      </w:pPr>
    </w:p>
    <w:p w14:paraId="1E77065C"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 xml:space="preserve">Různorodé nežádoucí účinky, jako je pleurální výpotek, ascites, plicní edém a rychlý přírůstek tělesné hmotnosti s nebo bez superficiálních otoků, je možné souhrnně popsat jako „retence tekutin“. Tyto nežádoucí </w:t>
      </w:r>
      <w:r w:rsidR="00D55077" w:rsidRPr="009B1A37">
        <w:rPr>
          <w:color w:val="000000"/>
          <w:sz w:val="22"/>
          <w:szCs w:val="22"/>
          <w:lang w:val="cs-CZ"/>
        </w:rPr>
        <w:t>účinky</w:t>
      </w:r>
      <w:r w:rsidRPr="009B1A37">
        <w:rPr>
          <w:color w:val="000000"/>
          <w:sz w:val="22"/>
          <w:szCs w:val="22"/>
          <w:lang w:val="cs-CZ"/>
        </w:rPr>
        <w:t xml:space="preserve"> je možné obvykle zvládnout dočasným vysazením Glivecu a diuretiky a jinou vhodnou podpůrnou léčbou. Avšak některé z těchto </w:t>
      </w:r>
      <w:r w:rsidR="00D55077" w:rsidRPr="009B1A37">
        <w:rPr>
          <w:color w:val="000000"/>
          <w:sz w:val="22"/>
          <w:szCs w:val="22"/>
          <w:lang w:val="cs-CZ"/>
        </w:rPr>
        <w:t>nežádoucích účinků</w:t>
      </w:r>
      <w:r w:rsidRPr="009B1A37">
        <w:rPr>
          <w:color w:val="000000"/>
          <w:sz w:val="22"/>
          <w:szCs w:val="22"/>
          <w:lang w:val="cs-CZ"/>
        </w:rPr>
        <w:t xml:space="preserve"> mohou být velmi závažné nebo život ohrožující a několik pacientů s blastickou krizí zemřelo s komplexním klinickým nálezem zahrnujícím pleurální výpotek, městnavé srdeční selhání a selhání ledvin. V klinických studiích nebyly u dětí pozorovány specificky odlišné nežádoucí účinky.</w:t>
      </w:r>
    </w:p>
    <w:p w14:paraId="573BA906" w14:textId="77777777" w:rsidR="00D97A44" w:rsidRPr="009B1A37" w:rsidRDefault="00D97A44" w:rsidP="00BE3D48">
      <w:pPr>
        <w:pStyle w:val="Text"/>
        <w:widowControl w:val="0"/>
        <w:spacing w:before="0"/>
        <w:jc w:val="left"/>
        <w:rPr>
          <w:color w:val="000000"/>
          <w:sz w:val="22"/>
          <w:szCs w:val="22"/>
          <w:lang w:val="cs-CZ"/>
        </w:rPr>
      </w:pPr>
    </w:p>
    <w:p w14:paraId="26D02E76" w14:textId="77777777" w:rsidR="00D97A44" w:rsidRPr="009B1A37" w:rsidRDefault="00D97A44" w:rsidP="00BE3D48">
      <w:pPr>
        <w:pStyle w:val="Text"/>
        <w:keepNext/>
        <w:widowControl w:val="0"/>
        <w:spacing w:before="0"/>
        <w:jc w:val="left"/>
        <w:rPr>
          <w:b/>
          <w:bCs/>
          <w:color w:val="000000"/>
          <w:sz w:val="22"/>
          <w:szCs w:val="22"/>
          <w:lang w:val="cs-CZ"/>
        </w:rPr>
      </w:pPr>
      <w:r w:rsidRPr="009B1A37">
        <w:rPr>
          <w:b/>
          <w:bCs/>
          <w:color w:val="000000"/>
          <w:sz w:val="22"/>
          <w:szCs w:val="22"/>
          <w:lang w:val="cs-CZ"/>
        </w:rPr>
        <w:t>Nežádoucí účinky</w:t>
      </w:r>
    </w:p>
    <w:p w14:paraId="1B933232"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Nežádoucí účinky, které se vyskytly častěji než v ojedinělých případech</w:t>
      </w:r>
      <w:r w:rsidR="00D55077" w:rsidRPr="009B1A37">
        <w:rPr>
          <w:color w:val="000000"/>
          <w:sz w:val="22"/>
          <w:szCs w:val="22"/>
          <w:lang w:val="cs-CZ"/>
        </w:rPr>
        <w:t>,</w:t>
      </w:r>
      <w:r w:rsidRPr="009B1A37">
        <w:rPr>
          <w:color w:val="000000"/>
          <w:sz w:val="22"/>
          <w:szCs w:val="22"/>
          <w:lang w:val="cs-CZ"/>
        </w:rPr>
        <w:t xml:space="preserve"> jsou uvedeny níže podle </w:t>
      </w:r>
      <w:r w:rsidR="00D55077" w:rsidRPr="009B1A37">
        <w:rPr>
          <w:color w:val="000000"/>
          <w:sz w:val="22"/>
          <w:szCs w:val="22"/>
          <w:lang w:val="cs-CZ"/>
        </w:rPr>
        <w:t>tříd orgánových systémů</w:t>
      </w:r>
      <w:r w:rsidRPr="009B1A37">
        <w:rPr>
          <w:color w:val="000000"/>
          <w:sz w:val="22"/>
          <w:szCs w:val="22"/>
          <w:lang w:val="cs-CZ"/>
        </w:rPr>
        <w:t xml:space="preserve"> a frekvence výskytu. </w:t>
      </w:r>
      <w:r w:rsidR="00F5227B" w:rsidRPr="009B1A37">
        <w:rPr>
          <w:color w:val="000000"/>
          <w:sz w:val="22"/>
          <w:szCs w:val="22"/>
          <w:lang w:val="cs-CZ"/>
        </w:rPr>
        <w:t xml:space="preserve">Kategorie </w:t>
      </w:r>
      <w:r w:rsidR="00D55077" w:rsidRPr="009B1A37">
        <w:rPr>
          <w:color w:val="000000"/>
          <w:sz w:val="22"/>
          <w:szCs w:val="22"/>
          <w:lang w:val="cs-CZ"/>
        </w:rPr>
        <w:t>četností</w:t>
      </w:r>
      <w:r w:rsidRPr="009B1A37">
        <w:rPr>
          <w:color w:val="000000"/>
          <w:sz w:val="22"/>
          <w:szCs w:val="22"/>
          <w:lang w:val="cs-CZ"/>
        </w:rPr>
        <w:t xml:space="preserve"> výskytu jsou definovány</w:t>
      </w:r>
      <w:r w:rsidR="00CE6789" w:rsidRPr="009B1A37">
        <w:rPr>
          <w:color w:val="000000"/>
          <w:sz w:val="22"/>
          <w:szCs w:val="22"/>
          <w:lang w:val="cs-CZ"/>
        </w:rPr>
        <w:t xml:space="preserve"> podle následujících</w:t>
      </w:r>
      <w:r w:rsidRPr="009B1A37">
        <w:rPr>
          <w:color w:val="000000"/>
          <w:sz w:val="22"/>
          <w:szCs w:val="22"/>
          <w:lang w:val="cs-CZ"/>
        </w:rPr>
        <w:t xml:space="preserve"> </w:t>
      </w:r>
      <w:r w:rsidR="00CE6789" w:rsidRPr="009B1A37">
        <w:rPr>
          <w:color w:val="000000"/>
          <w:sz w:val="22"/>
          <w:szCs w:val="22"/>
          <w:lang w:val="cs-CZ"/>
        </w:rPr>
        <w:t xml:space="preserve">pravidel </w:t>
      </w:r>
      <w:r w:rsidRPr="009B1A37">
        <w:rPr>
          <w:color w:val="000000"/>
          <w:sz w:val="22"/>
          <w:szCs w:val="22"/>
          <w:lang w:val="cs-CZ"/>
        </w:rPr>
        <w:t>jako: velmi časté (</w:t>
      </w:r>
      <w:r w:rsidR="00F5227B" w:rsidRPr="009B1A37">
        <w:rPr>
          <w:sz w:val="22"/>
          <w:szCs w:val="22"/>
          <w:lang w:val="cs-CZ"/>
        </w:rPr>
        <w:t>≥</w:t>
      </w:r>
      <w:r w:rsidRPr="009B1A37">
        <w:rPr>
          <w:color w:val="000000"/>
          <w:sz w:val="22"/>
          <w:szCs w:val="22"/>
          <w:lang w:val="cs-CZ"/>
        </w:rPr>
        <w:t>1/10), časté (</w:t>
      </w:r>
      <w:r w:rsidR="00F5227B" w:rsidRPr="009B1A37">
        <w:rPr>
          <w:sz w:val="22"/>
          <w:szCs w:val="22"/>
          <w:lang w:val="cs-CZ"/>
        </w:rPr>
        <w:t>≥</w:t>
      </w:r>
      <w:r w:rsidRPr="009B1A37">
        <w:rPr>
          <w:color w:val="000000"/>
          <w:sz w:val="22"/>
          <w:szCs w:val="22"/>
          <w:lang w:val="cs-CZ"/>
        </w:rPr>
        <w:t xml:space="preserve">1/100 </w:t>
      </w:r>
      <w:r w:rsidR="00F5227B" w:rsidRPr="009B1A37">
        <w:rPr>
          <w:color w:val="000000"/>
          <w:sz w:val="22"/>
          <w:szCs w:val="22"/>
          <w:lang w:val="cs-CZ"/>
        </w:rPr>
        <w:t xml:space="preserve">až </w:t>
      </w:r>
      <w:r w:rsidR="00F5227B" w:rsidRPr="009B1A37">
        <w:rPr>
          <w:sz w:val="22"/>
          <w:szCs w:val="22"/>
          <w:lang w:val="cs-CZ"/>
        </w:rPr>
        <w:t>&lt;</w:t>
      </w:r>
      <w:r w:rsidRPr="009B1A37">
        <w:rPr>
          <w:color w:val="000000"/>
          <w:sz w:val="22"/>
          <w:szCs w:val="22"/>
          <w:lang w:val="cs-CZ"/>
        </w:rPr>
        <w:t>1/10), méně časté (</w:t>
      </w:r>
      <w:r w:rsidR="00145847" w:rsidRPr="009B1A37">
        <w:rPr>
          <w:color w:val="000000"/>
          <w:sz w:val="22"/>
          <w:szCs w:val="22"/>
          <w:lang w:val="cs-CZ"/>
        </w:rPr>
        <w:t>≥</w:t>
      </w:r>
      <w:r w:rsidRPr="009B1A37">
        <w:rPr>
          <w:color w:val="000000"/>
          <w:sz w:val="22"/>
          <w:szCs w:val="22"/>
          <w:lang w:val="cs-CZ"/>
        </w:rPr>
        <w:t>1/1 000</w:t>
      </w:r>
      <w:r w:rsidR="00F5227B" w:rsidRPr="009B1A37">
        <w:rPr>
          <w:color w:val="000000"/>
          <w:sz w:val="22"/>
          <w:szCs w:val="22"/>
          <w:lang w:val="cs-CZ"/>
        </w:rPr>
        <w:t xml:space="preserve"> až </w:t>
      </w:r>
      <w:r w:rsidR="00F5227B" w:rsidRPr="009B1A37">
        <w:rPr>
          <w:sz w:val="22"/>
          <w:szCs w:val="22"/>
          <w:lang w:val="cs-CZ"/>
        </w:rPr>
        <w:t>&lt;</w:t>
      </w:r>
      <w:r w:rsidRPr="009B1A37">
        <w:rPr>
          <w:color w:val="000000"/>
          <w:sz w:val="22"/>
          <w:szCs w:val="22"/>
          <w:lang w:val="cs-CZ"/>
        </w:rPr>
        <w:t>1/100), vzácné (</w:t>
      </w:r>
      <w:r w:rsidR="00F5227B" w:rsidRPr="009B1A37">
        <w:rPr>
          <w:sz w:val="22"/>
          <w:szCs w:val="22"/>
          <w:lang w:val="cs-CZ"/>
        </w:rPr>
        <w:t>≥1/10</w:t>
      </w:r>
      <w:r w:rsidR="00F5227B" w:rsidRPr="009B1A37">
        <w:rPr>
          <w:color w:val="000000"/>
          <w:sz w:val="22"/>
          <w:szCs w:val="22"/>
          <w:lang w:val="cs-CZ"/>
        </w:rPr>
        <w:t> </w:t>
      </w:r>
      <w:r w:rsidR="00F5227B" w:rsidRPr="009B1A37">
        <w:rPr>
          <w:sz w:val="22"/>
          <w:szCs w:val="22"/>
          <w:lang w:val="cs-CZ"/>
        </w:rPr>
        <w:t xml:space="preserve">000 až </w:t>
      </w:r>
      <w:r w:rsidR="00145847" w:rsidRPr="009B1A37">
        <w:rPr>
          <w:color w:val="000000"/>
          <w:sz w:val="22"/>
          <w:szCs w:val="22"/>
          <w:lang w:val="cs-CZ"/>
        </w:rPr>
        <w:t>&lt;</w:t>
      </w:r>
      <w:r w:rsidRPr="009B1A37">
        <w:rPr>
          <w:color w:val="000000"/>
          <w:sz w:val="22"/>
          <w:szCs w:val="22"/>
          <w:lang w:val="cs-CZ"/>
        </w:rPr>
        <w:t xml:space="preserve">1/1 000), </w:t>
      </w:r>
      <w:r w:rsidR="00F5227B" w:rsidRPr="009B1A37">
        <w:rPr>
          <w:color w:val="000000"/>
          <w:sz w:val="22"/>
          <w:szCs w:val="22"/>
          <w:lang w:val="cs-CZ"/>
        </w:rPr>
        <w:t>velmi vzácné (</w:t>
      </w:r>
      <w:r w:rsidR="00F5227B" w:rsidRPr="009B1A37">
        <w:rPr>
          <w:sz w:val="22"/>
          <w:szCs w:val="22"/>
          <w:lang w:val="cs-CZ"/>
        </w:rPr>
        <w:t>&lt;1/10</w:t>
      </w:r>
      <w:r w:rsidR="00F5227B" w:rsidRPr="009B1A37">
        <w:rPr>
          <w:color w:val="000000"/>
          <w:sz w:val="22"/>
          <w:szCs w:val="22"/>
          <w:lang w:val="cs-CZ"/>
        </w:rPr>
        <w:t> </w:t>
      </w:r>
      <w:r w:rsidR="00F5227B" w:rsidRPr="009B1A37">
        <w:rPr>
          <w:sz w:val="22"/>
          <w:szCs w:val="22"/>
          <w:lang w:val="cs-CZ"/>
        </w:rPr>
        <w:t>000),</w:t>
      </w:r>
      <w:r w:rsidR="00F5227B" w:rsidRPr="009B1A37">
        <w:rPr>
          <w:color w:val="000000"/>
          <w:sz w:val="22"/>
          <w:szCs w:val="22"/>
          <w:lang w:val="cs-CZ"/>
        </w:rPr>
        <w:t xml:space="preserve"> </w:t>
      </w:r>
      <w:r w:rsidRPr="009B1A37">
        <w:rPr>
          <w:color w:val="000000"/>
          <w:sz w:val="22"/>
          <w:szCs w:val="22"/>
          <w:lang w:val="cs-CZ"/>
        </w:rPr>
        <w:t>není známo (z dostupných údajů nelze určit).</w:t>
      </w:r>
    </w:p>
    <w:p w14:paraId="78F96D05" w14:textId="77777777" w:rsidR="00D97A44" w:rsidRPr="009B1A37" w:rsidRDefault="00D97A44" w:rsidP="00BE3D48">
      <w:pPr>
        <w:pStyle w:val="Text"/>
        <w:widowControl w:val="0"/>
        <w:spacing w:before="0"/>
        <w:jc w:val="left"/>
        <w:rPr>
          <w:color w:val="000000"/>
          <w:sz w:val="22"/>
          <w:szCs w:val="22"/>
          <w:lang w:val="cs-CZ"/>
        </w:rPr>
      </w:pPr>
    </w:p>
    <w:p w14:paraId="13D85640"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V každé skupině četností jsou nežádoucí účinky seřazeny podle četnosti od nejčastější</w:t>
      </w:r>
      <w:r w:rsidR="00D55077" w:rsidRPr="009B1A37">
        <w:rPr>
          <w:color w:val="000000"/>
          <w:sz w:val="22"/>
          <w:szCs w:val="22"/>
          <w:lang w:val="cs-CZ"/>
        </w:rPr>
        <w:t>ch</w:t>
      </w:r>
      <w:r w:rsidRPr="009B1A37">
        <w:rPr>
          <w:color w:val="000000"/>
          <w:sz w:val="22"/>
          <w:szCs w:val="22"/>
          <w:lang w:val="cs-CZ"/>
        </w:rPr>
        <w:t>.</w:t>
      </w:r>
    </w:p>
    <w:p w14:paraId="6D718B6C" w14:textId="77777777" w:rsidR="00D97A44" w:rsidRPr="009B1A37" w:rsidRDefault="00D97A44" w:rsidP="00BE3D48">
      <w:pPr>
        <w:pStyle w:val="Text"/>
        <w:widowControl w:val="0"/>
        <w:spacing w:before="0"/>
        <w:jc w:val="left"/>
        <w:rPr>
          <w:color w:val="000000"/>
          <w:sz w:val="22"/>
          <w:szCs w:val="22"/>
          <w:lang w:val="cs-CZ"/>
        </w:rPr>
      </w:pPr>
    </w:p>
    <w:p w14:paraId="37FE9496"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Nežádoucí účinky a četnost jejich výskytu jsou uvedené v </w:t>
      </w:r>
      <w:r w:rsidR="00D55077" w:rsidRPr="009B1A37">
        <w:rPr>
          <w:color w:val="000000"/>
          <w:sz w:val="22"/>
          <w:szCs w:val="22"/>
          <w:lang w:val="cs-CZ"/>
        </w:rPr>
        <w:t>t</w:t>
      </w:r>
      <w:r w:rsidRPr="009B1A37">
        <w:rPr>
          <w:color w:val="000000"/>
          <w:sz w:val="22"/>
          <w:szCs w:val="22"/>
          <w:lang w:val="cs-CZ"/>
        </w:rPr>
        <w:t>abulce 1.</w:t>
      </w:r>
    </w:p>
    <w:p w14:paraId="3C971D21" w14:textId="77777777" w:rsidR="00D97A44" w:rsidRPr="009B1A37" w:rsidRDefault="00D97A44" w:rsidP="00BE3D48">
      <w:pPr>
        <w:pStyle w:val="Text"/>
        <w:widowControl w:val="0"/>
        <w:spacing w:before="0"/>
        <w:jc w:val="left"/>
        <w:rPr>
          <w:color w:val="000000"/>
          <w:sz w:val="22"/>
          <w:szCs w:val="22"/>
          <w:lang w:val="cs-CZ"/>
        </w:rPr>
      </w:pPr>
    </w:p>
    <w:p w14:paraId="0C453E47" w14:textId="77777777" w:rsidR="00D97A44" w:rsidRPr="009B1A37" w:rsidRDefault="00D97A44" w:rsidP="00BE3D48">
      <w:pPr>
        <w:pStyle w:val="Text"/>
        <w:keepNext/>
        <w:widowControl w:val="0"/>
        <w:tabs>
          <w:tab w:val="left" w:pos="1080"/>
        </w:tabs>
        <w:spacing w:before="0"/>
        <w:rPr>
          <w:b/>
          <w:bCs/>
          <w:color w:val="000000"/>
          <w:sz w:val="22"/>
          <w:szCs w:val="22"/>
          <w:lang w:val="cs-CZ"/>
        </w:rPr>
      </w:pPr>
      <w:r w:rsidRPr="009B1A37">
        <w:rPr>
          <w:b/>
          <w:bCs/>
          <w:color w:val="000000"/>
          <w:sz w:val="22"/>
          <w:szCs w:val="22"/>
          <w:lang w:val="cs-CZ"/>
        </w:rPr>
        <w:lastRenderedPageBreak/>
        <w:t>Tabulka 1</w:t>
      </w:r>
      <w:r w:rsidRPr="009B1A37">
        <w:rPr>
          <w:b/>
          <w:bCs/>
          <w:color w:val="000000"/>
          <w:sz w:val="22"/>
          <w:szCs w:val="22"/>
          <w:lang w:val="cs-CZ"/>
        </w:rPr>
        <w:tab/>
      </w:r>
      <w:r w:rsidR="00DF452F" w:rsidRPr="009B1A37">
        <w:rPr>
          <w:b/>
          <w:bCs/>
          <w:color w:val="000000"/>
          <w:sz w:val="22"/>
          <w:szCs w:val="22"/>
          <w:lang w:val="cs-CZ"/>
        </w:rPr>
        <w:t>Přehled ne</w:t>
      </w:r>
      <w:r w:rsidRPr="009B1A37">
        <w:rPr>
          <w:b/>
          <w:bCs/>
          <w:color w:val="000000"/>
          <w:sz w:val="22"/>
          <w:szCs w:val="22"/>
          <w:lang w:val="cs-CZ"/>
        </w:rPr>
        <w:t>žádoucí</w:t>
      </w:r>
      <w:r w:rsidR="00DF452F" w:rsidRPr="009B1A37">
        <w:rPr>
          <w:b/>
          <w:bCs/>
          <w:color w:val="000000"/>
          <w:sz w:val="22"/>
          <w:szCs w:val="22"/>
          <w:lang w:val="cs-CZ"/>
        </w:rPr>
        <w:t>ch</w:t>
      </w:r>
      <w:r w:rsidRPr="009B1A37">
        <w:rPr>
          <w:b/>
          <w:bCs/>
          <w:color w:val="000000"/>
          <w:sz w:val="22"/>
          <w:szCs w:val="22"/>
          <w:lang w:val="cs-CZ"/>
        </w:rPr>
        <w:t xml:space="preserve"> účink</w:t>
      </w:r>
      <w:r w:rsidR="00DF452F" w:rsidRPr="009B1A37">
        <w:rPr>
          <w:b/>
          <w:bCs/>
          <w:color w:val="000000"/>
          <w:sz w:val="22"/>
          <w:szCs w:val="22"/>
          <w:lang w:val="cs-CZ"/>
        </w:rPr>
        <w:t>ů</w:t>
      </w:r>
      <w:r w:rsidRPr="009B1A37">
        <w:rPr>
          <w:b/>
          <w:bCs/>
          <w:color w:val="000000"/>
          <w:sz w:val="22"/>
          <w:szCs w:val="22"/>
          <w:lang w:val="cs-CZ"/>
        </w:rPr>
        <w:t xml:space="preserve"> v </w:t>
      </w:r>
      <w:r w:rsidR="00DF452F" w:rsidRPr="009B1A37">
        <w:rPr>
          <w:b/>
          <w:bCs/>
          <w:color w:val="000000"/>
          <w:sz w:val="22"/>
          <w:szCs w:val="22"/>
          <w:lang w:val="cs-CZ"/>
        </w:rPr>
        <w:t>tabulce</w:t>
      </w:r>
    </w:p>
    <w:p w14:paraId="5772E19D" w14:textId="77777777" w:rsidR="002210AD" w:rsidRPr="009B1A37" w:rsidRDefault="002210AD" w:rsidP="00BE3D48">
      <w:pPr>
        <w:keepNext/>
        <w:widowControl w:val="0"/>
        <w:spacing w:line="240" w:lineRule="auto"/>
        <w:rPr>
          <w:color w:val="000000"/>
        </w:rPr>
      </w:pPr>
    </w:p>
    <w:tbl>
      <w:tblPr>
        <w:tblW w:w="9354" w:type="dxa"/>
        <w:tblInd w:w="-32" w:type="dxa"/>
        <w:tblLayout w:type="fixed"/>
        <w:tblLook w:val="0000" w:firstRow="0" w:lastRow="0" w:firstColumn="0" w:lastColumn="0" w:noHBand="0" w:noVBand="0"/>
      </w:tblPr>
      <w:tblGrid>
        <w:gridCol w:w="12"/>
        <w:gridCol w:w="2228"/>
        <w:gridCol w:w="7"/>
        <w:gridCol w:w="7107"/>
      </w:tblGrid>
      <w:tr w:rsidR="002210AD" w:rsidRPr="009B1A37" w14:paraId="37CF36B5" w14:textId="77777777" w:rsidTr="009F41EF">
        <w:trPr>
          <w:gridBefore w:val="1"/>
          <w:wBefore w:w="12" w:type="dxa"/>
          <w:cantSplit/>
        </w:trPr>
        <w:tc>
          <w:tcPr>
            <w:tcW w:w="9342" w:type="dxa"/>
            <w:gridSpan w:val="3"/>
            <w:tcBorders>
              <w:top w:val="single" w:sz="4" w:space="0" w:color="000000"/>
              <w:left w:val="single" w:sz="4" w:space="0" w:color="000000"/>
              <w:bottom w:val="single" w:sz="4" w:space="0" w:color="000000"/>
              <w:right w:val="single" w:sz="4" w:space="0" w:color="000000"/>
            </w:tcBorders>
          </w:tcPr>
          <w:p w14:paraId="6D462A3C" w14:textId="77777777" w:rsidR="002210AD" w:rsidRPr="009B1A37" w:rsidRDefault="002210AD" w:rsidP="00BE3D48">
            <w:pPr>
              <w:keepNext/>
              <w:widowControl w:val="0"/>
              <w:tabs>
                <w:tab w:val="left" w:pos="6375"/>
              </w:tabs>
              <w:snapToGrid w:val="0"/>
              <w:spacing w:line="240" w:lineRule="auto"/>
              <w:rPr>
                <w:b/>
                <w:bCs/>
                <w:color w:val="000000"/>
              </w:rPr>
            </w:pPr>
            <w:r w:rsidRPr="009B1A37">
              <w:rPr>
                <w:b/>
                <w:bCs/>
                <w:color w:val="000000"/>
              </w:rPr>
              <w:t>Infekce a infestace</w:t>
            </w:r>
          </w:p>
        </w:tc>
      </w:tr>
      <w:tr w:rsidR="002210AD" w:rsidRPr="009B1A37" w14:paraId="6C890C58" w14:textId="77777777" w:rsidTr="009F41EF">
        <w:trPr>
          <w:gridBefore w:val="1"/>
          <w:wBefore w:w="12" w:type="dxa"/>
          <w:cantSplit/>
        </w:trPr>
        <w:tc>
          <w:tcPr>
            <w:tcW w:w="2228" w:type="dxa"/>
            <w:tcBorders>
              <w:top w:val="single" w:sz="4" w:space="0" w:color="000000"/>
              <w:left w:val="single" w:sz="4" w:space="0" w:color="000000"/>
              <w:bottom w:val="single" w:sz="4" w:space="0" w:color="000000"/>
              <w:right w:val="single" w:sz="4" w:space="0" w:color="auto"/>
            </w:tcBorders>
          </w:tcPr>
          <w:p w14:paraId="2372A1C9" w14:textId="77777777" w:rsidR="002210AD" w:rsidRPr="009B1A37" w:rsidRDefault="002210AD" w:rsidP="00BE3D48">
            <w:pPr>
              <w:keepNext/>
              <w:widowControl w:val="0"/>
              <w:tabs>
                <w:tab w:val="left" w:pos="6375"/>
              </w:tabs>
              <w:snapToGrid w:val="0"/>
              <w:spacing w:line="240" w:lineRule="auto"/>
              <w:rPr>
                <w:i/>
                <w:iCs/>
                <w:color w:val="000000"/>
              </w:rPr>
            </w:pPr>
            <w:r w:rsidRPr="009B1A37">
              <w:rPr>
                <w:i/>
                <w:iCs/>
                <w:color w:val="000000"/>
              </w:rPr>
              <w:t>Méně časté</w:t>
            </w:r>
            <w:r w:rsidR="00F54252" w:rsidRPr="009B1A37">
              <w:rPr>
                <w:i/>
                <w:iCs/>
                <w:color w:val="000000"/>
              </w:rPr>
              <w:t>:</w:t>
            </w:r>
          </w:p>
        </w:tc>
        <w:tc>
          <w:tcPr>
            <w:tcW w:w="7114" w:type="dxa"/>
            <w:gridSpan w:val="2"/>
            <w:tcBorders>
              <w:top w:val="single" w:sz="4" w:space="0" w:color="000000"/>
              <w:left w:val="single" w:sz="4" w:space="0" w:color="auto"/>
              <w:bottom w:val="single" w:sz="4" w:space="0" w:color="000000"/>
              <w:right w:val="single" w:sz="4" w:space="0" w:color="000000"/>
            </w:tcBorders>
          </w:tcPr>
          <w:p w14:paraId="7FB5624C" w14:textId="77777777" w:rsidR="002210AD" w:rsidRPr="009B1A37" w:rsidRDefault="002210AD" w:rsidP="00BE3D48">
            <w:pPr>
              <w:keepNext/>
              <w:widowControl w:val="0"/>
              <w:tabs>
                <w:tab w:val="left" w:pos="6375"/>
              </w:tabs>
              <w:snapToGrid w:val="0"/>
              <w:spacing w:line="240" w:lineRule="auto"/>
              <w:rPr>
                <w:color w:val="000000"/>
              </w:rPr>
            </w:pPr>
            <w:r w:rsidRPr="009B1A37">
              <w:rPr>
                <w:color w:val="000000"/>
              </w:rPr>
              <w:t>Herpes zoster, herpes simplex, nasofaryngitida, pneumonie</w:t>
            </w:r>
            <w:r w:rsidR="004300AE" w:rsidRPr="009B1A37">
              <w:rPr>
                <w:color w:val="000000"/>
                <w:vertAlign w:val="superscript"/>
              </w:rPr>
              <w:t>1</w:t>
            </w:r>
            <w:r w:rsidRPr="009B1A37">
              <w:rPr>
                <w:color w:val="000000"/>
              </w:rPr>
              <w:t>, sinusitida, celulitida, infekce horních cest dýchacích, chřipka, infekce močových cest, gastroenteritida, sepse</w:t>
            </w:r>
          </w:p>
        </w:tc>
      </w:tr>
      <w:tr w:rsidR="002210AD" w:rsidRPr="009B1A37" w14:paraId="5BB2C1C2" w14:textId="77777777" w:rsidTr="009F41EF">
        <w:trPr>
          <w:gridBefore w:val="1"/>
          <w:wBefore w:w="12" w:type="dxa"/>
          <w:cantSplit/>
        </w:trPr>
        <w:tc>
          <w:tcPr>
            <w:tcW w:w="2228" w:type="dxa"/>
            <w:tcBorders>
              <w:top w:val="single" w:sz="4" w:space="0" w:color="000000"/>
              <w:left w:val="single" w:sz="4" w:space="0" w:color="000000"/>
              <w:bottom w:val="single" w:sz="4" w:space="0" w:color="000000"/>
              <w:right w:val="single" w:sz="4" w:space="0" w:color="auto"/>
            </w:tcBorders>
          </w:tcPr>
          <w:p w14:paraId="60AB8D38" w14:textId="77777777" w:rsidR="002210AD" w:rsidRPr="009B1A37" w:rsidRDefault="002210AD" w:rsidP="00BE3D48">
            <w:pPr>
              <w:keepNext/>
              <w:widowControl w:val="0"/>
              <w:tabs>
                <w:tab w:val="left" w:pos="6375"/>
              </w:tabs>
              <w:snapToGrid w:val="0"/>
              <w:spacing w:line="240" w:lineRule="auto"/>
              <w:rPr>
                <w:i/>
                <w:iCs/>
                <w:color w:val="000000"/>
              </w:rPr>
            </w:pPr>
            <w:r w:rsidRPr="009B1A37">
              <w:rPr>
                <w:i/>
                <w:iCs/>
                <w:color w:val="000000"/>
              </w:rPr>
              <w:t>Vzácné</w:t>
            </w:r>
            <w:r w:rsidR="00F54252" w:rsidRPr="009B1A37">
              <w:rPr>
                <w:i/>
                <w:iCs/>
                <w:color w:val="000000"/>
              </w:rPr>
              <w:t>:</w:t>
            </w:r>
          </w:p>
        </w:tc>
        <w:tc>
          <w:tcPr>
            <w:tcW w:w="7114" w:type="dxa"/>
            <w:gridSpan w:val="2"/>
            <w:tcBorders>
              <w:top w:val="single" w:sz="4" w:space="0" w:color="000000"/>
              <w:left w:val="single" w:sz="4" w:space="0" w:color="auto"/>
              <w:bottom w:val="single" w:sz="4" w:space="0" w:color="000000"/>
              <w:right w:val="single" w:sz="4" w:space="0" w:color="000000"/>
            </w:tcBorders>
          </w:tcPr>
          <w:p w14:paraId="305583EC" w14:textId="77777777" w:rsidR="002210AD" w:rsidRPr="009B1A37" w:rsidRDefault="00D55077" w:rsidP="00BE3D48">
            <w:pPr>
              <w:keepNext/>
              <w:widowControl w:val="0"/>
              <w:tabs>
                <w:tab w:val="left" w:pos="6375"/>
              </w:tabs>
              <w:snapToGrid w:val="0"/>
              <w:spacing w:line="240" w:lineRule="auto"/>
              <w:rPr>
                <w:color w:val="000000"/>
              </w:rPr>
            </w:pPr>
            <w:r w:rsidRPr="009B1A37">
              <w:rPr>
                <w:color w:val="000000"/>
              </w:rPr>
              <w:t>Mykotické</w:t>
            </w:r>
            <w:r w:rsidR="002210AD" w:rsidRPr="009B1A37">
              <w:rPr>
                <w:color w:val="000000"/>
              </w:rPr>
              <w:t xml:space="preserve"> infekce</w:t>
            </w:r>
          </w:p>
        </w:tc>
      </w:tr>
      <w:tr w:rsidR="00901DC3" w:rsidRPr="009B1A37" w14:paraId="453D89F3" w14:textId="77777777" w:rsidTr="009F41EF">
        <w:trPr>
          <w:gridBefore w:val="1"/>
          <w:wBefore w:w="12" w:type="dxa"/>
          <w:cantSplit/>
        </w:trPr>
        <w:tc>
          <w:tcPr>
            <w:tcW w:w="2228" w:type="dxa"/>
            <w:tcBorders>
              <w:top w:val="single" w:sz="4" w:space="0" w:color="000000"/>
              <w:left w:val="single" w:sz="4" w:space="0" w:color="000000"/>
              <w:bottom w:val="single" w:sz="4" w:space="0" w:color="000000"/>
              <w:right w:val="single" w:sz="4" w:space="0" w:color="auto"/>
            </w:tcBorders>
          </w:tcPr>
          <w:p w14:paraId="73C02530" w14:textId="77777777" w:rsidR="00901DC3" w:rsidRPr="009B1A37" w:rsidRDefault="00901DC3" w:rsidP="00BE3D48">
            <w:pPr>
              <w:widowControl w:val="0"/>
              <w:tabs>
                <w:tab w:val="left" w:pos="6375"/>
              </w:tabs>
              <w:snapToGrid w:val="0"/>
              <w:spacing w:line="240" w:lineRule="auto"/>
              <w:rPr>
                <w:i/>
                <w:iCs/>
                <w:color w:val="000000"/>
              </w:rPr>
            </w:pPr>
            <w:r w:rsidRPr="009B1A37">
              <w:rPr>
                <w:i/>
                <w:iCs/>
                <w:color w:val="000000"/>
              </w:rPr>
              <w:t>Není známo:</w:t>
            </w:r>
          </w:p>
        </w:tc>
        <w:tc>
          <w:tcPr>
            <w:tcW w:w="7114" w:type="dxa"/>
            <w:gridSpan w:val="2"/>
            <w:tcBorders>
              <w:top w:val="single" w:sz="4" w:space="0" w:color="000000"/>
              <w:left w:val="single" w:sz="4" w:space="0" w:color="auto"/>
              <w:bottom w:val="single" w:sz="4" w:space="0" w:color="000000"/>
              <w:right w:val="single" w:sz="4" w:space="0" w:color="000000"/>
            </w:tcBorders>
          </w:tcPr>
          <w:p w14:paraId="2D5F89FD" w14:textId="77777777" w:rsidR="00901DC3" w:rsidRPr="009B1A37" w:rsidRDefault="00901DC3" w:rsidP="00BE3D48">
            <w:pPr>
              <w:widowControl w:val="0"/>
              <w:tabs>
                <w:tab w:val="left" w:pos="6375"/>
              </w:tabs>
              <w:snapToGrid w:val="0"/>
              <w:spacing w:line="240" w:lineRule="auto"/>
              <w:rPr>
                <w:color w:val="000000"/>
              </w:rPr>
            </w:pPr>
            <w:r w:rsidRPr="009B1A37">
              <w:rPr>
                <w:color w:val="000000"/>
              </w:rPr>
              <w:t>Reaktivace hepatitidy B</w:t>
            </w:r>
            <w:r w:rsidR="003A70EB" w:rsidRPr="009B1A37">
              <w:rPr>
                <w:color w:val="000000"/>
              </w:rPr>
              <w:t>*</w:t>
            </w:r>
          </w:p>
        </w:tc>
      </w:tr>
      <w:tr w:rsidR="007A105B" w:rsidRPr="009B1A37" w14:paraId="4CC149E0" w14:textId="77777777" w:rsidTr="009F41EF">
        <w:trPr>
          <w:gridBefore w:val="1"/>
          <w:wBefore w:w="12" w:type="dxa"/>
          <w:cantSplit/>
        </w:trPr>
        <w:tc>
          <w:tcPr>
            <w:tcW w:w="9342" w:type="dxa"/>
            <w:gridSpan w:val="3"/>
            <w:tcBorders>
              <w:top w:val="single" w:sz="4" w:space="0" w:color="000000"/>
              <w:left w:val="single" w:sz="4" w:space="0" w:color="000000"/>
              <w:bottom w:val="single" w:sz="4" w:space="0" w:color="000000"/>
              <w:right w:val="single" w:sz="4" w:space="0" w:color="000000"/>
            </w:tcBorders>
          </w:tcPr>
          <w:p w14:paraId="64E1FD5A" w14:textId="77777777" w:rsidR="007A105B" w:rsidRPr="009B1A37" w:rsidRDefault="007A105B" w:rsidP="00BE3D48">
            <w:pPr>
              <w:keepNext/>
              <w:widowControl w:val="0"/>
              <w:tabs>
                <w:tab w:val="left" w:pos="6375"/>
              </w:tabs>
              <w:snapToGrid w:val="0"/>
              <w:spacing w:line="240" w:lineRule="auto"/>
              <w:rPr>
                <w:b/>
                <w:color w:val="000000"/>
              </w:rPr>
            </w:pPr>
            <w:r w:rsidRPr="009B1A37">
              <w:rPr>
                <w:b/>
                <w:color w:val="000000"/>
              </w:rPr>
              <w:t>Novotvary benigní, maligní, a blíže neurčené (zahrnující cysty a polypy)</w:t>
            </w:r>
          </w:p>
        </w:tc>
      </w:tr>
      <w:tr w:rsidR="007A105B" w:rsidRPr="009B1A37" w14:paraId="60A4BD42" w14:textId="77777777" w:rsidTr="009F41EF">
        <w:trPr>
          <w:gridBefore w:val="1"/>
          <w:wBefore w:w="12" w:type="dxa"/>
          <w:cantSplit/>
        </w:trPr>
        <w:tc>
          <w:tcPr>
            <w:tcW w:w="2228" w:type="dxa"/>
            <w:tcBorders>
              <w:top w:val="single" w:sz="4" w:space="0" w:color="000000"/>
              <w:left w:val="single" w:sz="4" w:space="0" w:color="000000"/>
              <w:bottom w:val="single" w:sz="4" w:space="0" w:color="000000"/>
              <w:right w:val="single" w:sz="4" w:space="0" w:color="auto"/>
            </w:tcBorders>
          </w:tcPr>
          <w:p w14:paraId="2E3BEA99" w14:textId="77777777" w:rsidR="007A105B" w:rsidRPr="009B1A37" w:rsidRDefault="007A105B" w:rsidP="00BE3D48">
            <w:pPr>
              <w:keepNext/>
              <w:widowControl w:val="0"/>
              <w:tabs>
                <w:tab w:val="left" w:pos="6375"/>
              </w:tabs>
              <w:snapToGrid w:val="0"/>
              <w:spacing w:line="240" w:lineRule="auto"/>
              <w:rPr>
                <w:bCs/>
                <w:i/>
                <w:color w:val="000000"/>
              </w:rPr>
            </w:pPr>
            <w:r w:rsidRPr="009B1A37">
              <w:rPr>
                <w:bCs/>
                <w:i/>
                <w:color w:val="000000"/>
              </w:rPr>
              <w:t>Vzácné:</w:t>
            </w:r>
          </w:p>
        </w:tc>
        <w:tc>
          <w:tcPr>
            <w:tcW w:w="7114" w:type="dxa"/>
            <w:gridSpan w:val="2"/>
            <w:tcBorders>
              <w:top w:val="single" w:sz="4" w:space="0" w:color="000000"/>
              <w:left w:val="single" w:sz="4" w:space="0" w:color="auto"/>
              <w:bottom w:val="single" w:sz="4" w:space="0" w:color="000000"/>
              <w:right w:val="single" w:sz="4" w:space="0" w:color="000000"/>
            </w:tcBorders>
          </w:tcPr>
          <w:p w14:paraId="4BA3A95A" w14:textId="77777777" w:rsidR="007A105B" w:rsidRPr="009B1A37" w:rsidRDefault="007A105B" w:rsidP="00BE3D48">
            <w:pPr>
              <w:keepNext/>
              <w:widowControl w:val="0"/>
              <w:tabs>
                <w:tab w:val="left" w:pos="6375"/>
              </w:tabs>
              <w:snapToGrid w:val="0"/>
              <w:spacing w:line="240" w:lineRule="auto"/>
              <w:rPr>
                <w:bCs/>
                <w:color w:val="000000"/>
              </w:rPr>
            </w:pPr>
            <w:r w:rsidRPr="009B1A37">
              <w:rPr>
                <w:bCs/>
                <w:color w:val="000000"/>
              </w:rPr>
              <w:t>Syndrom nádorového rozpadu</w:t>
            </w:r>
          </w:p>
        </w:tc>
      </w:tr>
      <w:tr w:rsidR="00B20788" w:rsidRPr="009B1A37" w14:paraId="35AE21F1" w14:textId="77777777" w:rsidTr="009F41EF">
        <w:trPr>
          <w:gridBefore w:val="1"/>
          <w:wBefore w:w="12" w:type="dxa"/>
          <w:cantSplit/>
        </w:trPr>
        <w:tc>
          <w:tcPr>
            <w:tcW w:w="2228" w:type="dxa"/>
            <w:tcBorders>
              <w:top w:val="single" w:sz="4" w:space="0" w:color="000000"/>
              <w:left w:val="single" w:sz="4" w:space="0" w:color="000000"/>
              <w:bottom w:val="single" w:sz="4" w:space="0" w:color="000000"/>
              <w:right w:val="single" w:sz="4" w:space="0" w:color="auto"/>
            </w:tcBorders>
          </w:tcPr>
          <w:p w14:paraId="2AFD6578" w14:textId="77777777" w:rsidR="00B20788" w:rsidRPr="009B1A37" w:rsidRDefault="00B20788" w:rsidP="00BE3D48">
            <w:pPr>
              <w:widowControl w:val="0"/>
              <w:tabs>
                <w:tab w:val="left" w:pos="6375"/>
              </w:tabs>
              <w:snapToGrid w:val="0"/>
              <w:spacing w:line="240" w:lineRule="auto"/>
              <w:rPr>
                <w:bCs/>
                <w:i/>
                <w:color w:val="000000"/>
              </w:rPr>
            </w:pPr>
            <w:r w:rsidRPr="009B1A37">
              <w:rPr>
                <w:bCs/>
                <w:i/>
                <w:color w:val="000000"/>
              </w:rPr>
              <w:t>Není známo:</w:t>
            </w:r>
          </w:p>
        </w:tc>
        <w:tc>
          <w:tcPr>
            <w:tcW w:w="7114" w:type="dxa"/>
            <w:gridSpan w:val="2"/>
            <w:tcBorders>
              <w:top w:val="single" w:sz="4" w:space="0" w:color="000000"/>
              <w:left w:val="single" w:sz="4" w:space="0" w:color="auto"/>
              <w:bottom w:val="single" w:sz="4" w:space="0" w:color="000000"/>
              <w:right w:val="single" w:sz="4" w:space="0" w:color="000000"/>
            </w:tcBorders>
          </w:tcPr>
          <w:p w14:paraId="562A73ED" w14:textId="77777777" w:rsidR="00B20788" w:rsidRPr="009B1A37" w:rsidRDefault="00B20788" w:rsidP="00BE3D48">
            <w:pPr>
              <w:widowControl w:val="0"/>
              <w:tabs>
                <w:tab w:val="left" w:pos="6375"/>
              </w:tabs>
              <w:snapToGrid w:val="0"/>
              <w:spacing w:line="240" w:lineRule="auto"/>
              <w:rPr>
                <w:bCs/>
                <w:color w:val="000000"/>
              </w:rPr>
            </w:pPr>
            <w:r w:rsidRPr="009B1A37">
              <w:rPr>
                <w:color w:val="000000"/>
              </w:rPr>
              <w:t>Krvác</w:t>
            </w:r>
            <w:r w:rsidR="00A0013C" w:rsidRPr="009B1A37">
              <w:rPr>
                <w:color w:val="000000"/>
              </w:rPr>
              <w:t>ení do</w:t>
            </w:r>
            <w:r w:rsidRPr="009B1A37">
              <w:rPr>
                <w:color w:val="000000"/>
              </w:rPr>
              <w:t xml:space="preserve"> tumor</w:t>
            </w:r>
            <w:r w:rsidR="00A0013C" w:rsidRPr="009B1A37">
              <w:rPr>
                <w:color w:val="000000"/>
              </w:rPr>
              <w:t>u</w:t>
            </w:r>
            <w:r w:rsidRPr="009B1A37">
              <w:rPr>
                <w:color w:val="000000"/>
              </w:rPr>
              <w:t>/nekróz</w:t>
            </w:r>
            <w:r w:rsidR="00A0013C" w:rsidRPr="009B1A37">
              <w:rPr>
                <w:color w:val="000000"/>
              </w:rPr>
              <w:t>a</w:t>
            </w:r>
            <w:r w:rsidRPr="009B1A37">
              <w:rPr>
                <w:color w:val="000000"/>
              </w:rPr>
              <w:t xml:space="preserve"> tumor</w:t>
            </w:r>
            <w:r w:rsidR="00A0013C" w:rsidRPr="009B1A37">
              <w:rPr>
                <w:color w:val="000000"/>
              </w:rPr>
              <w:t>u</w:t>
            </w:r>
            <w:r w:rsidRPr="009B1A37">
              <w:rPr>
                <w:color w:val="000000"/>
              </w:rPr>
              <w:t>*</w:t>
            </w:r>
          </w:p>
        </w:tc>
      </w:tr>
      <w:tr w:rsidR="00DF452F" w:rsidRPr="009B1A37" w14:paraId="10E431B0" w14:textId="77777777" w:rsidTr="009F41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trPr>
        <w:tc>
          <w:tcPr>
            <w:tcW w:w="9354" w:type="dxa"/>
            <w:gridSpan w:val="4"/>
          </w:tcPr>
          <w:p w14:paraId="7458E208" w14:textId="77777777" w:rsidR="00DF452F" w:rsidRPr="009B1A37" w:rsidRDefault="00137944" w:rsidP="00BE3D48">
            <w:pPr>
              <w:keepNext/>
              <w:widowControl w:val="0"/>
              <w:spacing w:line="240" w:lineRule="auto"/>
              <w:rPr>
                <w:b/>
                <w:color w:val="000000"/>
              </w:rPr>
            </w:pPr>
            <w:r w:rsidRPr="009B1A37">
              <w:rPr>
                <w:b/>
                <w:color w:val="000000"/>
              </w:rPr>
              <w:t>Poruchy imunitního systému</w:t>
            </w:r>
          </w:p>
        </w:tc>
      </w:tr>
      <w:tr w:rsidR="00DF452F" w:rsidRPr="009B1A37" w14:paraId="1C205CD4" w14:textId="77777777" w:rsidTr="009F41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trPr>
        <w:tc>
          <w:tcPr>
            <w:tcW w:w="2240" w:type="dxa"/>
            <w:gridSpan w:val="2"/>
          </w:tcPr>
          <w:p w14:paraId="1D52EC41" w14:textId="77777777" w:rsidR="00DF452F" w:rsidRPr="009B1A37" w:rsidRDefault="00DF452F" w:rsidP="00BE3D48">
            <w:pPr>
              <w:widowControl w:val="0"/>
              <w:spacing w:line="240" w:lineRule="auto"/>
              <w:rPr>
                <w:i/>
                <w:color w:val="000000"/>
              </w:rPr>
            </w:pPr>
            <w:r w:rsidRPr="009B1A37">
              <w:rPr>
                <w:bCs/>
                <w:i/>
                <w:color w:val="000000"/>
              </w:rPr>
              <w:t>Není známo:</w:t>
            </w:r>
          </w:p>
        </w:tc>
        <w:tc>
          <w:tcPr>
            <w:tcW w:w="7114" w:type="dxa"/>
            <w:gridSpan w:val="2"/>
          </w:tcPr>
          <w:p w14:paraId="113E3FC0" w14:textId="77777777" w:rsidR="00DF452F" w:rsidRPr="009B1A37" w:rsidRDefault="00137944" w:rsidP="00BE3D48">
            <w:pPr>
              <w:widowControl w:val="0"/>
              <w:spacing w:line="240" w:lineRule="auto"/>
              <w:rPr>
                <w:color w:val="000000"/>
              </w:rPr>
            </w:pPr>
            <w:r w:rsidRPr="009B1A37">
              <w:rPr>
                <w:color w:val="000000"/>
              </w:rPr>
              <w:t>Anafylaktický</w:t>
            </w:r>
            <w:r w:rsidR="00DF452F" w:rsidRPr="009B1A37">
              <w:rPr>
                <w:color w:val="000000"/>
              </w:rPr>
              <w:t xml:space="preserve"> </w:t>
            </w:r>
            <w:r w:rsidRPr="009B1A37">
              <w:rPr>
                <w:color w:val="000000"/>
              </w:rPr>
              <w:t>šok</w:t>
            </w:r>
            <w:r w:rsidR="00DF452F" w:rsidRPr="009B1A37">
              <w:rPr>
                <w:color w:val="000000"/>
              </w:rPr>
              <w:t>*</w:t>
            </w:r>
          </w:p>
        </w:tc>
      </w:tr>
      <w:tr w:rsidR="002210AD" w:rsidRPr="009B1A37" w14:paraId="32CD178A" w14:textId="77777777" w:rsidTr="009F41EF">
        <w:trPr>
          <w:gridBefore w:val="1"/>
          <w:wBefore w:w="12" w:type="dxa"/>
          <w:cantSplit/>
        </w:trPr>
        <w:tc>
          <w:tcPr>
            <w:tcW w:w="9342" w:type="dxa"/>
            <w:gridSpan w:val="3"/>
            <w:tcBorders>
              <w:top w:val="single" w:sz="4" w:space="0" w:color="000000"/>
              <w:left w:val="single" w:sz="4" w:space="0" w:color="000000"/>
              <w:bottom w:val="single" w:sz="4" w:space="0" w:color="000000"/>
              <w:right w:val="single" w:sz="4" w:space="0" w:color="000000"/>
            </w:tcBorders>
          </w:tcPr>
          <w:p w14:paraId="2095EDB6" w14:textId="77777777" w:rsidR="002210AD" w:rsidRPr="009B1A37" w:rsidRDefault="002210AD" w:rsidP="00BE3D48">
            <w:pPr>
              <w:keepNext/>
              <w:widowControl w:val="0"/>
              <w:tabs>
                <w:tab w:val="left" w:pos="6375"/>
              </w:tabs>
              <w:snapToGrid w:val="0"/>
              <w:spacing w:line="240" w:lineRule="auto"/>
              <w:rPr>
                <w:b/>
                <w:bCs/>
                <w:color w:val="000000"/>
              </w:rPr>
            </w:pPr>
            <w:r w:rsidRPr="009B1A37">
              <w:rPr>
                <w:b/>
                <w:bCs/>
                <w:color w:val="000000"/>
              </w:rPr>
              <w:t>Poruchy krve a lymfatického systému</w:t>
            </w:r>
          </w:p>
        </w:tc>
      </w:tr>
      <w:tr w:rsidR="002210AD" w:rsidRPr="009B1A37" w14:paraId="57AA05F4"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010CDA5C" w14:textId="77777777" w:rsidR="002210AD" w:rsidRPr="009B1A37" w:rsidRDefault="002210AD" w:rsidP="00BE3D48">
            <w:pPr>
              <w:keepNext/>
              <w:widowControl w:val="0"/>
              <w:snapToGrid w:val="0"/>
              <w:spacing w:line="240" w:lineRule="auto"/>
              <w:rPr>
                <w:i/>
                <w:iCs/>
                <w:color w:val="000000"/>
              </w:rPr>
            </w:pPr>
            <w:r w:rsidRPr="009B1A37">
              <w:rPr>
                <w:i/>
                <w:iCs/>
                <w:color w:val="000000"/>
              </w:rPr>
              <w:t>Velmi časté:</w:t>
            </w:r>
          </w:p>
        </w:tc>
        <w:tc>
          <w:tcPr>
            <w:tcW w:w="7107" w:type="dxa"/>
            <w:tcBorders>
              <w:top w:val="single" w:sz="4" w:space="0" w:color="000000"/>
              <w:left w:val="single" w:sz="4" w:space="0" w:color="000000"/>
              <w:bottom w:val="single" w:sz="4" w:space="0" w:color="000000"/>
              <w:right w:val="single" w:sz="4" w:space="0" w:color="000000"/>
            </w:tcBorders>
          </w:tcPr>
          <w:p w14:paraId="6521AB00" w14:textId="77777777" w:rsidR="002210AD" w:rsidRPr="009B1A37" w:rsidRDefault="002210AD" w:rsidP="00BE3D48">
            <w:pPr>
              <w:keepNext/>
              <w:widowControl w:val="0"/>
              <w:snapToGrid w:val="0"/>
              <w:spacing w:line="240" w:lineRule="auto"/>
              <w:rPr>
                <w:color w:val="000000"/>
              </w:rPr>
            </w:pPr>
            <w:r w:rsidRPr="009B1A37">
              <w:rPr>
                <w:color w:val="000000"/>
              </w:rPr>
              <w:t>Neutropenie, trombocytopenie, anemie</w:t>
            </w:r>
          </w:p>
        </w:tc>
      </w:tr>
      <w:tr w:rsidR="002210AD" w:rsidRPr="009B1A37" w14:paraId="2D5C2C8E"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30B3369C" w14:textId="77777777" w:rsidR="002210AD" w:rsidRPr="009B1A37" w:rsidRDefault="002210AD" w:rsidP="00BE3D48">
            <w:pPr>
              <w:keepNext/>
              <w:widowControl w:val="0"/>
              <w:snapToGrid w:val="0"/>
              <w:spacing w:line="240" w:lineRule="auto"/>
              <w:rPr>
                <w:i/>
                <w:iCs/>
                <w:color w:val="000000"/>
              </w:rPr>
            </w:pPr>
            <w:r w:rsidRPr="009B1A37">
              <w:rPr>
                <w:i/>
                <w:iCs/>
                <w:color w:val="000000"/>
              </w:rPr>
              <w:t>Ćasté:</w:t>
            </w:r>
          </w:p>
        </w:tc>
        <w:tc>
          <w:tcPr>
            <w:tcW w:w="7107" w:type="dxa"/>
            <w:tcBorders>
              <w:top w:val="single" w:sz="4" w:space="0" w:color="000000"/>
              <w:left w:val="single" w:sz="4" w:space="0" w:color="000000"/>
              <w:bottom w:val="single" w:sz="4" w:space="0" w:color="000000"/>
              <w:right w:val="single" w:sz="4" w:space="0" w:color="000000"/>
            </w:tcBorders>
          </w:tcPr>
          <w:p w14:paraId="6642D7C2" w14:textId="77777777" w:rsidR="002210AD" w:rsidRPr="009B1A37" w:rsidRDefault="002210AD" w:rsidP="00BE3D48">
            <w:pPr>
              <w:keepNext/>
              <w:widowControl w:val="0"/>
              <w:snapToGrid w:val="0"/>
              <w:spacing w:line="240" w:lineRule="auto"/>
              <w:rPr>
                <w:color w:val="000000"/>
              </w:rPr>
            </w:pPr>
            <w:r w:rsidRPr="009B1A37">
              <w:rPr>
                <w:color w:val="000000"/>
              </w:rPr>
              <w:t>Pancytopenie, febrilní neutropenie</w:t>
            </w:r>
          </w:p>
        </w:tc>
      </w:tr>
      <w:tr w:rsidR="002210AD" w:rsidRPr="009B1A37" w14:paraId="599B5CF5"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44261FD3" w14:textId="77777777" w:rsidR="002210AD" w:rsidRPr="009B1A37" w:rsidRDefault="002210AD" w:rsidP="00BE3D48">
            <w:pPr>
              <w:keepNext/>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059FAC23" w14:textId="77777777" w:rsidR="002210AD" w:rsidRPr="009B1A37" w:rsidRDefault="002210AD" w:rsidP="00BE3D48">
            <w:pPr>
              <w:keepNext/>
              <w:widowControl w:val="0"/>
              <w:snapToGrid w:val="0"/>
              <w:spacing w:line="240" w:lineRule="auto"/>
              <w:rPr>
                <w:color w:val="000000"/>
              </w:rPr>
            </w:pPr>
            <w:r w:rsidRPr="009B1A37">
              <w:rPr>
                <w:color w:val="000000"/>
              </w:rPr>
              <w:t>Trombocytemie, lymfopenie, útlum kostní dřeně, eozinofilie, lymfadenopatie</w:t>
            </w:r>
          </w:p>
        </w:tc>
      </w:tr>
      <w:tr w:rsidR="002210AD" w:rsidRPr="009B1A37" w14:paraId="2C1F9BEC"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3849FD38" w14:textId="77777777" w:rsidR="002210AD" w:rsidRPr="009B1A37" w:rsidRDefault="002210AD" w:rsidP="00BE3D48">
            <w:pPr>
              <w:widowControl w:val="0"/>
              <w:snapToGrid w:val="0"/>
              <w:spacing w:line="240" w:lineRule="auto"/>
              <w:rPr>
                <w:i/>
                <w:iCs/>
                <w:color w:val="000000"/>
              </w:rPr>
            </w:pPr>
            <w:r w:rsidRPr="009B1A37">
              <w:rPr>
                <w:i/>
                <w:iCs/>
                <w:color w:val="000000"/>
              </w:rPr>
              <w:t>Vzácné:</w:t>
            </w:r>
          </w:p>
        </w:tc>
        <w:tc>
          <w:tcPr>
            <w:tcW w:w="7107" w:type="dxa"/>
            <w:tcBorders>
              <w:top w:val="single" w:sz="4" w:space="0" w:color="000000"/>
              <w:left w:val="single" w:sz="4" w:space="0" w:color="000000"/>
              <w:bottom w:val="single" w:sz="4" w:space="0" w:color="000000"/>
              <w:right w:val="single" w:sz="4" w:space="0" w:color="000000"/>
            </w:tcBorders>
          </w:tcPr>
          <w:p w14:paraId="09841B7F" w14:textId="77777777" w:rsidR="002210AD" w:rsidRPr="009B1A37" w:rsidRDefault="002210AD" w:rsidP="00BE3D48">
            <w:pPr>
              <w:widowControl w:val="0"/>
              <w:snapToGrid w:val="0"/>
              <w:spacing w:line="240" w:lineRule="auto"/>
              <w:rPr>
                <w:color w:val="000000"/>
              </w:rPr>
            </w:pPr>
            <w:r w:rsidRPr="009B1A37">
              <w:rPr>
                <w:color w:val="000000"/>
              </w:rPr>
              <w:t>Hemolytická anemie</w:t>
            </w:r>
            <w:r w:rsidR="002F2A4D" w:rsidRPr="009B1A37">
              <w:rPr>
                <w:color w:val="000000"/>
              </w:rPr>
              <w:t>, trombotická mikroangiopatie</w:t>
            </w:r>
          </w:p>
        </w:tc>
      </w:tr>
      <w:tr w:rsidR="002210AD" w:rsidRPr="009B1A37" w14:paraId="419AD7E3" w14:textId="77777777" w:rsidTr="009F41EF">
        <w:trPr>
          <w:gridBefore w:val="1"/>
          <w:wBefore w:w="12" w:type="dxa"/>
          <w:cantSplit/>
        </w:trPr>
        <w:tc>
          <w:tcPr>
            <w:tcW w:w="9342" w:type="dxa"/>
            <w:gridSpan w:val="3"/>
            <w:tcBorders>
              <w:top w:val="single" w:sz="4" w:space="0" w:color="000000"/>
              <w:left w:val="single" w:sz="4" w:space="0" w:color="000000"/>
              <w:bottom w:val="single" w:sz="4" w:space="0" w:color="000000"/>
              <w:right w:val="single" w:sz="4" w:space="0" w:color="000000"/>
            </w:tcBorders>
          </w:tcPr>
          <w:p w14:paraId="53AD7CD5" w14:textId="77777777" w:rsidR="002210AD" w:rsidRPr="009B1A37" w:rsidRDefault="002210AD" w:rsidP="00BE3D48">
            <w:pPr>
              <w:keepNext/>
              <w:widowControl w:val="0"/>
              <w:snapToGrid w:val="0"/>
              <w:spacing w:line="240" w:lineRule="auto"/>
              <w:rPr>
                <w:b/>
                <w:bCs/>
                <w:color w:val="000000"/>
              </w:rPr>
            </w:pPr>
            <w:r w:rsidRPr="009B1A37">
              <w:rPr>
                <w:b/>
                <w:bCs/>
                <w:color w:val="000000"/>
              </w:rPr>
              <w:t>Poruchy metabolismu a výživy</w:t>
            </w:r>
          </w:p>
        </w:tc>
      </w:tr>
      <w:tr w:rsidR="002210AD" w:rsidRPr="009B1A37" w14:paraId="4856F3E4"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6C58F781" w14:textId="77777777" w:rsidR="002210AD" w:rsidRPr="009B1A37" w:rsidRDefault="002210AD" w:rsidP="00BE3D48">
            <w:pPr>
              <w:keepNext/>
              <w:widowControl w:val="0"/>
              <w:snapToGrid w:val="0"/>
              <w:spacing w:line="240" w:lineRule="auto"/>
              <w:rPr>
                <w:i/>
                <w:iCs/>
                <w:color w:val="000000"/>
              </w:rPr>
            </w:pPr>
            <w:r w:rsidRPr="009B1A37">
              <w:rPr>
                <w:i/>
                <w:iCs/>
                <w:color w:val="000000"/>
              </w:rPr>
              <w:t>Časté</w:t>
            </w:r>
            <w:r w:rsidR="00F54252" w:rsidRPr="009B1A37">
              <w:rPr>
                <w:i/>
                <w:iCs/>
                <w:color w:val="000000"/>
              </w:rPr>
              <w:t>:</w:t>
            </w:r>
          </w:p>
        </w:tc>
        <w:tc>
          <w:tcPr>
            <w:tcW w:w="7107" w:type="dxa"/>
            <w:tcBorders>
              <w:top w:val="single" w:sz="4" w:space="0" w:color="000000"/>
              <w:left w:val="single" w:sz="4" w:space="0" w:color="000000"/>
              <w:bottom w:val="single" w:sz="4" w:space="0" w:color="000000"/>
              <w:right w:val="single" w:sz="4" w:space="0" w:color="000000"/>
            </w:tcBorders>
          </w:tcPr>
          <w:p w14:paraId="2C1BFA1D" w14:textId="77777777" w:rsidR="002210AD" w:rsidRPr="009B1A37" w:rsidRDefault="002210AD" w:rsidP="00BE3D48">
            <w:pPr>
              <w:keepNext/>
              <w:widowControl w:val="0"/>
              <w:snapToGrid w:val="0"/>
              <w:spacing w:line="240" w:lineRule="auto"/>
              <w:rPr>
                <w:color w:val="000000"/>
              </w:rPr>
            </w:pPr>
            <w:r w:rsidRPr="009B1A37">
              <w:rPr>
                <w:color w:val="000000"/>
              </w:rPr>
              <w:t>Anorexie</w:t>
            </w:r>
          </w:p>
        </w:tc>
      </w:tr>
      <w:tr w:rsidR="002210AD" w:rsidRPr="009B1A37" w14:paraId="00D664DF"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4AD74500" w14:textId="77777777" w:rsidR="002210AD" w:rsidRPr="009B1A37" w:rsidRDefault="002210AD" w:rsidP="00BE3D48">
            <w:pPr>
              <w:keepNext/>
              <w:widowControl w:val="0"/>
              <w:snapToGrid w:val="0"/>
              <w:spacing w:line="240" w:lineRule="auto"/>
              <w:rPr>
                <w:i/>
                <w:iCs/>
                <w:color w:val="000000"/>
              </w:rPr>
            </w:pPr>
            <w:r w:rsidRPr="009B1A37">
              <w:rPr>
                <w:i/>
                <w:iCs/>
                <w:color w:val="000000"/>
              </w:rPr>
              <w:t>Méně časté</w:t>
            </w:r>
            <w:r w:rsidR="00F54252" w:rsidRPr="009B1A37">
              <w:rPr>
                <w:i/>
                <w:iCs/>
                <w:color w:val="000000"/>
              </w:rPr>
              <w:t>:</w:t>
            </w:r>
          </w:p>
        </w:tc>
        <w:tc>
          <w:tcPr>
            <w:tcW w:w="7107" w:type="dxa"/>
            <w:tcBorders>
              <w:top w:val="single" w:sz="4" w:space="0" w:color="000000"/>
              <w:left w:val="single" w:sz="4" w:space="0" w:color="000000"/>
              <w:bottom w:val="single" w:sz="4" w:space="0" w:color="000000"/>
              <w:right w:val="single" w:sz="4" w:space="0" w:color="000000"/>
            </w:tcBorders>
          </w:tcPr>
          <w:p w14:paraId="3F7EDC4E" w14:textId="77777777" w:rsidR="002210AD" w:rsidRPr="009B1A37" w:rsidRDefault="002210AD" w:rsidP="00BE3D48">
            <w:pPr>
              <w:keepNext/>
              <w:widowControl w:val="0"/>
              <w:snapToGrid w:val="0"/>
              <w:spacing w:line="240" w:lineRule="auto"/>
              <w:rPr>
                <w:color w:val="000000"/>
              </w:rPr>
            </w:pPr>
            <w:r w:rsidRPr="009B1A37">
              <w:rPr>
                <w:color w:val="000000"/>
              </w:rPr>
              <w:t>Hypokalemie, zvýšená chuť k jídlu, hypofosfatemie, snížená chuť k jídlu, dehydratace, dna, hyperurikemie, hyperkalcemie, hyperglykemie, hyponatremie</w:t>
            </w:r>
          </w:p>
        </w:tc>
      </w:tr>
      <w:tr w:rsidR="002210AD" w:rsidRPr="009B1A37" w14:paraId="6FEB5F1A"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3BE86BE5" w14:textId="77777777" w:rsidR="002210AD" w:rsidRPr="009B1A37" w:rsidRDefault="002210AD" w:rsidP="00BE3D48">
            <w:pPr>
              <w:widowControl w:val="0"/>
              <w:snapToGrid w:val="0"/>
              <w:spacing w:line="240" w:lineRule="auto"/>
              <w:rPr>
                <w:i/>
                <w:iCs/>
                <w:color w:val="000000"/>
              </w:rPr>
            </w:pPr>
            <w:r w:rsidRPr="009B1A37">
              <w:rPr>
                <w:i/>
                <w:iCs/>
                <w:color w:val="000000"/>
              </w:rPr>
              <w:t>Vzácné</w:t>
            </w:r>
            <w:r w:rsidR="00F54252" w:rsidRPr="009B1A37">
              <w:rPr>
                <w:i/>
                <w:iCs/>
                <w:color w:val="000000"/>
              </w:rPr>
              <w:t>:</w:t>
            </w:r>
          </w:p>
        </w:tc>
        <w:tc>
          <w:tcPr>
            <w:tcW w:w="7107" w:type="dxa"/>
            <w:tcBorders>
              <w:top w:val="single" w:sz="4" w:space="0" w:color="000000"/>
              <w:left w:val="single" w:sz="4" w:space="0" w:color="000000"/>
              <w:bottom w:val="single" w:sz="4" w:space="0" w:color="000000"/>
              <w:right w:val="single" w:sz="4" w:space="0" w:color="000000"/>
            </w:tcBorders>
          </w:tcPr>
          <w:p w14:paraId="5E800276" w14:textId="77777777" w:rsidR="002210AD" w:rsidRPr="009B1A37" w:rsidRDefault="002210AD" w:rsidP="00BE3D48">
            <w:pPr>
              <w:widowControl w:val="0"/>
              <w:snapToGrid w:val="0"/>
              <w:spacing w:line="240" w:lineRule="auto"/>
              <w:rPr>
                <w:color w:val="000000"/>
              </w:rPr>
            </w:pPr>
            <w:r w:rsidRPr="009B1A37">
              <w:rPr>
                <w:color w:val="000000"/>
              </w:rPr>
              <w:t>Hyperkalemie, hypomagnez</w:t>
            </w:r>
            <w:r w:rsidR="005026BE" w:rsidRPr="009B1A37">
              <w:rPr>
                <w:color w:val="000000"/>
              </w:rPr>
              <w:t>e</w:t>
            </w:r>
            <w:r w:rsidRPr="009B1A37">
              <w:rPr>
                <w:color w:val="000000"/>
              </w:rPr>
              <w:t>mie</w:t>
            </w:r>
          </w:p>
        </w:tc>
      </w:tr>
      <w:tr w:rsidR="002210AD" w:rsidRPr="009B1A37" w14:paraId="7615529F" w14:textId="77777777" w:rsidTr="009F41EF">
        <w:trPr>
          <w:gridBefore w:val="1"/>
          <w:wBefore w:w="12" w:type="dxa"/>
          <w:cantSplit/>
        </w:trPr>
        <w:tc>
          <w:tcPr>
            <w:tcW w:w="9342" w:type="dxa"/>
            <w:gridSpan w:val="3"/>
            <w:tcBorders>
              <w:top w:val="single" w:sz="4" w:space="0" w:color="000000"/>
              <w:left w:val="single" w:sz="4" w:space="0" w:color="000000"/>
              <w:bottom w:val="single" w:sz="4" w:space="0" w:color="000000"/>
              <w:right w:val="single" w:sz="4" w:space="0" w:color="000000"/>
            </w:tcBorders>
          </w:tcPr>
          <w:p w14:paraId="33AC5A6A" w14:textId="77777777" w:rsidR="002210AD" w:rsidRPr="009B1A37" w:rsidRDefault="002210AD" w:rsidP="00BE3D48">
            <w:pPr>
              <w:keepNext/>
              <w:widowControl w:val="0"/>
              <w:snapToGrid w:val="0"/>
              <w:spacing w:line="240" w:lineRule="auto"/>
              <w:rPr>
                <w:b/>
                <w:bCs/>
                <w:color w:val="000000"/>
              </w:rPr>
            </w:pPr>
            <w:r w:rsidRPr="009B1A37">
              <w:rPr>
                <w:b/>
                <w:bCs/>
                <w:color w:val="000000"/>
              </w:rPr>
              <w:t>Psychiatrické poruchy</w:t>
            </w:r>
          </w:p>
        </w:tc>
      </w:tr>
      <w:tr w:rsidR="002210AD" w:rsidRPr="009B1A37" w14:paraId="3DDD0051"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2B0F8DDB" w14:textId="77777777" w:rsidR="002210AD" w:rsidRPr="009B1A37" w:rsidRDefault="002210AD" w:rsidP="00BE3D48">
            <w:pPr>
              <w:keepNext/>
              <w:widowControl w:val="0"/>
              <w:snapToGrid w:val="0"/>
              <w:spacing w:line="240" w:lineRule="auto"/>
              <w:rPr>
                <w:i/>
                <w:iCs/>
                <w:color w:val="000000"/>
              </w:rPr>
            </w:pPr>
            <w:r w:rsidRPr="009B1A37">
              <w:rPr>
                <w:i/>
                <w:iCs/>
                <w:color w:val="000000"/>
              </w:rPr>
              <w:t>Časté</w:t>
            </w:r>
            <w:r w:rsidR="00F54252" w:rsidRPr="009B1A37">
              <w:rPr>
                <w:i/>
                <w:iCs/>
                <w:color w:val="000000"/>
              </w:rPr>
              <w:t>:</w:t>
            </w:r>
          </w:p>
        </w:tc>
        <w:tc>
          <w:tcPr>
            <w:tcW w:w="7107" w:type="dxa"/>
            <w:tcBorders>
              <w:top w:val="single" w:sz="4" w:space="0" w:color="000000"/>
              <w:left w:val="single" w:sz="4" w:space="0" w:color="000000"/>
              <w:bottom w:val="single" w:sz="4" w:space="0" w:color="000000"/>
              <w:right w:val="single" w:sz="4" w:space="0" w:color="000000"/>
            </w:tcBorders>
          </w:tcPr>
          <w:p w14:paraId="0EC1DA36" w14:textId="77777777" w:rsidR="002210AD" w:rsidRPr="009B1A37" w:rsidRDefault="00D55077" w:rsidP="00BE3D48">
            <w:pPr>
              <w:keepNext/>
              <w:widowControl w:val="0"/>
              <w:snapToGrid w:val="0"/>
              <w:spacing w:line="240" w:lineRule="auto"/>
              <w:rPr>
                <w:color w:val="000000"/>
              </w:rPr>
            </w:pPr>
            <w:r w:rsidRPr="009B1A37">
              <w:rPr>
                <w:color w:val="000000"/>
              </w:rPr>
              <w:t>Insomnie</w:t>
            </w:r>
          </w:p>
        </w:tc>
      </w:tr>
      <w:tr w:rsidR="002210AD" w:rsidRPr="009B1A37" w14:paraId="79D265C9"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6261EDD4" w14:textId="77777777" w:rsidR="002210AD" w:rsidRPr="009B1A37" w:rsidRDefault="002210AD" w:rsidP="00BE3D48">
            <w:pPr>
              <w:keepNext/>
              <w:widowControl w:val="0"/>
              <w:snapToGrid w:val="0"/>
              <w:spacing w:line="240" w:lineRule="auto"/>
              <w:rPr>
                <w:i/>
                <w:iCs/>
                <w:color w:val="000000"/>
              </w:rPr>
            </w:pPr>
            <w:r w:rsidRPr="009B1A37">
              <w:rPr>
                <w:i/>
                <w:iCs/>
                <w:color w:val="000000"/>
              </w:rPr>
              <w:t>Méně časté</w:t>
            </w:r>
            <w:r w:rsidR="00F54252" w:rsidRPr="009B1A37">
              <w:rPr>
                <w:i/>
                <w:iCs/>
                <w:color w:val="000000"/>
              </w:rPr>
              <w:t>:</w:t>
            </w:r>
          </w:p>
        </w:tc>
        <w:tc>
          <w:tcPr>
            <w:tcW w:w="7107" w:type="dxa"/>
            <w:tcBorders>
              <w:top w:val="single" w:sz="4" w:space="0" w:color="000000"/>
              <w:left w:val="single" w:sz="4" w:space="0" w:color="000000"/>
              <w:bottom w:val="single" w:sz="4" w:space="0" w:color="000000"/>
              <w:right w:val="single" w:sz="4" w:space="0" w:color="000000"/>
            </w:tcBorders>
          </w:tcPr>
          <w:p w14:paraId="61EDC604" w14:textId="77777777" w:rsidR="002210AD" w:rsidRPr="009B1A37" w:rsidRDefault="002210AD" w:rsidP="00BE3D48">
            <w:pPr>
              <w:keepNext/>
              <w:widowControl w:val="0"/>
              <w:snapToGrid w:val="0"/>
              <w:spacing w:line="240" w:lineRule="auto"/>
              <w:rPr>
                <w:color w:val="000000"/>
              </w:rPr>
            </w:pPr>
            <w:r w:rsidRPr="009B1A37">
              <w:rPr>
                <w:color w:val="000000"/>
              </w:rPr>
              <w:t>Deprese, snížení libida, úzkost</w:t>
            </w:r>
          </w:p>
        </w:tc>
      </w:tr>
      <w:tr w:rsidR="002210AD" w:rsidRPr="009B1A37" w14:paraId="0E0545FA"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1797C429" w14:textId="77777777" w:rsidR="002210AD" w:rsidRPr="009B1A37" w:rsidRDefault="002210AD" w:rsidP="00BE3D48">
            <w:pPr>
              <w:widowControl w:val="0"/>
              <w:snapToGrid w:val="0"/>
              <w:spacing w:line="240" w:lineRule="auto"/>
              <w:rPr>
                <w:i/>
                <w:iCs/>
                <w:color w:val="000000"/>
              </w:rPr>
            </w:pPr>
            <w:r w:rsidRPr="009B1A37">
              <w:rPr>
                <w:i/>
                <w:iCs/>
                <w:color w:val="000000"/>
              </w:rPr>
              <w:t>Vzácné</w:t>
            </w:r>
            <w:r w:rsidR="00F54252" w:rsidRPr="009B1A37">
              <w:rPr>
                <w:i/>
                <w:iCs/>
                <w:color w:val="000000"/>
              </w:rPr>
              <w:t>:</w:t>
            </w:r>
          </w:p>
        </w:tc>
        <w:tc>
          <w:tcPr>
            <w:tcW w:w="7107" w:type="dxa"/>
            <w:tcBorders>
              <w:top w:val="single" w:sz="4" w:space="0" w:color="000000"/>
              <w:left w:val="single" w:sz="4" w:space="0" w:color="000000"/>
              <w:bottom w:val="single" w:sz="4" w:space="0" w:color="000000"/>
              <w:right w:val="single" w:sz="4" w:space="0" w:color="000000"/>
            </w:tcBorders>
          </w:tcPr>
          <w:p w14:paraId="344D215A" w14:textId="77777777" w:rsidR="002210AD" w:rsidRPr="009B1A37" w:rsidRDefault="002210AD" w:rsidP="00BE3D48">
            <w:pPr>
              <w:widowControl w:val="0"/>
              <w:snapToGrid w:val="0"/>
              <w:spacing w:line="240" w:lineRule="auto"/>
              <w:rPr>
                <w:color w:val="000000"/>
              </w:rPr>
            </w:pPr>
            <w:r w:rsidRPr="009B1A37">
              <w:rPr>
                <w:color w:val="000000"/>
              </w:rPr>
              <w:t>Stav zmatenosti</w:t>
            </w:r>
          </w:p>
        </w:tc>
      </w:tr>
      <w:tr w:rsidR="002210AD" w:rsidRPr="009B1A37" w14:paraId="4F1D6A3B" w14:textId="77777777" w:rsidTr="009F41EF">
        <w:trPr>
          <w:gridBefore w:val="1"/>
          <w:wBefore w:w="12" w:type="dxa"/>
          <w:cantSplit/>
        </w:trPr>
        <w:tc>
          <w:tcPr>
            <w:tcW w:w="9342" w:type="dxa"/>
            <w:gridSpan w:val="3"/>
            <w:tcBorders>
              <w:top w:val="single" w:sz="4" w:space="0" w:color="000000"/>
              <w:left w:val="single" w:sz="4" w:space="0" w:color="000000"/>
              <w:bottom w:val="single" w:sz="4" w:space="0" w:color="000000"/>
              <w:right w:val="single" w:sz="4" w:space="0" w:color="000000"/>
            </w:tcBorders>
          </w:tcPr>
          <w:p w14:paraId="7B5A37D9" w14:textId="77777777" w:rsidR="002210AD" w:rsidRPr="009B1A37" w:rsidRDefault="002210AD" w:rsidP="00BE3D48">
            <w:pPr>
              <w:keepNext/>
              <w:widowControl w:val="0"/>
              <w:snapToGrid w:val="0"/>
              <w:spacing w:line="240" w:lineRule="auto"/>
              <w:rPr>
                <w:b/>
                <w:bCs/>
                <w:color w:val="000000"/>
              </w:rPr>
            </w:pPr>
            <w:r w:rsidRPr="009B1A37">
              <w:rPr>
                <w:b/>
                <w:bCs/>
                <w:color w:val="000000"/>
              </w:rPr>
              <w:t>Poruchy nervového systému</w:t>
            </w:r>
          </w:p>
        </w:tc>
      </w:tr>
      <w:tr w:rsidR="002210AD" w:rsidRPr="009B1A37" w14:paraId="217398C6"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36813093" w14:textId="77777777" w:rsidR="002210AD" w:rsidRPr="009B1A37" w:rsidRDefault="002210AD" w:rsidP="00BE3D48">
            <w:pPr>
              <w:keepNext/>
              <w:widowControl w:val="0"/>
              <w:snapToGrid w:val="0"/>
              <w:spacing w:line="240" w:lineRule="auto"/>
              <w:rPr>
                <w:i/>
                <w:iCs/>
                <w:color w:val="000000"/>
              </w:rPr>
            </w:pPr>
            <w:r w:rsidRPr="009B1A37">
              <w:rPr>
                <w:i/>
                <w:iCs/>
                <w:color w:val="000000"/>
              </w:rPr>
              <w:t>Velmi časté:</w:t>
            </w:r>
          </w:p>
        </w:tc>
        <w:tc>
          <w:tcPr>
            <w:tcW w:w="7107" w:type="dxa"/>
            <w:tcBorders>
              <w:top w:val="single" w:sz="4" w:space="0" w:color="000000"/>
              <w:left w:val="single" w:sz="4" w:space="0" w:color="000000"/>
              <w:bottom w:val="single" w:sz="4" w:space="0" w:color="000000"/>
              <w:right w:val="single" w:sz="4" w:space="0" w:color="000000"/>
            </w:tcBorders>
          </w:tcPr>
          <w:p w14:paraId="15315AC3" w14:textId="77777777" w:rsidR="002210AD" w:rsidRPr="009B1A37" w:rsidRDefault="002210AD" w:rsidP="00BE3D48">
            <w:pPr>
              <w:keepNext/>
              <w:widowControl w:val="0"/>
              <w:snapToGrid w:val="0"/>
              <w:spacing w:line="240" w:lineRule="auto"/>
              <w:rPr>
                <w:color w:val="000000"/>
                <w:vertAlign w:val="superscript"/>
              </w:rPr>
            </w:pPr>
            <w:r w:rsidRPr="009B1A37">
              <w:rPr>
                <w:color w:val="000000"/>
              </w:rPr>
              <w:t>Bolest hlavy</w:t>
            </w:r>
            <w:r w:rsidRPr="009B1A37">
              <w:rPr>
                <w:color w:val="000000"/>
                <w:vertAlign w:val="superscript"/>
              </w:rPr>
              <w:t>2</w:t>
            </w:r>
          </w:p>
        </w:tc>
      </w:tr>
      <w:tr w:rsidR="002210AD" w:rsidRPr="009B1A37" w14:paraId="25D26C2E"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6AB8A4AA" w14:textId="77777777" w:rsidR="002210AD" w:rsidRPr="009B1A37" w:rsidRDefault="002210AD" w:rsidP="00BE3D48">
            <w:pPr>
              <w:keepNext/>
              <w:widowControl w:val="0"/>
              <w:snapToGrid w:val="0"/>
              <w:spacing w:line="240" w:lineRule="auto"/>
              <w:rPr>
                <w:i/>
                <w:iCs/>
                <w:color w:val="000000"/>
              </w:rPr>
            </w:pPr>
            <w:r w:rsidRPr="009B1A37">
              <w:rPr>
                <w:i/>
                <w:iCs/>
                <w:color w:val="000000"/>
              </w:rPr>
              <w:t>Časté:</w:t>
            </w:r>
          </w:p>
        </w:tc>
        <w:tc>
          <w:tcPr>
            <w:tcW w:w="7107" w:type="dxa"/>
            <w:tcBorders>
              <w:top w:val="single" w:sz="4" w:space="0" w:color="000000"/>
              <w:left w:val="single" w:sz="4" w:space="0" w:color="000000"/>
              <w:bottom w:val="single" w:sz="4" w:space="0" w:color="000000"/>
              <w:right w:val="single" w:sz="4" w:space="0" w:color="000000"/>
            </w:tcBorders>
          </w:tcPr>
          <w:p w14:paraId="48920B90" w14:textId="77777777" w:rsidR="002210AD" w:rsidRPr="009B1A37" w:rsidRDefault="002210AD" w:rsidP="00BE3D48">
            <w:pPr>
              <w:keepNext/>
              <w:widowControl w:val="0"/>
              <w:snapToGrid w:val="0"/>
              <w:spacing w:line="240" w:lineRule="auto"/>
              <w:rPr>
                <w:color w:val="000000"/>
              </w:rPr>
            </w:pPr>
            <w:r w:rsidRPr="009B1A37">
              <w:rPr>
                <w:color w:val="000000"/>
              </w:rPr>
              <w:t>Závratě, parestezie, porucha chut</w:t>
            </w:r>
            <w:r w:rsidR="005026BE" w:rsidRPr="009B1A37">
              <w:rPr>
                <w:color w:val="000000"/>
              </w:rPr>
              <w:t>i</w:t>
            </w:r>
            <w:r w:rsidRPr="009B1A37">
              <w:rPr>
                <w:color w:val="000000"/>
              </w:rPr>
              <w:t>, hypestezie</w:t>
            </w:r>
          </w:p>
        </w:tc>
      </w:tr>
      <w:tr w:rsidR="002210AD" w:rsidRPr="009B1A37" w14:paraId="18D4C2BB"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148CE486" w14:textId="77777777" w:rsidR="002210AD" w:rsidRPr="009B1A37" w:rsidRDefault="002210AD" w:rsidP="00BE3D48">
            <w:pPr>
              <w:keepNext/>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7C27AAEA" w14:textId="77777777" w:rsidR="002210AD" w:rsidRPr="009B1A37" w:rsidRDefault="002210AD" w:rsidP="00BE3D48">
            <w:pPr>
              <w:keepNext/>
              <w:widowControl w:val="0"/>
              <w:snapToGrid w:val="0"/>
              <w:spacing w:line="240" w:lineRule="auto"/>
              <w:rPr>
                <w:color w:val="000000"/>
              </w:rPr>
            </w:pPr>
            <w:r w:rsidRPr="009B1A37">
              <w:rPr>
                <w:color w:val="000000"/>
              </w:rPr>
              <w:t>Migréna, somnolence, synkopa, periferní neuropatie, zhoršení paměti, ischias, syndrom neklidných nohou, t</w:t>
            </w:r>
            <w:r w:rsidR="00D55077" w:rsidRPr="009B1A37">
              <w:rPr>
                <w:color w:val="000000"/>
              </w:rPr>
              <w:t>remor, cerebrální</w:t>
            </w:r>
            <w:r w:rsidRPr="009B1A37">
              <w:rPr>
                <w:color w:val="000000"/>
              </w:rPr>
              <w:t xml:space="preserve"> krvácení</w:t>
            </w:r>
          </w:p>
        </w:tc>
      </w:tr>
      <w:tr w:rsidR="002210AD" w:rsidRPr="009B1A37" w14:paraId="4D8B08F0"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353F2CD1" w14:textId="77777777" w:rsidR="002210AD" w:rsidRPr="009B1A37" w:rsidRDefault="002210AD" w:rsidP="00BE3D48">
            <w:pPr>
              <w:keepNext/>
              <w:widowControl w:val="0"/>
              <w:snapToGrid w:val="0"/>
              <w:spacing w:line="240" w:lineRule="auto"/>
              <w:rPr>
                <w:i/>
                <w:iCs/>
                <w:color w:val="000000"/>
              </w:rPr>
            </w:pPr>
            <w:r w:rsidRPr="009B1A37">
              <w:rPr>
                <w:i/>
                <w:iCs/>
                <w:color w:val="000000"/>
              </w:rPr>
              <w:t>Vzácné:</w:t>
            </w:r>
          </w:p>
        </w:tc>
        <w:tc>
          <w:tcPr>
            <w:tcW w:w="7107" w:type="dxa"/>
            <w:tcBorders>
              <w:top w:val="single" w:sz="4" w:space="0" w:color="000000"/>
              <w:left w:val="single" w:sz="4" w:space="0" w:color="000000"/>
              <w:bottom w:val="single" w:sz="4" w:space="0" w:color="000000"/>
              <w:right w:val="single" w:sz="4" w:space="0" w:color="000000"/>
            </w:tcBorders>
          </w:tcPr>
          <w:p w14:paraId="53A72032" w14:textId="77777777" w:rsidR="002210AD" w:rsidRPr="009B1A37" w:rsidRDefault="002210AD" w:rsidP="00BE3D48">
            <w:pPr>
              <w:keepNext/>
              <w:widowControl w:val="0"/>
              <w:snapToGrid w:val="0"/>
              <w:spacing w:line="240" w:lineRule="auto"/>
              <w:rPr>
                <w:color w:val="000000"/>
              </w:rPr>
            </w:pPr>
            <w:r w:rsidRPr="009B1A37">
              <w:rPr>
                <w:color w:val="000000"/>
              </w:rPr>
              <w:t>Zvýšený intrakraniální tlak, k</w:t>
            </w:r>
            <w:r w:rsidR="00D55077" w:rsidRPr="009B1A37">
              <w:rPr>
                <w:color w:val="000000"/>
              </w:rPr>
              <w:t>onvulze</w:t>
            </w:r>
            <w:r w:rsidRPr="009B1A37">
              <w:rPr>
                <w:color w:val="000000"/>
              </w:rPr>
              <w:t>, optická neuritida</w:t>
            </w:r>
          </w:p>
        </w:tc>
      </w:tr>
      <w:tr w:rsidR="00137944" w:rsidRPr="009B1A37" w14:paraId="49D6A972"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69E2B2CE" w14:textId="77777777" w:rsidR="00137944" w:rsidRPr="009B1A37" w:rsidRDefault="00137944" w:rsidP="00BE3D48">
            <w:pPr>
              <w:widowControl w:val="0"/>
              <w:snapToGrid w:val="0"/>
              <w:spacing w:line="240" w:lineRule="auto"/>
              <w:rPr>
                <w:i/>
                <w:iCs/>
                <w:color w:val="000000"/>
              </w:rPr>
            </w:pPr>
            <w:r w:rsidRPr="009B1A37">
              <w:rPr>
                <w:i/>
                <w:iCs/>
                <w:color w:val="000000"/>
              </w:rPr>
              <w:t>Není známo:</w:t>
            </w:r>
          </w:p>
        </w:tc>
        <w:tc>
          <w:tcPr>
            <w:tcW w:w="7107" w:type="dxa"/>
            <w:tcBorders>
              <w:top w:val="single" w:sz="4" w:space="0" w:color="000000"/>
              <w:left w:val="single" w:sz="4" w:space="0" w:color="000000"/>
              <w:bottom w:val="single" w:sz="4" w:space="0" w:color="000000"/>
              <w:right w:val="single" w:sz="4" w:space="0" w:color="000000"/>
            </w:tcBorders>
          </w:tcPr>
          <w:p w14:paraId="38F27DF3" w14:textId="77777777" w:rsidR="00137944" w:rsidRPr="009B1A37" w:rsidRDefault="00A40A1C" w:rsidP="00BE3D48">
            <w:pPr>
              <w:widowControl w:val="0"/>
              <w:snapToGrid w:val="0"/>
              <w:spacing w:line="240" w:lineRule="auto"/>
              <w:rPr>
                <w:color w:val="000000"/>
              </w:rPr>
            </w:pPr>
            <w:r w:rsidRPr="009B1A37">
              <w:rPr>
                <w:color w:val="000000"/>
              </w:rPr>
              <w:t>Cerebrální edém</w:t>
            </w:r>
            <w:r w:rsidR="00137944" w:rsidRPr="009B1A37">
              <w:rPr>
                <w:color w:val="000000"/>
              </w:rPr>
              <w:t>*</w:t>
            </w:r>
          </w:p>
        </w:tc>
      </w:tr>
      <w:tr w:rsidR="002210AD" w:rsidRPr="009B1A37" w14:paraId="71195AC9" w14:textId="77777777" w:rsidTr="009F41EF">
        <w:trPr>
          <w:gridBefore w:val="1"/>
          <w:wBefore w:w="12" w:type="dxa"/>
          <w:cantSplit/>
        </w:trPr>
        <w:tc>
          <w:tcPr>
            <w:tcW w:w="9342" w:type="dxa"/>
            <w:gridSpan w:val="3"/>
            <w:tcBorders>
              <w:top w:val="single" w:sz="4" w:space="0" w:color="000000"/>
              <w:left w:val="single" w:sz="4" w:space="0" w:color="000000"/>
              <w:bottom w:val="single" w:sz="4" w:space="0" w:color="000000"/>
              <w:right w:val="single" w:sz="4" w:space="0" w:color="000000"/>
            </w:tcBorders>
          </w:tcPr>
          <w:p w14:paraId="4B2F4FE8" w14:textId="77777777" w:rsidR="002210AD" w:rsidRPr="009B1A37" w:rsidRDefault="002210AD" w:rsidP="00BE3D48">
            <w:pPr>
              <w:keepNext/>
              <w:widowControl w:val="0"/>
              <w:snapToGrid w:val="0"/>
              <w:spacing w:line="240" w:lineRule="auto"/>
              <w:rPr>
                <w:i/>
                <w:iCs/>
                <w:color w:val="000000"/>
              </w:rPr>
            </w:pPr>
            <w:r w:rsidRPr="009B1A37">
              <w:rPr>
                <w:b/>
                <w:bCs/>
                <w:color w:val="000000"/>
              </w:rPr>
              <w:t>Poruchy oka</w:t>
            </w:r>
          </w:p>
        </w:tc>
      </w:tr>
      <w:tr w:rsidR="002210AD" w:rsidRPr="009B1A37" w14:paraId="4D10534F"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74BCB33F" w14:textId="77777777" w:rsidR="002210AD" w:rsidRPr="009B1A37" w:rsidRDefault="002210AD" w:rsidP="00BE3D48">
            <w:pPr>
              <w:keepNext/>
              <w:widowControl w:val="0"/>
              <w:snapToGrid w:val="0"/>
              <w:spacing w:line="240" w:lineRule="auto"/>
              <w:rPr>
                <w:i/>
                <w:iCs/>
                <w:color w:val="000000"/>
              </w:rPr>
            </w:pPr>
            <w:r w:rsidRPr="009B1A37">
              <w:rPr>
                <w:i/>
                <w:iCs/>
                <w:color w:val="000000"/>
              </w:rPr>
              <w:t>Časté:</w:t>
            </w:r>
          </w:p>
        </w:tc>
        <w:tc>
          <w:tcPr>
            <w:tcW w:w="7107" w:type="dxa"/>
            <w:tcBorders>
              <w:top w:val="single" w:sz="4" w:space="0" w:color="000000"/>
              <w:left w:val="single" w:sz="4" w:space="0" w:color="000000"/>
              <w:bottom w:val="single" w:sz="4" w:space="0" w:color="000000"/>
              <w:right w:val="single" w:sz="4" w:space="0" w:color="000000"/>
            </w:tcBorders>
          </w:tcPr>
          <w:p w14:paraId="06357D30" w14:textId="77777777" w:rsidR="002210AD" w:rsidRPr="009B1A37" w:rsidRDefault="002210AD" w:rsidP="00BE3D48">
            <w:pPr>
              <w:keepNext/>
              <w:widowControl w:val="0"/>
              <w:snapToGrid w:val="0"/>
              <w:spacing w:line="240" w:lineRule="auto"/>
              <w:rPr>
                <w:color w:val="000000"/>
              </w:rPr>
            </w:pPr>
            <w:r w:rsidRPr="009B1A37">
              <w:rPr>
                <w:color w:val="000000"/>
              </w:rPr>
              <w:t>Otok očních víček, zvýšené slzení, krvácení do spojivky, konjunktivitida, syndrom suchého oka, rozmazané vidění</w:t>
            </w:r>
          </w:p>
        </w:tc>
      </w:tr>
      <w:tr w:rsidR="002210AD" w:rsidRPr="009B1A37" w14:paraId="31B21FC5"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0658D25F" w14:textId="77777777" w:rsidR="002210AD" w:rsidRPr="009B1A37" w:rsidRDefault="002210AD" w:rsidP="00BE3D48">
            <w:pPr>
              <w:keepNext/>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188B43BB" w14:textId="77777777" w:rsidR="002210AD" w:rsidRPr="009B1A37" w:rsidRDefault="002210AD" w:rsidP="00BE3D48">
            <w:pPr>
              <w:keepNext/>
              <w:widowControl w:val="0"/>
              <w:snapToGrid w:val="0"/>
              <w:spacing w:line="240" w:lineRule="auto"/>
              <w:rPr>
                <w:color w:val="000000"/>
              </w:rPr>
            </w:pPr>
            <w:r w:rsidRPr="009B1A37">
              <w:rPr>
                <w:color w:val="000000"/>
              </w:rPr>
              <w:t xml:space="preserve">Podráždění očí, bolest očí, edém očnice, krvácení do </w:t>
            </w:r>
            <w:r w:rsidR="00D55077" w:rsidRPr="009B1A37">
              <w:rPr>
                <w:color w:val="000000"/>
              </w:rPr>
              <w:t>skléry</w:t>
            </w:r>
            <w:r w:rsidRPr="009B1A37">
              <w:rPr>
                <w:color w:val="000000"/>
              </w:rPr>
              <w:t>, krvácení do sítnice, blefaritida, makulární edém</w:t>
            </w:r>
          </w:p>
        </w:tc>
      </w:tr>
      <w:tr w:rsidR="00137944" w:rsidRPr="009B1A37" w14:paraId="0220CF39"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1979A34F" w14:textId="77777777" w:rsidR="00137944" w:rsidRPr="009B1A37" w:rsidRDefault="00137944" w:rsidP="00BE3D48">
            <w:pPr>
              <w:widowControl w:val="0"/>
              <w:snapToGrid w:val="0"/>
              <w:spacing w:line="240" w:lineRule="auto"/>
              <w:rPr>
                <w:i/>
                <w:iCs/>
                <w:color w:val="000000"/>
              </w:rPr>
            </w:pPr>
            <w:r w:rsidRPr="009B1A37">
              <w:rPr>
                <w:i/>
                <w:iCs/>
                <w:color w:val="000000"/>
              </w:rPr>
              <w:t>Není známo:</w:t>
            </w:r>
          </w:p>
        </w:tc>
        <w:tc>
          <w:tcPr>
            <w:tcW w:w="7107" w:type="dxa"/>
            <w:tcBorders>
              <w:top w:val="single" w:sz="4" w:space="0" w:color="000000"/>
              <w:left w:val="single" w:sz="4" w:space="0" w:color="000000"/>
              <w:bottom w:val="single" w:sz="4" w:space="0" w:color="000000"/>
              <w:right w:val="single" w:sz="4" w:space="0" w:color="000000"/>
            </w:tcBorders>
          </w:tcPr>
          <w:p w14:paraId="6A7ABFE6" w14:textId="77777777" w:rsidR="00137944" w:rsidRPr="009B1A37" w:rsidRDefault="00C606C1" w:rsidP="00BE3D48">
            <w:pPr>
              <w:widowControl w:val="0"/>
              <w:snapToGrid w:val="0"/>
              <w:spacing w:line="240" w:lineRule="auto"/>
              <w:rPr>
                <w:color w:val="000000"/>
              </w:rPr>
            </w:pPr>
            <w:r w:rsidRPr="009B1A37">
              <w:rPr>
                <w:color w:val="000000"/>
              </w:rPr>
              <w:t>Krvácení do sklivce</w:t>
            </w:r>
            <w:r w:rsidR="00137944" w:rsidRPr="009B1A37">
              <w:rPr>
                <w:color w:val="000000"/>
              </w:rPr>
              <w:t>*</w:t>
            </w:r>
          </w:p>
        </w:tc>
      </w:tr>
      <w:tr w:rsidR="002210AD" w:rsidRPr="009B1A37" w14:paraId="6D83D608" w14:textId="77777777" w:rsidTr="009F41EF">
        <w:trPr>
          <w:gridBefore w:val="1"/>
          <w:wBefore w:w="12" w:type="dxa"/>
          <w:cantSplit/>
        </w:trPr>
        <w:tc>
          <w:tcPr>
            <w:tcW w:w="9342" w:type="dxa"/>
            <w:gridSpan w:val="3"/>
            <w:tcBorders>
              <w:top w:val="single" w:sz="4" w:space="0" w:color="000000"/>
              <w:left w:val="single" w:sz="4" w:space="0" w:color="000000"/>
              <w:bottom w:val="single" w:sz="4" w:space="0" w:color="000000"/>
              <w:right w:val="single" w:sz="4" w:space="0" w:color="000000"/>
            </w:tcBorders>
          </w:tcPr>
          <w:p w14:paraId="3FBA6A11" w14:textId="77777777" w:rsidR="002210AD" w:rsidRPr="009B1A37" w:rsidRDefault="002210AD" w:rsidP="00BE3D48">
            <w:pPr>
              <w:keepNext/>
              <w:widowControl w:val="0"/>
              <w:snapToGrid w:val="0"/>
              <w:spacing w:line="240" w:lineRule="auto"/>
              <w:rPr>
                <w:i/>
                <w:iCs/>
                <w:color w:val="000000"/>
              </w:rPr>
            </w:pPr>
            <w:r w:rsidRPr="009B1A37">
              <w:rPr>
                <w:b/>
                <w:bCs/>
                <w:color w:val="000000"/>
              </w:rPr>
              <w:t>Poruchy ucha a labyrintu</w:t>
            </w:r>
          </w:p>
        </w:tc>
      </w:tr>
      <w:tr w:rsidR="002210AD" w:rsidRPr="009B1A37" w14:paraId="19388F65"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75B6E92A" w14:textId="77777777" w:rsidR="002210AD" w:rsidRPr="009B1A37" w:rsidRDefault="002210AD" w:rsidP="00BE3D48">
            <w:pPr>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051BDEA2" w14:textId="77777777" w:rsidR="002210AD" w:rsidRPr="009B1A37" w:rsidRDefault="002210AD" w:rsidP="00BE3D48">
            <w:pPr>
              <w:widowControl w:val="0"/>
              <w:snapToGrid w:val="0"/>
              <w:spacing w:line="240" w:lineRule="auto"/>
              <w:rPr>
                <w:color w:val="000000"/>
              </w:rPr>
            </w:pPr>
            <w:r w:rsidRPr="009B1A37">
              <w:rPr>
                <w:color w:val="000000"/>
              </w:rPr>
              <w:t>Vertigo, tinitus, ztráta sluchu</w:t>
            </w:r>
          </w:p>
        </w:tc>
      </w:tr>
      <w:tr w:rsidR="002210AD" w:rsidRPr="009B1A37" w14:paraId="5A2AF789" w14:textId="77777777" w:rsidTr="009F41EF">
        <w:trPr>
          <w:gridBefore w:val="1"/>
          <w:wBefore w:w="12" w:type="dxa"/>
          <w:cantSplit/>
        </w:trPr>
        <w:tc>
          <w:tcPr>
            <w:tcW w:w="9342" w:type="dxa"/>
            <w:gridSpan w:val="3"/>
            <w:tcBorders>
              <w:top w:val="single" w:sz="4" w:space="0" w:color="000000"/>
              <w:left w:val="single" w:sz="4" w:space="0" w:color="000000"/>
              <w:bottom w:val="single" w:sz="4" w:space="0" w:color="000000"/>
              <w:right w:val="single" w:sz="4" w:space="0" w:color="000000"/>
            </w:tcBorders>
          </w:tcPr>
          <w:p w14:paraId="29E1E56B" w14:textId="77777777" w:rsidR="002210AD" w:rsidRPr="009B1A37" w:rsidRDefault="002210AD" w:rsidP="00BE3D48">
            <w:pPr>
              <w:keepNext/>
              <w:widowControl w:val="0"/>
              <w:snapToGrid w:val="0"/>
              <w:spacing w:line="240" w:lineRule="auto"/>
              <w:rPr>
                <w:b/>
                <w:bCs/>
                <w:color w:val="000000"/>
              </w:rPr>
            </w:pPr>
            <w:r w:rsidRPr="009B1A37">
              <w:rPr>
                <w:b/>
                <w:bCs/>
                <w:color w:val="000000"/>
              </w:rPr>
              <w:t>Srdeční poruchy</w:t>
            </w:r>
          </w:p>
        </w:tc>
      </w:tr>
      <w:tr w:rsidR="002210AD" w:rsidRPr="009B1A37" w14:paraId="2F5701EA"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3D672F6B" w14:textId="77777777" w:rsidR="002210AD" w:rsidRPr="009B1A37" w:rsidRDefault="002210AD" w:rsidP="00BE3D48">
            <w:pPr>
              <w:keepNext/>
              <w:widowControl w:val="0"/>
              <w:snapToGrid w:val="0"/>
              <w:spacing w:line="240" w:lineRule="auto"/>
              <w:rPr>
                <w:i/>
                <w:iCs/>
                <w:color w:val="000000"/>
              </w:rPr>
            </w:pPr>
            <w:r w:rsidRPr="009B1A37">
              <w:rPr>
                <w:i/>
                <w:iCs/>
                <w:color w:val="000000"/>
              </w:rPr>
              <w:t>Méně časté</w:t>
            </w:r>
            <w:r w:rsidR="00F54252" w:rsidRPr="009B1A37">
              <w:rPr>
                <w:i/>
                <w:iCs/>
                <w:color w:val="000000"/>
              </w:rPr>
              <w:t>:</w:t>
            </w:r>
          </w:p>
        </w:tc>
        <w:tc>
          <w:tcPr>
            <w:tcW w:w="7107" w:type="dxa"/>
            <w:tcBorders>
              <w:top w:val="single" w:sz="4" w:space="0" w:color="000000"/>
              <w:left w:val="single" w:sz="4" w:space="0" w:color="000000"/>
              <w:bottom w:val="single" w:sz="4" w:space="0" w:color="000000"/>
              <w:right w:val="single" w:sz="4" w:space="0" w:color="000000"/>
            </w:tcBorders>
          </w:tcPr>
          <w:p w14:paraId="3A92DDE2" w14:textId="77777777" w:rsidR="002210AD" w:rsidRPr="009B1A37" w:rsidRDefault="002210AD" w:rsidP="00BE3D48">
            <w:pPr>
              <w:keepNext/>
              <w:widowControl w:val="0"/>
              <w:snapToGrid w:val="0"/>
              <w:spacing w:line="240" w:lineRule="auto"/>
              <w:rPr>
                <w:color w:val="000000"/>
              </w:rPr>
            </w:pPr>
            <w:r w:rsidRPr="009B1A37">
              <w:rPr>
                <w:color w:val="000000"/>
              </w:rPr>
              <w:t>Palpitace, tachykardie, městnavé srdeční selhání</w:t>
            </w:r>
            <w:r w:rsidR="004300AE" w:rsidRPr="009B1A37">
              <w:rPr>
                <w:color w:val="000000"/>
                <w:vertAlign w:val="superscript"/>
              </w:rPr>
              <w:t>3</w:t>
            </w:r>
            <w:r w:rsidRPr="009B1A37">
              <w:rPr>
                <w:color w:val="000000"/>
              </w:rPr>
              <w:t>, plicní edém</w:t>
            </w:r>
          </w:p>
        </w:tc>
      </w:tr>
      <w:tr w:rsidR="002210AD" w:rsidRPr="009B1A37" w14:paraId="791F9AF1"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37F14D8B" w14:textId="77777777" w:rsidR="002210AD" w:rsidRPr="009B1A37" w:rsidRDefault="002210AD" w:rsidP="00BE3D48">
            <w:pPr>
              <w:keepNext/>
              <w:widowControl w:val="0"/>
              <w:snapToGrid w:val="0"/>
              <w:spacing w:line="240" w:lineRule="auto"/>
              <w:rPr>
                <w:i/>
                <w:iCs/>
                <w:color w:val="000000"/>
              </w:rPr>
            </w:pPr>
            <w:r w:rsidRPr="009B1A37">
              <w:rPr>
                <w:i/>
                <w:iCs/>
                <w:color w:val="000000"/>
              </w:rPr>
              <w:t>Vzácné</w:t>
            </w:r>
            <w:r w:rsidR="00F54252" w:rsidRPr="009B1A37">
              <w:rPr>
                <w:i/>
                <w:iCs/>
                <w:color w:val="000000"/>
              </w:rPr>
              <w:t>:</w:t>
            </w:r>
          </w:p>
        </w:tc>
        <w:tc>
          <w:tcPr>
            <w:tcW w:w="7107" w:type="dxa"/>
            <w:tcBorders>
              <w:top w:val="single" w:sz="4" w:space="0" w:color="000000"/>
              <w:left w:val="single" w:sz="4" w:space="0" w:color="000000"/>
              <w:bottom w:val="single" w:sz="4" w:space="0" w:color="000000"/>
              <w:right w:val="single" w:sz="4" w:space="0" w:color="000000"/>
            </w:tcBorders>
          </w:tcPr>
          <w:p w14:paraId="3F3897AD" w14:textId="77777777" w:rsidR="002210AD" w:rsidRPr="009B1A37" w:rsidRDefault="002210AD" w:rsidP="00BE3D48">
            <w:pPr>
              <w:keepNext/>
              <w:widowControl w:val="0"/>
              <w:snapToGrid w:val="0"/>
              <w:spacing w:line="240" w:lineRule="auto"/>
              <w:rPr>
                <w:color w:val="000000"/>
              </w:rPr>
            </w:pPr>
            <w:r w:rsidRPr="009B1A37">
              <w:rPr>
                <w:color w:val="000000"/>
              </w:rPr>
              <w:t>Arytmie, atriální fibrilace, srdeční zástava, infarkt myokardu, angina pectoris, perikardiální výpotek</w:t>
            </w:r>
          </w:p>
        </w:tc>
      </w:tr>
      <w:tr w:rsidR="00137944" w:rsidRPr="009B1A37" w14:paraId="4558B1CA"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4C87FA40" w14:textId="77777777" w:rsidR="00137944" w:rsidRPr="009B1A37" w:rsidRDefault="005C70CC" w:rsidP="00BE3D48">
            <w:pPr>
              <w:widowControl w:val="0"/>
              <w:snapToGrid w:val="0"/>
              <w:spacing w:line="240" w:lineRule="auto"/>
              <w:rPr>
                <w:i/>
                <w:iCs/>
                <w:color w:val="000000"/>
              </w:rPr>
            </w:pPr>
            <w:r w:rsidRPr="009B1A37">
              <w:rPr>
                <w:i/>
                <w:iCs/>
                <w:color w:val="000000"/>
              </w:rPr>
              <w:t>Není známo:</w:t>
            </w:r>
          </w:p>
        </w:tc>
        <w:tc>
          <w:tcPr>
            <w:tcW w:w="7107" w:type="dxa"/>
            <w:tcBorders>
              <w:top w:val="single" w:sz="4" w:space="0" w:color="000000"/>
              <w:left w:val="single" w:sz="4" w:space="0" w:color="000000"/>
              <w:bottom w:val="single" w:sz="4" w:space="0" w:color="000000"/>
              <w:right w:val="single" w:sz="4" w:space="0" w:color="000000"/>
            </w:tcBorders>
          </w:tcPr>
          <w:p w14:paraId="179835E8" w14:textId="77777777" w:rsidR="00137944" w:rsidRPr="009B1A37" w:rsidRDefault="00137944" w:rsidP="00BE3D48">
            <w:pPr>
              <w:widowControl w:val="0"/>
              <w:snapToGrid w:val="0"/>
              <w:spacing w:line="240" w:lineRule="auto"/>
              <w:rPr>
                <w:color w:val="000000"/>
              </w:rPr>
            </w:pPr>
            <w:r w:rsidRPr="009B1A37">
              <w:rPr>
                <w:color w:val="000000"/>
              </w:rPr>
              <w:t>Peri</w:t>
            </w:r>
            <w:r w:rsidR="00A40A1C" w:rsidRPr="009B1A37">
              <w:rPr>
                <w:color w:val="000000"/>
              </w:rPr>
              <w:t>k</w:t>
            </w:r>
            <w:r w:rsidRPr="009B1A37">
              <w:rPr>
                <w:color w:val="000000"/>
              </w:rPr>
              <w:t>arditi</w:t>
            </w:r>
            <w:r w:rsidR="00C606C1" w:rsidRPr="009B1A37">
              <w:rPr>
                <w:color w:val="000000"/>
              </w:rPr>
              <w:t>da</w:t>
            </w:r>
            <w:r w:rsidRPr="009B1A37">
              <w:rPr>
                <w:color w:val="000000"/>
              </w:rPr>
              <w:t xml:space="preserve">*, </w:t>
            </w:r>
            <w:r w:rsidR="00A40A1C" w:rsidRPr="009B1A37">
              <w:rPr>
                <w:color w:val="000000"/>
              </w:rPr>
              <w:t xml:space="preserve">srdeční </w:t>
            </w:r>
            <w:r w:rsidRPr="009B1A37">
              <w:rPr>
                <w:color w:val="000000"/>
              </w:rPr>
              <w:t>tampon</w:t>
            </w:r>
            <w:r w:rsidR="00A40A1C" w:rsidRPr="009B1A37">
              <w:rPr>
                <w:color w:val="000000"/>
              </w:rPr>
              <w:t>á</w:t>
            </w:r>
            <w:r w:rsidRPr="009B1A37">
              <w:rPr>
                <w:color w:val="000000"/>
              </w:rPr>
              <w:t>d</w:t>
            </w:r>
            <w:r w:rsidR="00A40A1C" w:rsidRPr="009B1A37">
              <w:rPr>
                <w:color w:val="000000"/>
              </w:rPr>
              <w:t>a</w:t>
            </w:r>
            <w:r w:rsidRPr="009B1A37">
              <w:rPr>
                <w:color w:val="000000"/>
              </w:rPr>
              <w:t>*</w:t>
            </w:r>
          </w:p>
        </w:tc>
      </w:tr>
      <w:tr w:rsidR="00137944" w:rsidRPr="009B1A37" w14:paraId="5C0E5F5C" w14:textId="77777777" w:rsidTr="009F41EF">
        <w:trPr>
          <w:gridBefore w:val="1"/>
          <w:wBefore w:w="12" w:type="dxa"/>
          <w:cantSplit/>
        </w:trPr>
        <w:tc>
          <w:tcPr>
            <w:tcW w:w="9342" w:type="dxa"/>
            <w:gridSpan w:val="3"/>
            <w:tcBorders>
              <w:top w:val="single" w:sz="4" w:space="0" w:color="000000"/>
              <w:left w:val="single" w:sz="4" w:space="0" w:color="000000"/>
              <w:bottom w:val="single" w:sz="4" w:space="0" w:color="000000"/>
              <w:right w:val="single" w:sz="4" w:space="0" w:color="000000"/>
            </w:tcBorders>
          </w:tcPr>
          <w:p w14:paraId="76A9682C" w14:textId="77777777" w:rsidR="00137944" w:rsidRPr="009B1A37" w:rsidRDefault="00137944" w:rsidP="00BE3D48">
            <w:pPr>
              <w:keepNext/>
              <w:widowControl w:val="0"/>
              <w:snapToGrid w:val="0"/>
              <w:spacing w:line="240" w:lineRule="auto"/>
              <w:rPr>
                <w:b/>
                <w:bCs/>
                <w:color w:val="000000"/>
              </w:rPr>
            </w:pPr>
            <w:r w:rsidRPr="009B1A37">
              <w:rPr>
                <w:b/>
                <w:bCs/>
                <w:color w:val="000000"/>
              </w:rPr>
              <w:t>Cévní poruchy</w:t>
            </w:r>
            <w:r w:rsidRPr="009B1A37">
              <w:rPr>
                <w:rFonts w:ascii="Times New Roman Bold" w:hAnsi="Times New Roman Bold"/>
                <w:b/>
                <w:bCs/>
                <w:color w:val="000000"/>
                <w:vertAlign w:val="superscript"/>
              </w:rPr>
              <w:t>4</w:t>
            </w:r>
          </w:p>
        </w:tc>
      </w:tr>
      <w:tr w:rsidR="00137944" w:rsidRPr="009B1A37" w14:paraId="40E32A4F"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2E6D4489" w14:textId="77777777" w:rsidR="00137944" w:rsidRPr="009B1A37" w:rsidRDefault="00137944" w:rsidP="00BE3D48">
            <w:pPr>
              <w:keepNext/>
              <w:widowControl w:val="0"/>
              <w:snapToGrid w:val="0"/>
              <w:spacing w:line="240" w:lineRule="auto"/>
              <w:rPr>
                <w:i/>
                <w:iCs/>
                <w:color w:val="000000"/>
              </w:rPr>
            </w:pPr>
            <w:r w:rsidRPr="009B1A37">
              <w:rPr>
                <w:i/>
                <w:iCs/>
                <w:color w:val="000000"/>
              </w:rPr>
              <w:t>Časté:</w:t>
            </w:r>
          </w:p>
        </w:tc>
        <w:tc>
          <w:tcPr>
            <w:tcW w:w="7107" w:type="dxa"/>
            <w:tcBorders>
              <w:top w:val="single" w:sz="4" w:space="0" w:color="000000"/>
              <w:left w:val="single" w:sz="4" w:space="0" w:color="000000"/>
              <w:bottom w:val="single" w:sz="4" w:space="0" w:color="000000"/>
              <w:right w:val="single" w:sz="4" w:space="0" w:color="000000"/>
            </w:tcBorders>
          </w:tcPr>
          <w:p w14:paraId="30EAF5C4" w14:textId="77777777" w:rsidR="00137944" w:rsidRPr="009B1A37" w:rsidRDefault="00137944" w:rsidP="00BE3D48">
            <w:pPr>
              <w:keepNext/>
              <w:widowControl w:val="0"/>
              <w:snapToGrid w:val="0"/>
              <w:spacing w:line="240" w:lineRule="auto"/>
              <w:rPr>
                <w:color w:val="000000"/>
              </w:rPr>
            </w:pPr>
            <w:r w:rsidRPr="009B1A37">
              <w:rPr>
                <w:color w:val="000000"/>
              </w:rPr>
              <w:t>Zrudnutí, krvácení</w:t>
            </w:r>
          </w:p>
        </w:tc>
      </w:tr>
      <w:tr w:rsidR="00137944" w:rsidRPr="009B1A37" w14:paraId="466D2B3C"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65DAE4D3" w14:textId="77777777" w:rsidR="00137944" w:rsidRPr="009B1A37" w:rsidRDefault="00137944" w:rsidP="00BE3D48">
            <w:pPr>
              <w:keepNext/>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19896179" w14:textId="77777777" w:rsidR="00137944" w:rsidRPr="009B1A37" w:rsidRDefault="00137944" w:rsidP="00BE3D48">
            <w:pPr>
              <w:keepNext/>
              <w:widowControl w:val="0"/>
              <w:snapToGrid w:val="0"/>
              <w:spacing w:line="240" w:lineRule="auto"/>
              <w:rPr>
                <w:color w:val="000000"/>
              </w:rPr>
            </w:pPr>
            <w:r w:rsidRPr="009B1A37">
              <w:rPr>
                <w:color w:val="000000"/>
              </w:rPr>
              <w:t>Hypertenze, hematom, subdurální hematom, periferní chlad, hypotenze, Raynaudův fenomén</w:t>
            </w:r>
          </w:p>
        </w:tc>
      </w:tr>
      <w:tr w:rsidR="00137944" w:rsidRPr="009B1A37" w14:paraId="15DE02E3"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65207330" w14:textId="77777777" w:rsidR="00137944" w:rsidRPr="009B1A37" w:rsidRDefault="005C70CC" w:rsidP="00BE3D48">
            <w:pPr>
              <w:widowControl w:val="0"/>
              <w:snapToGrid w:val="0"/>
              <w:spacing w:line="240" w:lineRule="auto"/>
              <w:rPr>
                <w:i/>
                <w:iCs/>
                <w:color w:val="000000"/>
              </w:rPr>
            </w:pPr>
            <w:r w:rsidRPr="009B1A37">
              <w:rPr>
                <w:i/>
                <w:iCs/>
                <w:color w:val="000000"/>
              </w:rPr>
              <w:t>Není známo:</w:t>
            </w:r>
          </w:p>
        </w:tc>
        <w:tc>
          <w:tcPr>
            <w:tcW w:w="7107" w:type="dxa"/>
            <w:tcBorders>
              <w:top w:val="single" w:sz="4" w:space="0" w:color="000000"/>
              <w:left w:val="single" w:sz="4" w:space="0" w:color="000000"/>
              <w:bottom w:val="single" w:sz="4" w:space="0" w:color="000000"/>
              <w:right w:val="single" w:sz="4" w:space="0" w:color="000000"/>
            </w:tcBorders>
          </w:tcPr>
          <w:p w14:paraId="28EFE2D6" w14:textId="77777777" w:rsidR="00137944" w:rsidRPr="009B1A37" w:rsidRDefault="00137944" w:rsidP="00BE3D48">
            <w:pPr>
              <w:widowControl w:val="0"/>
              <w:snapToGrid w:val="0"/>
              <w:spacing w:line="240" w:lineRule="auto"/>
              <w:rPr>
                <w:color w:val="000000"/>
              </w:rPr>
            </w:pPr>
            <w:r w:rsidRPr="009B1A37">
              <w:rPr>
                <w:color w:val="000000"/>
              </w:rPr>
              <w:t>Tromb</w:t>
            </w:r>
            <w:r w:rsidR="00A40A1C" w:rsidRPr="009B1A37">
              <w:rPr>
                <w:color w:val="000000"/>
              </w:rPr>
              <w:t>óza</w:t>
            </w:r>
            <w:r w:rsidRPr="009B1A37">
              <w:rPr>
                <w:color w:val="000000"/>
              </w:rPr>
              <w:t>/emboli</w:t>
            </w:r>
            <w:r w:rsidR="00A40A1C" w:rsidRPr="009B1A37">
              <w:rPr>
                <w:color w:val="000000"/>
              </w:rPr>
              <w:t>e</w:t>
            </w:r>
            <w:r w:rsidRPr="009B1A37">
              <w:rPr>
                <w:color w:val="000000"/>
              </w:rPr>
              <w:t>*</w:t>
            </w:r>
          </w:p>
        </w:tc>
      </w:tr>
      <w:tr w:rsidR="00137944" w:rsidRPr="009B1A37" w14:paraId="7C8A0BCB" w14:textId="77777777" w:rsidTr="009F41EF">
        <w:trPr>
          <w:gridBefore w:val="1"/>
          <w:wBefore w:w="12" w:type="dxa"/>
          <w:cantSplit/>
        </w:trPr>
        <w:tc>
          <w:tcPr>
            <w:tcW w:w="9342" w:type="dxa"/>
            <w:gridSpan w:val="3"/>
            <w:tcBorders>
              <w:top w:val="single" w:sz="4" w:space="0" w:color="000000"/>
              <w:left w:val="single" w:sz="4" w:space="0" w:color="000000"/>
              <w:bottom w:val="single" w:sz="4" w:space="0" w:color="000000"/>
              <w:right w:val="single" w:sz="4" w:space="0" w:color="000000"/>
            </w:tcBorders>
          </w:tcPr>
          <w:p w14:paraId="01217B76" w14:textId="77777777" w:rsidR="00137944" w:rsidRPr="009B1A37" w:rsidRDefault="00137944" w:rsidP="00BE3D48">
            <w:pPr>
              <w:keepNext/>
              <w:widowControl w:val="0"/>
              <w:snapToGrid w:val="0"/>
              <w:spacing w:line="240" w:lineRule="auto"/>
              <w:rPr>
                <w:b/>
                <w:bCs/>
                <w:color w:val="000000"/>
              </w:rPr>
            </w:pPr>
            <w:r w:rsidRPr="009B1A37">
              <w:rPr>
                <w:b/>
                <w:bCs/>
                <w:color w:val="000000"/>
              </w:rPr>
              <w:lastRenderedPageBreak/>
              <w:t>Respirační, hrudní a mediastinální poruchy</w:t>
            </w:r>
          </w:p>
        </w:tc>
      </w:tr>
      <w:tr w:rsidR="00137944" w:rsidRPr="009B1A37" w14:paraId="1B9FCF67"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56F37836" w14:textId="77777777" w:rsidR="00137944" w:rsidRPr="009B1A37" w:rsidRDefault="00137944" w:rsidP="00BE3D48">
            <w:pPr>
              <w:keepNext/>
              <w:widowControl w:val="0"/>
              <w:snapToGrid w:val="0"/>
              <w:spacing w:line="240" w:lineRule="auto"/>
              <w:rPr>
                <w:i/>
                <w:iCs/>
                <w:color w:val="000000"/>
              </w:rPr>
            </w:pPr>
            <w:r w:rsidRPr="009B1A37">
              <w:rPr>
                <w:i/>
                <w:iCs/>
                <w:color w:val="000000"/>
              </w:rPr>
              <w:t>Časté:</w:t>
            </w:r>
          </w:p>
        </w:tc>
        <w:tc>
          <w:tcPr>
            <w:tcW w:w="7107" w:type="dxa"/>
            <w:tcBorders>
              <w:top w:val="single" w:sz="4" w:space="0" w:color="000000"/>
              <w:left w:val="single" w:sz="4" w:space="0" w:color="000000"/>
              <w:bottom w:val="single" w:sz="4" w:space="0" w:color="000000"/>
              <w:right w:val="single" w:sz="4" w:space="0" w:color="000000"/>
            </w:tcBorders>
          </w:tcPr>
          <w:p w14:paraId="55579299" w14:textId="77777777" w:rsidR="00137944" w:rsidRPr="009B1A37" w:rsidRDefault="00137944" w:rsidP="00BE3D48">
            <w:pPr>
              <w:keepNext/>
              <w:widowControl w:val="0"/>
              <w:snapToGrid w:val="0"/>
              <w:spacing w:line="240" w:lineRule="auto"/>
              <w:rPr>
                <w:color w:val="000000"/>
              </w:rPr>
            </w:pPr>
            <w:r w:rsidRPr="009B1A37">
              <w:rPr>
                <w:color w:val="000000"/>
              </w:rPr>
              <w:t>Dušnost, krvácení z nosu, kašel</w:t>
            </w:r>
          </w:p>
        </w:tc>
      </w:tr>
      <w:tr w:rsidR="00137944" w:rsidRPr="009B1A37" w14:paraId="0EE03D3D"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5CE45166" w14:textId="77777777" w:rsidR="00137944" w:rsidRPr="009B1A37" w:rsidRDefault="00137944" w:rsidP="00BE3D48">
            <w:pPr>
              <w:keepNext/>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3E138BA0" w14:textId="77777777" w:rsidR="00137944" w:rsidRPr="009B1A37" w:rsidRDefault="00137944" w:rsidP="00BE3D48">
            <w:pPr>
              <w:keepNext/>
              <w:widowControl w:val="0"/>
              <w:snapToGrid w:val="0"/>
              <w:spacing w:line="240" w:lineRule="auto"/>
              <w:rPr>
                <w:color w:val="000000"/>
              </w:rPr>
            </w:pPr>
            <w:r w:rsidRPr="009B1A37">
              <w:rPr>
                <w:color w:val="000000"/>
              </w:rPr>
              <w:t>Pleurální výpotek</w:t>
            </w:r>
            <w:r w:rsidRPr="009B1A37">
              <w:rPr>
                <w:color w:val="000000"/>
                <w:vertAlign w:val="superscript"/>
              </w:rPr>
              <w:t>5</w:t>
            </w:r>
            <w:r w:rsidRPr="009B1A37">
              <w:rPr>
                <w:color w:val="000000"/>
              </w:rPr>
              <w:t xml:space="preserve">, </w:t>
            </w:r>
            <w:r w:rsidR="00D55077" w:rsidRPr="009B1A37">
              <w:rPr>
                <w:color w:val="000000"/>
              </w:rPr>
              <w:t xml:space="preserve">laryngofaryngeální </w:t>
            </w:r>
            <w:r w:rsidRPr="009B1A37">
              <w:rPr>
                <w:color w:val="000000"/>
              </w:rPr>
              <w:t>bolest, faryngitida</w:t>
            </w:r>
          </w:p>
        </w:tc>
      </w:tr>
      <w:tr w:rsidR="00137944" w:rsidRPr="009B1A37" w14:paraId="1A81F7A0"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4B9A04E8" w14:textId="77777777" w:rsidR="00137944" w:rsidRPr="009B1A37" w:rsidRDefault="00137944" w:rsidP="00BE3D48">
            <w:pPr>
              <w:keepNext/>
              <w:widowControl w:val="0"/>
              <w:snapToGrid w:val="0"/>
              <w:spacing w:line="240" w:lineRule="auto"/>
              <w:rPr>
                <w:i/>
                <w:iCs/>
                <w:color w:val="000000"/>
              </w:rPr>
            </w:pPr>
            <w:r w:rsidRPr="009B1A37">
              <w:rPr>
                <w:i/>
                <w:iCs/>
                <w:color w:val="000000"/>
              </w:rPr>
              <w:t>Vzácné:</w:t>
            </w:r>
          </w:p>
        </w:tc>
        <w:tc>
          <w:tcPr>
            <w:tcW w:w="7107" w:type="dxa"/>
            <w:tcBorders>
              <w:top w:val="single" w:sz="4" w:space="0" w:color="000000"/>
              <w:left w:val="single" w:sz="4" w:space="0" w:color="000000"/>
              <w:bottom w:val="single" w:sz="4" w:space="0" w:color="000000"/>
              <w:right w:val="single" w:sz="4" w:space="0" w:color="000000"/>
            </w:tcBorders>
          </w:tcPr>
          <w:p w14:paraId="6EBB1783" w14:textId="77777777" w:rsidR="00137944" w:rsidRPr="009B1A37" w:rsidRDefault="00173A5E" w:rsidP="00BE3D48">
            <w:pPr>
              <w:keepNext/>
              <w:widowControl w:val="0"/>
              <w:snapToGrid w:val="0"/>
              <w:spacing w:line="240" w:lineRule="auto"/>
              <w:rPr>
                <w:color w:val="000000"/>
              </w:rPr>
            </w:pPr>
            <w:r w:rsidRPr="009B1A37">
              <w:rPr>
                <w:color w:val="000000"/>
              </w:rPr>
              <w:t>Pleurální b</w:t>
            </w:r>
            <w:r w:rsidR="00137944" w:rsidRPr="009B1A37">
              <w:rPr>
                <w:color w:val="000000"/>
              </w:rPr>
              <w:t>olest, plicní fibróza, plicní hypertenze, krvácení do plic</w:t>
            </w:r>
          </w:p>
        </w:tc>
      </w:tr>
      <w:tr w:rsidR="00137944" w:rsidRPr="009B1A37" w14:paraId="4081F95B"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0705727F" w14:textId="77777777" w:rsidR="00137944" w:rsidRPr="009B1A37" w:rsidRDefault="005C70CC" w:rsidP="00BE3D48">
            <w:pPr>
              <w:widowControl w:val="0"/>
              <w:snapToGrid w:val="0"/>
              <w:spacing w:line="240" w:lineRule="auto"/>
              <w:rPr>
                <w:i/>
                <w:iCs/>
                <w:color w:val="000000"/>
              </w:rPr>
            </w:pPr>
            <w:r w:rsidRPr="009B1A37">
              <w:rPr>
                <w:i/>
                <w:iCs/>
                <w:color w:val="000000"/>
              </w:rPr>
              <w:t>Není známo:</w:t>
            </w:r>
          </w:p>
        </w:tc>
        <w:tc>
          <w:tcPr>
            <w:tcW w:w="7107" w:type="dxa"/>
            <w:tcBorders>
              <w:top w:val="single" w:sz="4" w:space="0" w:color="000000"/>
              <w:left w:val="single" w:sz="4" w:space="0" w:color="000000"/>
              <w:bottom w:val="single" w:sz="4" w:space="0" w:color="000000"/>
              <w:right w:val="single" w:sz="4" w:space="0" w:color="000000"/>
            </w:tcBorders>
          </w:tcPr>
          <w:p w14:paraId="77061C8B" w14:textId="77777777" w:rsidR="00137944" w:rsidRPr="009B1A37" w:rsidRDefault="00137944" w:rsidP="00BE3D48">
            <w:pPr>
              <w:widowControl w:val="0"/>
              <w:snapToGrid w:val="0"/>
              <w:spacing w:line="240" w:lineRule="auto"/>
              <w:rPr>
                <w:color w:val="000000"/>
              </w:rPr>
            </w:pPr>
            <w:r w:rsidRPr="009B1A37">
              <w:rPr>
                <w:color w:val="000000"/>
              </w:rPr>
              <w:t>A</w:t>
            </w:r>
            <w:r w:rsidR="00C606C1" w:rsidRPr="009B1A37">
              <w:rPr>
                <w:color w:val="000000"/>
              </w:rPr>
              <w:t>kutní respirační selhání</w:t>
            </w:r>
            <w:r w:rsidR="005B1FD8" w:rsidRPr="009B1A37">
              <w:rPr>
                <w:color w:val="000000"/>
                <w:vertAlign w:val="superscript"/>
              </w:rPr>
              <w:t>11</w:t>
            </w:r>
            <w:r w:rsidRPr="009B1A37">
              <w:rPr>
                <w:color w:val="000000"/>
              </w:rPr>
              <w:t>*, intersti</w:t>
            </w:r>
            <w:r w:rsidR="00A40A1C" w:rsidRPr="009B1A37">
              <w:rPr>
                <w:color w:val="000000"/>
              </w:rPr>
              <w:t>ciální</w:t>
            </w:r>
            <w:r w:rsidRPr="009B1A37">
              <w:rPr>
                <w:color w:val="000000"/>
              </w:rPr>
              <w:t xml:space="preserve"> </w:t>
            </w:r>
            <w:r w:rsidR="00A40A1C" w:rsidRPr="009B1A37">
              <w:rPr>
                <w:color w:val="000000"/>
              </w:rPr>
              <w:t>plicní onemocnění</w:t>
            </w:r>
            <w:r w:rsidRPr="009B1A37">
              <w:rPr>
                <w:color w:val="000000"/>
              </w:rPr>
              <w:t>*</w:t>
            </w:r>
          </w:p>
        </w:tc>
      </w:tr>
      <w:tr w:rsidR="00137944" w:rsidRPr="009B1A37" w14:paraId="44069701" w14:textId="77777777" w:rsidTr="009F41EF">
        <w:trPr>
          <w:gridBefore w:val="1"/>
          <w:wBefore w:w="12" w:type="dxa"/>
          <w:cantSplit/>
        </w:trPr>
        <w:tc>
          <w:tcPr>
            <w:tcW w:w="9342" w:type="dxa"/>
            <w:gridSpan w:val="3"/>
            <w:tcBorders>
              <w:top w:val="single" w:sz="4" w:space="0" w:color="000000"/>
              <w:left w:val="single" w:sz="4" w:space="0" w:color="000000"/>
              <w:bottom w:val="single" w:sz="4" w:space="0" w:color="000000"/>
              <w:right w:val="single" w:sz="4" w:space="0" w:color="000000"/>
            </w:tcBorders>
          </w:tcPr>
          <w:p w14:paraId="5547F172" w14:textId="77777777" w:rsidR="00137944" w:rsidRPr="009B1A37" w:rsidRDefault="00137944" w:rsidP="00BE3D48">
            <w:pPr>
              <w:keepNext/>
              <w:widowControl w:val="0"/>
              <w:snapToGrid w:val="0"/>
              <w:spacing w:line="240" w:lineRule="auto"/>
              <w:rPr>
                <w:b/>
                <w:bCs/>
                <w:color w:val="000000"/>
              </w:rPr>
            </w:pPr>
            <w:r w:rsidRPr="009B1A37">
              <w:rPr>
                <w:b/>
                <w:bCs/>
                <w:color w:val="000000"/>
              </w:rPr>
              <w:t>Gastrointestinální poruchy</w:t>
            </w:r>
          </w:p>
        </w:tc>
      </w:tr>
      <w:tr w:rsidR="00137944" w:rsidRPr="009B1A37" w14:paraId="4A5F4942"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4BDBCD1E" w14:textId="77777777" w:rsidR="00137944" w:rsidRPr="009B1A37" w:rsidRDefault="00137944" w:rsidP="00BE3D48">
            <w:pPr>
              <w:keepNext/>
              <w:widowControl w:val="0"/>
              <w:snapToGrid w:val="0"/>
              <w:spacing w:line="240" w:lineRule="auto"/>
              <w:rPr>
                <w:i/>
                <w:iCs/>
                <w:color w:val="000000"/>
              </w:rPr>
            </w:pPr>
            <w:r w:rsidRPr="009B1A37">
              <w:rPr>
                <w:i/>
                <w:iCs/>
                <w:color w:val="000000"/>
              </w:rPr>
              <w:t>Velmi časté:</w:t>
            </w:r>
          </w:p>
        </w:tc>
        <w:tc>
          <w:tcPr>
            <w:tcW w:w="7107" w:type="dxa"/>
            <w:tcBorders>
              <w:top w:val="single" w:sz="4" w:space="0" w:color="000000"/>
              <w:left w:val="single" w:sz="4" w:space="0" w:color="000000"/>
              <w:bottom w:val="single" w:sz="4" w:space="0" w:color="000000"/>
              <w:right w:val="single" w:sz="4" w:space="0" w:color="000000"/>
            </w:tcBorders>
          </w:tcPr>
          <w:p w14:paraId="4A58C3E0" w14:textId="77777777" w:rsidR="00137944" w:rsidRPr="009B1A37" w:rsidRDefault="00137944" w:rsidP="00BE3D48">
            <w:pPr>
              <w:keepNext/>
              <w:widowControl w:val="0"/>
              <w:snapToGrid w:val="0"/>
              <w:spacing w:line="240" w:lineRule="auto"/>
              <w:rPr>
                <w:color w:val="000000"/>
                <w:vertAlign w:val="superscript"/>
              </w:rPr>
            </w:pPr>
            <w:r w:rsidRPr="009B1A37">
              <w:rPr>
                <w:color w:val="000000"/>
              </w:rPr>
              <w:t>Nauzea, průjem, zvracení, dyspepsie, bolest břicha</w:t>
            </w:r>
            <w:r w:rsidRPr="009B1A37">
              <w:rPr>
                <w:color w:val="000000"/>
                <w:vertAlign w:val="superscript"/>
              </w:rPr>
              <w:t>6</w:t>
            </w:r>
          </w:p>
        </w:tc>
      </w:tr>
      <w:tr w:rsidR="00137944" w:rsidRPr="009B1A37" w14:paraId="131EF1BD"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448A3D7F" w14:textId="77777777" w:rsidR="00137944" w:rsidRPr="009B1A37" w:rsidRDefault="00137944" w:rsidP="00BE3D48">
            <w:pPr>
              <w:keepNext/>
              <w:widowControl w:val="0"/>
              <w:snapToGrid w:val="0"/>
              <w:spacing w:line="240" w:lineRule="auto"/>
              <w:rPr>
                <w:i/>
                <w:iCs/>
                <w:color w:val="000000"/>
              </w:rPr>
            </w:pPr>
            <w:r w:rsidRPr="009B1A37">
              <w:rPr>
                <w:i/>
                <w:iCs/>
                <w:color w:val="000000"/>
              </w:rPr>
              <w:t>Časté:</w:t>
            </w:r>
          </w:p>
        </w:tc>
        <w:tc>
          <w:tcPr>
            <w:tcW w:w="7107" w:type="dxa"/>
            <w:tcBorders>
              <w:top w:val="single" w:sz="4" w:space="0" w:color="000000"/>
              <w:left w:val="single" w:sz="4" w:space="0" w:color="000000"/>
              <w:bottom w:val="single" w:sz="4" w:space="0" w:color="000000"/>
              <w:right w:val="single" w:sz="4" w:space="0" w:color="000000"/>
            </w:tcBorders>
          </w:tcPr>
          <w:p w14:paraId="066606C9" w14:textId="77777777" w:rsidR="00137944" w:rsidRPr="009B1A37" w:rsidRDefault="00173A5E" w:rsidP="00BE3D48">
            <w:pPr>
              <w:keepNext/>
              <w:widowControl w:val="0"/>
              <w:snapToGrid w:val="0"/>
              <w:spacing w:line="240" w:lineRule="auto"/>
              <w:rPr>
                <w:color w:val="000000"/>
              </w:rPr>
            </w:pPr>
            <w:r w:rsidRPr="009B1A37">
              <w:rPr>
                <w:color w:val="000000"/>
              </w:rPr>
              <w:t>Flatule</w:t>
            </w:r>
            <w:r w:rsidR="005026BE" w:rsidRPr="009B1A37">
              <w:rPr>
                <w:color w:val="000000"/>
              </w:rPr>
              <w:t>n</w:t>
            </w:r>
            <w:r w:rsidRPr="009B1A37">
              <w:rPr>
                <w:color w:val="000000"/>
              </w:rPr>
              <w:t>ce, abdominální distenze</w:t>
            </w:r>
            <w:r w:rsidR="00137944" w:rsidRPr="009B1A37">
              <w:rPr>
                <w:color w:val="000000"/>
              </w:rPr>
              <w:t>, gastroezofageální reflux, zácpa, sucho v ústech, gastritida</w:t>
            </w:r>
          </w:p>
        </w:tc>
      </w:tr>
      <w:tr w:rsidR="00137944" w:rsidRPr="009B1A37" w14:paraId="411EBE23"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252C934A" w14:textId="77777777" w:rsidR="00137944" w:rsidRPr="009B1A37" w:rsidRDefault="00137944" w:rsidP="00BE3D48">
            <w:pPr>
              <w:keepNext/>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3A1B3721" w14:textId="77777777" w:rsidR="00137944" w:rsidRPr="009B1A37" w:rsidRDefault="00137944" w:rsidP="00BE3D48">
            <w:pPr>
              <w:keepNext/>
              <w:widowControl w:val="0"/>
              <w:snapToGrid w:val="0"/>
              <w:spacing w:line="240" w:lineRule="auto"/>
              <w:rPr>
                <w:color w:val="000000"/>
              </w:rPr>
            </w:pPr>
            <w:r w:rsidRPr="009B1A37">
              <w:rPr>
                <w:color w:val="000000"/>
              </w:rPr>
              <w:t>Stomatitida, ulcerace v ústech, gastrointestinální krvácení</w:t>
            </w:r>
            <w:r w:rsidRPr="009B1A37">
              <w:rPr>
                <w:color w:val="000000"/>
                <w:vertAlign w:val="superscript"/>
              </w:rPr>
              <w:t>7</w:t>
            </w:r>
            <w:r w:rsidRPr="009B1A37">
              <w:rPr>
                <w:color w:val="000000"/>
              </w:rPr>
              <w:t xml:space="preserve">, </w:t>
            </w:r>
            <w:r w:rsidR="00173A5E" w:rsidRPr="009B1A37">
              <w:rPr>
                <w:color w:val="000000"/>
              </w:rPr>
              <w:t>eruktace</w:t>
            </w:r>
            <w:r w:rsidRPr="009B1A37">
              <w:rPr>
                <w:color w:val="000000"/>
              </w:rPr>
              <w:t>, meléna, ezofagitida, ascites, žaludeční ulcerace, hematemez</w:t>
            </w:r>
            <w:r w:rsidR="005026BE" w:rsidRPr="009B1A37">
              <w:rPr>
                <w:color w:val="000000"/>
              </w:rPr>
              <w:t>a</w:t>
            </w:r>
            <w:r w:rsidRPr="009B1A37">
              <w:rPr>
                <w:color w:val="000000"/>
              </w:rPr>
              <w:t>, cheilitida, dysfagie, pankreatitida</w:t>
            </w:r>
          </w:p>
        </w:tc>
      </w:tr>
      <w:tr w:rsidR="00137944" w:rsidRPr="009B1A37" w14:paraId="79446637"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537113B0" w14:textId="77777777" w:rsidR="00137944" w:rsidRPr="009B1A37" w:rsidRDefault="00137944" w:rsidP="00BE3D48">
            <w:pPr>
              <w:keepNext/>
              <w:widowControl w:val="0"/>
              <w:snapToGrid w:val="0"/>
              <w:spacing w:line="240" w:lineRule="auto"/>
              <w:rPr>
                <w:i/>
                <w:iCs/>
                <w:color w:val="000000"/>
              </w:rPr>
            </w:pPr>
            <w:r w:rsidRPr="009B1A37">
              <w:rPr>
                <w:i/>
                <w:iCs/>
                <w:color w:val="000000"/>
              </w:rPr>
              <w:t>Vzácné:</w:t>
            </w:r>
          </w:p>
        </w:tc>
        <w:tc>
          <w:tcPr>
            <w:tcW w:w="7107" w:type="dxa"/>
            <w:tcBorders>
              <w:top w:val="single" w:sz="4" w:space="0" w:color="000000"/>
              <w:left w:val="single" w:sz="4" w:space="0" w:color="000000"/>
              <w:bottom w:val="single" w:sz="4" w:space="0" w:color="000000"/>
              <w:right w:val="single" w:sz="4" w:space="0" w:color="000000"/>
            </w:tcBorders>
          </w:tcPr>
          <w:p w14:paraId="340D3203" w14:textId="77777777" w:rsidR="00137944" w:rsidRPr="009B1A37" w:rsidRDefault="00137944" w:rsidP="00BE3D48">
            <w:pPr>
              <w:keepNext/>
              <w:widowControl w:val="0"/>
              <w:snapToGrid w:val="0"/>
              <w:spacing w:line="240" w:lineRule="auto"/>
              <w:rPr>
                <w:color w:val="000000"/>
              </w:rPr>
            </w:pPr>
            <w:r w:rsidRPr="009B1A37">
              <w:rPr>
                <w:color w:val="000000"/>
              </w:rPr>
              <w:t>Kolitida, ileus, zánětlivé střevní onemocnění</w:t>
            </w:r>
          </w:p>
        </w:tc>
      </w:tr>
      <w:tr w:rsidR="00137944" w:rsidRPr="009B1A37" w14:paraId="002080E8"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501256F9" w14:textId="77777777" w:rsidR="00137944" w:rsidRPr="009B1A37" w:rsidRDefault="005C70CC" w:rsidP="00BE3D48">
            <w:pPr>
              <w:widowControl w:val="0"/>
              <w:snapToGrid w:val="0"/>
              <w:spacing w:line="240" w:lineRule="auto"/>
              <w:rPr>
                <w:i/>
                <w:iCs/>
                <w:color w:val="000000"/>
              </w:rPr>
            </w:pPr>
            <w:r w:rsidRPr="009B1A37">
              <w:rPr>
                <w:i/>
                <w:iCs/>
                <w:color w:val="000000"/>
              </w:rPr>
              <w:t>Není známo:</w:t>
            </w:r>
          </w:p>
        </w:tc>
        <w:tc>
          <w:tcPr>
            <w:tcW w:w="7107" w:type="dxa"/>
            <w:tcBorders>
              <w:top w:val="single" w:sz="4" w:space="0" w:color="000000"/>
              <w:left w:val="single" w:sz="4" w:space="0" w:color="000000"/>
              <w:bottom w:val="single" w:sz="4" w:space="0" w:color="000000"/>
              <w:right w:val="single" w:sz="4" w:space="0" w:color="000000"/>
            </w:tcBorders>
          </w:tcPr>
          <w:p w14:paraId="6A9F6632" w14:textId="77777777" w:rsidR="00137944" w:rsidRPr="009B1A37" w:rsidRDefault="00C606C1" w:rsidP="00BE3D48">
            <w:pPr>
              <w:widowControl w:val="0"/>
              <w:snapToGrid w:val="0"/>
              <w:spacing w:line="240" w:lineRule="auto"/>
              <w:rPr>
                <w:color w:val="000000"/>
              </w:rPr>
            </w:pPr>
            <w:r w:rsidRPr="009B1A37">
              <w:rPr>
                <w:color w:val="000000"/>
              </w:rPr>
              <w:t>Ileus/střev</w:t>
            </w:r>
            <w:r w:rsidR="00AD5832" w:rsidRPr="009B1A37">
              <w:rPr>
                <w:color w:val="000000"/>
              </w:rPr>
              <w:t>ní obstrukce</w:t>
            </w:r>
            <w:r w:rsidR="00B20788" w:rsidRPr="009B1A37">
              <w:rPr>
                <w:color w:val="000000"/>
              </w:rPr>
              <w:t>*</w:t>
            </w:r>
            <w:r w:rsidR="00137944" w:rsidRPr="009B1A37">
              <w:rPr>
                <w:color w:val="000000"/>
              </w:rPr>
              <w:t xml:space="preserve">, </w:t>
            </w:r>
            <w:r w:rsidRPr="009B1A37">
              <w:rPr>
                <w:color w:val="000000"/>
              </w:rPr>
              <w:t>gastrointestinální perforace</w:t>
            </w:r>
            <w:r w:rsidR="00137944" w:rsidRPr="009B1A37">
              <w:rPr>
                <w:color w:val="000000"/>
              </w:rPr>
              <w:t>*</w:t>
            </w:r>
            <w:r w:rsidR="00137944" w:rsidRPr="009B1A37">
              <w:rPr>
                <w:snapToGrid w:val="0"/>
                <w:color w:val="000000"/>
              </w:rPr>
              <w:t xml:space="preserve">, </w:t>
            </w:r>
            <w:r w:rsidRPr="009B1A37">
              <w:rPr>
                <w:color w:val="000000"/>
              </w:rPr>
              <w:t>divertikulitida</w:t>
            </w:r>
            <w:r w:rsidR="00137944" w:rsidRPr="009B1A37">
              <w:rPr>
                <w:snapToGrid w:val="0"/>
                <w:color w:val="000000"/>
              </w:rPr>
              <w:t xml:space="preserve">*, </w:t>
            </w:r>
            <w:r w:rsidR="00D66CA4" w:rsidRPr="009B1A37">
              <w:rPr>
                <w:snapToGrid w:val="0"/>
                <w:color w:val="000000"/>
              </w:rPr>
              <w:t xml:space="preserve">gastrická antrální vaskulární ektázie </w:t>
            </w:r>
            <w:r w:rsidR="00137944" w:rsidRPr="009B1A37">
              <w:rPr>
                <w:snapToGrid w:val="0"/>
                <w:color w:val="000000"/>
              </w:rPr>
              <w:t>(GAVE)*</w:t>
            </w:r>
          </w:p>
        </w:tc>
      </w:tr>
      <w:tr w:rsidR="00137944" w:rsidRPr="009B1A37" w14:paraId="1F10DF69" w14:textId="77777777" w:rsidTr="009F41EF">
        <w:trPr>
          <w:gridBefore w:val="1"/>
          <w:wBefore w:w="12" w:type="dxa"/>
          <w:cantSplit/>
        </w:trPr>
        <w:tc>
          <w:tcPr>
            <w:tcW w:w="9342" w:type="dxa"/>
            <w:gridSpan w:val="3"/>
            <w:tcBorders>
              <w:top w:val="single" w:sz="4" w:space="0" w:color="000000"/>
              <w:left w:val="single" w:sz="4" w:space="0" w:color="000000"/>
              <w:bottom w:val="single" w:sz="4" w:space="0" w:color="000000"/>
              <w:right w:val="single" w:sz="4" w:space="0" w:color="000000"/>
            </w:tcBorders>
          </w:tcPr>
          <w:p w14:paraId="79FDF79B" w14:textId="77777777" w:rsidR="00137944" w:rsidRPr="009B1A37" w:rsidRDefault="00137944" w:rsidP="00BE3D48">
            <w:pPr>
              <w:keepNext/>
              <w:widowControl w:val="0"/>
              <w:snapToGrid w:val="0"/>
              <w:spacing w:line="240" w:lineRule="auto"/>
              <w:rPr>
                <w:b/>
                <w:bCs/>
                <w:color w:val="000000"/>
              </w:rPr>
            </w:pPr>
            <w:r w:rsidRPr="009B1A37">
              <w:rPr>
                <w:b/>
                <w:bCs/>
                <w:color w:val="000000"/>
              </w:rPr>
              <w:t>Poruchy jater a žlučových cest</w:t>
            </w:r>
          </w:p>
        </w:tc>
      </w:tr>
      <w:tr w:rsidR="00137944" w:rsidRPr="009B1A37" w14:paraId="18285E5A"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655788CC" w14:textId="77777777" w:rsidR="00137944" w:rsidRPr="009B1A37" w:rsidRDefault="00137944" w:rsidP="00BE3D48">
            <w:pPr>
              <w:keepNext/>
              <w:widowControl w:val="0"/>
              <w:snapToGrid w:val="0"/>
              <w:spacing w:line="240" w:lineRule="auto"/>
              <w:rPr>
                <w:i/>
                <w:iCs/>
                <w:color w:val="000000"/>
              </w:rPr>
            </w:pPr>
            <w:r w:rsidRPr="009B1A37">
              <w:rPr>
                <w:i/>
                <w:iCs/>
                <w:color w:val="000000"/>
              </w:rPr>
              <w:t>Časté:</w:t>
            </w:r>
          </w:p>
        </w:tc>
        <w:tc>
          <w:tcPr>
            <w:tcW w:w="7107" w:type="dxa"/>
            <w:tcBorders>
              <w:top w:val="single" w:sz="4" w:space="0" w:color="000000"/>
              <w:left w:val="single" w:sz="4" w:space="0" w:color="000000"/>
              <w:bottom w:val="single" w:sz="4" w:space="0" w:color="000000"/>
              <w:right w:val="single" w:sz="4" w:space="0" w:color="000000"/>
            </w:tcBorders>
          </w:tcPr>
          <w:p w14:paraId="6A27E927" w14:textId="77777777" w:rsidR="00137944" w:rsidRPr="009B1A37" w:rsidRDefault="00137944" w:rsidP="00BE3D48">
            <w:pPr>
              <w:keepNext/>
              <w:widowControl w:val="0"/>
              <w:snapToGrid w:val="0"/>
              <w:spacing w:line="240" w:lineRule="auto"/>
              <w:rPr>
                <w:color w:val="000000"/>
              </w:rPr>
            </w:pPr>
            <w:r w:rsidRPr="009B1A37">
              <w:rPr>
                <w:color w:val="000000"/>
              </w:rPr>
              <w:t>Zvýšení jaterních enzymů</w:t>
            </w:r>
          </w:p>
        </w:tc>
      </w:tr>
      <w:tr w:rsidR="00137944" w:rsidRPr="009B1A37" w14:paraId="64CD3282"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5FB86CB9" w14:textId="77777777" w:rsidR="00137944" w:rsidRPr="009B1A37" w:rsidRDefault="00137944" w:rsidP="00BE3D48">
            <w:pPr>
              <w:keepNext/>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412FE0BB" w14:textId="77777777" w:rsidR="00137944" w:rsidRPr="009B1A37" w:rsidRDefault="00137944" w:rsidP="00BE3D48">
            <w:pPr>
              <w:keepNext/>
              <w:widowControl w:val="0"/>
              <w:snapToGrid w:val="0"/>
              <w:spacing w:line="240" w:lineRule="auto"/>
              <w:rPr>
                <w:color w:val="000000"/>
              </w:rPr>
            </w:pPr>
            <w:r w:rsidRPr="009B1A37">
              <w:rPr>
                <w:color w:val="000000"/>
              </w:rPr>
              <w:t>Hyperbilirubinemie, hepatitida, žloutenka</w:t>
            </w:r>
          </w:p>
        </w:tc>
      </w:tr>
      <w:tr w:rsidR="00137944" w:rsidRPr="009B1A37" w14:paraId="3870B694"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2F17977E" w14:textId="77777777" w:rsidR="00137944" w:rsidRPr="009B1A37" w:rsidRDefault="00137944" w:rsidP="00BE3D48">
            <w:pPr>
              <w:widowControl w:val="0"/>
              <w:snapToGrid w:val="0"/>
              <w:spacing w:line="240" w:lineRule="auto"/>
              <w:rPr>
                <w:i/>
                <w:iCs/>
                <w:color w:val="000000"/>
              </w:rPr>
            </w:pPr>
            <w:r w:rsidRPr="009B1A37">
              <w:rPr>
                <w:i/>
                <w:iCs/>
                <w:color w:val="000000"/>
              </w:rPr>
              <w:t>Vzácné:</w:t>
            </w:r>
          </w:p>
        </w:tc>
        <w:tc>
          <w:tcPr>
            <w:tcW w:w="7107" w:type="dxa"/>
            <w:tcBorders>
              <w:top w:val="single" w:sz="4" w:space="0" w:color="000000"/>
              <w:left w:val="single" w:sz="4" w:space="0" w:color="000000"/>
              <w:bottom w:val="single" w:sz="4" w:space="0" w:color="000000"/>
              <w:right w:val="single" w:sz="4" w:space="0" w:color="000000"/>
            </w:tcBorders>
          </w:tcPr>
          <w:p w14:paraId="371B96B0" w14:textId="77777777" w:rsidR="00137944" w:rsidRPr="009B1A37" w:rsidRDefault="00137944" w:rsidP="00BE3D48">
            <w:pPr>
              <w:widowControl w:val="0"/>
              <w:snapToGrid w:val="0"/>
              <w:spacing w:line="240" w:lineRule="auto"/>
              <w:rPr>
                <w:color w:val="000000"/>
              </w:rPr>
            </w:pPr>
            <w:r w:rsidRPr="009B1A37">
              <w:rPr>
                <w:color w:val="000000"/>
              </w:rPr>
              <w:t>Jaterní selhání</w:t>
            </w:r>
            <w:r w:rsidRPr="009B1A37">
              <w:rPr>
                <w:color w:val="000000"/>
                <w:vertAlign w:val="superscript"/>
              </w:rPr>
              <w:t>8</w:t>
            </w:r>
            <w:r w:rsidRPr="009B1A37">
              <w:rPr>
                <w:color w:val="000000"/>
              </w:rPr>
              <w:t>, jaterní nekróza</w:t>
            </w:r>
          </w:p>
        </w:tc>
      </w:tr>
      <w:tr w:rsidR="00137944" w:rsidRPr="009B1A37" w14:paraId="7A1524DE" w14:textId="77777777" w:rsidTr="009F41EF">
        <w:trPr>
          <w:gridBefore w:val="1"/>
          <w:wBefore w:w="12" w:type="dxa"/>
          <w:cantSplit/>
        </w:trPr>
        <w:tc>
          <w:tcPr>
            <w:tcW w:w="9342" w:type="dxa"/>
            <w:gridSpan w:val="3"/>
            <w:tcBorders>
              <w:top w:val="single" w:sz="4" w:space="0" w:color="000000"/>
              <w:left w:val="single" w:sz="4" w:space="0" w:color="000000"/>
              <w:bottom w:val="single" w:sz="4" w:space="0" w:color="000000"/>
              <w:right w:val="single" w:sz="4" w:space="0" w:color="000000"/>
            </w:tcBorders>
          </w:tcPr>
          <w:p w14:paraId="57192108" w14:textId="77777777" w:rsidR="00137944" w:rsidRPr="009B1A37" w:rsidRDefault="00137944" w:rsidP="00BE3D48">
            <w:pPr>
              <w:keepNext/>
              <w:widowControl w:val="0"/>
              <w:snapToGrid w:val="0"/>
              <w:spacing w:line="240" w:lineRule="auto"/>
              <w:rPr>
                <w:i/>
                <w:iCs/>
                <w:color w:val="000000"/>
              </w:rPr>
            </w:pPr>
            <w:r w:rsidRPr="009B1A37">
              <w:rPr>
                <w:b/>
                <w:bCs/>
                <w:color w:val="000000"/>
              </w:rPr>
              <w:t>Poruchy kůže a podkožní tkáně</w:t>
            </w:r>
          </w:p>
        </w:tc>
      </w:tr>
      <w:tr w:rsidR="00137944" w:rsidRPr="009B1A37" w14:paraId="4E8A0DBB"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1834473F" w14:textId="77777777" w:rsidR="00137944" w:rsidRPr="009B1A37" w:rsidRDefault="00137944" w:rsidP="00BE3D48">
            <w:pPr>
              <w:keepNext/>
              <w:widowControl w:val="0"/>
              <w:snapToGrid w:val="0"/>
              <w:spacing w:line="240" w:lineRule="auto"/>
              <w:rPr>
                <w:i/>
                <w:iCs/>
                <w:color w:val="000000"/>
              </w:rPr>
            </w:pPr>
            <w:r w:rsidRPr="009B1A37">
              <w:rPr>
                <w:i/>
                <w:iCs/>
                <w:color w:val="000000"/>
              </w:rPr>
              <w:t>Velmi časté:</w:t>
            </w:r>
          </w:p>
        </w:tc>
        <w:tc>
          <w:tcPr>
            <w:tcW w:w="7107" w:type="dxa"/>
            <w:tcBorders>
              <w:top w:val="single" w:sz="4" w:space="0" w:color="000000"/>
              <w:left w:val="single" w:sz="4" w:space="0" w:color="000000"/>
              <w:bottom w:val="single" w:sz="4" w:space="0" w:color="000000"/>
              <w:right w:val="single" w:sz="4" w:space="0" w:color="000000"/>
            </w:tcBorders>
          </w:tcPr>
          <w:p w14:paraId="289DF343" w14:textId="77777777" w:rsidR="00137944" w:rsidRPr="009B1A37" w:rsidRDefault="00137944" w:rsidP="00BE3D48">
            <w:pPr>
              <w:keepNext/>
              <w:widowControl w:val="0"/>
              <w:snapToGrid w:val="0"/>
              <w:spacing w:line="240" w:lineRule="auto"/>
              <w:rPr>
                <w:color w:val="000000"/>
              </w:rPr>
            </w:pPr>
            <w:r w:rsidRPr="009B1A37">
              <w:rPr>
                <w:color w:val="000000"/>
              </w:rPr>
              <w:t>Periorbitální edém, dermatitida/ekzém/vyrážka</w:t>
            </w:r>
          </w:p>
        </w:tc>
      </w:tr>
      <w:tr w:rsidR="00137944" w:rsidRPr="009B1A37" w14:paraId="7F5EE3CF"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213DA836" w14:textId="77777777" w:rsidR="00137944" w:rsidRPr="009B1A37" w:rsidRDefault="00137944" w:rsidP="00BE3D48">
            <w:pPr>
              <w:keepNext/>
              <w:widowControl w:val="0"/>
              <w:snapToGrid w:val="0"/>
              <w:spacing w:line="240" w:lineRule="auto"/>
              <w:rPr>
                <w:i/>
                <w:iCs/>
                <w:color w:val="000000"/>
              </w:rPr>
            </w:pPr>
            <w:r w:rsidRPr="009B1A37">
              <w:rPr>
                <w:i/>
                <w:iCs/>
                <w:color w:val="000000"/>
              </w:rPr>
              <w:t>Časté:</w:t>
            </w:r>
          </w:p>
        </w:tc>
        <w:tc>
          <w:tcPr>
            <w:tcW w:w="7107" w:type="dxa"/>
            <w:tcBorders>
              <w:top w:val="single" w:sz="4" w:space="0" w:color="000000"/>
              <w:left w:val="single" w:sz="4" w:space="0" w:color="000000"/>
              <w:bottom w:val="single" w:sz="4" w:space="0" w:color="000000"/>
              <w:right w:val="single" w:sz="4" w:space="0" w:color="000000"/>
            </w:tcBorders>
          </w:tcPr>
          <w:p w14:paraId="556ADAF6" w14:textId="77777777" w:rsidR="00137944" w:rsidRPr="009B1A37" w:rsidRDefault="00137944" w:rsidP="00BE3D48">
            <w:pPr>
              <w:keepNext/>
              <w:widowControl w:val="0"/>
              <w:snapToGrid w:val="0"/>
              <w:spacing w:line="240" w:lineRule="auto"/>
              <w:rPr>
                <w:color w:val="000000"/>
              </w:rPr>
            </w:pPr>
            <w:r w:rsidRPr="009B1A37">
              <w:rPr>
                <w:color w:val="000000"/>
              </w:rPr>
              <w:t xml:space="preserve">Pruritus, otok obličeje, suchá </w:t>
            </w:r>
            <w:r w:rsidR="00173A5E" w:rsidRPr="009B1A37">
              <w:rPr>
                <w:color w:val="000000"/>
              </w:rPr>
              <w:t>kůže</w:t>
            </w:r>
            <w:r w:rsidRPr="009B1A37">
              <w:rPr>
                <w:color w:val="000000"/>
              </w:rPr>
              <w:t xml:space="preserve">, erytém, alopecie, noční pocení, </w:t>
            </w:r>
            <w:r w:rsidR="005026BE" w:rsidRPr="009B1A37">
              <w:rPr>
                <w:color w:val="000000"/>
              </w:rPr>
              <w:t xml:space="preserve">fotosenzitivní </w:t>
            </w:r>
            <w:r w:rsidRPr="009B1A37">
              <w:rPr>
                <w:color w:val="000000"/>
              </w:rPr>
              <w:t>reakce</w:t>
            </w:r>
          </w:p>
        </w:tc>
      </w:tr>
      <w:tr w:rsidR="00137944" w:rsidRPr="009B1A37" w14:paraId="3E7762DA"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7656713C" w14:textId="77777777" w:rsidR="00137944" w:rsidRPr="009B1A37" w:rsidRDefault="00137944" w:rsidP="00BE3D48">
            <w:pPr>
              <w:keepNext/>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6D430082" w14:textId="77777777" w:rsidR="00137944" w:rsidRPr="009B1A37" w:rsidRDefault="00137944" w:rsidP="00BE3D48">
            <w:pPr>
              <w:keepNext/>
              <w:widowControl w:val="0"/>
              <w:snapToGrid w:val="0"/>
              <w:spacing w:line="240" w:lineRule="auto"/>
              <w:rPr>
                <w:color w:val="000000"/>
              </w:rPr>
            </w:pPr>
            <w:r w:rsidRPr="009B1A37">
              <w:rPr>
                <w:color w:val="000000"/>
              </w:rPr>
              <w:t xml:space="preserve">Pustulózní vyrážka, </w:t>
            </w:r>
            <w:r w:rsidR="00173A5E" w:rsidRPr="009B1A37">
              <w:rPr>
                <w:color w:val="000000"/>
              </w:rPr>
              <w:t>kontuze</w:t>
            </w:r>
            <w:r w:rsidRPr="009B1A37">
              <w:rPr>
                <w:color w:val="000000"/>
              </w:rPr>
              <w:t>, zvýšené pocení, urtikarie, ekchymóza, zvýšená tendence k tvorbě podlitin, hypotrichóza, hypopigmentace kůže, exfoliativní dermatitida, lámání nehtů, folikulitida, petechie, lupénka, purpura, hyperpigmentace kůže, výsev puchýřů</w:t>
            </w:r>
          </w:p>
        </w:tc>
      </w:tr>
      <w:tr w:rsidR="00137944" w:rsidRPr="009B1A37" w14:paraId="7F1A3C21"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05182721" w14:textId="77777777" w:rsidR="00137944" w:rsidRPr="009B1A37" w:rsidRDefault="00137944" w:rsidP="00BE3D48">
            <w:pPr>
              <w:keepNext/>
              <w:widowControl w:val="0"/>
              <w:snapToGrid w:val="0"/>
              <w:spacing w:line="240" w:lineRule="auto"/>
              <w:rPr>
                <w:i/>
                <w:iCs/>
                <w:color w:val="000000"/>
              </w:rPr>
            </w:pPr>
            <w:r w:rsidRPr="009B1A37">
              <w:rPr>
                <w:i/>
                <w:iCs/>
                <w:color w:val="000000"/>
              </w:rPr>
              <w:t>Vzácné:</w:t>
            </w:r>
          </w:p>
        </w:tc>
        <w:tc>
          <w:tcPr>
            <w:tcW w:w="7107" w:type="dxa"/>
            <w:tcBorders>
              <w:top w:val="single" w:sz="4" w:space="0" w:color="000000"/>
              <w:left w:val="single" w:sz="4" w:space="0" w:color="000000"/>
              <w:bottom w:val="single" w:sz="4" w:space="0" w:color="000000"/>
              <w:right w:val="single" w:sz="4" w:space="0" w:color="000000"/>
            </w:tcBorders>
          </w:tcPr>
          <w:p w14:paraId="0AA1DFFA" w14:textId="77777777" w:rsidR="00137944" w:rsidRPr="009B1A37" w:rsidRDefault="00137944" w:rsidP="00BE3D48">
            <w:pPr>
              <w:keepNext/>
              <w:widowControl w:val="0"/>
              <w:snapToGrid w:val="0"/>
              <w:spacing w:line="240" w:lineRule="auto"/>
              <w:rPr>
                <w:b/>
                <w:bCs/>
                <w:color w:val="000000"/>
              </w:rPr>
            </w:pPr>
            <w:r w:rsidRPr="009B1A37">
              <w:rPr>
                <w:color w:val="000000"/>
              </w:rPr>
              <w:t>Akutní febrilní neutrofilní dermatóza (Sweet</w:t>
            </w:r>
            <w:r w:rsidR="00173A5E" w:rsidRPr="009B1A37">
              <w:rPr>
                <w:color w:val="000000"/>
              </w:rPr>
              <w:t>ův</w:t>
            </w:r>
            <w:r w:rsidRPr="009B1A37">
              <w:rPr>
                <w:color w:val="000000"/>
              </w:rPr>
              <w:t xml:space="preserve"> syndrom), ztráta barvy nehtů, angioneurotický edém, </w:t>
            </w:r>
            <w:r w:rsidR="00173A5E" w:rsidRPr="009B1A37">
              <w:rPr>
                <w:color w:val="000000"/>
              </w:rPr>
              <w:t>vezik</w:t>
            </w:r>
            <w:r w:rsidR="005026BE" w:rsidRPr="009B1A37">
              <w:rPr>
                <w:color w:val="000000"/>
              </w:rPr>
              <w:t>u</w:t>
            </w:r>
            <w:r w:rsidR="00173A5E" w:rsidRPr="009B1A37">
              <w:rPr>
                <w:color w:val="000000"/>
              </w:rPr>
              <w:t>lární</w:t>
            </w:r>
            <w:r w:rsidRPr="009B1A37">
              <w:rPr>
                <w:color w:val="000000"/>
              </w:rPr>
              <w:t xml:space="preserve"> vyrážka, multiformní erytém, leukocytoklastická vaskulitida, Stevens-Johnsonův syndrom, akutní generalizovaná exantematózní pustulóza (AGEP)</w:t>
            </w:r>
          </w:p>
        </w:tc>
      </w:tr>
      <w:tr w:rsidR="00137944" w:rsidRPr="009B1A37" w14:paraId="37BD863C"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2C81B4AD" w14:textId="77777777" w:rsidR="00137944" w:rsidRPr="009B1A37" w:rsidRDefault="005C70CC" w:rsidP="00BE3D48">
            <w:pPr>
              <w:widowControl w:val="0"/>
              <w:snapToGrid w:val="0"/>
              <w:spacing w:line="240" w:lineRule="auto"/>
              <w:rPr>
                <w:i/>
                <w:iCs/>
                <w:color w:val="000000"/>
              </w:rPr>
            </w:pPr>
            <w:r w:rsidRPr="009B1A37">
              <w:rPr>
                <w:i/>
                <w:iCs/>
                <w:color w:val="000000"/>
              </w:rPr>
              <w:t>Není známo:</w:t>
            </w:r>
          </w:p>
        </w:tc>
        <w:tc>
          <w:tcPr>
            <w:tcW w:w="7107" w:type="dxa"/>
            <w:tcBorders>
              <w:top w:val="single" w:sz="4" w:space="0" w:color="000000"/>
              <w:left w:val="single" w:sz="4" w:space="0" w:color="000000"/>
              <w:bottom w:val="single" w:sz="4" w:space="0" w:color="000000"/>
              <w:right w:val="single" w:sz="4" w:space="0" w:color="000000"/>
            </w:tcBorders>
          </w:tcPr>
          <w:p w14:paraId="06FD1FE7" w14:textId="77777777" w:rsidR="00137944" w:rsidRPr="009B1A37" w:rsidRDefault="00C606C1" w:rsidP="00BE3D48">
            <w:pPr>
              <w:widowControl w:val="0"/>
              <w:snapToGrid w:val="0"/>
              <w:spacing w:line="240" w:lineRule="auto"/>
              <w:rPr>
                <w:color w:val="000000"/>
              </w:rPr>
            </w:pPr>
            <w:r w:rsidRPr="009B1A37">
              <w:t>Syndrom palmoplantární erytrodysestezie</w:t>
            </w:r>
            <w:r w:rsidR="00137944" w:rsidRPr="009B1A37">
              <w:rPr>
                <w:color w:val="000000"/>
              </w:rPr>
              <w:t xml:space="preserve">*, </w:t>
            </w:r>
            <w:r w:rsidRPr="009B1A37">
              <w:rPr>
                <w:color w:val="000000"/>
              </w:rPr>
              <w:t>l</w:t>
            </w:r>
            <w:r w:rsidRPr="009B1A37">
              <w:t>ichenoidní keratóza</w:t>
            </w:r>
            <w:r w:rsidR="00137944" w:rsidRPr="009B1A37">
              <w:rPr>
                <w:color w:val="000000"/>
              </w:rPr>
              <w:t xml:space="preserve">*, lichen planus*, </w:t>
            </w:r>
            <w:r w:rsidRPr="009B1A37">
              <w:rPr>
                <w:color w:val="000000"/>
              </w:rPr>
              <w:t>t</w:t>
            </w:r>
            <w:r w:rsidRPr="009B1A37">
              <w:t>oxická epidermální nekrolýza</w:t>
            </w:r>
            <w:r w:rsidR="00137944" w:rsidRPr="009B1A37">
              <w:rPr>
                <w:color w:val="000000"/>
              </w:rPr>
              <w:t xml:space="preserve">*, </w:t>
            </w:r>
            <w:r w:rsidRPr="009B1A37">
              <w:rPr>
                <w:color w:val="000000"/>
              </w:rPr>
              <w:t>p</w:t>
            </w:r>
            <w:r w:rsidRPr="009B1A37">
              <w:t>oléková vyrážka s eozinofilií a systémovými příznaky (DRESS)</w:t>
            </w:r>
            <w:r w:rsidR="00137944" w:rsidRPr="009B1A37">
              <w:rPr>
                <w:color w:val="000000"/>
              </w:rPr>
              <w:t>*</w:t>
            </w:r>
            <w:r w:rsidR="00C34502" w:rsidRPr="009B1A37">
              <w:rPr>
                <w:color w:val="000000"/>
              </w:rPr>
              <w:t>, pseudoporfyrie*</w:t>
            </w:r>
          </w:p>
        </w:tc>
      </w:tr>
      <w:tr w:rsidR="00137944" w:rsidRPr="009B1A37" w14:paraId="569B73D7" w14:textId="77777777" w:rsidTr="009F41EF">
        <w:trPr>
          <w:gridBefore w:val="1"/>
          <w:wBefore w:w="12" w:type="dxa"/>
          <w:cantSplit/>
        </w:trPr>
        <w:tc>
          <w:tcPr>
            <w:tcW w:w="9342" w:type="dxa"/>
            <w:gridSpan w:val="3"/>
            <w:tcBorders>
              <w:top w:val="single" w:sz="4" w:space="0" w:color="000000"/>
              <w:left w:val="single" w:sz="4" w:space="0" w:color="000000"/>
              <w:bottom w:val="single" w:sz="4" w:space="0" w:color="000000"/>
              <w:right w:val="single" w:sz="4" w:space="0" w:color="000000"/>
            </w:tcBorders>
          </w:tcPr>
          <w:p w14:paraId="7CD370CD" w14:textId="77777777" w:rsidR="00137944" w:rsidRPr="009B1A37" w:rsidRDefault="00137944" w:rsidP="00BE3D48">
            <w:pPr>
              <w:keepNext/>
              <w:widowControl w:val="0"/>
              <w:snapToGrid w:val="0"/>
              <w:spacing w:line="240" w:lineRule="auto"/>
              <w:rPr>
                <w:b/>
                <w:bCs/>
                <w:color w:val="000000"/>
              </w:rPr>
            </w:pPr>
            <w:r w:rsidRPr="009B1A37">
              <w:rPr>
                <w:b/>
                <w:bCs/>
                <w:color w:val="000000"/>
              </w:rPr>
              <w:t>Poruchy svalové a kosterní soustavy a pojivové tkáně</w:t>
            </w:r>
          </w:p>
        </w:tc>
      </w:tr>
      <w:tr w:rsidR="00137944" w:rsidRPr="009B1A37" w14:paraId="3EFF1D31"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24B7D340" w14:textId="77777777" w:rsidR="00137944" w:rsidRPr="009B1A37" w:rsidRDefault="00137944" w:rsidP="00BE3D48">
            <w:pPr>
              <w:keepNext/>
              <w:widowControl w:val="0"/>
              <w:snapToGrid w:val="0"/>
              <w:spacing w:line="240" w:lineRule="auto"/>
              <w:rPr>
                <w:i/>
                <w:iCs/>
                <w:color w:val="000000"/>
              </w:rPr>
            </w:pPr>
            <w:r w:rsidRPr="009B1A37">
              <w:rPr>
                <w:i/>
                <w:iCs/>
                <w:color w:val="000000"/>
              </w:rPr>
              <w:t>Velmi časté:</w:t>
            </w:r>
          </w:p>
        </w:tc>
        <w:tc>
          <w:tcPr>
            <w:tcW w:w="7107" w:type="dxa"/>
            <w:tcBorders>
              <w:top w:val="single" w:sz="4" w:space="0" w:color="000000"/>
              <w:left w:val="single" w:sz="4" w:space="0" w:color="000000"/>
              <w:bottom w:val="single" w:sz="4" w:space="0" w:color="000000"/>
              <w:right w:val="single" w:sz="4" w:space="0" w:color="000000"/>
            </w:tcBorders>
          </w:tcPr>
          <w:p w14:paraId="3B30176A" w14:textId="77777777" w:rsidR="00137944" w:rsidRPr="009B1A37" w:rsidRDefault="00137944" w:rsidP="00BE3D48">
            <w:pPr>
              <w:keepNext/>
              <w:widowControl w:val="0"/>
              <w:snapToGrid w:val="0"/>
              <w:spacing w:line="240" w:lineRule="auto"/>
              <w:rPr>
                <w:color w:val="000000"/>
                <w:vertAlign w:val="superscript"/>
              </w:rPr>
            </w:pPr>
            <w:r w:rsidRPr="009B1A37">
              <w:rPr>
                <w:color w:val="000000"/>
              </w:rPr>
              <w:t>Svalové křeče a záchvaty křečí, muskuloskeletá</w:t>
            </w:r>
            <w:r w:rsidR="00173A5E" w:rsidRPr="009B1A37">
              <w:rPr>
                <w:color w:val="000000"/>
              </w:rPr>
              <w:t>l</w:t>
            </w:r>
            <w:r w:rsidRPr="009B1A37">
              <w:rPr>
                <w:color w:val="000000"/>
              </w:rPr>
              <w:t>ní bolest včetně myalgie</w:t>
            </w:r>
            <w:r w:rsidR="0067157F" w:rsidRPr="009B1A37">
              <w:rPr>
                <w:color w:val="000000"/>
                <w:vertAlign w:val="superscript"/>
              </w:rPr>
              <w:t>9</w:t>
            </w:r>
            <w:r w:rsidRPr="009B1A37">
              <w:rPr>
                <w:color w:val="000000"/>
              </w:rPr>
              <w:t>, artralgie, bolest kostí</w:t>
            </w:r>
            <w:r w:rsidR="0067157F" w:rsidRPr="009B1A37">
              <w:rPr>
                <w:color w:val="000000"/>
                <w:vertAlign w:val="superscript"/>
              </w:rPr>
              <w:t>10</w:t>
            </w:r>
          </w:p>
        </w:tc>
      </w:tr>
      <w:tr w:rsidR="00137944" w:rsidRPr="009B1A37" w14:paraId="4701A827"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5C0FB8EA" w14:textId="77777777" w:rsidR="00137944" w:rsidRPr="009B1A37" w:rsidRDefault="00137944" w:rsidP="00BE3D48">
            <w:pPr>
              <w:keepNext/>
              <w:widowControl w:val="0"/>
              <w:snapToGrid w:val="0"/>
              <w:spacing w:line="240" w:lineRule="auto"/>
              <w:rPr>
                <w:i/>
                <w:iCs/>
                <w:color w:val="000000"/>
              </w:rPr>
            </w:pPr>
            <w:r w:rsidRPr="009B1A37">
              <w:rPr>
                <w:i/>
                <w:iCs/>
                <w:color w:val="000000"/>
              </w:rPr>
              <w:t>Časté:</w:t>
            </w:r>
          </w:p>
        </w:tc>
        <w:tc>
          <w:tcPr>
            <w:tcW w:w="7107" w:type="dxa"/>
            <w:tcBorders>
              <w:top w:val="single" w:sz="4" w:space="0" w:color="000000"/>
              <w:left w:val="single" w:sz="4" w:space="0" w:color="000000"/>
              <w:bottom w:val="single" w:sz="4" w:space="0" w:color="000000"/>
              <w:right w:val="single" w:sz="4" w:space="0" w:color="000000"/>
            </w:tcBorders>
          </w:tcPr>
          <w:p w14:paraId="6235DA39" w14:textId="77777777" w:rsidR="00137944" w:rsidRPr="009B1A37" w:rsidRDefault="00137944" w:rsidP="00BE3D48">
            <w:pPr>
              <w:keepNext/>
              <w:widowControl w:val="0"/>
              <w:snapToGrid w:val="0"/>
              <w:spacing w:line="240" w:lineRule="auto"/>
              <w:rPr>
                <w:color w:val="000000"/>
              </w:rPr>
            </w:pPr>
            <w:r w:rsidRPr="009B1A37">
              <w:rPr>
                <w:color w:val="000000"/>
              </w:rPr>
              <w:t>Otoky kloubů</w:t>
            </w:r>
          </w:p>
        </w:tc>
      </w:tr>
      <w:tr w:rsidR="00137944" w:rsidRPr="009B1A37" w14:paraId="23442BFD"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259CCC24" w14:textId="77777777" w:rsidR="00137944" w:rsidRPr="009B1A37" w:rsidRDefault="00137944" w:rsidP="00BE3D48">
            <w:pPr>
              <w:keepNext/>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0B50511B" w14:textId="77777777" w:rsidR="00137944" w:rsidRPr="009B1A37" w:rsidRDefault="00137944" w:rsidP="00BE3D48">
            <w:pPr>
              <w:keepNext/>
              <w:widowControl w:val="0"/>
              <w:snapToGrid w:val="0"/>
              <w:spacing w:line="240" w:lineRule="auto"/>
              <w:rPr>
                <w:color w:val="000000"/>
              </w:rPr>
            </w:pPr>
            <w:r w:rsidRPr="009B1A37">
              <w:rPr>
                <w:color w:val="000000"/>
              </w:rPr>
              <w:t>Kloubní a svalová ztuhlost</w:t>
            </w:r>
          </w:p>
        </w:tc>
      </w:tr>
      <w:tr w:rsidR="00137944" w:rsidRPr="009B1A37" w14:paraId="2814E037"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09583EB6" w14:textId="77777777" w:rsidR="00137944" w:rsidRPr="009B1A37" w:rsidRDefault="00137944" w:rsidP="00BE3D48">
            <w:pPr>
              <w:keepNext/>
              <w:widowControl w:val="0"/>
              <w:snapToGrid w:val="0"/>
              <w:spacing w:line="240" w:lineRule="auto"/>
              <w:rPr>
                <w:i/>
                <w:iCs/>
                <w:color w:val="000000"/>
              </w:rPr>
            </w:pPr>
            <w:r w:rsidRPr="009B1A37">
              <w:rPr>
                <w:i/>
                <w:iCs/>
                <w:color w:val="000000"/>
              </w:rPr>
              <w:t>Vzácné:</w:t>
            </w:r>
          </w:p>
        </w:tc>
        <w:tc>
          <w:tcPr>
            <w:tcW w:w="7107" w:type="dxa"/>
            <w:tcBorders>
              <w:top w:val="single" w:sz="4" w:space="0" w:color="000000"/>
              <w:left w:val="single" w:sz="4" w:space="0" w:color="000000"/>
              <w:bottom w:val="single" w:sz="4" w:space="0" w:color="000000"/>
              <w:right w:val="single" w:sz="4" w:space="0" w:color="000000"/>
            </w:tcBorders>
          </w:tcPr>
          <w:p w14:paraId="196A8FA1" w14:textId="77777777" w:rsidR="00137944" w:rsidRPr="009B1A37" w:rsidRDefault="00137944" w:rsidP="00BE3D48">
            <w:pPr>
              <w:keepNext/>
              <w:widowControl w:val="0"/>
              <w:snapToGrid w:val="0"/>
              <w:spacing w:line="240" w:lineRule="auto"/>
              <w:rPr>
                <w:b/>
                <w:bCs/>
                <w:color w:val="000000"/>
              </w:rPr>
            </w:pPr>
            <w:r w:rsidRPr="009B1A37">
              <w:rPr>
                <w:color w:val="000000"/>
              </w:rPr>
              <w:t>Svalová slabost, artritida, rabdomyolýza/myopatie</w:t>
            </w:r>
          </w:p>
        </w:tc>
      </w:tr>
      <w:tr w:rsidR="005C70CC" w:rsidRPr="009B1A37" w14:paraId="4310AAC2"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43EA77D2" w14:textId="77777777" w:rsidR="005C70CC" w:rsidRPr="009B1A37" w:rsidRDefault="005C70CC" w:rsidP="00BE3D48">
            <w:pPr>
              <w:widowControl w:val="0"/>
              <w:snapToGrid w:val="0"/>
              <w:spacing w:line="240" w:lineRule="auto"/>
              <w:rPr>
                <w:i/>
                <w:iCs/>
                <w:color w:val="000000"/>
              </w:rPr>
            </w:pPr>
            <w:r w:rsidRPr="009B1A37">
              <w:rPr>
                <w:i/>
                <w:iCs/>
                <w:color w:val="000000"/>
              </w:rPr>
              <w:t>Není známo:</w:t>
            </w:r>
          </w:p>
        </w:tc>
        <w:tc>
          <w:tcPr>
            <w:tcW w:w="7107" w:type="dxa"/>
            <w:tcBorders>
              <w:top w:val="single" w:sz="4" w:space="0" w:color="000000"/>
              <w:left w:val="single" w:sz="4" w:space="0" w:color="000000"/>
              <w:bottom w:val="single" w:sz="4" w:space="0" w:color="000000"/>
              <w:right w:val="single" w:sz="4" w:space="0" w:color="000000"/>
            </w:tcBorders>
          </w:tcPr>
          <w:p w14:paraId="150384F7" w14:textId="77777777" w:rsidR="005C70CC" w:rsidRPr="009B1A37" w:rsidRDefault="00C606C1" w:rsidP="00BE3D48">
            <w:pPr>
              <w:widowControl w:val="0"/>
              <w:snapToGrid w:val="0"/>
              <w:spacing w:line="240" w:lineRule="auto"/>
              <w:rPr>
                <w:color w:val="000000"/>
              </w:rPr>
            </w:pPr>
            <w:r w:rsidRPr="009B1A37">
              <w:rPr>
                <w:color w:val="000000"/>
              </w:rPr>
              <w:t>Avaskulární nekróz</w:t>
            </w:r>
            <w:r w:rsidR="00A0013C" w:rsidRPr="009B1A37">
              <w:rPr>
                <w:color w:val="000000"/>
              </w:rPr>
              <w:t>a</w:t>
            </w:r>
            <w:r w:rsidR="005C70CC" w:rsidRPr="009B1A37">
              <w:rPr>
                <w:color w:val="000000"/>
              </w:rPr>
              <w:t>/</w:t>
            </w:r>
            <w:r w:rsidRPr="009B1A37">
              <w:rPr>
                <w:color w:val="000000"/>
              </w:rPr>
              <w:t>nekróz</w:t>
            </w:r>
            <w:r w:rsidR="00A0013C" w:rsidRPr="009B1A37">
              <w:rPr>
                <w:color w:val="000000"/>
              </w:rPr>
              <w:t>a</w:t>
            </w:r>
            <w:r w:rsidRPr="009B1A37">
              <w:rPr>
                <w:color w:val="000000"/>
              </w:rPr>
              <w:t xml:space="preserve"> </w:t>
            </w:r>
            <w:r w:rsidR="002F7B63" w:rsidRPr="009B1A37">
              <w:rPr>
                <w:color w:val="000000"/>
              </w:rPr>
              <w:t>proximálního konce femuru</w:t>
            </w:r>
            <w:r w:rsidR="005C70CC" w:rsidRPr="009B1A37">
              <w:rPr>
                <w:color w:val="000000"/>
              </w:rPr>
              <w:t xml:space="preserve">*, </w:t>
            </w:r>
            <w:r w:rsidRPr="009B1A37">
              <w:rPr>
                <w:color w:val="000000"/>
              </w:rPr>
              <w:t>retardace růstu u dětí</w:t>
            </w:r>
            <w:r w:rsidR="005C70CC" w:rsidRPr="009B1A37">
              <w:rPr>
                <w:color w:val="000000"/>
              </w:rPr>
              <w:t>*</w:t>
            </w:r>
          </w:p>
        </w:tc>
      </w:tr>
      <w:tr w:rsidR="00137944" w:rsidRPr="009B1A37" w14:paraId="7C359F24" w14:textId="77777777" w:rsidTr="009F41EF">
        <w:trPr>
          <w:gridBefore w:val="1"/>
          <w:wBefore w:w="12" w:type="dxa"/>
          <w:cantSplit/>
        </w:trPr>
        <w:tc>
          <w:tcPr>
            <w:tcW w:w="9342" w:type="dxa"/>
            <w:gridSpan w:val="3"/>
            <w:tcBorders>
              <w:top w:val="single" w:sz="4" w:space="0" w:color="000000"/>
              <w:left w:val="single" w:sz="4" w:space="0" w:color="000000"/>
              <w:bottom w:val="single" w:sz="4" w:space="0" w:color="000000"/>
              <w:right w:val="single" w:sz="4" w:space="0" w:color="000000"/>
            </w:tcBorders>
          </w:tcPr>
          <w:p w14:paraId="7173A2B3" w14:textId="77777777" w:rsidR="00137944" w:rsidRPr="009B1A37" w:rsidRDefault="00137944" w:rsidP="00BE3D48">
            <w:pPr>
              <w:keepNext/>
              <w:widowControl w:val="0"/>
              <w:snapToGrid w:val="0"/>
              <w:spacing w:line="240" w:lineRule="auto"/>
              <w:rPr>
                <w:color w:val="000000"/>
              </w:rPr>
            </w:pPr>
            <w:r w:rsidRPr="009B1A37">
              <w:rPr>
                <w:b/>
                <w:bCs/>
                <w:color w:val="000000"/>
              </w:rPr>
              <w:t>Poruchy ledvin a močových cest</w:t>
            </w:r>
          </w:p>
        </w:tc>
      </w:tr>
      <w:tr w:rsidR="00137944" w:rsidRPr="009B1A37" w14:paraId="406F1965"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30271A7F" w14:textId="77777777" w:rsidR="00137944" w:rsidRPr="009B1A37" w:rsidRDefault="00137944" w:rsidP="00BE3D48">
            <w:pPr>
              <w:keepNext/>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67303BB2" w14:textId="77777777" w:rsidR="00137944" w:rsidRPr="009B1A37" w:rsidRDefault="00137944" w:rsidP="00BE3D48">
            <w:pPr>
              <w:keepNext/>
              <w:widowControl w:val="0"/>
              <w:snapToGrid w:val="0"/>
              <w:spacing w:line="240" w:lineRule="auto"/>
              <w:rPr>
                <w:color w:val="000000"/>
              </w:rPr>
            </w:pPr>
            <w:r w:rsidRPr="009B1A37">
              <w:rPr>
                <w:color w:val="000000"/>
              </w:rPr>
              <w:t>Bolest ledvin, hematurie, akutní selhání ledvin, zvýšená frekvence močení</w:t>
            </w:r>
          </w:p>
        </w:tc>
      </w:tr>
      <w:tr w:rsidR="00917C28" w:rsidRPr="009B1A37" w14:paraId="5941E03F"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012E0998" w14:textId="77777777" w:rsidR="00917C28" w:rsidRPr="009B1A37" w:rsidRDefault="00917C28" w:rsidP="00BE3D48">
            <w:pPr>
              <w:widowControl w:val="0"/>
              <w:snapToGrid w:val="0"/>
              <w:spacing w:line="240" w:lineRule="auto"/>
              <w:rPr>
                <w:i/>
                <w:iCs/>
                <w:color w:val="000000"/>
              </w:rPr>
            </w:pPr>
            <w:r w:rsidRPr="009B1A37">
              <w:rPr>
                <w:i/>
                <w:color w:val="000000"/>
              </w:rPr>
              <w:t>Není známo:</w:t>
            </w:r>
          </w:p>
        </w:tc>
        <w:tc>
          <w:tcPr>
            <w:tcW w:w="7107" w:type="dxa"/>
            <w:tcBorders>
              <w:top w:val="single" w:sz="4" w:space="0" w:color="000000"/>
              <w:left w:val="single" w:sz="4" w:space="0" w:color="000000"/>
              <w:bottom w:val="single" w:sz="4" w:space="0" w:color="000000"/>
              <w:right w:val="single" w:sz="4" w:space="0" w:color="000000"/>
            </w:tcBorders>
          </w:tcPr>
          <w:p w14:paraId="5E32ADC9" w14:textId="77777777" w:rsidR="00917C28" w:rsidRPr="009B1A37" w:rsidRDefault="00917C28" w:rsidP="00BE3D48">
            <w:pPr>
              <w:widowControl w:val="0"/>
              <w:snapToGrid w:val="0"/>
              <w:spacing w:line="240" w:lineRule="auto"/>
              <w:rPr>
                <w:color w:val="000000"/>
              </w:rPr>
            </w:pPr>
            <w:r w:rsidRPr="009B1A37">
              <w:rPr>
                <w:color w:val="000000"/>
              </w:rPr>
              <w:t>Chronické selhání ledvin</w:t>
            </w:r>
          </w:p>
        </w:tc>
      </w:tr>
      <w:tr w:rsidR="00137944" w:rsidRPr="009B1A37" w14:paraId="181CF5D5" w14:textId="77777777" w:rsidTr="009F41EF">
        <w:trPr>
          <w:gridBefore w:val="1"/>
          <w:wBefore w:w="12" w:type="dxa"/>
          <w:cantSplit/>
        </w:trPr>
        <w:tc>
          <w:tcPr>
            <w:tcW w:w="9342" w:type="dxa"/>
            <w:gridSpan w:val="3"/>
            <w:tcBorders>
              <w:top w:val="single" w:sz="4" w:space="0" w:color="000000"/>
              <w:left w:val="single" w:sz="4" w:space="0" w:color="000000"/>
              <w:bottom w:val="single" w:sz="4" w:space="0" w:color="000000"/>
              <w:right w:val="single" w:sz="4" w:space="0" w:color="000000"/>
            </w:tcBorders>
          </w:tcPr>
          <w:p w14:paraId="4F44A93A" w14:textId="77777777" w:rsidR="00137944" w:rsidRPr="009B1A37" w:rsidRDefault="00137944" w:rsidP="00BE3D48">
            <w:pPr>
              <w:keepNext/>
              <w:widowControl w:val="0"/>
              <w:snapToGrid w:val="0"/>
              <w:spacing w:line="240" w:lineRule="auto"/>
              <w:rPr>
                <w:b/>
                <w:bCs/>
                <w:color w:val="000000"/>
              </w:rPr>
            </w:pPr>
            <w:r w:rsidRPr="009B1A37">
              <w:rPr>
                <w:b/>
                <w:bCs/>
                <w:color w:val="000000"/>
              </w:rPr>
              <w:t>Poruchy reprodukčního systému a prsu</w:t>
            </w:r>
          </w:p>
        </w:tc>
      </w:tr>
      <w:tr w:rsidR="00137944" w:rsidRPr="009B1A37" w14:paraId="17C3B32C"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2A0FA51A" w14:textId="77777777" w:rsidR="00137944" w:rsidRPr="009B1A37" w:rsidRDefault="00137944" w:rsidP="00BE3D48">
            <w:pPr>
              <w:keepNext/>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353D9D2E" w14:textId="77777777" w:rsidR="00137944" w:rsidRPr="009B1A37" w:rsidRDefault="00137944" w:rsidP="00BE3D48">
            <w:pPr>
              <w:keepNext/>
              <w:widowControl w:val="0"/>
              <w:snapToGrid w:val="0"/>
              <w:spacing w:line="240" w:lineRule="auto"/>
              <w:rPr>
                <w:color w:val="000000"/>
              </w:rPr>
            </w:pPr>
            <w:r w:rsidRPr="009B1A37">
              <w:rPr>
                <w:color w:val="000000"/>
              </w:rPr>
              <w:t xml:space="preserve">Gynekomastie, erektilní dysfunkce, menoragie, nepravidelná menstruace, sexuální </w:t>
            </w:r>
            <w:r w:rsidR="00173A5E" w:rsidRPr="009B1A37">
              <w:rPr>
                <w:color w:val="000000"/>
              </w:rPr>
              <w:t>dys</w:t>
            </w:r>
            <w:r w:rsidRPr="009B1A37">
              <w:rPr>
                <w:color w:val="000000"/>
              </w:rPr>
              <w:t>funkce, bolest bradavek, zvětšení prs</w:t>
            </w:r>
            <w:r w:rsidR="00173A5E" w:rsidRPr="009B1A37">
              <w:rPr>
                <w:color w:val="000000"/>
              </w:rPr>
              <w:t>ů</w:t>
            </w:r>
            <w:r w:rsidRPr="009B1A37">
              <w:rPr>
                <w:color w:val="000000"/>
              </w:rPr>
              <w:t>, edém skrota</w:t>
            </w:r>
          </w:p>
        </w:tc>
      </w:tr>
      <w:tr w:rsidR="00137944" w:rsidRPr="009B1A37" w14:paraId="55081233"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49BD6112" w14:textId="77777777" w:rsidR="00137944" w:rsidRPr="009B1A37" w:rsidRDefault="00137944" w:rsidP="00BE3D48">
            <w:pPr>
              <w:widowControl w:val="0"/>
              <w:snapToGrid w:val="0"/>
              <w:spacing w:line="240" w:lineRule="auto"/>
              <w:rPr>
                <w:i/>
                <w:iCs/>
                <w:color w:val="000000"/>
              </w:rPr>
            </w:pPr>
            <w:r w:rsidRPr="009B1A37">
              <w:rPr>
                <w:i/>
                <w:iCs/>
                <w:color w:val="000000"/>
              </w:rPr>
              <w:t>Vzácné:</w:t>
            </w:r>
          </w:p>
        </w:tc>
        <w:tc>
          <w:tcPr>
            <w:tcW w:w="7107" w:type="dxa"/>
            <w:tcBorders>
              <w:top w:val="single" w:sz="4" w:space="0" w:color="000000"/>
              <w:left w:val="single" w:sz="4" w:space="0" w:color="000000"/>
              <w:bottom w:val="single" w:sz="4" w:space="0" w:color="000000"/>
              <w:right w:val="single" w:sz="4" w:space="0" w:color="000000"/>
            </w:tcBorders>
          </w:tcPr>
          <w:p w14:paraId="0141D153" w14:textId="77777777" w:rsidR="00137944" w:rsidRPr="009B1A37" w:rsidRDefault="00137944" w:rsidP="00BE3D48">
            <w:pPr>
              <w:widowControl w:val="0"/>
              <w:snapToGrid w:val="0"/>
              <w:spacing w:line="240" w:lineRule="auto"/>
              <w:rPr>
                <w:color w:val="000000"/>
              </w:rPr>
            </w:pPr>
            <w:r w:rsidRPr="009B1A37">
              <w:rPr>
                <w:color w:val="000000"/>
              </w:rPr>
              <w:t>Hemoragické žluté tělísko/hemoragické cysty na vaječnících</w:t>
            </w:r>
          </w:p>
        </w:tc>
      </w:tr>
      <w:tr w:rsidR="00137944" w:rsidRPr="009B1A37" w14:paraId="26563374" w14:textId="77777777" w:rsidTr="009F41EF">
        <w:trPr>
          <w:gridBefore w:val="1"/>
          <w:wBefore w:w="12" w:type="dxa"/>
          <w:cantSplit/>
        </w:trPr>
        <w:tc>
          <w:tcPr>
            <w:tcW w:w="9342" w:type="dxa"/>
            <w:gridSpan w:val="3"/>
            <w:tcBorders>
              <w:top w:val="single" w:sz="4" w:space="0" w:color="000000"/>
              <w:left w:val="single" w:sz="4" w:space="0" w:color="000000"/>
              <w:bottom w:val="single" w:sz="4" w:space="0" w:color="000000"/>
              <w:right w:val="single" w:sz="4" w:space="0" w:color="000000"/>
            </w:tcBorders>
          </w:tcPr>
          <w:p w14:paraId="31AF1F72" w14:textId="77777777" w:rsidR="00137944" w:rsidRPr="009B1A37" w:rsidRDefault="00137944" w:rsidP="00BE3D48">
            <w:pPr>
              <w:keepNext/>
              <w:widowControl w:val="0"/>
              <w:snapToGrid w:val="0"/>
              <w:spacing w:line="240" w:lineRule="auto"/>
              <w:rPr>
                <w:i/>
                <w:iCs/>
                <w:color w:val="000000"/>
              </w:rPr>
            </w:pPr>
            <w:r w:rsidRPr="009B1A37">
              <w:rPr>
                <w:b/>
                <w:bCs/>
                <w:color w:val="000000"/>
              </w:rPr>
              <w:t>Celkové poruchy a reakce v místě aplikace</w:t>
            </w:r>
          </w:p>
        </w:tc>
      </w:tr>
      <w:tr w:rsidR="00137944" w:rsidRPr="009B1A37" w14:paraId="1977021E"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5400B737" w14:textId="77777777" w:rsidR="00137944" w:rsidRPr="009B1A37" w:rsidRDefault="00137944" w:rsidP="00BE3D48">
            <w:pPr>
              <w:keepNext/>
              <w:widowControl w:val="0"/>
              <w:snapToGrid w:val="0"/>
              <w:spacing w:line="240" w:lineRule="auto"/>
              <w:rPr>
                <w:i/>
                <w:iCs/>
                <w:color w:val="000000"/>
              </w:rPr>
            </w:pPr>
            <w:r w:rsidRPr="009B1A37">
              <w:rPr>
                <w:i/>
                <w:iCs/>
                <w:color w:val="000000"/>
              </w:rPr>
              <w:t>Velmi časté:</w:t>
            </w:r>
          </w:p>
        </w:tc>
        <w:tc>
          <w:tcPr>
            <w:tcW w:w="7107" w:type="dxa"/>
            <w:tcBorders>
              <w:top w:val="single" w:sz="4" w:space="0" w:color="000000"/>
              <w:left w:val="single" w:sz="4" w:space="0" w:color="000000"/>
              <w:bottom w:val="single" w:sz="4" w:space="0" w:color="000000"/>
              <w:right w:val="single" w:sz="4" w:space="0" w:color="000000"/>
            </w:tcBorders>
          </w:tcPr>
          <w:p w14:paraId="3A819D29" w14:textId="77777777" w:rsidR="00137944" w:rsidRPr="009B1A37" w:rsidRDefault="00137944" w:rsidP="00BE3D48">
            <w:pPr>
              <w:keepNext/>
              <w:widowControl w:val="0"/>
              <w:snapToGrid w:val="0"/>
              <w:spacing w:line="240" w:lineRule="auto"/>
              <w:rPr>
                <w:color w:val="000000"/>
              </w:rPr>
            </w:pPr>
            <w:r w:rsidRPr="009B1A37">
              <w:rPr>
                <w:color w:val="000000"/>
              </w:rPr>
              <w:t>Zadržování tekutin a edémy, únava</w:t>
            </w:r>
          </w:p>
        </w:tc>
      </w:tr>
      <w:tr w:rsidR="00137944" w:rsidRPr="009B1A37" w14:paraId="0C23C311"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0598F2AC" w14:textId="77777777" w:rsidR="00137944" w:rsidRPr="009B1A37" w:rsidRDefault="00137944" w:rsidP="00BE3D48">
            <w:pPr>
              <w:keepNext/>
              <w:widowControl w:val="0"/>
              <w:snapToGrid w:val="0"/>
              <w:spacing w:line="240" w:lineRule="auto"/>
              <w:rPr>
                <w:i/>
                <w:iCs/>
                <w:color w:val="000000"/>
              </w:rPr>
            </w:pPr>
            <w:r w:rsidRPr="009B1A37">
              <w:rPr>
                <w:i/>
                <w:iCs/>
                <w:color w:val="000000"/>
              </w:rPr>
              <w:t>Časté:</w:t>
            </w:r>
          </w:p>
        </w:tc>
        <w:tc>
          <w:tcPr>
            <w:tcW w:w="7107" w:type="dxa"/>
            <w:tcBorders>
              <w:top w:val="single" w:sz="4" w:space="0" w:color="000000"/>
              <w:left w:val="single" w:sz="4" w:space="0" w:color="000000"/>
              <w:bottom w:val="single" w:sz="4" w:space="0" w:color="000000"/>
              <w:right w:val="single" w:sz="4" w:space="0" w:color="000000"/>
            </w:tcBorders>
          </w:tcPr>
          <w:p w14:paraId="57A265AF" w14:textId="77777777" w:rsidR="00137944" w:rsidRPr="009B1A37" w:rsidRDefault="00137944" w:rsidP="00BE3D48">
            <w:pPr>
              <w:keepNext/>
              <w:widowControl w:val="0"/>
              <w:snapToGrid w:val="0"/>
              <w:spacing w:line="240" w:lineRule="auto"/>
              <w:rPr>
                <w:color w:val="000000"/>
              </w:rPr>
            </w:pPr>
            <w:r w:rsidRPr="009B1A37">
              <w:rPr>
                <w:color w:val="000000"/>
              </w:rPr>
              <w:t xml:space="preserve">Slabost, pyrexie, anasarka, </w:t>
            </w:r>
            <w:r w:rsidR="00173A5E" w:rsidRPr="009B1A37">
              <w:rPr>
                <w:color w:val="000000"/>
              </w:rPr>
              <w:t>zimnice</w:t>
            </w:r>
            <w:r w:rsidRPr="009B1A37">
              <w:rPr>
                <w:color w:val="000000"/>
              </w:rPr>
              <w:t>, ztuhlost</w:t>
            </w:r>
          </w:p>
        </w:tc>
      </w:tr>
      <w:tr w:rsidR="00137944" w:rsidRPr="009B1A37" w14:paraId="24533E06"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52FF2A82" w14:textId="77777777" w:rsidR="00137944" w:rsidRPr="009B1A37" w:rsidRDefault="00137944" w:rsidP="00BE3D48">
            <w:pPr>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220E9412" w14:textId="77777777" w:rsidR="00137944" w:rsidRPr="009B1A37" w:rsidRDefault="00137944" w:rsidP="00BE3D48">
            <w:pPr>
              <w:widowControl w:val="0"/>
              <w:snapToGrid w:val="0"/>
              <w:spacing w:line="240" w:lineRule="auto"/>
              <w:rPr>
                <w:color w:val="000000"/>
              </w:rPr>
            </w:pPr>
            <w:r w:rsidRPr="009B1A37">
              <w:rPr>
                <w:color w:val="000000"/>
              </w:rPr>
              <w:t>Bolest na hrudi, malátnost</w:t>
            </w:r>
          </w:p>
        </w:tc>
      </w:tr>
      <w:tr w:rsidR="00137944" w:rsidRPr="009B1A37" w14:paraId="3191EED3" w14:textId="77777777" w:rsidTr="009F41EF">
        <w:trPr>
          <w:gridBefore w:val="1"/>
          <w:wBefore w:w="12" w:type="dxa"/>
          <w:cantSplit/>
        </w:trPr>
        <w:tc>
          <w:tcPr>
            <w:tcW w:w="9342" w:type="dxa"/>
            <w:gridSpan w:val="3"/>
            <w:tcBorders>
              <w:top w:val="single" w:sz="4" w:space="0" w:color="000000"/>
              <w:left w:val="single" w:sz="4" w:space="0" w:color="000000"/>
              <w:bottom w:val="single" w:sz="4" w:space="0" w:color="000000"/>
              <w:right w:val="single" w:sz="4" w:space="0" w:color="000000"/>
            </w:tcBorders>
          </w:tcPr>
          <w:p w14:paraId="287F2A99" w14:textId="77777777" w:rsidR="00137944" w:rsidRPr="009B1A37" w:rsidRDefault="00137944" w:rsidP="00BE3D48">
            <w:pPr>
              <w:keepNext/>
              <w:widowControl w:val="0"/>
              <w:snapToGrid w:val="0"/>
              <w:spacing w:line="240" w:lineRule="auto"/>
              <w:rPr>
                <w:color w:val="000000"/>
              </w:rPr>
            </w:pPr>
            <w:r w:rsidRPr="009B1A37">
              <w:rPr>
                <w:b/>
                <w:bCs/>
                <w:color w:val="000000"/>
              </w:rPr>
              <w:lastRenderedPageBreak/>
              <w:t>Vyšetření</w:t>
            </w:r>
          </w:p>
        </w:tc>
      </w:tr>
      <w:tr w:rsidR="00137944" w:rsidRPr="009B1A37" w14:paraId="269492BB"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4683D3D1" w14:textId="77777777" w:rsidR="00137944" w:rsidRPr="009B1A37" w:rsidRDefault="00137944" w:rsidP="00BE3D48">
            <w:pPr>
              <w:keepNext/>
              <w:widowControl w:val="0"/>
              <w:snapToGrid w:val="0"/>
              <w:spacing w:line="240" w:lineRule="auto"/>
              <w:rPr>
                <w:i/>
                <w:iCs/>
                <w:color w:val="000000"/>
              </w:rPr>
            </w:pPr>
            <w:r w:rsidRPr="009B1A37">
              <w:rPr>
                <w:i/>
                <w:iCs/>
                <w:color w:val="000000"/>
              </w:rPr>
              <w:t>Velmi časté:</w:t>
            </w:r>
          </w:p>
        </w:tc>
        <w:tc>
          <w:tcPr>
            <w:tcW w:w="7107" w:type="dxa"/>
            <w:tcBorders>
              <w:top w:val="single" w:sz="4" w:space="0" w:color="000000"/>
              <w:left w:val="single" w:sz="4" w:space="0" w:color="000000"/>
              <w:bottom w:val="single" w:sz="4" w:space="0" w:color="000000"/>
              <w:right w:val="single" w:sz="4" w:space="0" w:color="000000"/>
            </w:tcBorders>
          </w:tcPr>
          <w:p w14:paraId="4A61D77C" w14:textId="77777777" w:rsidR="00137944" w:rsidRPr="009B1A37" w:rsidRDefault="00137944" w:rsidP="00BE3D48">
            <w:pPr>
              <w:keepNext/>
              <w:widowControl w:val="0"/>
              <w:snapToGrid w:val="0"/>
              <w:spacing w:line="240" w:lineRule="auto"/>
              <w:rPr>
                <w:color w:val="000000"/>
              </w:rPr>
            </w:pPr>
            <w:r w:rsidRPr="009B1A37">
              <w:rPr>
                <w:color w:val="000000"/>
              </w:rPr>
              <w:t xml:space="preserve">Zvýšení </w:t>
            </w:r>
            <w:r w:rsidR="00173A5E" w:rsidRPr="009B1A37">
              <w:rPr>
                <w:color w:val="000000"/>
              </w:rPr>
              <w:t xml:space="preserve">tělesné </w:t>
            </w:r>
            <w:r w:rsidRPr="009B1A37">
              <w:rPr>
                <w:color w:val="000000"/>
              </w:rPr>
              <w:t>hmotnosti</w:t>
            </w:r>
          </w:p>
        </w:tc>
      </w:tr>
      <w:tr w:rsidR="00137944" w:rsidRPr="009B1A37" w14:paraId="72133CF5"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2CCDCBE1" w14:textId="77777777" w:rsidR="00137944" w:rsidRPr="009B1A37" w:rsidRDefault="00137944" w:rsidP="00BE3D48">
            <w:pPr>
              <w:keepNext/>
              <w:widowControl w:val="0"/>
              <w:snapToGrid w:val="0"/>
              <w:spacing w:line="240" w:lineRule="auto"/>
              <w:rPr>
                <w:i/>
                <w:iCs/>
                <w:color w:val="000000"/>
              </w:rPr>
            </w:pPr>
            <w:r w:rsidRPr="009B1A37">
              <w:rPr>
                <w:i/>
                <w:iCs/>
                <w:color w:val="000000"/>
              </w:rPr>
              <w:t>Časté:</w:t>
            </w:r>
          </w:p>
        </w:tc>
        <w:tc>
          <w:tcPr>
            <w:tcW w:w="7107" w:type="dxa"/>
            <w:tcBorders>
              <w:top w:val="single" w:sz="4" w:space="0" w:color="000000"/>
              <w:left w:val="single" w:sz="4" w:space="0" w:color="000000"/>
              <w:bottom w:val="single" w:sz="4" w:space="0" w:color="000000"/>
              <w:right w:val="single" w:sz="4" w:space="0" w:color="000000"/>
            </w:tcBorders>
          </w:tcPr>
          <w:p w14:paraId="6E133633" w14:textId="77777777" w:rsidR="00137944" w:rsidRPr="009B1A37" w:rsidRDefault="00137944" w:rsidP="00BE3D48">
            <w:pPr>
              <w:keepNext/>
              <w:widowControl w:val="0"/>
              <w:snapToGrid w:val="0"/>
              <w:spacing w:line="240" w:lineRule="auto"/>
              <w:rPr>
                <w:color w:val="000000"/>
              </w:rPr>
            </w:pPr>
            <w:r w:rsidRPr="009B1A37">
              <w:rPr>
                <w:color w:val="000000"/>
              </w:rPr>
              <w:t xml:space="preserve">Snížení </w:t>
            </w:r>
            <w:r w:rsidR="00173A5E" w:rsidRPr="009B1A37">
              <w:rPr>
                <w:color w:val="000000"/>
              </w:rPr>
              <w:t xml:space="preserve">tělesné </w:t>
            </w:r>
            <w:r w:rsidRPr="009B1A37">
              <w:rPr>
                <w:color w:val="000000"/>
              </w:rPr>
              <w:t>hmotnosti</w:t>
            </w:r>
          </w:p>
        </w:tc>
      </w:tr>
      <w:tr w:rsidR="00137944" w:rsidRPr="009B1A37" w14:paraId="3F6C354B"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67167BB6" w14:textId="77777777" w:rsidR="00137944" w:rsidRPr="009B1A37" w:rsidRDefault="00137944" w:rsidP="00BE3D48">
            <w:pPr>
              <w:keepNext/>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6494E6EE" w14:textId="77777777" w:rsidR="00137944" w:rsidRPr="009B1A37" w:rsidRDefault="00137944" w:rsidP="00BE3D48">
            <w:pPr>
              <w:keepNext/>
              <w:widowControl w:val="0"/>
              <w:snapToGrid w:val="0"/>
              <w:spacing w:line="240" w:lineRule="auto"/>
              <w:rPr>
                <w:color w:val="000000"/>
              </w:rPr>
            </w:pPr>
            <w:r w:rsidRPr="009B1A37">
              <w:rPr>
                <w:color w:val="000000"/>
              </w:rPr>
              <w:t>Zvýšení koncentrace kreatininu v krvi, zvýšení kreatinfosfokinázy v krvi, zvýšení laktátdehydrogenázy v krvi, zvýšení alkalické fosfatázy v krvi</w:t>
            </w:r>
          </w:p>
        </w:tc>
      </w:tr>
      <w:tr w:rsidR="00137944" w:rsidRPr="009B1A37" w14:paraId="37430DCC" w14:textId="77777777" w:rsidTr="009F41EF">
        <w:trPr>
          <w:gridBefore w:val="1"/>
          <w:wBefore w:w="12" w:type="dxa"/>
          <w:cantSplit/>
        </w:trPr>
        <w:tc>
          <w:tcPr>
            <w:tcW w:w="2235" w:type="dxa"/>
            <w:gridSpan w:val="2"/>
            <w:tcBorders>
              <w:top w:val="single" w:sz="4" w:space="0" w:color="000000"/>
              <w:left w:val="single" w:sz="4" w:space="0" w:color="000000"/>
              <w:bottom w:val="single" w:sz="4" w:space="0" w:color="000000"/>
            </w:tcBorders>
          </w:tcPr>
          <w:p w14:paraId="35454940" w14:textId="77777777" w:rsidR="00137944" w:rsidRPr="009B1A37" w:rsidRDefault="00137944" w:rsidP="00BE3D48">
            <w:pPr>
              <w:keepNext/>
              <w:widowControl w:val="0"/>
              <w:snapToGrid w:val="0"/>
              <w:spacing w:line="240" w:lineRule="auto"/>
              <w:rPr>
                <w:i/>
                <w:iCs/>
                <w:color w:val="000000"/>
              </w:rPr>
            </w:pPr>
            <w:r w:rsidRPr="009B1A37">
              <w:rPr>
                <w:i/>
                <w:iCs/>
                <w:color w:val="000000"/>
              </w:rPr>
              <w:t>Vzácné:</w:t>
            </w:r>
          </w:p>
        </w:tc>
        <w:tc>
          <w:tcPr>
            <w:tcW w:w="7107" w:type="dxa"/>
            <w:tcBorders>
              <w:top w:val="single" w:sz="4" w:space="0" w:color="000000"/>
              <w:left w:val="single" w:sz="4" w:space="0" w:color="000000"/>
              <w:bottom w:val="single" w:sz="4" w:space="0" w:color="000000"/>
              <w:right w:val="single" w:sz="4" w:space="0" w:color="000000"/>
            </w:tcBorders>
          </w:tcPr>
          <w:p w14:paraId="3E17EF45" w14:textId="77777777" w:rsidR="00137944" w:rsidRPr="009B1A37" w:rsidRDefault="00137944" w:rsidP="00BE3D48">
            <w:pPr>
              <w:keepNext/>
              <w:widowControl w:val="0"/>
              <w:snapToGrid w:val="0"/>
              <w:spacing w:line="240" w:lineRule="auto"/>
              <w:rPr>
                <w:color w:val="000000"/>
              </w:rPr>
            </w:pPr>
            <w:r w:rsidRPr="009B1A37">
              <w:rPr>
                <w:color w:val="000000"/>
              </w:rPr>
              <w:t>Zvýšení amylázy v krvi</w:t>
            </w:r>
          </w:p>
        </w:tc>
      </w:tr>
    </w:tbl>
    <w:p w14:paraId="22751BE2" w14:textId="77777777" w:rsidR="005C70CC" w:rsidRPr="009B1A37" w:rsidRDefault="005C70CC" w:rsidP="00BE3D48">
      <w:pPr>
        <w:keepNext/>
        <w:widowControl w:val="0"/>
        <w:spacing w:line="240" w:lineRule="auto"/>
        <w:rPr>
          <w:color w:val="000000"/>
        </w:rPr>
      </w:pPr>
    </w:p>
    <w:p w14:paraId="01BB7F9A" w14:textId="77777777" w:rsidR="00A40A1C" w:rsidRPr="009B1A37" w:rsidRDefault="005C70CC" w:rsidP="009F41EF">
      <w:pPr>
        <w:keepNext/>
        <w:keepLines/>
        <w:widowControl w:val="0"/>
        <w:spacing w:line="240" w:lineRule="auto"/>
        <w:ind w:left="567" w:hanging="567"/>
        <w:rPr>
          <w:color w:val="000000"/>
        </w:rPr>
      </w:pPr>
      <w:r w:rsidRPr="009B1A37">
        <w:rPr>
          <w:color w:val="000000"/>
        </w:rPr>
        <w:t>*</w:t>
      </w:r>
      <w:r w:rsidRPr="009B1A37">
        <w:rPr>
          <w:color w:val="000000"/>
        </w:rPr>
        <w:tab/>
        <w:t xml:space="preserve">Tyto typy reakcí byly hlášeny po uvedení přípravku Glivec na trhu. </w:t>
      </w:r>
      <w:r w:rsidR="00A40A1C" w:rsidRPr="009B1A37">
        <w:rPr>
          <w:color w:val="000000"/>
        </w:rPr>
        <w:t>Jsou zde zahrnuta spontánní hlášení nežádoucích účinků</w:t>
      </w:r>
      <w:r w:rsidRPr="009B1A37">
        <w:rPr>
          <w:color w:val="000000"/>
        </w:rPr>
        <w:t xml:space="preserve"> </w:t>
      </w:r>
      <w:r w:rsidR="00A40A1C" w:rsidRPr="009B1A37">
        <w:rPr>
          <w:color w:val="000000"/>
        </w:rPr>
        <w:t>a také závažné nežádoucí účinky z pokračujících studií, programů rozšířeného přístupu k léčivému přípravku, studií klinické farmakologie a výzkumných studií v dosud neschválených indikacích</w:t>
      </w:r>
      <w:r w:rsidRPr="009B1A37">
        <w:rPr>
          <w:color w:val="000000"/>
        </w:rPr>
        <w:t xml:space="preserve">. </w:t>
      </w:r>
      <w:r w:rsidR="00A40A1C" w:rsidRPr="009B1A37">
        <w:rPr>
          <w:color w:val="000000"/>
        </w:rPr>
        <w:t>Protože tyto reakce jsou hlášeny z populace neurčitého rozsahu, není vždy možné spolehlivě odhadnout jejich četnost výskytu nebo stanovit kauzální vztah vůči expozici imatinibem.</w:t>
      </w:r>
    </w:p>
    <w:p w14:paraId="111AE9E6" w14:textId="77777777" w:rsidR="004300AE" w:rsidRPr="009B1A37" w:rsidRDefault="004300AE" w:rsidP="009F41EF">
      <w:pPr>
        <w:keepNext/>
        <w:keepLines/>
        <w:widowControl w:val="0"/>
        <w:numPr>
          <w:ilvl w:val="0"/>
          <w:numId w:val="22"/>
        </w:numPr>
        <w:tabs>
          <w:tab w:val="clear" w:pos="567"/>
          <w:tab w:val="clear" w:pos="930"/>
        </w:tabs>
        <w:spacing w:line="240" w:lineRule="auto"/>
        <w:ind w:left="567" w:hanging="567"/>
        <w:rPr>
          <w:color w:val="000000"/>
        </w:rPr>
      </w:pPr>
      <w:r w:rsidRPr="009B1A37">
        <w:rPr>
          <w:color w:val="000000"/>
        </w:rPr>
        <w:t>Pneumonie byla nejčastěji hlášena u pacientů s transformovanou CML a u pacientů s GIST.</w:t>
      </w:r>
    </w:p>
    <w:p w14:paraId="508BE3D0" w14:textId="77777777" w:rsidR="004300AE" w:rsidRPr="009B1A37" w:rsidRDefault="004300AE" w:rsidP="009F41EF">
      <w:pPr>
        <w:keepNext/>
        <w:keepLines/>
        <w:widowControl w:val="0"/>
        <w:numPr>
          <w:ilvl w:val="0"/>
          <w:numId w:val="22"/>
        </w:numPr>
        <w:tabs>
          <w:tab w:val="clear" w:pos="567"/>
          <w:tab w:val="clear" w:pos="930"/>
        </w:tabs>
        <w:spacing w:line="240" w:lineRule="auto"/>
        <w:ind w:left="567" w:hanging="567"/>
        <w:rPr>
          <w:color w:val="000000"/>
        </w:rPr>
      </w:pPr>
      <w:r w:rsidRPr="009B1A37">
        <w:rPr>
          <w:color w:val="000000"/>
        </w:rPr>
        <w:t>Bolest hlavy byl</w:t>
      </w:r>
      <w:r w:rsidR="00173A5E" w:rsidRPr="009B1A37">
        <w:rPr>
          <w:color w:val="000000"/>
        </w:rPr>
        <w:t>a</w:t>
      </w:r>
      <w:r w:rsidRPr="009B1A37">
        <w:rPr>
          <w:color w:val="000000"/>
        </w:rPr>
        <w:t xml:space="preserve"> nejčastější u pacientů s GIST.</w:t>
      </w:r>
    </w:p>
    <w:p w14:paraId="21AF8971" w14:textId="77777777" w:rsidR="00D97A44" w:rsidRPr="009B1A37" w:rsidRDefault="004300AE" w:rsidP="009F41EF">
      <w:pPr>
        <w:keepNext/>
        <w:keepLines/>
        <w:widowControl w:val="0"/>
        <w:tabs>
          <w:tab w:val="clear" w:pos="567"/>
        </w:tabs>
        <w:spacing w:line="240" w:lineRule="auto"/>
        <w:ind w:left="567" w:hanging="567"/>
        <w:rPr>
          <w:color w:val="000000"/>
        </w:rPr>
      </w:pPr>
      <w:r w:rsidRPr="009B1A37">
        <w:rPr>
          <w:color w:val="000000"/>
        </w:rPr>
        <w:t>3</w:t>
      </w:r>
      <w:r w:rsidRPr="009B1A37">
        <w:rPr>
          <w:color w:val="000000"/>
        </w:rPr>
        <w:tab/>
      </w:r>
      <w:r w:rsidR="00D97A44" w:rsidRPr="009B1A37">
        <w:rPr>
          <w:color w:val="000000"/>
        </w:rPr>
        <w:t>Na podkladě hodnocení pacientoroků byly srdeční příhody včetně městnavého srdečního selhání pozorovány častěji u pacientů s transformovanou CML než u pacientů s chronickou CML.</w:t>
      </w:r>
    </w:p>
    <w:p w14:paraId="66387696" w14:textId="77777777" w:rsidR="004300AE" w:rsidRPr="009B1A37" w:rsidRDefault="004300AE" w:rsidP="009F41EF">
      <w:pPr>
        <w:keepNext/>
        <w:keepLines/>
        <w:widowControl w:val="0"/>
        <w:tabs>
          <w:tab w:val="clear" w:pos="567"/>
        </w:tabs>
        <w:spacing w:line="240" w:lineRule="auto"/>
        <w:ind w:left="567" w:hanging="567"/>
        <w:rPr>
          <w:color w:val="000000"/>
        </w:rPr>
      </w:pPr>
      <w:r w:rsidRPr="009B1A37">
        <w:rPr>
          <w:color w:val="000000"/>
        </w:rPr>
        <w:t>4</w:t>
      </w:r>
      <w:r w:rsidR="00D97A44" w:rsidRPr="009B1A37">
        <w:rPr>
          <w:color w:val="000000"/>
        </w:rPr>
        <w:tab/>
      </w:r>
      <w:r w:rsidRPr="009B1A37">
        <w:rPr>
          <w:color w:val="000000"/>
        </w:rPr>
        <w:t>Zrudnutí bylo nejčastější u pacientů s GIST a krvácení (hematomy, hemoragie) bylo nejčastější u pacientů s GIST a s transformovanou CML (CML-AP a CML-BC).</w:t>
      </w:r>
    </w:p>
    <w:p w14:paraId="1F2A3DB9" w14:textId="77777777" w:rsidR="00D97A44" w:rsidRPr="009B1A37" w:rsidRDefault="004300AE" w:rsidP="009F41EF">
      <w:pPr>
        <w:keepNext/>
        <w:keepLines/>
        <w:widowControl w:val="0"/>
        <w:tabs>
          <w:tab w:val="clear" w:pos="567"/>
        </w:tabs>
        <w:spacing w:line="240" w:lineRule="auto"/>
        <w:ind w:left="567" w:hanging="567"/>
        <w:rPr>
          <w:color w:val="000000"/>
        </w:rPr>
      </w:pPr>
      <w:r w:rsidRPr="009B1A37">
        <w:rPr>
          <w:color w:val="000000"/>
        </w:rPr>
        <w:t>5</w:t>
      </w:r>
      <w:r w:rsidR="00D97A44" w:rsidRPr="009B1A37">
        <w:rPr>
          <w:color w:val="000000"/>
        </w:rPr>
        <w:tab/>
        <w:t>Pleurální výpotek byl častěji hlášen u pacientů s GIST a u pacientů s transformovanou CML (CML-AP a CML-BC) než u pacientů s chronickou CML.</w:t>
      </w:r>
    </w:p>
    <w:p w14:paraId="328EA4E5" w14:textId="77777777" w:rsidR="00D97A44" w:rsidRPr="009B1A37" w:rsidRDefault="004300AE" w:rsidP="009F41EF">
      <w:pPr>
        <w:keepNext/>
        <w:keepLines/>
        <w:widowControl w:val="0"/>
        <w:tabs>
          <w:tab w:val="clear" w:pos="567"/>
        </w:tabs>
        <w:spacing w:line="240" w:lineRule="auto"/>
        <w:ind w:left="567" w:hanging="567"/>
        <w:rPr>
          <w:color w:val="000000"/>
        </w:rPr>
      </w:pPr>
      <w:r w:rsidRPr="009B1A37">
        <w:rPr>
          <w:color w:val="000000"/>
        </w:rPr>
        <w:t>6</w:t>
      </w:r>
      <w:r w:rsidR="00D97A44" w:rsidRPr="009B1A37">
        <w:rPr>
          <w:color w:val="000000"/>
        </w:rPr>
        <w:t>+</w:t>
      </w:r>
      <w:r w:rsidRPr="009B1A37">
        <w:rPr>
          <w:color w:val="000000"/>
        </w:rPr>
        <w:t>7</w:t>
      </w:r>
      <w:r w:rsidR="00D97A44" w:rsidRPr="009B1A37">
        <w:rPr>
          <w:color w:val="000000"/>
        </w:rPr>
        <w:tab/>
        <w:t>Bolesti břicha a gastrointestinální krvácení byly nejčastěji pozorovány u pacientů s GIST.</w:t>
      </w:r>
    </w:p>
    <w:p w14:paraId="2558B1FF" w14:textId="77777777" w:rsidR="004300AE" w:rsidRPr="009B1A37" w:rsidRDefault="004300AE" w:rsidP="009F41EF">
      <w:pPr>
        <w:keepNext/>
        <w:keepLines/>
        <w:widowControl w:val="0"/>
        <w:tabs>
          <w:tab w:val="clear" w:pos="567"/>
        </w:tabs>
        <w:spacing w:line="240" w:lineRule="auto"/>
        <w:ind w:left="567" w:hanging="567"/>
        <w:rPr>
          <w:color w:val="000000"/>
        </w:rPr>
      </w:pPr>
      <w:r w:rsidRPr="009B1A37">
        <w:rPr>
          <w:color w:val="000000"/>
        </w:rPr>
        <w:t>8</w:t>
      </w:r>
      <w:r w:rsidRPr="009B1A37">
        <w:rPr>
          <w:color w:val="000000"/>
        </w:rPr>
        <w:tab/>
        <w:t>Bylo hlášeno několik fatálních případů jaterního selhání a jaterních nekróz.</w:t>
      </w:r>
    </w:p>
    <w:p w14:paraId="56B13E14" w14:textId="77777777" w:rsidR="0035736A" w:rsidRPr="009B1A37" w:rsidRDefault="001B6538" w:rsidP="009F41EF">
      <w:pPr>
        <w:keepNext/>
        <w:keepLines/>
        <w:widowControl w:val="0"/>
        <w:tabs>
          <w:tab w:val="clear" w:pos="567"/>
        </w:tabs>
        <w:spacing w:line="240" w:lineRule="auto"/>
        <w:ind w:left="567" w:hanging="567"/>
        <w:rPr>
          <w:color w:val="000000"/>
        </w:rPr>
      </w:pPr>
      <w:r w:rsidRPr="009B1A37">
        <w:rPr>
          <w:color w:val="000000"/>
        </w:rPr>
        <w:t>9</w:t>
      </w:r>
      <w:r w:rsidR="0035736A" w:rsidRPr="009B1A37">
        <w:rPr>
          <w:color w:val="000000"/>
        </w:rPr>
        <w:tab/>
      </w:r>
      <w:r w:rsidR="00797250" w:rsidRPr="009B1A37">
        <w:rPr>
          <w:color w:val="000000"/>
        </w:rPr>
        <w:t>Po uvedení na trh byla hlášena muskuloskeletá</w:t>
      </w:r>
      <w:r w:rsidR="00173A5E" w:rsidRPr="009B1A37">
        <w:rPr>
          <w:color w:val="000000"/>
        </w:rPr>
        <w:t>l</w:t>
      </w:r>
      <w:r w:rsidR="00797250" w:rsidRPr="009B1A37">
        <w:rPr>
          <w:color w:val="000000"/>
        </w:rPr>
        <w:t>ní bolest a to během nebo po ukončení léčby imatinibem.</w:t>
      </w:r>
    </w:p>
    <w:p w14:paraId="68A7792D" w14:textId="77777777" w:rsidR="00D97A44" w:rsidRPr="009B1A37" w:rsidRDefault="001B6538" w:rsidP="009F41EF">
      <w:pPr>
        <w:keepNext/>
        <w:keepLines/>
        <w:widowControl w:val="0"/>
        <w:tabs>
          <w:tab w:val="clear" w:pos="567"/>
        </w:tabs>
        <w:spacing w:line="240" w:lineRule="auto"/>
        <w:ind w:left="567" w:hanging="567"/>
        <w:rPr>
          <w:color w:val="000000"/>
        </w:rPr>
      </w:pPr>
      <w:r w:rsidRPr="009B1A37">
        <w:rPr>
          <w:color w:val="000000"/>
        </w:rPr>
        <w:t>10</w:t>
      </w:r>
      <w:r w:rsidR="00D97A44" w:rsidRPr="009B1A37">
        <w:rPr>
          <w:color w:val="000000"/>
        </w:rPr>
        <w:tab/>
        <w:t>Muskuloskeletární bolesti a související příhody byly častěji pozorovány u pacientů s CML než u pacientů s GIST.</w:t>
      </w:r>
    </w:p>
    <w:p w14:paraId="7BE0B379" w14:textId="77777777" w:rsidR="005C70CC" w:rsidRPr="009B1A37" w:rsidRDefault="001B6538" w:rsidP="009F41EF">
      <w:pPr>
        <w:keepNext/>
        <w:widowControl w:val="0"/>
        <w:tabs>
          <w:tab w:val="clear" w:pos="567"/>
          <w:tab w:val="left" w:pos="720"/>
        </w:tabs>
        <w:spacing w:line="240" w:lineRule="auto"/>
        <w:ind w:left="567" w:hanging="567"/>
        <w:rPr>
          <w:color w:val="000000"/>
        </w:rPr>
      </w:pPr>
      <w:r w:rsidRPr="009B1A37">
        <w:rPr>
          <w:color w:val="000000"/>
        </w:rPr>
        <w:t>11</w:t>
      </w:r>
      <w:r w:rsidR="005C70CC" w:rsidRPr="009B1A37">
        <w:rPr>
          <w:color w:val="000000"/>
        </w:rPr>
        <w:tab/>
      </w:r>
      <w:r w:rsidR="00141986" w:rsidRPr="009B1A37">
        <w:rPr>
          <w:color w:val="000000"/>
        </w:rPr>
        <w:t>Fatální případy byly hlášeny u</w:t>
      </w:r>
      <w:r w:rsidR="00A40A1C" w:rsidRPr="009B1A37">
        <w:t> </w:t>
      </w:r>
      <w:r w:rsidR="005C70CC" w:rsidRPr="009B1A37">
        <w:rPr>
          <w:color w:val="000000"/>
        </w:rPr>
        <w:t xml:space="preserve">pacientů s pokročilým onemocněním, závažnými infekcemi, závažnou neutropenií a </w:t>
      </w:r>
      <w:r w:rsidR="00141986" w:rsidRPr="009B1A37">
        <w:rPr>
          <w:color w:val="000000"/>
        </w:rPr>
        <w:t>jinými závažnými konkomitantními stavy</w:t>
      </w:r>
      <w:r w:rsidR="005C70CC" w:rsidRPr="009B1A37">
        <w:rPr>
          <w:color w:val="000000"/>
        </w:rPr>
        <w:t>.</w:t>
      </w:r>
    </w:p>
    <w:p w14:paraId="76521A05" w14:textId="77777777" w:rsidR="005C70CC" w:rsidRPr="009B1A37" w:rsidRDefault="005C70CC" w:rsidP="00BE3D48">
      <w:pPr>
        <w:widowControl w:val="0"/>
        <w:tabs>
          <w:tab w:val="clear" w:pos="567"/>
        </w:tabs>
        <w:spacing w:line="240" w:lineRule="auto"/>
        <w:ind w:left="567" w:hanging="567"/>
        <w:rPr>
          <w:color w:val="000000"/>
        </w:rPr>
      </w:pPr>
    </w:p>
    <w:p w14:paraId="46BD35C4" w14:textId="77777777" w:rsidR="00D97A44" w:rsidRPr="009B1A37" w:rsidRDefault="00D97A44" w:rsidP="00BE3D48">
      <w:pPr>
        <w:pStyle w:val="Heading4"/>
        <w:widowControl w:val="0"/>
        <w:numPr>
          <w:ilvl w:val="0"/>
          <w:numId w:val="0"/>
        </w:numPr>
        <w:spacing w:line="240" w:lineRule="auto"/>
        <w:jc w:val="left"/>
        <w:rPr>
          <w:b w:val="0"/>
          <w:color w:val="000000"/>
          <w:u w:val="single"/>
          <w:lang w:val="cs-CZ"/>
        </w:rPr>
      </w:pPr>
      <w:r w:rsidRPr="009B1A37">
        <w:rPr>
          <w:b w:val="0"/>
          <w:color w:val="000000"/>
          <w:u w:val="single"/>
          <w:lang w:val="cs-CZ"/>
        </w:rPr>
        <w:t>Změny hodnot laboratorních vyšetření</w:t>
      </w:r>
    </w:p>
    <w:p w14:paraId="63C47518" w14:textId="77777777" w:rsidR="00D97A44" w:rsidRPr="009B1A37" w:rsidRDefault="00D97A44" w:rsidP="00BE3D48">
      <w:pPr>
        <w:pStyle w:val="Text"/>
        <w:keepNext/>
        <w:widowControl w:val="0"/>
        <w:spacing w:before="0"/>
        <w:jc w:val="left"/>
        <w:rPr>
          <w:i/>
          <w:iCs/>
          <w:color w:val="000000"/>
          <w:sz w:val="22"/>
          <w:szCs w:val="22"/>
          <w:lang w:val="cs-CZ"/>
        </w:rPr>
      </w:pPr>
      <w:r w:rsidRPr="009B1A37">
        <w:rPr>
          <w:i/>
          <w:iCs/>
          <w:color w:val="000000"/>
          <w:sz w:val="22"/>
          <w:szCs w:val="22"/>
          <w:lang w:val="cs-CZ"/>
        </w:rPr>
        <w:t>Hematologie</w:t>
      </w:r>
    </w:p>
    <w:p w14:paraId="02CD1235"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 xml:space="preserve">U CML byly cytopenie, zvláště neutropenie a trombocytopenie, shodným nálezem ve všech studiích, s náznakem vyššího výskytu při vysokých dávkách </w:t>
      </w:r>
      <w:r w:rsidRPr="009B1A37">
        <w:rPr>
          <w:rFonts w:ascii="Symbol" w:hAnsi="Symbol"/>
          <w:color w:val="000000"/>
          <w:sz w:val="22"/>
          <w:szCs w:val="22"/>
          <w:lang w:val="cs-CZ"/>
        </w:rPr>
        <w:t></w:t>
      </w:r>
      <w:r w:rsidRPr="009B1A37">
        <w:rPr>
          <w:color w:val="000000"/>
          <w:sz w:val="22"/>
          <w:szCs w:val="22"/>
          <w:lang w:val="cs-CZ"/>
        </w:rPr>
        <w:t> 750 mg (</w:t>
      </w:r>
      <w:r w:rsidR="00173A5E" w:rsidRPr="009B1A37">
        <w:rPr>
          <w:color w:val="000000"/>
          <w:sz w:val="22"/>
          <w:szCs w:val="22"/>
          <w:lang w:val="cs-CZ"/>
        </w:rPr>
        <w:t xml:space="preserve">studie </w:t>
      </w:r>
      <w:r w:rsidRPr="009B1A37">
        <w:rPr>
          <w:color w:val="000000"/>
          <w:sz w:val="22"/>
          <w:szCs w:val="22"/>
          <w:lang w:val="cs-CZ"/>
        </w:rPr>
        <w:t>fáze I). Výskyt cytopenií byl však jasně závislý na st</w:t>
      </w:r>
      <w:r w:rsidR="00173A5E" w:rsidRPr="009B1A37">
        <w:rPr>
          <w:color w:val="000000"/>
          <w:sz w:val="22"/>
          <w:szCs w:val="22"/>
          <w:lang w:val="cs-CZ"/>
        </w:rPr>
        <w:t>a</w:t>
      </w:r>
      <w:r w:rsidRPr="009B1A37">
        <w:rPr>
          <w:color w:val="000000"/>
          <w:sz w:val="22"/>
          <w:szCs w:val="22"/>
          <w:lang w:val="cs-CZ"/>
        </w:rPr>
        <w:t>diu onemocnění. Frekvence výskytu stupně 3 nebo 4 neutropenií (ANC &lt; 1,0 x 10</w:t>
      </w:r>
      <w:r w:rsidRPr="009B1A37">
        <w:rPr>
          <w:color w:val="000000"/>
          <w:sz w:val="22"/>
          <w:szCs w:val="22"/>
          <w:vertAlign w:val="superscript"/>
          <w:lang w:val="cs-CZ"/>
        </w:rPr>
        <w:t>9</w:t>
      </w:r>
      <w:r w:rsidRPr="009B1A37">
        <w:rPr>
          <w:color w:val="000000"/>
          <w:sz w:val="22"/>
          <w:szCs w:val="22"/>
          <w:lang w:val="cs-CZ"/>
        </w:rPr>
        <w:t xml:space="preserve">/l) a trombocytopenií (počet </w:t>
      </w:r>
      <w:r w:rsidR="00173A5E" w:rsidRPr="009B1A37">
        <w:rPr>
          <w:color w:val="000000"/>
          <w:sz w:val="22"/>
          <w:szCs w:val="22"/>
          <w:lang w:val="cs-CZ"/>
        </w:rPr>
        <w:t>trombocytů</w:t>
      </w:r>
      <w:r w:rsidRPr="009B1A37">
        <w:rPr>
          <w:color w:val="000000"/>
          <w:sz w:val="22"/>
          <w:szCs w:val="22"/>
          <w:lang w:val="cs-CZ"/>
        </w:rPr>
        <w:t xml:space="preserve"> &lt; 50 x 10</w:t>
      </w:r>
      <w:r w:rsidRPr="009B1A37">
        <w:rPr>
          <w:color w:val="000000"/>
          <w:sz w:val="22"/>
          <w:szCs w:val="22"/>
          <w:vertAlign w:val="superscript"/>
          <w:lang w:val="cs-CZ"/>
        </w:rPr>
        <w:t>9</w:t>
      </w:r>
      <w:r w:rsidRPr="009B1A37">
        <w:rPr>
          <w:color w:val="000000"/>
          <w:sz w:val="22"/>
          <w:szCs w:val="22"/>
          <w:lang w:val="cs-CZ"/>
        </w:rPr>
        <w:t>/l) byly 4x a 6x častější v blastické krizi a akcelerované fázi onemocnění (59–64</w:t>
      </w:r>
      <w:r w:rsidR="00F32D33" w:rsidRPr="009B1A37">
        <w:rPr>
          <w:color w:val="000000"/>
          <w:sz w:val="22"/>
          <w:szCs w:val="22"/>
          <w:lang w:val="cs-CZ"/>
        </w:rPr>
        <w:t> </w:t>
      </w:r>
      <w:r w:rsidRPr="009B1A37">
        <w:rPr>
          <w:color w:val="000000"/>
          <w:sz w:val="22"/>
          <w:szCs w:val="22"/>
          <w:lang w:val="cs-CZ"/>
        </w:rPr>
        <w:t>% pro neutropenii a 44–63</w:t>
      </w:r>
      <w:r w:rsidR="00F32D33" w:rsidRPr="009B1A37">
        <w:rPr>
          <w:color w:val="000000"/>
          <w:sz w:val="22"/>
          <w:szCs w:val="22"/>
          <w:lang w:val="cs-CZ"/>
        </w:rPr>
        <w:t> </w:t>
      </w:r>
      <w:r w:rsidRPr="009B1A37">
        <w:rPr>
          <w:color w:val="000000"/>
          <w:sz w:val="22"/>
          <w:szCs w:val="22"/>
          <w:lang w:val="cs-CZ"/>
        </w:rPr>
        <w:t>% pro trombocytopenii) ve srovnání s nově diagnostikovanými pacienty s chronickou fází CML (16,7</w:t>
      </w:r>
      <w:r w:rsidR="00F32D33" w:rsidRPr="009B1A37">
        <w:rPr>
          <w:color w:val="000000"/>
          <w:sz w:val="22"/>
          <w:szCs w:val="22"/>
          <w:lang w:val="cs-CZ"/>
        </w:rPr>
        <w:t> </w:t>
      </w:r>
      <w:r w:rsidRPr="009B1A37">
        <w:rPr>
          <w:color w:val="000000"/>
          <w:sz w:val="22"/>
          <w:szCs w:val="22"/>
          <w:lang w:val="cs-CZ"/>
        </w:rPr>
        <w:t>% neutropenií a 8,9</w:t>
      </w:r>
      <w:r w:rsidR="00F32D33" w:rsidRPr="009B1A37">
        <w:rPr>
          <w:color w:val="000000"/>
          <w:sz w:val="22"/>
          <w:szCs w:val="22"/>
          <w:lang w:val="cs-CZ"/>
        </w:rPr>
        <w:t> </w:t>
      </w:r>
      <w:r w:rsidRPr="009B1A37">
        <w:rPr>
          <w:color w:val="000000"/>
          <w:sz w:val="22"/>
          <w:szCs w:val="22"/>
          <w:lang w:val="cs-CZ"/>
        </w:rPr>
        <w:t>% trombocytopenií). U nově diagnostikovaných pacientů s chronickou fází CML byl stupeň 4 neutropenie (ANC &lt; 0,5 x 10</w:t>
      </w:r>
      <w:r w:rsidRPr="009B1A37">
        <w:rPr>
          <w:color w:val="000000"/>
          <w:sz w:val="22"/>
          <w:szCs w:val="22"/>
          <w:vertAlign w:val="superscript"/>
          <w:lang w:val="cs-CZ"/>
        </w:rPr>
        <w:t>9</w:t>
      </w:r>
      <w:r w:rsidRPr="009B1A37">
        <w:rPr>
          <w:color w:val="000000"/>
          <w:sz w:val="22"/>
          <w:szCs w:val="22"/>
          <w:lang w:val="cs-CZ"/>
        </w:rPr>
        <w:t>/l) pozorován u 3,6</w:t>
      </w:r>
      <w:r w:rsidR="00F32D33" w:rsidRPr="009B1A37">
        <w:rPr>
          <w:color w:val="000000"/>
          <w:sz w:val="22"/>
          <w:szCs w:val="22"/>
          <w:lang w:val="cs-CZ"/>
        </w:rPr>
        <w:t> </w:t>
      </w:r>
      <w:r w:rsidRPr="009B1A37">
        <w:rPr>
          <w:color w:val="000000"/>
          <w:sz w:val="22"/>
          <w:szCs w:val="22"/>
          <w:lang w:val="cs-CZ"/>
        </w:rPr>
        <w:t xml:space="preserve">% a trombocytopenie (počet </w:t>
      </w:r>
      <w:r w:rsidR="00173A5E" w:rsidRPr="009B1A37">
        <w:rPr>
          <w:color w:val="000000"/>
          <w:sz w:val="22"/>
          <w:szCs w:val="22"/>
          <w:lang w:val="cs-CZ"/>
        </w:rPr>
        <w:t>trombocytů</w:t>
      </w:r>
      <w:r w:rsidRPr="009B1A37">
        <w:rPr>
          <w:color w:val="000000"/>
          <w:sz w:val="22"/>
          <w:szCs w:val="22"/>
          <w:lang w:val="cs-CZ"/>
        </w:rPr>
        <w:t xml:space="preserve"> &lt; 10 x 10</w:t>
      </w:r>
      <w:r w:rsidRPr="009B1A37">
        <w:rPr>
          <w:color w:val="000000"/>
          <w:sz w:val="22"/>
          <w:szCs w:val="22"/>
          <w:vertAlign w:val="superscript"/>
          <w:lang w:val="cs-CZ"/>
        </w:rPr>
        <w:t>9</w:t>
      </w:r>
      <w:r w:rsidRPr="009B1A37">
        <w:rPr>
          <w:color w:val="000000"/>
          <w:sz w:val="22"/>
          <w:szCs w:val="22"/>
          <w:lang w:val="cs-CZ"/>
        </w:rPr>
        <w:t>/l) u &lt; 1</w:t>
      </w:r>
      <w:r w:rsidR="00F32D33" w:rsidRPr="009B1A37">
        <w:rPr>
          <w:color w:val="000000"/>
          <w:sz w:val="22"/>
          <w:szCs w:val="22"/>
          <w:lang w:val="cs-CZ"/>
        </w:rPr>
        <w:t> </w:t>
      </w:r>
      <w:r w:rsidRPr="009B1A37">
        <w:rPr>
          <w:color w:val="000000"/>
          <w:sz w:val="22"/>
          <w:szCs w:val="22"/>
          <w:lang w:val="cs-CZ"/>
        </w:rPr>
        <w:t>% pacientů. Medián trvání neutropeni</w:t>
      </w:r>
      <w:r w:rsidR="005026BE" w:rsidRPr="009B1A37">
        <w:rPr>
          <w:color w:val="000000"/>
          <w:sz w:val="22"/>
          <w:szCs w:val="22"/>
          <w:lang w:val="cs-CZ"/>
        </w:rPr>
        <w:t>e</w:t>
      </w:r>
      <w:r w:rsidRPr="009B1A37">
        <w:rPr>
          <w:color w:val="000000"/>
          <w:sz w:val="22"/>
          <w:szCs w:val="22"/>
          <w:lang w:val="cs-CZ"/>
        </w:rPr>
        <w:t xml:space="preserve"> a trombocytopeni</w:t>
      </w:r>
      <w:r w:rsidR="005026BE" w:rsidRPr="009B1A37">
        <w:rPr>
          <w:color w:val="000000"/>
          <w:sz w:val="22"/>
          <w:szCs w:val="22"/>
          <w:lang w:val="cs-CZ"/>
        </w:rPr>
        <w:t>e</w:t>
      </w:r>
      <w:r w:rsidRPr="009B1A37">
        <w:rPr>
          <w:color w:val="000000"/>
          <w:sz w:val="22"/>
          <w:szCs w:val="22"/>
          <w:lang w:val="cs-CZ"/>
        </w:rPr>
        <w:t xml:space="preserve"> byl obvykle v rozmezí od 2 do 3 týdnů a od 3 do 4 týdnů. Tyto příhody je možné obvykle zvládnout buď snížením dávky nebo přerušením léčby Glivecem, ale ve vzácných případech mohou vést k trvalému přerušení léčby. U </w:t>
      </w:r>
      <w:r w:rsidR="00173A5E" w:rsidRPr="009B1A37">
        <w:rPr>
          <w:color w:val="000000"/>
          <w:sz w:val="22"/>
          <w:szCs w:val="22"/>
          <w:lang w:val="cs-CZ"/>
        </w:rPr>
        <w:t>pediatrických</w:t>
      </w:r>
      <w:r w:rsidRPr="009B1A37">
        <w:rPr>
          <w:color w:val="000000"/>
          <w:sz w:val="22"/>
          <w:szCs w:val="22"/>
          <w:lang w:val="cs-CZ"/>
        </w:rPr>
        <w:t xml:space="preserve"> pacientů s CML byla nejčastějším pozorovaným hematologickým nežádoucím účinkem cytopenie stupně 3 nebo 4, která zahrnovala neutropenii, trombocytopenii a anemii. Většinou se objevily během prvních několika měsíců léčby.</w:t>
      </w:r>
    </w:p>
    <w:p w14:paraId="104031BB" w14:textId="77777777" w:rsidR="00D97A44" w:rsidRPr="009B1A37" w:rsidRDefault="00D97A44" w:rsidP="00BE3D48">
      <w:pPr>
        <w:pStyle w:val="Text"/>
        <w:widowControl w:val="0"/>
        <w:spacing w:before="0"/>
        <w:jc w:val="left"/>
        <w:rPr>
          <w:color w:val="000000"/>
          <w:sz w:val="22"/>
          <w:szCs w:val="22"/>
          <w:lang w:val="cs-CZ"/>
        </w:rPr>
      </w:pPr>
    </w:p>
    <w:p w14:paraId="09C08870"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Ve studii u pacientů s inoperabilním a/nebo metastatickým GIST byl popsán stupeň 3 anemie u 5,4</w:t>
      </w:r>
      <w:r w:rsidR="00F32D33" w:rsidRPr="009B1A37">
        <w:rPr>
          <w:color w:val="000000"/>
          <w:sz w:val="22"/>
          <w:szCs w:val="22"/>
          <w:lang w:val="cs-CZ"/>
        </w:rPr>
        <w:t> </w:t>
      </w:r>
      <w:r w:rsidRPr="009B1A37">
        <w:rPr>
          <w:color w:val="000000"/>
          <w:sz w:val="22"/>
          <w:szCs w:val="22"/>
          <w:lang w:val="cs-CZ"/>
        </w:rPr>
        <w:t>% a stupeň 4 u 0,7</w:t>
      </w:r>
      <w:r w:rsidR="00F32D33" w:rsidRPr="009B1A37">
        <w:rPr>
          <w:color w:val="000000"/>
          <w:sz w:val="22"/>
          <w:szCs w:val="22"/>
          <w:lang w:val="cs-CZ"/>
        </w:rPr>
        <w:t xml:space="preserve"> </w:t>
      </w:r>
      <w:r w:rsidRPr="009B1A37">
        <w:rPr>
          <w:color w:val="000000"/>
          <w:sz w:val="22"/>
          <w:szCs w:val="22"/>
          <w:lang w:val="cs-CZ"/>
        </w:rPr>
        <w:t>% pacientů, které mohly souviset, alespoň u některých pacientů, s gastrointestinálním krvácením nebo krvácením do nádoru. Stupeň 3 neutropenie byl pozorován u 7,5</w:t>
      </w:r>
      <w:r w:rsidR="00F32D33" w:rsidRPr="009B1A37">
        <w:rPr>
          <w:color w:val="000000"/>
          <w:sz w:val="22"/>
          <w:szCs w:val="22"/>
          <w:lang w:val="cs-CZ"/>
        </w:rPr>
        <w:t> </w:t>
      </w:r>
      <w:r w:rsidRPr="009B1A37">
        <w:rPr>
          <w:color w:val="000000"/>
          <w:sz w:val="22"/>
          <w:szCs w:val="22"/>
          <w:lang w:val="cs-CZ"/>
        </w:rPr>
        <w:t>% pacientů a stupeň 4 u 2,7</w:t>
      </w:r>
      <w:r w:rsidR="00F32D33" w:rsidRPr="009B1A37">
        <w:rPr>
          <w:color w:val="000000"/>
          <w:sz w:val="22"/>
          <w:szCs w:val="22"/>
          <w:lang w:val="cs-CZ"/>
        </w:rPr>
        <w:t> </w:t>
      </w:r>
      <w:r w:rsidRPr="009B1A37">
        <w:rPr>
          <w:color w:val="000000"/>
          <w:sz w:val="22"/>
          <w:szCs w:val="22"/>
          <w:lang w:val="cs-CZ"/>
        </w:rPr>
        <w:t>% pacientů a stupeň 3 trombocytopenie byl u 0,7</w:t>
      </w:r>
      <w:r w:rsidR="00F32D33" w:rsidRPr="009B1A37">
        <w:rPr>
          <w:color w:val="000000"/>
          <w:sz w:val="22"/>
          <w:szCs w:val="22"/>
          <w:lang w:val="cs-CZ"/>
        </w:rPr>
        <w:t> </w:t>
      </w:r>
      <w:r w:rsidRPr="009B1A37">
        <w:rPr>
          <w:color w:val="000000"/>
          <w:sz w:val="22"/>
          <w:szCs w:val="22"/>
          <w:lang w:val="cs-CZ"/>
        </w:rPr>
        <w:t xml:space="preserve">% pacientů. U žádného pacienta se nevyvinul stupeň 4 trombocytopenie. Snížení počtu </w:t>
      </w:r>
      <w:r w:rsidR="00173A5E" w:rsidRPr="009B1A37">
        <w:rPr>
          <w:color w:val="000000"/>
          <w:sz w:val="22"/>
          <w:szCs w:val="22"/>
          <w:lang w:val="cs-CZ"/>
        </w:rPr>
        <w:t>leukocytů</w:t>
      </w:r>
      <w:r w:rsidRPr="009B1A37">
        <w:rPr>
          <w:color w:val="000000"/>
          <w:sz w:val="22"/>
          <w:szCs w:val="22"/>
          <w:lang w:val="cs-CZ"/>
        </w:rPr>
        <w:t xml:space="preserve"> a neutrofilů se objevilo hlavně během prvních šesti týdnů léčby, potom zůstávaly hodnoty relativně stabilní.</w:t>
      </w:r>
    </w:p>
    <w:p w14:paraId="3A3EEF54" w14:textId="77777777" w:rsidR="00D97A44" w:rsidRPr="009B1A37" w:rsidRDefault="00D97A44" w:rsidP="00BE3D48">
      <w:pPr>
        <w:pStyle w:val="Text"/>
        <w:widowControl w:val="0"/>
        <w:spacing w:before="0"/>
        <w:jc w:val="left"/>
        <w:rPr>
          <w:color w:val="000000"/>
          <w:sz w:val="22"/>
          <w:szCs w:val="22"/>
          <w:lang w:val="cs-CZ"/>
        </w:rPr>
      </w:pPr>
    </w:p>
    <w:p w14:paraId="1B703DAA" w14:textId="77777777" w:rsidR="00D97A44" w:rsidRPr="009B1A37" w:rsidRDefault="00D97A44" w:rsidP="00BE3D48">
      <w:pPr>
        <w:pStyle w:val="Text"/>
        <w:keepNext/>
        <w:widowControl w:val="0"/>
        <w:spacing w:before="0"/>
        <w:jc w:val="left"/>
        <w:rPr>
          <w:i/>
          <w:iCs/>
          <w:color w:val="000000"/>
          <w:sz w:val="22"/>
          <w:szCs w:val="22"/>
          <w:lang w:val="cs-CZ"/>
        </w:rPr>
      </w:pPr>
      <w:r w:rsidRPr="009B1A37">
        <w:rPr>
          <w:i/>
          <w:iCs/>
          <w:color w:val="000000"/>
          <w:sz w:val="22"/>
          <w:szCs w:val="22"/>
          <w:lang w:val="cs-CZ"/>
        </w:rPr>
        <w:t>Biochemie</w:t>
      </w:r>
    </w:p>
    <w:p w14:paraId="3BFA558F"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Závažné zvýšení hodnot transamináz (&lt; 5</w:t>
      </w:r>
      <w:r w:rsidR="00F32D33" w:rsidRPr="009B1A37">
        <w:rPr>
          <w:color w:val="000000"/>
          <w:sz w:val="22"/>
          <w:szCs w:val="22"/>
          <w:lang w:val="cs-CZ"/>
        </w:rPr>
        <w:t> </w:t>
      </w:r>
      <w:r w:rsidRPr="009B1A37">
        <w:rPr>
          <w:color w:val="000000"/>
          <w:sz w:val="22"/>
          <w:szCs w:val="22"/>
          <w:lang w:val="cs-CZ"/>
        </w:rPr>
        <w:t>%) nebo bilirubinu (&lt; 1</w:t>
      </w:r>
      <w:r w:rsidR="00F32D33" w:rsidRPr="009B1A37">
        <w:rPr>
          <w:color w:val="000000"/>
          <w:sz w:val="22"/>
          <w:szCs w:val="22"/>
          <w:lang w:val="cs-CZ"/>
        </w:rPr>
        <w:t> </w:t>
      </w:r>
      <w:r w:rsidRPr="009B1A37">
        <w:rPr>
          <w:color w:val="000000"/>
          <w:sz w:val="22"/>
          <w:szCs w:val="22"/>
          <w:lang w:val="cs-CZ"/>
        </w:rPr>
        <w:t xml:space="preserve">%) bylo pozorováno u pacientů s CML a obvykle je bylo možné zvládnout snížením dávky nebo přerušením léčby (medián trvání těchto </w:t>
      </w:r>
      <w:r w:rsidR="00173A5E" w:rsidRPr="009B1A37">
        <w:rPr>
          <w:color w:val="000000"/>
          <w:sz w:val="22"/>
          <w:szCs w:val="22"/>
          <w:lang w:val="cs-CZ"/>
        </w:rPr>
        <w:lastRenderedPageBreak/>
        <w:t>nežádoucích účinků</w:t>
      </w:r>
      <w:r w:rsidRPr="009B1A37">
        <w:rPr>
          <w:color w:val="000000"/>
          <w:sz w:val="22"/>
          <w:szCs w:val="22"/>
          <w:lang w:val="cs-CZ"/>
        </w:rPr>
        <w:t xml:space="preserve"> byl přibližně jeden týden). Léčba byla z důvodů abnormálních laboratorních hodnot jaterních testů trvale přerušena u méně než 1</w:t>
      </w:r>
      <w:r w:rsidR="00F32D33" w:rsidRPr="009B1A37">
        <w:rPr>
          <w:color w:val="000000"/>
          <w:sz w:val="22"/>
          <w:szCs w:val="22"/>
          <w:lang w:val="cs-CZ"/>
        </w:rPr>
        <w:t> </w:t>
      </w:r>
      <w:r w:rsidRPr="009B1A37">
        <w:rPr>
          <w:color w:val="000000"/>
          <w:sz w:val="22"/>
          <w:szCs w:val="22"/>
          <w:lang w:val="cs-CZ"/>
        </w:rPr>
        <w:t xml:space="preserve">% pacientů s CML. U pacientů s GIST (studie B2222), bylo pozorováno zvýšení </w:t>
      </w:r>
      <w:smartTag w:uri="urn:schemas-microsoft-com:office:smarttags" w:element="stockticker">
        <w:r w:rsidRPr="009B1A37">
          <w:rPr>
            <w:color w:val="000000"/>
            <w:sz w:val="22"/>
            <w:szCs w:val="22"/>
            <w:lang w:val="cs-CZ"/>
          </w:rPr>
          <w:t>ALT</w:t>
        </w:r>
      </w:smartTag>
      <w:r w:rsidRPr="009B1A37">
        <w:rPr>
          <w:color w:val="000000"/>
          <w:sz w:val="22"/>
          <w:szCs w:val="22"/>
          <w:lang w:val="cs-CZ"/>
        </w:rPr>
        <w:t xml:space="preserve"> (alaninaminotransferáza) stupně 3 nebo 4 u 6,8</w:t>
      </w:r>
      <w:r w:rsidR="00F32D33" w:rsidRPr="009B1A37">
        <w:rPr>
          <w:color w:val="000000"/>
          <w:sz w:val="22"/>
          <w:szCs w:val="22"/>
          <w:lang w:val="cs-CZ"/>
        </w:rPr>
        <w:t> </w:t>
      </w:r>
      <w:r w:rsidRPr="009B1A37">
        <w:rPr>
          <w:color w:val="000000"/>
          <w:sz w:val="22"/>
          <w:szCs w:val="22"/>
          <w:lang w:val="cs-CZ"/>
        </w:rPr>
        <w:t>% a zvýšení AST (aspartátaminotransferáza) stupně 3 nebo 4 u 4,8</w:t>
      </w:r>
      <w:r w:rsidR="00F32D33" w:rsidRPr="009B1A37">
        <w:rPr>
          <w:color w:val="000000"/>
          <w:sz w:val="22"/>
          <w:szCs w:val="22"/>
          <w:lang w:val="cs-CZ"/>
        </w:rPr>
        <w:t> </w:t>
      </w:r>
      <w:r w:rsidRPr="009B1A37">
        <w:rPr>
          <w:color w:val="000000"/>
          <w:sz w:val="22"/>
          <w:szCs w:val="22"/>
          <w:lang w:val="cs-CZ"/>
        </w:rPr>
        <w:t>%. Zvýšení bilirubinu bylo méně než 3</w:t>
      </w:r>
      <w:r w:rsidR="00F32D33" w:rsidRPr="009B1A37">
        <w:rPr>
          <w:color w:val="000000"/>
          <w:sz w:val="22"/>
          <w:szCs w:val="22"/>
          <w:lang w:val="cs-CZ"/>
        </w:rPr>
        <w:t xml:space="preserve"> </w:t>
      </w:r>
      <w:r w:rsidRPr="009B1A37">
        <w:rPr>
          <w:color w:val="000000"/>
          <w:sz w:val="22"/>
          <w:szCs w:val="22"/>
          <w:lang w:val="cs-CZ"/>
        </w:rPr>
        <w:t>%.</w:t>
      </w:r>
    </w:p>
    <w:p w14:paraId="0DB12EA3" w14:textId="77777777" w:rsidR="00D97A44" w:rsidRPr="009B1A37" w:rsidRDefault="00D97A44" w:rsidP="00BE3D48">
      <w:pPr>
        <w:pStyle w:val="Text"/>
        <w:widowControl w:val="0"/>
        <w:spacing w:before="0"/>
        <w:jc w:val="left"/>
        <w:rPr>
          <w:color w:val="000000"/>
          <w:sz w:val="22"/>
          <w:szCs w:val="22"/>
          <w:lang w:val="cs-CZ"/>
        </w:rPr>
      </w:pPr>
    </w:p>
    <w:p w14:paraId="6156D4F7"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 xml:space="preserve">Byly </w:t>
      </w:r>
      <w:r w:rsidR="00874893" w:rsidRPr="009B1A37">
        <w:rPr>
          <w:color w:val="000000"/>
          <w:sz w:val="22"/>
          <w:szCs w:val="22"/>
          <w:lang w:val="cs-CZ"/>
        </w:rPr>
        <w:t>hlášeny</w:t>
      </w:r>
      <w:r w:rsidRPr="009B1A37">
        <w:rPr>
          <w:color w:val="000000"/>
          <w:sz w:val="22"/>
          <w:szCs w:val="22"/>
          <w:lang w:val="cs-CZ"/>
        </w:rPr>
        <w:t xml:space="preserve"> případy cytolytické a cholestatické hepatitidy a jaterního selhání; některé z nich byly fatální, </w:t>
      </w:r>
      <w:r w:rsidR="00874893" w:rsidRPr="009B1A37">
        <w:rPr>
          <w:color w:val="000000"/>
          <w:sz w:val="22"/>
          <w:szCs w:val="22"/>
          <w:lang w:val="cs-CZ"/>
        </w:rPr>
        <w:t>zahrnující i</w:t>
      </w:r>
      <w:r w:rsidRPr="009B1A37">
        <w:rPr>
          <w:color w:val="000000"/>
          <w:sz w:val="22"/>
          <w:szCs w:val="22"/>
          <w:lang w:val="cs-CZ"/>
        </w:rPr>
        <w:t xml:space="preserve"> jednoho pacienta užívajícího vysoké dávky paracetamolu.</w:t>
      </w:r>
    </w:p>
    <w:p w14:paraId="5B34F8F2" w14:textId="77777777" w:rsidR="00901DC3" w:rsidRPr="009B1A37" w:rsidRDefault="00901DC3" w:rsidP="00BE3D48">
      <w:pPr>
        <w:pStyle w:val="Text"/>
        <w:widowControl w:val="0"/>
        <w:spacing w:before="0"/>
        <w:jc w:val="left"/>
        <w:rPr>
          <w:color w:val="000000"/>
          <w:sz w:val="22"/>
          <w:szCs w:val="22"/>
          <w:lang w:val="cs-CZ"/>
        </w:rPr>
      </w:pPr>
    </w:p>
    <w:p w14:paraId="1A3F475D" w14:textId="77777777" w:rsidR="00901DC3" w:rsidRPr="009B1A37" w:rsidRDefault="00901DC3" w:rsidP="00BE3D48">
      <w:pPr>
        <w:pStyle w:val="Text"/>
        <w:keepNext/>
        <w:widowControl w:val="0"/>
        <w:spacing w:before="0"/>
        <w:jc w:val="left"/>
        <w:rPr>
          <w:color w:val="000000"/>
          <w:sz w:val="22"/>
          <w:szCs w:val="22"/>
          <w:u w:val="single"/>
          <w:lang w:val="cs-CZ"/>
        </w:rPr>
      </w:pPr>
      <w:r w:rsidRPr="009B1A37">
        <w:rPr>
          <w:color w:val="000000"/>
          <w:sz w:val="22"/>
          <w:szCs w:val="22"/>
          <w:u w:val="single"/>
          <w:lang w:val="cs-CZ"/>
        </w:rPr>
        <w:t>Popis vybraných nežádoucích účinků</w:t>
      </w:r>
    </w:p>
    <w:p w14:paraId="08A18066" w14:textId="77777777" w:rsidR="00901DC3" w:rsidRPr="009B1A37" w:rsidRDefault="00901DC3" w:rsidP="00BE3D48">
      <w:pPr>
        <w:pStyle w:val="Text"/>
        <w:keepNext/>
        <w:widowControl w:val="0"/>
        <w:spacing w:before="0"/>
        <w:jc w:val="left"/>
        <w:rPr>
          <w:i/>
          <w:color w:val="000000"/>
          <w:sz w:val="22"/>
          <w:szCs w:val="22"/>
          <w:u w:val="single"/>
          <w:lang w:val="cs-CZ"/>
        </w:rPr>
      </w:pPr>
      <w:r w:rsidRPr="009B1A37">
        <w:rPr>
          <w:i/>
          <w:color w:val="000000"/>
          <w:sz w:val="22"/>
          <w:szCs w:val="22"/>
          <w:u w:val="single"/>
          <w:lang w:val="cs-CZ"/>
        </w:rPr>
        <w:t>Reaktivace hepatitidy B</w:t>
      </w:r>
    </w:p>
    <w:p w14:paraId="36C772B7" w14:textId="77777777" w:rsidR="00901DC3" w:rsidRPr="009B1A37" w:rsidRDefault="00901DC3" w:rsidP="00BE3D48">
      <w:pPr>
        <w:pStyle w:val="Text"/>
        <w:widowControl w:val="0"/>
        <w:spacing w:before="0"/>
        <w:jc w:val="left"/>
        <w:rPr>
          <w:color w:val="000000"/>
          <w:sz w:val="22"/>
          <w:szCs w:val="22"/>
          <w:lang w:val="cs-CZ"/>
        </w:rPr>
      </w:pPr>
      <w:r w:rsidRPr="009B1A37">
        <w:rPr>
          <w:color w:val="000000"/>
          <w:sz w:val="22"/>
          <w:szCs w:val="22"/>
          <w:lang w:val="cs-CZ"/>
        </w:rPr>
        <w:t>V souvislosti s tyrosinkinázou bcr-abl byla zaznamenána reaktivace hepatitidy B. Některé případy vyústily v akutní selhání jater nebo ve fulminantní hepatitidu vedoucí k transplantaci jater nebo došlo k úmrtí pacienta (viz bod</w:t>
      </w:r>
      <w:r w:rsidR="003104BF" w:rsidRPr="009B1A37">
        <w:rPr>
          <w:color w:val="000000"/>
          <w:sz w:val="22"/>
          <w:szCs w:val="22"/>
          <w:lang w:val="cs-CZ"/>
        </w:rPr>
        <w:t> </w:t>
      </w:r>
      <w:r w:rsidRPr="009B1A37">
        <w:rPr>
          <w:color w:val="000000"/>
          <w:sz w:val="22"/>
          <w:szCs w:val="22"/>
          <w:lang w:val="cs-CZ"/>
        </w:rPr>
        <w:t>4.4).</w:t>
      </w:r>
    </w:p>
    <w:p w14:paraId="1C88B006" w14:textId="77777777" w:rsidR="00830485" w:rsidRPr="009B1A37" w:rsidRDefault="00830485" w:rsidP="00BE3D48">
      <w:pPr>
        <w:pStyle w:val="Text"/>
        <w:widowControl w:val="0"/>
        <w:spacing w:before="0"/>
        <w:jc w:val="left"/>
        <w:rPr>
          <w:color w:val="000000"/>
          <w:sz w:val="22"/>
          <w:szCs w:val="22"/>
          <w:u w:val="single"/>
          <w:lang w:val="cs-CZ" w:eastAsia="ja-JP"/>
        </w:rPr>
      </w:pPr>
    </w:p>
    <w:p w14:paraId="42D58BFA" w14:textId="77777777" w:rsidR="00A64255" w:rsidRPr="009B1A37" w:rsidRDefault="00A64255" w:rsidP="00BE3D48">
      <w:pPr>
        <w:keepNext/>
        <w:widowControl w:val="0"/>
        <w:autoSpaceDE w:val="0"/>
        <w:autoSpaceDN w:val="0"/>
        <w:adjustRightInd w:val="0"/>
        <w:spacing w:line="240" w:lineRule="auto"/>
        <w:jc w:val="both"/>
        <w:rPr>
          <w:szCs w:val="24"/>
          <w:u w:val="single"/>
        </w:rPr>
      </w:pPr>
      <w:r w:rsidRPr="009B1A37">
        <w:rPr>
          <w:noProof/>
          <w:szCs w:val="24"/>
          <w:u w:val="single"/>
        </w:rPr>
        <w:t>Hlášení podezření na nežádoucí účinky</w:t>
      </w:r>
    </w:p>
    <w:p w14:paraId="1567DFB2" w14:textId="77777777" w:rsidR="00D97A44" w:rsidRPr="009B1A37" w:rsidRDefault="00A64255" w:rsidP="00BE3D48">
      <w:pPr>
        <w:pStyle w:val="Text"/>
        <w:widowControl w:val="0"/>
        <w:spacing w:before="0"/>
        <w:jc w:val="left"/>
        <w:rPr>
          <w:rStyle w:val="Hyperlink"/>
          <w:noProof/>
          <w:sz w:val="22"/>
          <w:szCs w:val="22"/>
          <w:lang w:val="cs-CZ"/>
        </w:rPr>
      </w:pPr>
      <w:r w:rsidRPr="009B1A37">
        <w:rPr>
          <w:noProof/>
          <w:sz w:val="22"/>
          <w:szCs w:val="22"/>
          <w:lang w:val="cs-CZ"/>
        </w:rPr>
        <w:t>Hlášení podezření na nežádoucí účinky po registraci léčivého přípravku je důležité. Umožňuje to pokrač</w:t>
      </w:r>
      <w:r w:rsidRPr="009B1A37">
        <w:rPr>
          <w:sz w:val="22"/>
          <w:szCs w:val="22"/>
          <w:lang w:val="cs-CZ"/>
        </w:rPr>
        <w:t>ovat ve</w:t>
      </w:r>
      <w:r w:rsidRPr="009B1A37">
        <w:rPr>
          <w:noProof/>
          <w:sz w:val="22"/>
          <w:szCs w:val="22"/>
          <w:lang w:val="cs-CZ"/>
        </w:rPr>
        <w:t xml:space="preserve"> sledování poměru přínosů a rizik léčivého přípravku. Žádáme </w:t>
      </w:r>
      <w:r w:rsidRPr="009B1A37">
        <w:rPr>
          <w:sz w:val="22"/>
          <w:szCs w:val="22"/>
          <w:lang w:val="cs-CZ"/>
        </w:rPr>
        <w:t xml:space="preserve">zdravotnické pracovníky, aby hlásili podezření na nežádoucí účinky </w:t>
      </w:r>
      <w:r w:rsidRPr="009B1A37">
        <w:rPr>
          <w:noProof/>
          <w:sz w:val="22"/>
          <w:szCs w:val="22"/>
          <w:lang w:val="cs-CZ"/>
        </w:rPr>
        <w:t xml:space="preserve">prostřednictvím </w:t>
      </w:r>
      <w:r w:rsidRPr="009B1A37">
        <w:rPr>
          <w:noProof/>
          <w:sz w:val="22"/>
          <w:szCs w:val="22"/>
          <w:shd w:val="pct15" w:color="auto" w:fill="auto"/>
          <w:lang w:val="cs-CZ"/>
        </w:rPr>
        <w:t xml:space="preserve">národního systému hlášení nežádoucích účinků uvedeného v </w:t>
      </w:r>
      <w:hyperlink r:id="rId11" w:history="1">
        <w:r w:rsidRPr="009B1A37">
          <w:rPr>
            <w:rStyle w:val="Hyperlink"/>
            <w:noProof/>
            <w:sz w:val="22"/>
            <w:szCs w:val="22"/>
            <w:shd w:val="pct15" w:color="auto" w:fill="auto"/>
            <w:lang w:val="cs-CZ"/>
          </w:rPr>
          <w:t>Dodatku V</w:t>
        </w:r>
      </w:hyperlink>
      <w:r w:rsidRPr="009B1A37">
        <w:rPr>
          <w:rStyle w:val="Hyperlink"/>
          <w:noProof/>
          <w:sz w:val="22"/>
          <w:szCs w:val="22"/>
          <w:lang w:val="cs-CZ"/>
        </w:rPr>
        <w:t>.</w:t>
      </w:r>
    </w:p>
    <w:p w14:paraId="4CFD7C64" w14:textId="77777777" w:rsidR="00A64255" w:rsidRPr="009B1A37" w:rsidRDefault="00A64255" w:rsidP="00BE3D48">
      <w:pPr>
        <w:pStyle w:val="Text"/>
        <w:widowControl w:val="0"/>
        <w:spacing w:before="0"/>
        <w:jc w:val="left"/>
        <w:rPr>
          <w:color w:val="000000"/>
          <w:sz w:val="22"/>
          <w:szCs w:val="22"/>
          <w:lang w:val="cs-CZ"/>
        </w:rPr>
      </w:pPr>
    </w:p>
    <w:p w14:paraId="3399E22B"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4.9</w:t>
      </w:r>
      <w:r w:rsidRPr="009B1A37">
        <w:rPr>
          <w:b/>
          <w:bCs/>
          <w:color w:val="000000"/>
        </w:rPr>
        <w:tab/>
        <w:t>Předávkování</w:t>
      </w:r>
    </w:p>
    <w:p w14:paraId="31865D4B" w14:textId="77777777" w:rsidR="00D97A44" w:rsidRPr="009B1A37" w:rsidRDefault="00D97A44" w:rsidP="00BE3D48">
      <w:pPr>
        <w:keepNext/>
        <w:widowControl w:val="0"/>
        <w:tabs>
          <w:tab w:val="clear" w:pos="567"/>
        </w:tabs>
        <w:spacing w:line="240" w:lineRule="auto"/>
        <w:rPr>
          <w:color w:val="000000"/>
        </w:rPr>
      </w:pPr>
    </w:p>
    <w:p w14:paraId="0AB5DFA4" w14:textId="77777777" w:rsidR="00D97A44" w:rsidRPr="009B1A37" w:rsidRDefault="00D97A44" w:rsidP="00BE3D48">
      <w:pPr>
        <w:pStyle w:val="EndnoteText"/>
        <w:widowControl w:val="0"/>
        <w:tabs>
          <w:tab w:val="clear" w:pos="567"/>
        </w:tabs>
        <w:rPr>
          <w:color w:val="000000"/>
        </w:rPr>
      </w:pPr>
      <w:r w:rsidRPr="009B1A37">
        <w:rPr>
          <w:color w:val="000000"/>
        </w:rPr>
        <w:t>Zkušenosti s</w:t>
      </w:r>
      <w:r w:rsidRPr="009B1A37">
        <w:rPr>
          <w:color w:val="000000"/>
          <w:sz w:val="24"/>
          <w:szCs w:val="24"/>
        </w:rPr>
        <w:t> </w:t>
      </w:r>
      <w:r w:rsidRPr="009B1A37">
        <w:rPr>
          <w:color w:val="000000"/>
        </w:rPr>
        <w:t>dávkami vyššími než doporučená terapeutická dávka jsou omezené. Jednotlivé případy předávkování Glivecem byly hlášeny spontánně a v</w:t>
      </w:r>
      <w:r w:rsidRPr="009B1A37">
        <w:rPr>
          <w:color w:val="000000"/>
          <w:sz w:val="24"/>
          <w:szCs w:val="24"/>
        </w:rPr>
        <w:t> </w:t>
      </w:r>
      <w:r w:rsidRPr="009B1A37">
        <w:rPr>
          <w:color w:val="000000"/>
        </w:rPr>
        <w:t>literatuře. V</w:t>
      </w:r>
      <w:r w:rsidRPr="009B1A37">
        <w:rPr>
          <w:color w:val="000000"/>
          <w:sz w:val="24"/>
          <w:szCs w:val="24"/>
        </w:rPr>
        <w:t> </w:t>
      </w:r>
      <w:r w:rsidRPr="009B1A37">
        <w:rPr>
          <w:color w:val="000000"/>
        </w:rPr>
        <w:t>případě předávkování by měl být pacient pozorován a odpovídajíc</w:t>
      </w:r>
      <w:r w:rsidR="000C4E68" w:rsidRPr="009B1A37">
        <w:rPr>
          <w:color w:val="000000"/>
        </w:rPr>
        <w:t>í</w:t>
      </w:r>
      <w:r w:rsidRPr="009B1A37">
        <w:rPr>
          <w:color w:val="000000"/>
        </w:rPr>
        <w:t>m způsobem léčen podpůrnou léčbou. Obecně byl v</w:t>
      </w:r>
      <w:r w:rsidRPr="009B1A37">
        <w:rPr>
          <w:color w:val="000000"/>
          <w:sz w:val="24"/>
          <w:szCs w:val="24"/>
        </w:rPr>
        <w:t> </w:t>
      </w:r>
      <w:r w:rsidRPr="009B1A37">
        <w:rPr>
          <w:color w:val="000000"/>
        </w:rPr>
        <w:t>těchto případech hlášen výsledek „zlepšený“ nebo „vyléčený“. Následující příhody byly hlášeny při podání různých rozmezí dávky:</w:t>
      </w:r>
    </w:p>
    <w:p w14:paraId="7E513E70" w14:textId="77777777" w:rsidR="00D97A44" w:rsidRPr="009B1A37" w:rsidRDefault="00D97A44" w:rsidP="00BE3D48">
      <w:pPr>
        <w:widowControl w:val="0"/>
        <w:tabs>
          <w:tab w:val="clear" w:pos="567"/>
        </w:tabs>
        <w:spacing w:line="240" w:lineRule="auto"/>
        <w:rPr>
          <w:color w:val="000000"/>
        </w:rPr>
      </w:pPr>
    </w:p>
    <w:p w14:paraId="0DD540CF" w14:textId="77777777" w:rsidR="00D97A44" w:rsidRPr="009B1A37" w:rsidRDefault="00C25BB8" w:rsidP="00BE3D48">
      <w:pPr>
        <w:pStyle w:val="Text"/>
        <w:keepNext/>
        <w:widowControl w:val="0"/>
        <w:spacing w:before="0"/>
        <w:jc w:val="left"/>
        <w:rPr>
          <w:i/>
          <w:iCs/>
          <w:sz w:val="22"/>
          <w:szCs w:val="22"/>
          <w:lang w:val="cs-CZ"/>
        </w:rPr>
      </w:pPr>
      <w:r w:rsidRPr="009B1A37">
        <w:rPr>
          <w:i/>
          <w:iCs/>
          <w:color w:val="000000"/>
          <w:sz w:val="22"/>
          <w:szCs w:val="22"/>
          <w:lang w:val="cs-CZ"/>
        </w:rPr>
        <w:t>Dospělá populace</w:t>
      </w:r>
    </w:p>
    <w:p w14:paraId="4923EAE3" w14:textId="77777777" w:rsidR="00D97A44" w:rsidRPr="009B1A37" w:rsidRDefault="00D97A44" w:rsidP="00BE3D48">
      <w:pPr>
        <w:pStyle w:val="Text"/>
        <w:widowControl w:val="0"/>
        <w:spacing w:before="0"/>
        <w:jc w:val="left"/>
        <w:rPr>
          <w:lang w:val="cs-CZ"/>
        </w:rPr>
      </w:pPr>
      <w:r w:rsidRPr="009B1A37">
        <w:rPr>
          <w:sz w:val="22"/>
          <w:szCs w:val="22"/>
          <w:lang w:val="cs-CZ"/>
        </w:rPr>
        <w:t>1200 až 1600</w:t>
      </w:r>
      <w:r w:rsidRPr="009B1A37">
        <w:rPr>
          <w:color w:val="000000"/>
          <w:lang w:val="cs-CZ"/>
        </w:rPr>
        <w:t> </w:t>
      </w:r>
      <w:r w:rsidRPr="009B1A37">
        <w:rPr>
          <w:sz w:val="22"/>
          <w:szCs w:val="22"/>
          <w:lang w:val="cs-CZ"/>
        </w:rPr>
        <w:t xml:space="preserve">mg (délka trvání 1 až 10 dní): </w:t>
      </w:r>
      <w:r w:rsidRPr="009B1A37">
        <w:rPr>
          <w:color w:val="000000"/>
          <w:sz w:val="22"/>
          <w:szCs w:val="22"/>
          <w:lang w:val="cs-CZ"/>
        </w:rPr>
        <w:t>N</w:t>
      </w:r>
      <w:r w:rsidRPr="009B1A37">
        <w:rPr>
          <w:sz w:val="22"/>
          <w:szCs w:val="22"/>
          <w:lang w:val="cs-CZ"/>
        </w:rPr>
        <w:t>auzea, zvracení, průjem,</w:t>
      </w:r>
      <w:r w:rsidR="0008276E" w:rsidRPr="009B1A37">
        <w:rPr>
          <w:sz w:val="22"/>
          <w:szCs w:val="22"/>
          <w:lang w:val="cs-CZ"/>
        </w:rPr>
        <w:t xml:space="preserve"> </w:t>
      </w:r>
      <w:r w:rsidRPr="009B1A37">
        <w:rPr>
          <w:sz w:val="22"/>
          <w:szCs w:val="22"/>
          <w:lang w:val="cs-CZ"/>
        </w:rPr>
        <w:t xml:space="preserve">vyrážka, </w:t>
      </w:r>
      <w:r w:rsidR="00874893" w:rsidRPr="009B1A37">
        <w:rPr>
          <w:sz w:val="22"/>
          <w:szCs w:val="22"/>
          <w:lang w:val="cs-CZ"/>
        </w:rPr>
        <w:t>erytém</w:t>
      </w:r>
      <w:r w:rsidRPr="009B1A37">
        <w:rPr>
          <w:sz w:val="22"/>
          <w:szCs w:val="22"/>
          <w:lang w:val="cs-CZ"/>
        </w:rPr>
        <w:t>, edém, otoky, únava, svalové křeče, trombocytopenie, pancytopenie, bolest břicha, bolest hlavy, snížená chuť k jídlu.</w:t>
      </w:r>
    </w:p>
    <w:p w14:paraId="01F6EE52" w14:textId="77777777" w:rsidR="00D97A44" w:rsidRPr="009B1A37" w:rsidRDefault="00D97A44" w:rsidP="00BE3D48">
      <w:pPr>
        <w:pStyle w:val="Text"/>
        <w:widowControl w:val="0"/>
        <w:spacing w:before="0"/>
        <w:jc w:val="left"/>
        <w:rPr>
          <w:color w:val="000000"/>
          <w:sz w:val="22"/>
          <w:szCs w:val="22"/>
          <w:lang w:val="cs-CZ"/>
        </w:rPr>
      </w:pPr>
      <w:r w:rsidRPr="009B1A37">
        <w:rPr>
          <w:sz w:val="22"/>
          <w:szCs w:val="22"/>
          <w:lang w:val="cs-CZ"/>
        </w:rPr>
        <w:t>1800 až 3200 mg (</w:t>
      </w:r>
      <w:r w:rsidRPr="009B1A37">
        <w:rPr>
          <w:color w:val="000000"/>
          <w:sz w:val="22"/>
          <w:szCs w:val="22"/>
          <w:lang w:val="cs-CZ"/>
        </w:rPr>
        <w:t>dosáhlo až</w:t>
      </w:r>
      <w:r w:rsidRPr="009B1A37">
        <w:rPr>
          <w:sz w:val="22"/>
          <w:szCs w:val="22"/>
          <w:lang w:val="cs-CZ"/>
        </w:rPr>
        <w:t xml:space="preserve"> 3200</w:t>
      </w:r>
      <w:r w:rsidRPr="009B1A37">
        <w:rPr>
          <w:color w:val="000000"/>
          <w:sz w:val="22"/>
          <w:szCs w:val="22"/>
          <w:lang w:val="cs-CZ"/>
        </w:rPr>
        <w:t> </w:t>
      </w:r>
      <w:r w:rsidRPr="009B1A37">
        <w:rPr>
          <w:sz w:val="22"/>
          <w:szCs w:val="22"/>
          <w:lang w:val="cs-CZ"/>
        </w:rPr>
        <w:t xml:space="preserve">mg </w:t>
      </w:r>
      <w:r w:rsidRPr="009B1A37">
        <w:rPr>
          <w:color w:val="000000"/>
          <w:sz w:val="22"/>
          <w:szCs w:val="22"/>
          <w:lang w:val="cs-CZ"/>
        </w:rPr>
        <w:t>denně po dobu</w:t>
      </w:r>
      <w:r w:rsidRPr="009B1A37">
        <w:rPr>
          <w:sz w:val="22"/>
          <w:szCs w:val="22"/>
          <w:lang w:val="cs-CZ"/>
        </w:rPr>
        <w:t xml:space="preserve"> 6</w:t>
      </w:r>
      <w:r w:rsidRPr="009B1A37">
        <w:rPr>
          <w:color w:val="000000"/>
          <w:sz w:val="22"/>
          <w:szCs w:val="22"/>
          <w:lang w:val="cs-CZ"/>
        </w:rPr>
        <w:t> </w:t>
      </w:r>
      <w:r w:rsidRPr="009B1A37">
        <w:rPr>
          <w:sz w:val="22"/>
          <w:szCs w:val="22"/>
          <w:lang w:val="cs-CZ"/>
        </w:rPr>
        <w:t>d</w:t>
      </w:r>
      <w:r w:rsidRPr="009B1A37">
        <w:rPr>
          <w:color w:val="000000"/>
          <w:sz w:val="22"/>
          <w:szCs w:val="22"/>
          <w:lang w:val="cs-CZ"/>
        </w:rPr>
        <w:t>nů</w:t>
      </w:r>
      <w:r w:rsidRPr="009B1A37">
        <w:rPr>
          <w:sz w:val="22"/>
          <w:szCs w:val="22"/>
          <w:lang w:val="cs-CZ"/>
        </w:rPr>
        <w:t xml:space="preserve">): </w:t>
      </w:r>
      <w:r w:rsidRPr="009B1A37">
        <w:rPr>
          <w:color w:val="000000"/>
          <w:sz w:val="22"/>
          <w:szCs w:val="22"/>
          <w:lang w:val="cs-CZ"/>
        </w:rPr>
        <w:t>Slabost</w:t>
      </w:r>
      <w:r w:rsidRPr="009B1A37">
        <w:rPr>
          <w:sz w:val="22"/>
          <w:szCs w:val="22"/>
          <w:lang w:val="cs-CZ"/>
        </w:rPr>
        <w:t>, myalgi</w:t>
      </w:r>
      <w:r w:rsidRPr="009B1A37">
        <w:rPr>
          <w:color w:val="000000"/>
          <w:sz w:val="22"/>
          <w:szCs w:val="22"/>
          <w:lang w:val="cs-CZ"/>
        </w:rPr>
        <w:t>e</w:t>
      </w:r>
      <w:r w:rsidRPr="009B1A37">
        <w:rPr>
          <w:sz w:val="22"/>
          <w:szCs w:val="22"/>
          <w:lang w:val="cs-CZ"/>
        </w:rPr>
        <w:t xml:space="preserve">, </w:t>
      </w:r>
      <w:r w:rsidRPr="009B1A37">
        <w:rPr>
          <w:color w:val="000000"/>
          <w:sz w:val="22"/>
          <w:szCs w:val="22"/>
          <w:lang w:val="cs-CZ"/>
        </w:rPr>
        <w:t>zvýšená hodnota kreatinfosfokinázy</w:t>
      </w:r>
      <w:r w:rsidRPr="009B1A37">
        <w:rPr>
          <w:sz w:val="22"/>
          <w:szCs w:val="22"/>
          <w:lang w:val="cs-CZ"/>
        </w:rPr>
        <w:t xml:space="preserve">, </w:t>
      </w:r>
      <w:r w:rsidRPr="009B1A37">
        <w:rPr>
          <w:color w:val="000000"/>
          <w:sz w:val="22"/>
          <w:szCs w:val="22"/>
          <w:lang w:val="cs-CZ"/>
        </w:rPr>
        <w:t>zvýšená hodnota b</w:t>
      </w:r>
      <w:r w:rsidRPr="009B1A37">
        <w:rPr>
          <w:sz w:val="22"/>
          <w:szCs w:val="22"/>
          <w:lang w:val="cs-CZ"/>
        </w:rPr>
        <w:t>ilirubin</w:t>
      </w:r>
      <w:r w:rsidRPr="009B1A37">
        <w:rPr>
          <w:color w:val="000000"/>
          <w:sz w:val="22"/>
          <w:szCs w:val="22"/>
          <w:lang w:val="cs-CZ"/>
        </w:rPr>
        <w:t>u</w:t>
      </w:r>
      <w:r w:rsidRPr="009B1A37">
        <w:rPr>
          <w:sz w:val="22"/>
          <w:szCs w:val="22"/>
          <w:lang w:val="cs-CZ"/>
        </w:rPr>
        <w:t>, gastrointestin</w:t>
      </w:r>
      <w:r w:rsidRPr="009B1A37">
        <w:rPr>
          <w:color w:val="000000"/>
          <w:sz w:val="22"/>
          <w:szCs w:val="22"/>
          <w:lang w:val="cs-CZ"/>
        </w:rPr>
        <w:t>á</w:t>
      </w:r>
      <w:r w:rsidRPr="009B1A37">
        <w:rPr>
          <w:sz w:val="22"/>
          <w:szCs w:val="22"/>
          <w:lang w:val="cs-CZ"/>
        </w:rPr>
        <w:t>l</w:t>
      </w:r>
      <w:r w:rsidRPr="009B1A37">
        <w:rPr>
          <w:color w:val="000000"/>
          <w:sz w:val="22"/>
          <w:szCs w:val="22"/>
          <w:lang w:val="cs-CZ"/>
        </w:rPr>
        <w:t>ní</w:t>
      </w:r>
      <w:r w:rsidRPr="009B1A37">
        <w:rPr>
          <w:sz w:val="22"/>
          <w:szCs w:val="22"/>
          <w:lang w:val="cs-CZ"/>
        </w:rPr>
        <w:t xml:space="preserve"> </w:t>
      </w:r>
      <w:r w:rsidRPr="009B1A37">
        <w:rPr>
          <w:color w:val="000000"/>
          <w:sz w:val="22"/>
          <w:szCs w:val="22"/>
          <w:lang w:val="cs-CZ"/>
        </w:rPr>
        <w:t>bolest.</w:t>
      </w:r>
    </w:p>
    <w:p w14:paraId="792169D2" w14:textId="77777777" w:rsidR="00D97A44" w:rsidRPr="009B1A37" w:rsidRDefault="00D97A44" w:rsidP="00BE3D48">
      <w:pPr>
        <w:pStyle w:val="Text"/>
        <w:widowControl w:val="0"/>
        <w:spacing w:before="0"/>
        <w:jc w:val="left"/>
        <w:rPr>
          <w:sz w:val="22"/>
          <w:szCs w:val="22"/>
          <w:lang w:val="cs-CZ"/>
        </w:rPr>
      </w:pPr>
      <w:r w:rsidRPr="009B1A37">
        <w:rPr>
          <w:sz w:val="22"/>
          <w:szCs w:val="22"/>
          <w:lang w:val="cs-CZ"/>
        </w:rPr>
        <w:t>6400 mg (jednotlivá dávka): V</w:t>
      </w:r>
      <w:r w:rsidRPr="009B1A37">
        <w:rPr>
          <w:color w:val="000000"/>
          <w:lang w:val="cs-CZ"/>
        </w:rPr>
        <w:t> </w:t>
      </w:r>
      <w:r w:rsidRPr="009B1A37">
        <w:rPr>
          <w:sz w:val="22"/>
          <w:szCs w:val="22"/>
          <w:lang w:val="cs-CZ"/>
        </w:rPr>
        <w:t>literatuře hlášený případ jednoho pacienta, u kterého se objevila nauzea, zvracení, bolest břicha, pyrexie, otok obličeje, snížený počet neutro</w:t>
      </w:r>
      <w:r w:rsidR="00874893" w:rsidRPr="009B1A37">
        <w:rPr>
          <w:sz w:val="22"/>
          <w:szCs w:val="22"/>
          <w:lang w:val="cs-CZ"/>
        </w:rPr>
        <w:t>filů</w:t>
      </w:r>
      <w:r w:rsidRPr="009B1A37">
        <w:rPr>
          <w:sz w:val="22"/>
          <w:szCs w:val="22"/>
          <w:lang w:val="cs-CZ"/>
        </w:rPr>
        <w:t>, zvýšení hodnot transamináz.</w:t>
      </w:r>
    </w:p>
    <w:p w14:paraId="11E599AD" w14:textId="77777777" w:rsidR="00D97A44" w:rsidRPr="009B1A37" w:rsidRDefault="00D97A44" w:rsidP="00BE3D48">
      <w:pPr>
        <w:pStyle w:val="Text"/>
        <w:widowControl w:val="0"/>
        <w:spacing w:before="0"/>
        <w:jc w:val="left"/>
        <w:rPr>
          <w:sz w:val="22"/>
          <w:szCs w:val="22"/>
          <w:lang w:val="cs-CZ"/>
        </w:rPr>
      </w:pPr>
      <w:r w:rsidRPr="009B1A37">
        <w:rPr>
          <w:sz w:val="22"/>
          <w:szCs w:val="22"/>
          <w:lang w:val="cs-CZ"/>
        </w:rPr>
        <w:t xml:space="preserve">8 až </w:t>
      </w:r>
      <w:smartTag w:uri="urn:schemas-microsoft-com:office:smarttags" w:element="metricconverter">
        <w:smartTagPr>
          <w:attr w:name="ProductID" w:val="10ﾠg"/>
        </w:smartTagPr>
        <w:r w:rsidRPr="009B1A37">
          <w:rPr>
            <w:sz w:val="22"/>
            <w:szCs w:val="22"/>
            <w:lang w:val="cs-CZ"/>
          </w:rPr>
          <w:t>10 g</w:t>
        </w:r>
      </w:smartTag>
      <w:r w:rsidRPr="009B1A37">
        <w:rPr>
          <w:sz w:val="22"/>
          <w:szCs w:val="22"/>
          <w:lang w:val="cs-CZ"/>
        </w:rPr>
        <w:t xml:space="preserve"> (jednotlivá dávka): Bylo hlášené zvracení a gastrointestinální bolest.</w:t>
      </w:r>
    </w:p>
    <w:p w14:paraId="30453A1F" w14:textId="77777777" w:rsidR="00D97A44" w:rsidRPr="009B1A37" w:rsidRDefault="00D97A44" w:rsidP="00BE3D48">
      <w:pPr>
        <w:pStyle w:val="Text"/>
        <w:widowControl w:val="0"/>
        <w:spacing w:before="0"/>
        <w:jc w:val="left"/>
        <w:rPr>
          <w:sz w:val="22"/>
          <w:szCs w:val="22"/>
          <w:lang w:val="cs-CZ"/>
        </w:rPr>
      </w:pPr>
    </w:p>
    <w:p w14:paraId="6AD37A8C" w14:textId="77777777" w:rsidR="00D97A44" w:rsidRPr="009B1A37" w:rsidRDefault="00C25BB8" w:rsidP="00BE3D48">
      <w:pPr>
        <w:pStyle w:val="Text"/>
        <w:keepNext/>
        <w:widowControl w:val="0"/>
        <w:spacing w:before="0"/>
        <w:jc w:val="left"/>
        <w:rPr>
          <w:i/>
          <w:iCs/>
          <w:lang w:val="cs-CZ"/>
        </w:rPr>
      </w:pPr>
      <w:r w:rsidRPr="009B1A37">
        <w:rPr>
          <w:i/>
          <w:iCs/>
          <w:color w:val="000000"/>
          <w:sz w:val="22"/>
          <w:szCs w:val="22"/>
          <w:lang w:val="cs-CZ"/>
        </w:rPr>
        <w:t>Pediatrická</w:t>
      </w:r>
      <w:r w:rsidRPr="009B1A37">
        <w:rPr>
          <w:i/>
          <w:iCs/>
          <w:color w:val="000000"/>
          <w:lang w:val="cs-CZ"/>
        </w:rPr>
        <w:t xml:space="preserve"> populace</w:t>
      </w:r>
    </w:p>
    <w:p w14:paraId="4E112B0B" w14:textId="77777777" w:rsidR="00D97A44" w:rsidRPr="009B1A37" w:rsidRDefault="00D97A44" w:rsidP="00BE3D48">
      <w:pPr>
        <w:widowControl w:val="0"/>
        <w:tabs>
          <w:tab w:val="clear" w:pos="567"/>
        </w:tabs>
        <w:spacing w:line="240" w:lineRule="auto"/>
        <w:rPr>
          <w:color w:val="000000"/>
        </w:rPr>
      </w:pPr>
      <w:r w:rsidRPr="009B1A37">
        <w:t>U 3letého chlapce, kterému byla podána jednotlivá dávka 400 mg, se objevilo zvracení, průjem a anorexie, u</w:t>
      </w:r>
      <w:r w:rsidRPr="009B1A37">
        <w:rPr>
          <w:color w:val="000000"/>
        </w:rPr>
        <w:t> </w:t>
      </w:r>
      <w:r w:rsidRPr="009B1A37">
        <w:t>dalšího 3letého chlapce</w:t>
      </w:r>
      <w:r w:rsidR="00F85A9B" w:rsidRPr="009B1A37">
        <w:t>,</w:t>
      </w:r>
      <w:r w:rsidRPr="009B1A37">
        <w:t xml:space="preserve"> kterému byla podána jednotlivá dávka 980 mg, byl zjištěn snížený počet </w:t>
      </w:r>
      <w:r w:rsidR="00874893" w:rsidRPr="009B1A37">
        <w:t>leukocytů</w:t>
      </w:r>
      <w:r w:rsidRPr="009B1A37">
        <w:t xml:space="preserve"> a průjem.</w:t>
      </w:r>
    </w:p>
    <w:p w14:paraId="03AD2B47" w14:textId="77777777" w:rsidR="00D97A44" w:rsidRPr="009B1A37" w:rsidRDefault="00D97A44" w:rsidP="00BE3D48">
      <w:pPr>
        <w:widowControl w:val="0"/>
        <w:tabs>
          <w:tab w:val="clear" w:pos="567"/>
        </w:tabs>
        <w:spacing w:line="240" w:lineRule="auto"/>
        <w:rPr>
          <w:color w:val="000000"/>
        </w:rPr>
      </w:pPr>
    </w:p>
    <w:p w14:paraId="2561F3F3" w14:textId="77777777" w:rsidR="00D97A44" w:rsidRPr="009B1A37" w:rsidRDefault="00D97A44" w:rsidP="00BE3D48">
      <w:pPr>
        <w:widowControl w:val="0"/>
        <w:tabs>
          <w:tab w:val="clear" w:pos="567"/>
        </w:tabs>
        <w:spacing w:line="240" w:lineRule="auto"/>
        <w:rPr>
          <w:color w:val="000000"/>
        </w:rPr>
      </w:pPr>
      <w:r w:rsidRPr="009B1A37">
        <w:rPr>
          <w:color w:val="000000"/>
        </w:rPr>
        <w:t xml:space="preserve">V případě předávkování </w:t>
      </w:r>
      <w:r w:rsidR="00874893" w:rsidRPr="009B1A37">
        <w:rPr>
          <w:color w:val="000000"/>
        </w:rPr>
        <w:t>má</w:t>
      </w:r>
      <w:r w:rsidRPr="009B1A37">
        <w:rPr>
          <w:color w:val="000000"/>
        </w:rPr>
        <w:t xml:space="preserve"> být pacient pozorován a vhodně léčen podpůrnou léčbou.</w:t>
      </w:r>
    </w:p>
    <w:p w14:paraId="39D86AC0" w14:textId="77777777" w:rsidR="00D97A44" w:rsidRPr="009B1A37" w:rsidRDefault="00D97A44" w:rsidP="00BE3D48">
      <w:pPr>
        <w:widowControl w:val="0"/>
        <w:tabs>
          <w:tab w:val="clear" w:pos="567"/>
        </w:tabs>
        <w:spacing w:line="240" w:lineRule="auto"/>
        <w:rPr>
          <w:color w:val="000000"/>
        </w:rPr>
      </w:pPr>
    </w:p>
    <w:p w14:paraId="3E840771" w14:textId="77777777" w:rsidR="00D97A44" w:rsidRPr="009B1A37" w:rsidRDefault="00D97A44" w:rsidP="00BE3D48">
      <w:pPr>
        <w:widowControl w:val="0"/>
        <w:tabs>
          <w:tab w:val="clear" w:pos="567"/>
        </w:tabs>
        <w:spacing w:line="240" w:lineRule="auto"/>
        <w:rPr>
          <w:color w:val="000000"/>
        </w:rPr>
      </w:pPr>
    </w:p>
    <w:p w14:paraId="6A1E3CA9"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5.</w:t>
      </w:r>
      <w:r w:rsidRPr="009B1A37">
        <w:rPr>
          <w:b/>
          <w:bCs/>
          <w:color w:val="000000"/>
        </w:rPr>
        <w:tab/>
        <w:t>FARMAKOLOGICKÉ VLASTNOSTI</w:t>
      </w:r>
    </w:p>
    <w:p w14:paraId="250A0B98" w14:textId="77777777" w:rsidR="00D97A44" w:rsidRPr="009B1A37" w:rsidRDefault="00D97A44" w:rsidP="00BE3D48">
      <w:pPr>
        <w:keepNext/>
        <w:widowControl w:val="0"/>
        <w:tabs>
          <w:tab w:val="clear" w:pos="567"/>
        </w:tabs>
        <w:spacing w:line="240" w:lineRule="auto"/>
        <w:rPr>
          <w:color w:val="000000"/>
        </w:rPr>
      </w:pPr>
    </w:p>
    <w:p w14:paraId="0D6B84CA"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5.1</w:t>
      </w:r>
      <w:r w:rsidRPr="009B1A37">
        <w:rPr>
          <w:b/>
          <w:bCs/>
          <w:color w:val="000000"/>
        </w:rPr>
        <w:tab/>
        <w:t>Farmakodynamické vlastnosti</w:t>
      </w:r>
    </w:p>
    <w:p w14:paraId="70D1E031" w14:textId="77777777" w:rsidR="00D97A44" w:rsidRPr="009B1A37" w:rsidRDefault="00D97A44" w:rsidP="00BE3D48">
      <w:pPr>
        <w:pStyle w:val="EndnoteText"/>
        <w:keepNext/>
        <w:widowControl w:val="0"/>
        <w:tabs>
          <w:tab w:val="clear" w:pos="567"/>
        </w:tabs>
        <w:rPr>
          <w:color w:val="000000"/>
        </w:rPr>
      </w:pPr>
    </w:p>
    <w:p w14:paraId="3E92BB73" w14:textId="77777777" w:rsidR="00D97A44" w:rsidRPr="009B1A37" w:rsidRDefault="00D97A44" w:rsidP="00BE3D48">
      <w:pPr>
        <w:keepNext/>
        <w:widowControl w:val="0"/>
        <w:tabs>
          <w:tab w:val="clear" w:pos="567"/>
        </w:tabs>
        <w:spacing w:line="240" w:lineRule="auto"/>
        <w:rPr>
          <w:color w:val="000000"/>
        </w:rPr>
      </w:pPr>
      <w:r w:rsidRPr="009B1A37">
        <w:rPr>
          <w:color w:val="000000"/>
        </w:rPr>
        <w:t>Farmakoterapeutická skupina: inhibitor protein-tyrosinkinázy, ATC kód: L01XE01</w:t>
      </w:r>
    </w:p>
    <w:p w14:paraId="1E2E0A2A" w14:textId="77777777" w:rsidR="0000181A" w:rsidRPr="009B1A37" w:rsidRDefault="0000181A" w:rsidP="00BE3D48">
      <w:pPr>
        <w:pStyle w:val="EndnoteText"/>
        <w:keepNext/>
        <w:widowControl w:val="0"/>
        <w:tabs>
          <w:tab w:val="clear" w:pos="567"/>
        </w:tabs>
        <w:rPr>
          <w:color w:val="000000"/>
          <w:u w:val="single"/>
        </w:rPr>
      </w:pPr>
    </w:p>
    <w:p w14:paraId="6748A980" w14:textId="77777777" w:rsidR="0000181A" w:rsidRPr="009B1A37" w:rsidRDefault="0000181A" w:rsidP="00BE3D48">
      <w:pPr>
        <w:pStyle w:val="EndnoteText"/>
        <w:keepNext/>
        <w:widowControl w:val="0"/>
        <w:tabs>
          <w:tab w:val="clear" w:pos="567"/>
        </w:tabs>
        <w:rPr>
          <w:color w:val="000000"/>
          <w:u w:val="single"/>
        </w:rPr>
      </w:pPr>
      <w:r w:rsidRPr="009B1A37">
        <w:rPr>
          <w:color w:val="000000"/>
          <w:u w:val="single"/>
        </w:rPr>
        <w:t>Mechanismus účinku</w:t>
      </w:r>
    </w:p>
    <w:p w14:paraId="699B6ED6" w14:textId="77777777" w:rsidR="0000181A" w:rsidRPr="009B1A37" w:rsidRDefault="0000181A" w:rsidP="00BE3D48">
      <w:pPr>
        <w:pStyle w:val="EndnoteText"/>
        <w:widowControl w:val="0"/>
        <w:tabs>
          <w:tab w:val="clear" w:pos="567"/>
        </w:tabs>
      </w:pPr>
      <w:r w:rsidRPr="009B1A37">
        <w:t>Imatinib je nízkomolekulární inhibitor tyrosinkinázy, který účinně inhibuje aktivitu BCR-ABL tyrosinkinázy (TK) a dalších receptorových tyrosinkináz: K</w:t>
      </w:r>
      <w:r w:rsidR="00B65210" w:rsidRPr="009B1A37">
        <w:t>it</w:t>
      </w:r>
      <w:r w:rsidRPr="009B1A37">
        <w:t>, receptor pro růstový faktor kmenových buněk (SCF, stem cell factor) kódovaný protoonkogenem c-Kit, receptory dis</w:t>
      </w:r>
      <w:r w:rsidR="005026BE" w:rsidRPr="009B1A37">
        <w:t>k</w:t>
      </w:r>
      <w:r w:rsidRPr="009B1A37">
        <w:t xml:space="preserve">oidinové domény (DDR1 and DDR2), receptor kolonie stimulujícího faktoru (CSF-1R) a receptory pro </w:t>
      </w:r>
      <w:r w:rsidR="00B65210" w:rsidRPr="009B1A37">
        <w:t>trombocytární</w:t>
      </w:r>
      <w:r w:rsidRPr="009B1A37">
        <w:t xml:space="preserve"> </w:t>
      </w:r>
      <w:r w:rsidRPr="009B1A37">
        <w:lastRenderedPageBreak/>
        <w:t>růstový faktor alfa a beta (PDGFR-alfa a PDGFR-beta). Imatinib také může inhibovat buněčné procesy, na kterých se tyto receptorové kinázy podílí</w:t>
      </w:r>
      <w:r w:rsidRPr="009B1A37">
        <w:rPr>
          <w:color w:val="0000FF"/>
        </w:rPr>
        <w:t>.</w:t>
      </w:r>
    </w:p>
    <w:p w14:paraId="0AF7F1B2" w14:textId="77777777" w:rsidR="0000181A" w:rsidRPr="009B1A37" w:rsidRDefault="0000181A" w:rsidP="00BE3D48">
      <w:pPr>
        <w:pStyle w:val="EndnoteText"/>
        <w:widowControl w:val="0"/>
        <w:tabs>
          <w:tab w:val="clear" w:pos="567"/>
        </w:tabs>
        <w:rPr>
          <w:color w:val="000000"/>
          <w:u w:val="single"/>
        </w:rPr>
      </w:pPr>
    </w:p>
    <w:p w14:paraId="64FFE6FE" w14:textId="77777777" w:rsidR="00D97A44" w:rsidRPr="009B1A37" w:rsidRDefault="0000181A" w:rsidP="00BE3D48">
      <w:pPr>
        <w:pStyle w:val="EndnoteText"/>
        <w:keepNext/>
        <w:widowControl w:val="0"/>
        <w:tabs>
          <w:tab w:val="clear" w:pos="567"/>
        </w:tabs>
        <w:rPr>
          <w:color w:val="000000"/>
        </w:rPr>
      </w:pPr>
      <w:r w:rsidRPr="009B1A37">
        <w:rPr>
          <w:color w:val="000000"/>
          <w:u w:val="single"/>
        </w:rPr>
        <w:t>Farmakodynamické účinky</w:t>
      </w:r>
    </w:p>
    <w:p w14:paraId="484D9A5B" w14:textId="77777777" w:rsidR="00D97A44" w:rsidRPr="009B1A37" w:rsidRDefault="00D97A44" w:rsidP="00BE3D48">
      <w:pPr>
        <w:pStyle w:val="EndnoteText"/>
        <w:widowControl w:val="0"/>
        <w:tabs>
          <w:tab w:val="clear" w:pos="567"/>
        </w:tabs>
        <w:rPr>
          <w:color w:val="000000"/>
        </w:rPr>
      </w:pPr>
      <w:r w:rsidRPr="009B1A37">
        <w:rPr>
          <w:color w:val="000000"/>
        </w:rPr>
        <w:t xml:space="preserve">Imatinib je inhibitor tyrosinkinázy, který účinně inhibuje Bcr-Abl tyrosinkinázu na buněčné úrovni </w:t>
      </w:r>
      <w:r w:rsidRPr="009B1A37">
        <w:rPr>
          <w:i/>
          <w:iCs/>
          <w:color w:val="000000"/>
        </w:rPr>
        <w:t>in vitro</w:t>
      </w:r>
      <w:r w:rsidRPr="009B1A37">
        <w:rPr>
          <w:color w:val="000000"/>
        </w:rPr>
        <w:t xml:space="preserve"> i </w:t>
      </w:r>
      <w:r w:rsidRPr="009B1A37">
        <w:rPr>
          <w:i/>
          <w:iCs/>
          <w:color w:val="000000"/>
        </w:rPr>
        <w:t>in vivo</w:t>
      </w:r>
      <w:r w:rsidRPr="009B1A37">
        <w:rPr>
          <w:color w:val="000000"/>
        </w:rPr>
        <w:t>. Látka selektivně inhibuje proliferaci a indukuje apoptózu u Bcr-Abl pozitivních buněčných linií, stejně jako u čerstvých leukemických buněk od pacientů s CML s pozitivním Philadelphia chromoz</w:t>
      </w:r>
      <w:r w:rsidR="00665C07" w:rsidRPr="009B1A37">
        <w:rPr>
          <w:color w:val="000000"/>
        </w:rPr>
        <w:t>o</w:t>
      </w:r>
      <w:r w:rsidRPr="009B1A37">
        <w:rPr>
          <w:color w:val="000000"/>
        </w:rPr>
        <w:t>mem a od pacientů s akutní lymfoblastickou leukemií (</w:t>
      </w:r>
      <w:smartTag w:uri="urn:schemas-microsoft-com:office:smarttags" w:element="stockticker">
        <w:r w:rsidRPr="009B1A37">
          <w:rPr>
            <w:color w:val="000000"/>
          </w:rPr>
          <w:t>ALL</w:t>
        </w:r>
      </w:smartTag>
      <w:r w:rsidRPr="009B1A37">
        <w:rPr>
          <w:color w:val="000000"/>
        </w:rPr>
        <w:t>).</w:t>
      </w:r>
    </w:p>
    <w:p w14:paraId="6427671A" w14:textId="77777777" w:rsidR="00D97A44" w:rsidRPr="009B1A37" w:rsidRDefault="00D97A44" w:rsidP="00BE3D48">
      <w:pPr>
        <w:pStyle w:val="EndnoteText"/>
        <w:widowControl w:val="0"/>
        <w:tabs>
          <w:tab w:val="clear" w:pos="567"/>
        </w:tabs>
        <w:rPr>
          <w:color w:val="000000"/>
        </w:rPr>
      </w:pPr>
    </w:p>
    <w:p w14:paraId="56AB4CAD" w14:textId="77777777" w:rsidR="00D97A44" w:rsidRPr="009B1A37" w:rsidRDefault="00D97A44" w:rsidP="00BE3D48">
      <w:pPr>
        <w:pStyle w:val="EndnoteText"/>
        <w:widowControl w:val="0"/>
        <w:tabs>
          <w:tab w:val="clear" w:pos="567"/>
        </w:tabs>
        <w:rPr>
          <w:color w:val="000000"/>
        </w:rPr>
      </w:pPr>
      <w:r w:rsidRPr="009B1A37">
        <w:rPr>
          <w:i/>
          <w:iCs/>
          <w:color w:val="000000"/>
        </w:rPr>
        <w:t>In vivo</w:t>
      </w:r>
      <w:r w:rsidRPr="009B1A37">
        <w:rPr>
          <w:color w:val="000000"/>
        </w:rPr>
        <w:t xml:space="preserve"> byl na zvířecích modelech s Bcr-Abl pozitivními nádorovými buňkami při monoterapii pozorován protinádorový účinek této látky.</w:t>
      </w:r>
    </w:p>
    <w:p w14:paraId="04A968D6" w14:textId="77777777" w:rsidR="00D97A44" w:rsidRPr="009B1A37" w:rsidRDefault="00D97A44" w:rsidP="00BE3D48">
      <w:pPr>
        <w:pStyle w:val="EndnoteText"/>
        <w:widowControl w:val="0"/>
        <w:tabs>
          <w:tab w:val="clear" w:pos="567"/>
        </w:tabs>
        <w:rPr>
          <w:color w:val="000000"/>
        </w:rPr>
      </w:pPr>
    </w:p>
    <w:p w14:paraId="72278100" w14:textId="77777777" w:rsidR="00D97A44" w:rsidRPr="009B1A37" w:rsidRDefault="00D97A44" w:rsidP="00BE3D48">
      <w:pPr>
        <w:pStyle w:val="EndnoteText"/>
        <w:widowControl w:val="0"/>
        <w:tabs>
          <w:tab w:val="clear" w:pos="567"/>
        </w:tabs>
        <w:rPr>
          <w:color w:val="000000"/>
        </w:rPr>
      </w:pPr>
      <w:r w:rsidRPr="009B1A37">
        <w:rPr>
          <w:color w:val="000000"/>
        </w:rPr>
        <w:t>Imatinib je také inhibitor receptor</w:t>
      </w:r>
      <w:r w:rsidR="00B65210" w:rsidRPr="009B1A37">
        <w:rPr>
          <w:color w:val="000000"/>
        </w:rPr>
        <w:t>ových</w:t>
      </w:r>
      <w:r w:rsidRPr="009B1A37">
        <w:rPr>
          <w:color w:val="000000"/>
        </w:rPr>
        <w:t xml:space="preserve"> tyrosinkináz pro růstový faktor destiček - platelet-derived growth factor (PDGF), PDGF-R, </w:t>
      </w:r>
      <w:r w:rsidR="00B65210" w:rsidRPr="009B1A37">
        <w:rPr>
          <w:color w:val="000000"/>
        </w:rPr>
        <w:t xml:space="preserve">růstový </w:t>
      </w:r>
      <w:r w:rsidRPr="009B1A37">
        <w:rPr>
          <w:color w:val="000000"/>
        </w:rPr>
        <w:t xml:space="preserve">faktor kmenových buněk - stem cell factor (SCF), c-Kit, a inhibuje </w:t>
      </w:r>
      <w:r w:rsidR="00B65210" w:rsidRPr="009B1A37">
        <w:rPr>
          <w:color w:val="000000"/>
        </w:rPr>
        <w:t xml:space="preserve">buněčné pochody zprostředkované </w:t>
      </w:r>
      <w:r w:rsidRPr="009B1A37">
        <w:rPr>
          <w:color w:val="000000"/>
        </w:rPr>
        <w:t xml:space="preserve">PDGF a SCF. </w:t>
      </w:r>
      <w:r w:rsidRPr="009B1A37">
        <w:rPr>
          <w:i/>
          <w:iCs/>
          <w:color w:val="000000"/>
        </w:rPr>
        <w:t>In vitro</w:t>
      </w:r>
      <w:r w:rsidRPr="009B1A37">
        <w:rPr>
          <w:color w:val="000000"/>
        </w:rPr>
        <w:t xml:space="preserve">, imatinib inhibuje proliferaci a indukuje apoptózu </w:t>
      </w:r>
      <w:r w:rsidR="00AD5832" w:rsidRPr="009B1A37">
        <w:rPr>
          <w:color w:val="000000"/>
        </w:rPr>
        <w:t xml:space="preserve">v </w:t>
      </w:r>
      <w:r w:rsidRPr="009B1A37">
        <w:rPr>
          <w:color w:val="000000"/>
        </w:rPr>
        <w:t>gastrointestinálních stromálních nádorových bu</w:t>
      </w:r>
      <w:r w:rsidR="00AD5832" w:rsidRPr="009B1A37">
        <w:rPr>
          <w:color w:val="000000"/>
        </w:rPr>
        <w:t>ňkách</w:t>
      </w:r>
      <w:r w:rsidRPr="009B1A37">
        <w:rPr>
          <w:color w:val="000000"/>
        </w:rPr>
        <w:t xml:space="preserve"> (GIST), které mají schopnost aktivovat </w:t>
      </w:r>
      <w:r w:rsidRPr="009B1A37">
        <w:rPr>
          <w:i/>
          <w:iCs/>
          <w:color w:val="000000"/>
        </w:rPr>
        <w:t>kit</w:t>
      </w:r>
      <w:r w:rsidRPr="009B1A37">
        <w:rPr>
          <w:color w:val="000000"/>
        </w:rPr>
        <w:t xml:space="preserve"> mutaci. Konstitutivní aktivace receptorů pro PDGF či Abl proteinu tyrosinkinázy jako následek spojení rozdílných partnerských proteinů či konstitutivní produkce PDGF zřejmě hrají roli v patogenezi </w:t>
      </w:r>
      <w:smartTag w:uri="urn:schemas-microsoft-com:office:smarttags" w:element="stockticker">
        <w:r w:rsidRPr="009B1A37">
          <w:rPr>
            <w:color w:val="000000"/>
          </w:rPr>
          <w:t>MDS</w:t>
        </w:r>
      </w:smartTag>
      <w:r w:rsidRPr="009B1A37">
        <w:rPr>
          <w:color w:val="000000"/>
        </w:rPr>
        <w:t>/MPD, HES/</w:t>
      </w:r>
      <w:smartTag w:uri="urn:schemas-microsoft-com:office:smarttags" w:element="stockticker">
        <w:r w:rsidRPr="009B1A37">
          <w:rPr>
            <w:color w:val="000000"/>
          </w:rPr>
          <w:t>CEL</w:t>
        </w:r>
      </w:smartTag>
      <w:r w:rsidRPr="009B1A37">
        <w:rPr>
          <w:color w:val="000000"/>
        </w:rPr>
        <w:t xml:space="preserve"> a DFSP. Imatinib inhibuje signalizaci a proliferaci buněk ovlivňovaných porušenou regulací aktivity PDGFR a Abl kinázy.</w:t>
      </w:r>
    </w:p>
    <w:p w14:paraId="708CE418" w14:textId="77777777" w:rsidR="00D97A44" w:rsidRPr="009B1A37" w:rsidRDefault="00D97A44" w:rsidP="00BE3D48">
      <w:pPr>
        <w:pStyle w:val="EndnoteText"/>
        <w:widowControl w:val="0"/>
        <w:tabs>
          <w:tab w:val="clear" w:pos="567"/>
        </w:tabs>
        <w:rPr>
          <w:color w:val="000000"/>
        </w:rPr>
      </w:pPr>
    </w:p>
    <w:p w14:paraId="681759BD" w14:textId="77777777" w:rsidR="00D97A44" w:rsidRPr="009B1A37" w:rsidRDefault="00D97A44" w:rsidP="00BE3D48">
      <w:pPr>
        <w:pStyle w:val="EndnoteText"/>
        <w:keepNext/>
        <w:widowControl w:val="0"/>
        <w:tabs>
          <w:tab w:val="clear" w:pos="567"/>
        </w:tabs>
        <w:rPr>
          <w:color w:val="000000"/>
          <w:u w:val="single"/>
        </w:rPr>
      </w:pPr>
      <w:r w:rsidRPr="009B1A37">
        <w:rPr>
          <w:color w:val="000000"/>
          <w:u w:val="single"/>
        </w:rPr>
        <w:t>Klinické studie u chronické myeloidní leukemie</w:t>
      </w:r>
    </w:p>
    <w:p w14:paraId="62DA8C96" w14:textId="77777777" w:rsidR="00D97A44" w:rsidRPr="009B1A37" w:rsidRDefault="00D97A44" w:rsidP="00BE3D48">
      <w:pPr>
        <w:pStyle w:val="EndnoteText"/>
        <w:widowControl w:val="0"/>
        <w:tabs>
          <w:tab w:val="clear" w:pos="567"/>
        </w:tabs>
        <w:rPr>
          <w:color w:val="000000"/>
        </w:rPr>
      </w:pPr>
      <w:r w:rsidRPr="009B1A37">
        <w:rPr>
          <w:color w:val="000000"/>
        </w:rPr>
        <w:t xml:space="preserve">Účinnost Glivecu je založena na </w:t>
      </w:r>
      <w:r w:rsidR="00B65210" w:rsidRPr="009B1A37">
        <w:rPr>
          <w:color w:val="000000"/>
        </w:rPr>
        <w:t xml:space="preserve">výskytu </w:t>
      </w:r>
      <w:r w:rsidRPr="009B1A37">
        <w:rPr>
          <w:color w:val="000000"/>
        </w:rPr>
        <w:t xml:space="preserve">celkové hematologické a cytologické odpovědi a doby přežití bez progrese onemocnění. Kromě nově diagnostikované chronické fáze CML nejsou k dispozici kontrolované klinické studie, které by demonstrovaly klinický přínos, jako je zlepšení projevů onemocnění nebo prodloužení </w:t>
      </w:r>
      <w:r w:rsidR="00B65210" w:rsidRPr="009B1A37">
        <w:rPr>
          <w:color w:val="000000"/>
        </w:rPr>
        <w:t xml:space="preserve">doby </w:t>
      </w:r>
      <w:r w:rsidRPr="009B1A37">
        <w:rPr>
          <w:color w:val="000000"/>
        </w:rPr>
        <w:t>přežití.</w:t>
      </w:r>
    </w:p>
    <w:p w14:paraId="75504A07" w14:textId="77777777" w:rsidR="00D97A44" w:rsidRPr="009B1A37" w:rsidRDefault="00D97A44" w:rsidP="00BE3D48">
      <w:pPr>
        <w:pStyle w:val="EndnoteText"/>
        <w:widowControl w:val="0"/>
        <w:tabs>
          <w:tab w:val="clear" w:pos="567"/>
        </w:tabs>
        <w:rPr>
          <w:color w:val="000000"/>
        </w:rPr>
      </w:pPr>
    </w:p>
    <w:p w14:paraId="2434F232" w14:textId="77777777" w:rsidR="00D97A44" w:rsidRPr="009B1A37" w:rsidRDefault="00D97A44" w:rsidP="00BE3D48">
      <w:pPr>
        <w:pStyle w:val="EndnoteText"/>
        <w:widowControl w:val="0"/>
        <w:tabs>
          <w:tab w:val="clear" w:pos="567"/>
        </w:tabs>
        <w:rPr>
          <w:color w:val="000000"/>
        </w:rPr>
      </w:pPr>
      <w:r w:rsidRPr="009B1A37">
        <w:rPr>
          <w:color w:val="000000"/>
        </w:rPr>
        <w:t>Tři velké, mezinárodní, otevřené, nekontrolované studie fáze II byly provedeny u pacientů s pozitivním Philadelphia chromo</w:t>
      </w:r>
      <w:r w:rsidR="00665C07" w:rsidRPr="009B1A37">
        <w:rPr>
          <w:color w:val="000000"/>
        </w:rPr>
        <w:t>z</w:t>
      </w:r>
      <w:r w:rsidRPr="009B1A37">
        <w:rPr>
          <w:color w:val="000000"/>
        </w:rPr>
        <w:t>omem (Ph+) s pokročilou CML, blastickou nebo akcelerovanou fází onemocnění, jinými Ph+ leukemiemi nebo s CML v chronické fázi, ale kde selhala předchozí léčba interferonem-alpha (IFN). Jedna velká, otevřená, multicentrická, mezinárodní randomizovaná studie fáze </w:t>
      </w:r>
      <w:smartTag w:uri="urn:schemas-microsoft-com:office:smarttags" w:element="stockticker">
        <w:r w:rsidRPr="009B1A37">
          <w:rPr>
            <w:color w:val="000000"/>
          </w:rPr>
          <w:t>III</w:t>
        </w:r>
      </w:smartTag>
      <w:r w:rsidRPr="009B1A37">
        <w:rPr>
          <w:color w:val="000000"/>
        </w:rPr>
        <w:t xml:space="preserve"> byla provedena u pacientů s nově diagnostikovanou Ph+ CML. Navíc děti byly léčeny ve dvou studiích fáze I a v jedné studii fáze II.</w:t>
      </w:r>
    </w:p>
    <w:p w14:paraId="1E3C2130" w14:textId="77777777" w:rsidR="00D97A44" w:rsidRPr="009B1A37" w:rsidRDefault="00D97A44" w:rsidP="00BE3D48">
      <w:pPr>
        <w:pStyle w:val="EndnoteText"/>
        <w:widowControl w:val="0"/>
        <w:tabs>
          <w:tab w:val="clear" w:pos="567"/>
        </w:tabs>
        <w:rPr>
          <w:color w:val="000000"/>
        </w:rPr>
      </w:pPr>
    </w:p>
    <w:p w14:paraId="03D1EAAF" w14:textId="77777777" w:rsidR="00D97A44" w:rsidRPr="009B1A37" w:rsidRDefault="00D97A44" w:rsidP="00BE3D48">
      <w:pPr>
        <w:pStyle w:val="EndnoteText"/>
        <w:widowControl w:val="0"/>
        <w:tabs>
          <w:tab w:val="clear" w:pos="567"/>
        </w:tabs>
        <w:rPr>
          <w:color w:val="000000"/>
        </w:rPr>
      </w:pPr>
      <w:r w:rsidRPr="009B1A37">
        <w:rPr>
          <w:color w:val="000000"/>
        </w:rPr>
        <w:t>Ve všech klinických studiích bylo 38–40</w:t>
      </w:r>
      <w:r w:rsidR="003A7148" w:rsidRPr="009B1A37">
        <w:rPr>
          <w:color w:val="000000"/>
        </w:rPr>
        <w:t> </w:t>
      </w:r>
      <w:r w:rsidRPr="009B1A37">
        <w:rPr>
          <w:color w:val="000000"/>
        </w:rPr>
        <w:t xml:space="preserve">% pacientů ve věku </w:t>
      </w:r>
      <w:r w:rsidRPr="009B1A37">
        <w:rPr>
          <w:rFonts w:ascii="Symbol" w:hAnsi="Symbol"/>
          <w:color w:val="000000"/>
        </w:rPr>
        <w:t></w:t>
      </w:r>
      <w:r w:rsidRPr="009B1A37">
        <w:rPr>
          <w:color w:val="000000"/>
        </w:rPr>
        <w:t> 60 let a 10–12</w:t>
      </w:r>
      <w:r w:rsidR="003A7148" w:rsidRPr="009B1A37">
        <w:rPr>
          <w:color w:val="000000"/>
        </w:rPr>
        <w:t xml:space="preserve"> </w:t>
      </w:r>
      <w:r w:rsidRPr="009B1A37">
        <w:rPr>
          <w:color w:val="000000"/>
        </w:rPr>
        <w:t xml:space="preserve">% pacientů bylo ve věku </w:t>
      </w:r>
      <w:r w:rsidRPr="009B1A37">
        <w:rPr>
          <w:rFonts w:ascii="Symbol" w:hAnsi="Symbol"/>
          <w:color w:val="000000"/>
        </w:rPr>
        <w:t></w:t>
      </w:r>
      <w:r w:rsidRPr="009B1A37">
        <w:rPr>
          <w:color w:val="000000"/>
        </w:rPr>
        <w:t> 70 let.</w:t>
      </w:r>
    </w:p>
    <w:p w14:paraId="2724F08D" w14:textId="77777777" w:rsidR="00D97A44" w:rsidRPr="009B1A37" w:rsidRDefault="00D97A44" w:rsidP="00BE3D48">
      <w:pPr>
        <w:pStyle w:val="EndnoteText"/>
        <w:widowControl w:val="0"/>
        <w:tabs>
          <w:tab w:val="clear" w:pos="567"/>
        </w:tabs>
        <w:rPr>
          <w:color w:val="000000"/>
        </w:rPr>
      </w:pPr>
    </w:p>
    <w:p w14:paraId="4F2D14CF" w14:textId="77777777" w:rsidR="00D97A44" w:rsidRPr="009B1A37" w:rsidRDefault="00D97A44" w:rsidP="00BE3D48">
      <w:pPr>
        <w:pStyle w:val="EndnoteText"/>
        <w:widowControl w:val="0"/>
        <w:rPr>
          <w:color w:val="000000"/>
        </w:rPr>
      </w:pPr>
      <w:r w:rsidRPr="009B1A37">
        <w:rPr>
          <w:i/>
          <w:iCs/>
          <w:color w:val="000000"/>
        </w:rPr>
        <w:t>Chronická fáze, nově diagnostikovaná:</w:t>
      </w:r>
      <w:r w:rsidRPr="009B1A37">
        <w:rPr>
          <w:color w:val="000000"/>
        </w:rPr>
        <w:t xml:space="preserve"> Studie fáze </w:t>
      </w:r>
      <w:smartTag w:uri="urn:schemas-microsoft-com:office:smarttags" w:element="stockticker">
        <w:r w:rsidRPr="009B1A37">
          <w:rPr>
            <w:color w:val="000000"/>
          </w:rPr>
          <w:t>III</w:t>
        </w:r>
      </w:smartTag>
      <w:r w:rsidRPr="009B1A37">
        <w:rPr>
          <w:color w:val="000000"/>
        </w:rPr>
        <w:t xml:space="preserve"> u dospělých pacientů srovnávala léčbu Glivecem v monoterapii s kombinovanou léčbou interferonem-al</w:t>
      </w:r>
      <w:r w:rsidR="00AD5832" w:rsidRPr="009B1A37">
        <w:rPr>
          <w:color w:val="000000"/>
        </w:rPr>
        <w:t>f</w:t>
      </w:r>
      <w:r w:rsidRPr="009B1A37">
        <w:rPr>
          <w:color w:val="000000"/>
        </w:rPr>
        <w:t>a (IFN) a cytarabinem (Ara-C). Bylo dovoleno, aby pacienti, u kterých nebylo dosaženo léčebné odpovědi (chybění kompletní hematologické odpovědi (</w:t>
      </w:r>
      <w:smartTag w:uri="urn:schemas-microsoft-com:office:smarttags" w:element="stockticker">
        <w:r w:rsidRPr="009B1A37">
          <w:rPr>
            <w:color w:val="000000"/>
          </w:rPr>
          <w:t>CHR</w:t>
        </w:r>
      </w:smartTag>
      <w:r w:rsidRPr="009B1A37">
        <w:rPr>
          <w:color w:val="000000"/>
        </w:rPr>
        <w:t>) v</w:t>
      </w:r>
      <w:r w:rsidR="00AF2D6E" w:rsidRPr="009B1A37">
        <w:rPr>
          <w:color w:val="000000"/>
        </w:rPr>
        <w:t> </w:t>
      </w:r>
      <w:r w:rsidRPr="009B1A37">
        <w:rPr>
          <w:color w:val="000000"/>
        </w:rPr>
        <w:t xml:space="preserve">6. měsíci, zvýšení počtu </w:t>
      </w:r>
      <w:r w:rsidR="00B65210" w:rsidRPr="009B1A37">
        <w:rPr>
          <w:color w:val="000000"/>
        </w:rPr>
        <w:t>leukocytů</w:t>
      </w:r>
      <w:r w:rsidRPr="009B1A37">
        <w:rPr>
          <w:color w:val="000000"/>
        </w:rPr>
        <w:t>, bez velké cytogenetické odpovědi (MCyR) ve 24. měsíci), se ztrátou odpovědi (</w:t>
      </w:r>
      <w:smartTag w:uri="urn:schemas-microsoft-com:office:smarttags" w:element="stockticker">
        <w:r w:rsidRPr="009B1A37">
          <w:rPr>
            <w:color w:val="000000"/>
          </w:rPr>
          <w:t>CHR</w:t>
        </w:r>
      </w:smartTag>
      <w:r w:rsidRPr="009B1A37">
        <w:rPr>
          <w:color w:val="000000"/>
        </w:rPr>
        <w:t xml:space="preserve"> nebo MCyR) nebo se závažnou intolerancí léčby, byli převedeni do alternativního ramene léčby. V rameni s Glivecem byli pacienti léčeni dávkou 400 mg denně. V rameni s IFN byli pacienti léčeni s cílovou dávkou IFN 5 MIU/m</w:t>
      </w:r>
      <w:r w:rsidRPr="009B1A37">
        <w:rPr>
          <w:color w:val="000000"/>
          <w:vertAlign w:val="superscript"/>
        </w:rPr>
        <w:t>2</w:t>
      </w:r>
      <w:r w:rsidRPr="009B1A37">
        <w:rPr>
          <w:color w:val="000000"/>
        </w:rPr>
        <w:t>/den subkutánně v kombinaci se subkutánním podáním Ara-C 20 mg/m</w:t>
      </w:r>
      <w:r w:rsidRPr="009B1A37">
        <w:rPr>
          <w:color w:val="000000"/>
          <w:vertAlign w:val="superscript"/>
        </w:rPr>
        <w:t>2</w:t>
      </w:r>
      <w:r w:rsidRPr="009B1A37">
        <w:rPr>
          <w:color w:val="000000"/>
        </w:rPr>
        <w:t>/den po 10 dnů/měsíc.</w:t>
      </w:r>
    </w:p>
    <w:p w14:paraId="0F841CE6" w14:textId="77777777" w:rsidR="00D97A44" w:rsidRPr="009B1A37" w:rsidRDefault="00D97A44" w:rsidP="00BE3D48">
      <w:pPr>
        <w:pStyle w:val="EndnoteText"/>
        <w:widowControl w:val="0"/>
        <w:rPr>
          <w:color w:val="000000"/>
        </w:rPr>
      </w:pPr>
    </w:p>
    <w:p w14:paraId="5A5552E8" w14:textId="77777777" w:rsidR="00D97A44" w:rsidRPr="009B1A37" w:rsidRDefault="00D97A44" w:rsidP="00BE3D48">
      <w:pPr>
        <w:pStyle w:val="EndnoteText"/>
        <w:widowControl w:val="0"/>
        <w:rPr>
          <w:color w:val="000000"/>
        </w:rPr>
      </w:pPr>
      <w:r w:rsidRPr="009B1A37">
        <w:rPr>
          <w:color w:val="000000"/>
        </w:rPr>
        <w:t>Celkem bylo randomizováno 1 106 pacientů, 553 do každého ramene. Výchozí charakteristiky byly mezi oběma rameny dobře vyvážené. Medián věku byl 51 let (rozmezí 18–70 let), 21,9</w:t>
      </w:r>
      <w:r w:rsidR="003A7148" w:rsidRPr="009B1A37">
        <w:rPr>
          <w:color w:val="000000"/>
        </w:rPr>
        <w:t> </w:t>
      </w:r>
      <w:r w:rsidRPr="009B1A37">
        <w:rPr>
          <w:color w:val="000000"/>
        </w:rPr>
        <w:t>% pacientů bylo ve věku ≥ 60 let. Bylo zde 59</w:t>
      </w:r>
      <w:r w:rsidR="003A7148" w:rsidRPr="009B1A37">
        <w:rPr>
          <w:color w:val="000000"/>
        </w:rPr>
        <w:t> </w:t>
      </w:r>
      <w:r w:rsidRPr="009B1A37">
        <w:rPr>
          <w:color w:val="000000"/>
        </w:rPr>
        <w:t>% mužů a 41</w:t>
      </w:r>
      <w:r w:rsidR="003A7148" w:rsidRPr="009B1A37">
        <w:rPr>
          <w:color w:val="000000"/>
        </w:rPr>
        <w:t> </w:t>
      </w:r>
      <w:r w:rsidRPr="009B1A37">
        <w:rPr>
          <w:color w:val="000000"/>
        </w:rPr>
        <w:t>% žen; 89,9</w:t>
      </w:r>
      <w:r w:rsidR="003A7148" w:rsidRPr="009B1A37">
        <w:rPr>
          <w:color w:val="000000"/>
        </w:rPr>
        <w:t> </w:t>
      </w:r>
      <w:r w:rsidRPr="009B1A37">
        <w:rPr>
          <w:color w:val="000000"/>
        </w:rPr>
        <w:t>% pacientů bylo bílé pleti a 4,7</w:t>
      </w:r>
      <w:r w:rsidR="003A7148" w:rsidRPr="009B1A37">
        <w:rPr>
          <w:color w:val="000000"/>
        </w:rPr>
        <w:t xml:space="preserve"> </w:t>
      </w:r>
      <w:r w:rsidRPr="009B1A37">
        <w:rPr>
          <w:color w:val="000000"/>
        </w:rPr>
        <w:t>% černé pleti. Po sedmi letech od zařazení posledního pacienta byl medián trvání léčby v první linii 82 měsíců v rameni s Glivecem a 8 měsíců v rameni s IFN. Medián trvání léčby v druhé linii byl 64 měsíců v rameni s Glivecem. Souhrnně u pacientů</w:t>
      </w:r>
      <w:r w:rsidR="00B65210" w:rsidRPr="009B1A37">
        <w:rPr>
          <w:color w:val="000000"/>
        </w:rPr>
        <w:t xml:space="preserve"> </w:t>
      </w:r>
      <w:r w:rsidRPr="009B1A37">
        <w:rPr>
          <w:color w:val="000000"/>
        </w:rPr>
        <w:t>léčených Glivecem v první linii byla průměrná podávaná denní dávka 406 ± 76 mg. Primárním cílovým parametrem</w:t>
      </w:r>
      <w:r w:rsidR="00822069" w:rsidRPr="009B1A37">
        <w:rPr>
          <w:color w:val="000000"/>
        </w:rPr>
        <w:t xml:space="preserve"> </w:t>
      </w:r>
      <w:r w:rsidRPr="009B1A37">
        <w:rPr>
          <w:color w:val="000000"/>
        </w:rPr>
        <w:t xml:space="preserve">účinnosti ve studii bylo přežití bez progrese onemocnění. Progrese byla definována jako jakákoliv z následujících událostí: progrese do akcelerované fáze nebo blastické krize, úmrtí, ztráta </w:t>
      </w:r>
      <w:smartTag w:uri="urn:schemas-microsoft-com:office:smarttags" w:element="stockticker">
        <w:r w:rsidRPr="009B1A37">
          <w:rPr>
            <w:color w:val="000000"/>
          </w:rPr>
          <w:t>CHR</w:t>
        </w:r>
      </w:smartTag>
      <w:r w:rsidRPr="009B1A37">
        <w:rPr>
          <w:color w:val="000000"/>
        </w:rPr>
        <w:t xml:space="preserve"> nebo MCyR, nebo u pacientů, kteří nedosáhli </w:t>
      </w:r>
      <w:smartTag w:uri="urn:schemas-microsoft-com:office:smarttags" w:element="stockticker">
        <w:r w:rsidRPr="009B1A37">
          <w:rPr>
            <w:color w:val="000000"/>
          </w:rPr>
          <w:t>CHR</w:t>
        </w:r>
      </w:smartTag>
      <w:r w:rsidRPr="009B1A37">
        <w:rPr>
          <w:color w:val="000000"/>
        </w:rPr>
        <w:t xml:space="preserve">, zvýšení počtu </w:t>
      </w:r>
      <w:r w:rsidR="00B65210" w:rsidRPr="009B1A37">
        <w:rPr>
          <w:color w:val="000000"/>
        </w:rPr>
        <w:t>leukocytů</w:t>
      </w:r>
      <w:r w:rsidRPr="009B1A37">
        <w:rPr>
          <w:color w:val="000000"/>
        </w:rPr>
        <w:t xml:space="preserve"> navzdory přiměřené léčbě. Velká cytogenetická odpověď, hematologická odpověď, molekulární odpověď (hodnocení minimálního reziduálního onemocnění) </w:t>
      </w:r>
      <w:r w:rsidRPr="009B1A37">
        <w:rPr>
          <w:color w:val="000000"/>
        </w:rPr>
        <w:lastRenderedPageBreak/>
        <w:t>doba do akcelerované fáze nebo blastické krize a přežívání jsou hlavními sekundárními cílovými parametry. Údaje o odpovědích jsou uvedeny v </w:t>
      </w:r>
      <w:r w:rsidR="00B65210" w:rsidRPr="009B1A37">
        <w:rPr>
          <w:color w:val="000000"/>
        </w:rPr>
        <w:t>t</w:t>
      </w:r>
      <w:r w:rsidRPr="009B1A37">
        <w:rPr>
          <w:color w:val="000000"/>
        </w:rPr>
        <w:t>abulce </w:t>
      </w:r>
      <w:r w:rsidR="00B20788" w:rsidRPr="009B1A37">
        <w:rPr>
          <w:color w:val="000000"/>
        </w:rPr>
        <w:t>2</w:t>
      </w:r>
      <w:r w:rsidRPr="009B1A37">
        <w:rPr>
          <w:color w:val="000000"/>
        </w:rPr>
        <w:t>.</w:t>
      </w:r>
    </w:p>
    <w:p w14:paraId="165A86B2" w14:textId="77777777" w:rsidR="00D97A44" w:rsidRPr="009B1A37" w:rsidRDefault="00D97A44" w:rsidP="00BE3D48">
      <w:pPr>
        <w:pStyle w:val="EndnoteText"/>
        <w:widowControl w:val="0"/>
        <w:tabs>
          <w:tab w:val="clear" w:pos="567"/>
          <w:tab w:val="left" w:pos="1134"/>
        </w:tabs>
        <w:rPr>
          <w:color w:val="000000"/>
        </w:rPr>
      </w:pPr>
    </w:p>
    <w:p w14:paraId="29EE0A2C" w14:textId="77777777" w:rsidR="00D97A44" w:rsidRPr="009B1A37" w:rsidRDefault="00D97A44" w:rsidP="009F41EF">
      <w:pPr>
        <w:pStyle w:val="EndnoteText"/>
        <w:keepNext/>
        <w:widowControl w:val="0"/>
        <w:tabs>
          <w:tab w:val="clear" w:pos="567"/>
          <w:tab w:val="left" w:pos="1134"/>
        </w:tabs>
        <w:rPr>
          <w:b/>
          <w:bCs/>
          <w:color w:val="000000"/>
        </w:rPr>
      </w:pPr>
      <w:r w:rsidRPr="009B1A37">
        <w:rPr>
          <w:b/>
          <w:bCs/>
          <w:color w:val="000000"/>
        </w:rPr>
        <w:t>Tabulka </w:t>
      </w:r>
      <w:r w:rsidR="00B20788" w:rsidRPr="009B1A37">
        <w:rPr>
          <w:b/>
          <w:bCs/>
          <w:color w:val="000000"/>
        </w:rPr>
        <w:t>2</w:t>
      </w:r>
      <w:r w:rsidRPr="009B1A37">
        <w:rPr>
          <w:b/>
          <w:bCs/>
          <w:color w:val="000000"/>
        </w:rPr>
        <w:tab/>
        <w:t>Odpovědi na léčbu ve studii u nově diagnostikované CML (84měsíční data)</w:t>
      </w:r>
    </w:p>
    <w:p w14:paraId="2C08F39B" w14:textId="77777777" w:rsidR="00D97A44" w:rsidRPr="009B1A37" w:rsidRDefault="00D97A44" w:rsidP="009F41EF">
      <w:pPr>
        <w:pStyle w:val="EndnoteText"/>
        <w:keepNext/>
        <w:widowControl w:val="0"/>
        <w:rPr>
          <w:color w:val="000000"/>
        </w:rPr>
      </w:pPr>
    </w:p>
    <w:tbl>
      <w:tblPr>
        <w:tblW w:w="0" w:type="auto"/>
        <w:tblInd w:w="-20" w:type="dxa"/>
        <w:tblLayout w:type="fixed"/>
        <w:tblLook w:val="0000" w:firstRow="0" w:lastRow="0" w:firstColumn="0" w:lastColumn="0" w:noHBand="0" w:noVBand="0"/>
      </w:tblPr>
      <w:tblGrid>
        <w:gridCol w:w="3794"/>
        <w:gridCol w:w="2693"/>
        <w:gridCol w:w="2758"/>
      </w:tblGrid>
      <w:tr w:rsidR="00D97A44" w:rsidRPr="009B1A37" w14:paraId="4470822A" w14:textId="77777777" w:rsidTr="009F41EF">
        <w:trPr>
          <w:cantSplit/>
        </w:trPr>
        <w:tc>
          <w:tcPr>
            <w:tcW w:w="3794" w:type="dxa"/>
            <w:tcBorders>
              <w:top w:val="single" w:sz="4" w:space="0" w:color="000000"/>
              <w:left w:val="single" w:sz="4" w:space="0" w:color="000000"/>
            </w:tcBorders>
          </w:tcPr>
          <w:p w14:paraId="6E764EEF"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p>
        </w:tc>
        <w:tc>
          <w:tcPr>
            <w:tcW w:w="2693" w:type="dxa"/>
            <w:tcBorders>
              <w:top w:val="single" w:sz="4" w:space="0" w:color="000000"/>
            </w:tcBorders>
          </w:tcPr>
          <w:p w14:paraId="4BBF078E" w14:textId="77777777" w:rsidR="00D97A44" w:rsidRPr="009B1A37" w:rsidRDefault="00D97A44" w:rsidP="009F41EF">
            <w:pPr>
              <w:pStyle w:val="Table"/>
              <w:keepLines w:val="0"/>
              <w:widowControl w:val="0"/>
              <w:snapToGrid w:val="0"/>
              <w:spacing w:before="0" w:after="0"/>
              <w:jc w:val="center"/>
              <w:rPr>
                <w:rFonts w:ascii="Times New Roman" w:hAnsi="Times New Roman" w:cs="Times New Roman"/>
                <w:b/>
                <w:bCs/>
                <w:color w:val="000000"/>
                <w:sz w:val="22"/>
                <w:szCs w:val="22"/>
                <w:lang w:val="cs-CZ"/>
              </w:rPr>
            </w:pPr>
            <w:r w:rsidRPr="009B1A37">
              <w:rPr>
                <w:rFonts w:ascii="Times New Roman" w:hAnsi="Times New Roman" w:cs="Times New Roman"/>
                <w:b/>
                <w:bCs/>
                <w:color w:val="000000"/>
                <w:sz w:val="22"/>
                <w:szCs w:val="22"/>
                <w:lang w:val="cs-CZ"/>
              </w:rPr>
              <w:t>Glivec</w:t>
            </w:r>
          </w:p>
        </w:tc>
        <w:tc>
          <w:tcPr>
            <w:tcW w:w="2758" w:type="dxa"/>
            <w:tcBorders>
              <w:top w:val="single" w:sz="4" w:space="0" w:color="000000"/>
              <w:right w:val="single" w:sz="4" w:space="0" w:color="000000"/>
            </w:tcBorders>
          </w:tcPr>
          <w:p w14:paraId="7A91BF9A" w14:textId="77777777" w:rsidR="00D97A44" w:rsidRPr="009B1A37" w:rsidRDefault="00D97A44" w:rsidP="009F41EF">
            <w:pPr>
              <w:pStyle w:val="Table"/>
              <w:keepLines w:val="0"/>
              <w:widowControl w:val="0"/>
              <w:snapToGrid w:val="0"/>
              <w:spacing w:before="0" w:after="0"/>
              <w:jc w:val="center"/>
              <w:rPr>
                <w:rFonts w:ascii="Times New Roman" w:hAnsi="Times New Roman" w:cs="Times New Roman"/>
                <w:b/>
                <w:bCs/>
                <w:color w:val="000000"/>
                <w:sz w:val="22"/>
                <w:szCs w:val="22"/>
                <w:lang w:val="cs-CZ"/>
              </w:rPr>
            </w:pPr>
            <w:r w:rsidRPr="009B1A37">
              <w:rPr>
                <w:rFonts w:ascii="Times New Roman" w:hAnsi="Times New Roman" w:cs="Times New Roman"/>
                <w:b/>
                <w:bCs/>
                <w:color w:val="000000"/>
                <w:sz w:val="22"/>
                <w:szCs w:val="22"/>
                <w:lang w:val="cs-CZ"/>
              </w:rPr>
              <w:t>IFN+Ara-C</w:t>
            </w:r>
          </w:p>
        </w:tc>
      </w:tr>
      <w:tr w:rsidR="00D97A44" w:rsidRPr="009B1A37" w14:paraId="1CCA2A5F" w14:textId="77777777" w:rsidTr="009F41EF">
        <w:trPr>
          <w:cantSplit/>
        </w:trPr>
        <w:tc>
          <w:tcPr>
            <w:tcW w:w="3794" w:type="dxa"/>
            <w:tcBorders>
              <w:left w:val="single" w:sz="4" w:space="0" w:color="000000"/>
              <w:bottom w:val="single" w:sz="4" w:space="0" w:color="000000"/>
            </w:tcBorders>
          </w:tcPr>
          <w:p w14:paraId="2B3E4B9E" w14:textId="77777777" w:rsidR="00D97A44" w:rsidRPr="009B1A37" w:rsidRDefault="00D97A44" w:rsidP="009F41EF">
            <w:pPr>
              <w:pStyle w:val="Table"/>
              <w:keepLines w:val="0"/>
              <w:widowControl w:val="0"/>
              <w:snapToGrid w:val="0"/>
              <w:spacing w:before="0" w:after="0"/>
              <w:rPr>
                <w:rFonts w:ascii="Times New Roman" w:hAnsi="Times New Roman" w:cs="Times New Roman"/>
                <w:b/>
                <w:bCs/>
                <w:color w:val="000000"/>
                <w:sz w:val="22"/>
                <w:szCs w:val="22"/>
                <w:lang w:val="cs-CZ"/>
              </w:rPr>
            </w:pPr>
            <w:r w:rsidRPr="009B1A37">
              <w:rPr>
                <w:rFonts w:ascii="Times New Roman" w:hAnsi="Times New Roman" w:cs="Times New Roman"/>
                <w:b/>
                <w:bCs/>
                <w:color w:val="000000"/>
                <w:sz w:val="22"/>
                <w:szCs w:val="22"/>
                <w:lang w:val="cs-CZ"/>
              </w:rPr>
              <w:t>(Nejlepší míra odpovědi)</w:t>
            </w:r>
          </w:p>
        </w:tc>
        <w:tc>
          <w:tcPr>
            <w:tcW w:w="2693" w:type="dxa"/>
            <w:tcBorders>
              <w:bottom w:val="single" w:sz="4" w:space="0" w:color="000000"/>
            </w:tcBorders>
          </w:tcPr>
          <w:p w14:paraId="0FE7B562" w14:textId="77777777" w:rsidR="00D97A44" w:rsidRPr="009B1A37" w:rsidRDefault="00D97A44" w:rsidP="009F41EF">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n=553</w:t>
            </w:r>
          </w:p>
        </w:tc>
        <w:tc>
          <w:tcPr>
            <w:tcW w:w="2758" w:type="dxa"/>
            <w:tcBorders>
              <w:bottom w:val="single" w:sz="4" w:space="0" w:color="000000"/>
              <w:right w:val="single" w:sz="4" w:space="0" w:color="000000"/>
            </w:tcBorders>
          </w:tcPr>
          <w:p w14:paraId="472620EE" w14:textId="77777777" w:rsidR="00D97A44" w:rsidRPr="009B1A37" w:rsidRDefault="00D97A44" w:rsidP="009F41EF">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n=553</w:t>
            </w:r>
          </w:p>
        </w:tc>
      </w:tr>
      <w:tr w:rsidR="00D97A44" w:rsidRPr="009B1A37" w14:paraId="76FB1172" w14:textId="77777777" w:rsidTr="009F41EF">
        <w:trPr>
          <w:cantSplit/>
        </w:trPr>
        <w:tc>
          <w:tcPr>
            <w:tcW w:w="3794" w:type="dxa"/>
            <w:tcBorders>
              <w:left w:val="single" w:sz="4" w:space="0" w:color="000000"/>
            </w:tcBorders>
          </w:tcPr>
          <w:p w14:paraId="12C8452C" w14:textId="77777777" w:rsidR="00D97A44" w:rsidRPr="009B1A37" w:rsidRDefault="00D97A44" w:rsidP="009F41EF">
            <w:pPr>
              <w:pStyle w:val="Table"/>
              <w:keepLines w:val="0"/>
              <w:widowControl w:val="0"/>
              <w:snapToGrid w:val="0"/>
              <w:spacing w:before="0" w:after="0"/>
              <w:rPr>
                <w:rFonts w:ascii="Times New Roman" w:hAnsi="Times New Roman" w:cs="Times New Roman"/>
                <w:b/>
                <w:bCs/>
                <w:color w:val="000000"/>
                <w:sz w:val="22"/>
                <w:szCs w:val="22"/>
                <w:lang w:val="cs-CZ"/>
              </w:rPr>
            </w:pPr>
            <w:r w:rsidRPr="009B1A37">
              <w:rPr>
                <w:rFonts w:ascii="Times New Roman" w:hAnsi="Times New Roman" w:cs="Times New Roman"/>
                <w:b/>
                <w:bCs/>
                <w:color w:val="000000"/>
                <w:sz w:val="22"/>
                <w:szCs w:val="22"/>
                <w:lang w:val="cs-CZ"/>
              </w:rPr>
              <w:t>Hematologická odpověď</w:t>
            </w:r>
          </w:p>
        </w:tc>
        <w:tc>
          <w:tcPr>
            <w:tcW w:w="2693" w:type="dxa"/>
          </w:tcPr>
          <w:p w14:paraId="2812677A" w14:textId="77777777" w:rsidR="00D97A44" w:rsidRPr="009B1A37" w:rsidRDefault="00D97A44" w:rsidP="009F41EF">
            <w:pPr>
              <w:pStyle w:val="Table"/>
              <w:keepLines w:val="0"/>
              <w:widowControl w:val="0"/>
              <w:snapToGrid w:val="0"/>
              <w:spacing w:before="0" w:after="0"/>
              <w:jc w:val="center"/>
              <w:rPr>
                <w:rFonts w:ascii="Times New Roman" w:hAnsi="Times New Roman" w:cs="Times New Roman"/>
                <w:b/>
                <w:bCs/>
                <w:color w:val="000000"/>
                <w:sz w:val="22"/>
                <w:szCs w:val="22"/>
                <w:lang w:val="cs-CZ"/>
              </w:rPr>
            </w:pPr>
          </w:p>
        </w:tc>
        <w:tc>
          <w:tcPr>
            <w:tcW w:w="2758" w:type="dxa"/>
            <w:tcBorders>
              <w:right w:val="single" w:sz="4" w:space="0" w:color="000000"/>
            </w:tcBorders>
          </w:tcPr>
          <w:p w14:paraId="65187987" w14:textId="77777777" w:rsidR="00D97A44" w:rsidRPr="009B1A37" w:rsidRDefault="00D97A44" w:rsidP="009F41EF">
            <w:pPr>
              <w:pStyle w:val="Table"/>
              <w:keepLines w:val="0"/>
              <w:widowControl w:val="0"/>
              <w:snapToGrid w:val="0"/>
              <w:spacing w:before="0" w:after="0"/>
              <w:jc w:val="center"/>
              <w:rPr>
                <w:rFonts w:ascii="Times New Roman" w:hAnsi="Times New Roman" w:cs="Times New Roman"/>
                <w:b/>
                <w:bCs/>
                <w:color w:val="000000"/>
                <w:sz w:val="22"/>
                <w:szCs w:val="22"/>
                <w:lang w:val="cs-CZ"/>
              </w:rPr>
            </w:pPr>
          </w:p>
        </w:tc>
      </w:tr>
      <w:tr w:rsidR="00D97A44" w:rsidRPr="009B1A37" w14:paraId="2D3CB05E" w14:textId="77777777" w:rsidTr="009F41EF">
        <w:trPr>
          <w:cantSplit/>
        </w:trPr>
        <w:tc>
          <w:tcPr>
            <w:tcW w:w="3794" w:type="dxa"/>
            <w:tcBorders>
              <w:left w:val="single" w:sz="4" w:space="0" w:color="000000"/>
            </w:tcBorders>
          </w:tcPr>
          <w:p w14:paraId="18D947B7"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 xml:space="preserve">Míra </w:t>
            </w:r>
            <w:smartTag w:uri="urn:schemas-microsoft-com:office:smarttags" w:element="stockticker">
              <w:r w:rsidRPr="009B1A37">
                <w:rPr>
                  <w:rFonts w:ascii="Times New Roman" w:hAnsi="Times New Roman" w:cs="Times New Roman"/>
                  <w:color w:val="000000"/>
                  <w:sz w:val="22"/>
                  <w:szCs w:val="22"/>
                  <w:lang w:val="cs-CZ"/>
                </w:rPr>
                <w:t>CHR</w:t>
              </w:r>
            </w:smartTag>
            <w:r w:rsidRPr="009B1A37">
              <w:rPr>
                <w:rFonts w:ascii="Times New Roman" w:hAnsi="Times New Roman" w:cs="Times New Roman"/>
                <w:color w:val="000000"/>
                <w:sz w:val="22"/>
                <w:szCs w:val="22"/>
                <w:lang w:val="cs-CZ"/>
              </w:rPr>
              <w:t xml:space="preserve"> n (%)</w:t>
            </w:r>
          </w:p>
        </w:tc>
        <w:tc>
          <w:tcPr>
            <w:tcW w:w="2693" w:type="dxa"/>
          </w:tcPr>
          <w:p w14:paraId="62A0F059" w14:textId="77777777" w:rsidR="00D97A44" w:rsidRPr="009B1A37" w:rsidRDefault="00D97A44" w:rsidP="009F41EF">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534 (96,6</w:t>
            </w:r>
            <w:r w:rsidR="00BB39E8"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c>
          <w:tcPr>
            <w:tcW w:w="2758" w:type="dxa"/>
            <w:tcBorders>
              <w:right w:val="single" w:sz="4" w:space="0" w:color="000000"/>
            </w:tcBorders>
          </w:tcPr>
          <w:p w14:paraId="5331815D" w14:textId="77777777" w:rsidR="00D97A44" w:rsidRPr="009B1A37" w:rsidRDefault="00D97A44" w:rsidP="009F41EF">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313 (56,6</w:t>
            </w:r>
            <w:r w:rsidR="00BB39E8"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r>
      <w:tr w:rsidR="00D97A44" w:rsidRPr="009B1A37" w14:paraId="7790154A" w14:textId="77777777" w:rsidTr="009F41EF">
        <w:trPr>
          <w:cantSplit/>
        </w:trPr>
        <w:tc>
          <w:tcPr>
            <w:tcW w:w="3794" w:type="dxa"/>
            <w:tcBorders>
              <w:left w:val="single" w:sz="4" w:space="0" w:color="000000"/>
            </w:tcBorders>
          </w:tcPr>
          <w:p w14:paraId="0C46C8FD"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b/>
              <w:t>[95% CI]</w:t>
            </w:r>
          </w:p>
        </w:tc>
        <w:tc>
          <w:tcPr>
            <w:tcW w:w="2693" w:type="dxa"/>
          </w:tcPr>
          <w:p w14:paraId="1299464A" w14:textId="77777777" w:rsidR="00D97A44" w:rsidRPr="009B1A37" w:rsidRDefault="00D97A44" w:rsidP="009F41EF">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[94,7</w:t>
            </w:r>
            <w:r w:rsidR="00BB39E8"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 97,9</w:t>
            </w:r>
            <w:r w:rsidR="00BB39E8"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c>
          <w:tcPr>
            <w:tcW w:w="2758" w:type="dxa"/>
            <w:tcBorders>
              <w:right w:val="single" w:sz="4" w:space="0" w:color="000000"/>
            </w:tcBorders>
          </w:tcPr>
          <w:p w14:paraId="1D2A3716" w14:textId="77777777" w:rsidR="00D97A44" w:rsidRPr="009B1A37" w:rsidRDefault="00D97A44" w:rsidP="009F41EF">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[52,4</w:t>
            </w:r>
            <w:r w:rsidR="00BB39E8"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 60,8</w:t>
            </w:r>
            <w:r w:rsidR="00BB39E8"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r>
      <w:tr w:rsidR="00D97A44" w:rsidRPr="009B1A37" w14:paraId="3A9620B7" w14:textId="77777777" w:rsidTr="009F41EF">
        <w:trPr>
          <w:cantSplit/>
        </w:trPr>
        <w:tc>
          <w:tcPr>
            <w:tcW w:w="3794" w:type="dxa"/>
            <w:tcBorders>
              <w:left w:val="single" w:sz="4" w:space="0" w:color="000000"/>
            </w:tcBorders>
          </w:tcPr>
          <w:p w14:paraId="6D8DB0F7"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p>
        </w:tc>
        <w:tc>
          <w:tcPr>
            <w:tcW w:w="2693" w:type="dxa"/>
          </w:tcPr>
          <w:p w14:paraId="6FCAE1F3"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p>
        </w:tc>
        <w:tc>
          <w:tcPr>
            <w:tcW w:w="2758" w:type="dxa"/>
            <w:tcBorders>
              <w:right w:val="single" w:sz="4" w:space="0" w:color="000000"/>
            </w:tcBorders>
          </w:tcPr>
          <w:p w14:paraId="554B089C"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p>
        </w:tc>
      </w:tr>
      <w:tr w:rsidR="00D97A44" w:rsidRPr="009B1A37" w14:paraId="1794FFCB" w14:textId="77777777" w:rsidTr="009F41EF">
        <w:trPr>
          <w:cantSplit/>
        </w:trPr>
        <w:tc>
          <w:tcPr>
            <w:tcW w:w="3794" w:type="dxa"/>
            <w:tcBorders>
              <w:left w:val="single" w:sz="4" w:space="0" w:color="000000"/>
            </w:tcBorders>
          </w:tcPr>
          <w:p w14:paraId="2C71D05E" w14:textId="77777777" w:rsidR="00D97A44" w:rsidRPr="009B1A37" w:rsidRDefault="00D97A44" w:rsidP="009F41EF">
            <w:pPr>
              <w:pStyle w:val="Table"/>
              <w:keepLines w:val="0"/>
              <w:widowControl w:val="0"/>
              <w:snapToGrid w:val="0"/>
              <w:spacing w:before="0" w:after="0"/>
              <w:rPr>
                <w:rFonts w:ascii="Times New Roman" w:hAnsi="Times New Roman" w:cs="Times New Roman"/>
                <w:b/>
                <w:bCs/>
                <w:color w:val="000000"/>
                <w:sz w:val="22"/>
                <w:szCs w:val="22"/>
                <w:lang w:val="cs-CZ"/>
              </w:rPr>
            </w:pPr>
            <w:r w:rsidRPr="009B1A37">
              <w:rPr>
                <w:rFonts w:ascii="Times New Roman" w:hAnsi="Times New Roman" w:cs="Times New Roman"/>
                <w:b/>
                <w:bCs/>
                <w:color w:val="000000"/>
                <w:sz w:val="22"/>
                <w:szCs w:val="22"/>
                <w:lang w:val="cs-CZ"/>
              </w:rPr>
              <w:t>Cytogenetická odpověď</w:t>
            </w:r>
          </w:p>
        </w:tc>
        <w:tc>
          <w:tcPr>
            <w:tcW w:w="2693" w:type="dxa"/>
          </w:tcPr>
          <w:p w14:paraId="25536F5B" w14:textId="77777777" w:rsidR="00D97A44" w:rsidRPr="009B1A37" w:rsidRDefault="00D97A44" w:rsidP="009F41EF">
            <w:pPr>
              <w:pStyle w:val="Table"/>
              <w:keepLines w:val="0"/>
              <w:widowControl w:val="0"/>
              <w:snapToGrid w:val="0"/>
              <w:spacing w:before="0" w:after="0"/>
              <w:rPr>
                <w:rFonts w:ascii="Times New Roman" w:hAnsi="Times New Roman" w:cs="Times New Roman"/>
                <w:b/>
                <w:bCs/>
                <w:color w:val="000000"/>
                <w:sz w:val="22"/>
                <w:szCs w:val="22"/>
                <w:lang w:val="cs-CZ"/>
              </w:rPr>
            </w:pPr>
          </w:p>
        </w:tc>
        <w:tc>
          <w:tcPr>
            <w:tcW w:w="2758" w:type="dxa"/>
            <w:tcBorders>
              <w:right w:val="single" w:sz="4" w:space="0" w:color="000000"/>
            </w:tcBorders>
          </w:tcPr>
          <w:p w14:paraId="0CE3BB4C" w14:textId="77777777" w:rsidR="00D97A44" w:rsidRPr="009B1A37" w:rsidRDefault="00D97A44" w:rsidP="009F41EF">
            <w:pPr>
              <w:pStyle w:val="Table"/>
              <w:keepLines w:val="0"/>
              <w:widowControl w:val="0"/>
              <w:snapToGrid w:val="0"/>
              <w:spacing w:before="0" w:after="0"/>
              <w:rPr>
                <w:rFonts w:ascii="Times New Roman" w:hAnsi="Times New Roman" w:cs="Times New Roman"/>
                <w:b/>
                <w:bCs/>
                <w:color w:val="000000"/>
                <w:sz w:val="22"/>
                <w:szCs w:val="22"/>
                <w:lang w:val="cs-CZ"/>
              </w:rPr>
            </w:pPr>
          </w:p>
        </w:tc>
      </w:tr>
      <w:tr w:rsidR="00D97A44" w:rsidRPr="009B1A37" w14:paraId="076A75AB" w14:textId="77777777" w:rsidTr="009F41EF">
        <w:trPr>
          <w:cantSplit/>
        </w:trPr>
        <w:tc>
          <w:tcPr>
            <w:tcW w:w="3794" w:type="dxa"/>
            <w:tcBorders>
              <w:left w:val="single" w:sz="4" w:space="0" w:color="000000"/>
            </w:tcBorders>
          </w:tcPr>
          <w:p w14:paraId="4A25D687"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Velká odpověď n (%)</w:t>
            </w:r>
          </w:p>
        </w:tc>
        <w:tc>
          <w:tcPr>
            <w:tcW w:w="2693" w:type="dxa"/>
          </w:tcPr>
          <w:p w14:paraId="28A3D355" w14:textId="77777777" w:rsidR="00D97A44" w:rsidRPr="009B1A37" w:rsidRDefault="00D97A44" w:rsidP="009F41EF">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490 (88,6</w:t>
            </w:r>
            <w:r w:rsidR="00BB39E8"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c>
          <w:tcPr>
            <w:tcW w:w="2758" w:type="dxa"/>
            <w:tcBorders>
              <w:right w:val="single" w:sz="4" w:space="0" w:color="000000"/>
            </w:tcBorders>
          </w:tcPr>
          <w:p w14:paraId="2FEF3900" w14:textId="77777777" w:rsidR="00D97A44" w:rsidRPr="009B1A37" w:rsidRDefault="00D97A44" w:rsidP="009F41EF">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129 (23,3</w:t>
            </w:r>
            <w:r w:rsidR="00BB39E8"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r>
      <w:tr w:rsidR="00D97A44" w:rsidRPr="009B1A37" w14:paraId="4910C13E" w14:textId="77777777" w:rsidTr="009F41EF">
        <w:trPr>
          <w:cantSplit/>
        </w:trPr>
        <w:tc>
          <w:tcPr>
            <w:tcW w:w="3794" w:type="dxa"/>
            <w:tcBorders>
              <w:left w:val="single" w:sz="4" w:space="0" w:color="000000"/>
            </w:tcBorders>
          </w:tcPr>
          <w:p w14:paraId="1A30CB3C"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b/>
              <w:t>[95% CI]</w:t>
            </w:r>
          </w:p>
        </w:tc>
        <w:tc>
          <w:tcPr>
            <w:tcW w:w="2693" w:type="dxa"/>
          </w:tcPr>
          <w:p w14:paraId="5CF1736B" w14:textId="77777777" w:rsidR="00D97A44" w:rsidRPr="009B1A37" w:rsidRDefault="00D97A44" w:rsidP="009F41EF">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[85,7</w:t>
            </w:r>
            <w:r w:rsidR="00BB39E8"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 91,1</w:t>
            </w:r>
            <w:r w:rsidR="00BB39E8"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c>
          <w:tcPr>
            <w:tcW w:w="2758" w:type="dxa"/>
            <w:tcBorders>
              <w:right w:val="single" w:sz="4" w:space="0" w:color="000000"/>
            </w:tcBorders>
          </w:tcPr>
          <w:p w14:paraId="35E5B9AC" w14:textId="77777777" w:rsidR="00D97A44" w:rsidRPr="009B1A37" w:rsidRDefault="00D97A44" w:rsidP="009F41EF">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[19,9</w:t>
            </w:r>
            <w:r w:rsidR="00BB39E8"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 27,1</w:t>
            </w:r>
            <w:r w:rsidR="00BB39E8"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r>
      <w:tr w:rsidR="00D97A44" w:rsidRPr="009B1A37" w14:paraId="38656592" w14:textId="77777777" w:rsidTr="009F41EF">
        <w:trPr>
          <w:cantSplit/>
        </w:trPr>
        <w:tc>
          <w:tcPr>
            <w:tcW w:w="3794" w:type="dxa"/>
            <w:tcBorders>
              <w:left w:val="single" w:sz="4" w:space="0" w:color="000000"/>
            </w:tcBorders>
          </w:tcPr>
          <w:p w14:paraId="22D2457C"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b/>
              <w:t>Kompletní CyR n (%)</w:t>
            </w:r>
          </w:p>
        </w:tc>
        <w:tc>
          <w:tcPr>
            <w:tcW w:w="2693" w:type="dxa"/>
          </w:tcPr>
          <w:p w14:paraId="77C07757" w14:textId="77777777" w:rsidR="00D97A44" w:rsidRPr="009B1A37" w:rsidRDefault="00D97A44" w:rsidP="009F41EF">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456 (82,5</w:t>
            </w:r>
            <w:r w:rsidR="00BB39E8"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c>
          <w:tcPr>
            <w:tcW w:w="2758" w:type="dxa"/>
            <w:tcBorders>
              <w:right w:val="single" w:sz="4" w:space="0" w:color="000000"/>
            </w:tcBorders>
          </w:tcPr>
          <w:p w14:paraId="2DAF47E2" w14:textId="77777777" w:rsidR="00D97A44" w:rsidRPr="009B1A37" w:rsidRDefault="00D97A44" w:rsidP="009F41EF">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64 (11,6</w:t>
            </w:r>
            <w:r w:rsidR="00BB39E8"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r>
      <w:tr w:rsidR="00D97A44" w:rsidRPr="009B1A37" w14:paraId="4B3963CE" w14:textId="77777777" w:rsidTr="009F41EF">
        <w:trPr>
          <w:cantSplit/>
        </w:trPr>
        <w:tc>
          <w:tcPr>
            <w:tcW w:w="3794" w:type="dxa"/>
            <w:tcBorders>
              <w:left w:val="single" w:sz="4" w:space="0" w:color="000000"/>
            </w:tcBorders>
          </w:tcPr>
          <w:p w14:paraId="24F65BEC"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b/>
              <w:t>Parciální CyR n (%)</w:t>
            </w:r>
          </w:p>
        </w:tc>
        <w:tc>
          <w:tcPr>
            <w:tcW w:w="2693" w:type="dxa"/>
          </w:tcPr>
          <w:p w14:paraId="1A3123F6" w14:textId="77777777" w:rsidR="00D97A44" w:rsidRPr="009B1A37" w:rsidRDefault="00D97A44" w:rsidP="009F41EF">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34 (6,1</w:t>
            </w:r>
            <w:r w:rsidR="00BB39E8"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c>
          <w:tcPr>
            <w:tcW w:w="2758" w:type="dxa"/>
            <w:tcBorders>
              <w:right w:val="single" w:sz="4" w:space="0" w:color="000000"/>
            </w:tcBorders>
          </w:tcPr>
          <w:p w14:paraId="6A3D42D2" w14:textId="77777777" w:rsidR="00D97A44" w:rsidRPr="009B1A37" w:rsidRDefault="00D97A44" w:rsidP="009F41EF">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65 (11,8</w:t>
            </w:r>
            <w:r w:rsidR="00BB39E8"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r>
      <w:tr w:rsidR="00D97A44" w:rsidRPr="009B1A37" w14:paraId="72E9751C" w14:textId="77777777" w:rsidTr="009F41EF">
        <w:trPr>
          <w:cantSplit/>
        </w:trPr>
        <w:tc>
          <w:tcPr>
            <w:tcW w:w="3794" w:type="dxa"/>
            <w:tcBorders>
              <w:left w:val="single" w:sz="4" w:space="0" w:color="000000"/>
            </w:tcBorders>
          </w:tcPr>
          <w:p w14:paraId="73B6B6CA"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p>
        </w:tc>
        <w:tc>
          <w:tcPr>
            <w:tcW w:w="2693" w:type="dxa"/>
          </w:tcPr>
          <w:p w14:paraId="438F653C"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p>
        </w:tc>
        <w:tc>
          <w:tcPr>
            <w:tcW w:w="2758" w:type="dxa"/>
            <w:tcBorders>
              <w:right w:val="single" w:sz="4" w:space="0" w:color="000000"/>
            </w:tcBorders>
          </w:tcPr>
          <w:p w14:paraId="6F2B8064"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p>
        </w:tc>
      </w:tr>
      <w:tr w:rsidR="00D97A44" w:rsidRPr="009B1A37" w14:paraId="5520DD8D" w14:textId="77777777" w:rsidTr="009F41EF">
        <w:trPr>
          <w:cantSplit/>
        </w:trPr>
        <w:tc>
          <w:tcPr>
            <w:tcW w:w="3794" w:type="dxa"/>
            <w:tcBorders>
              <w:left w:val="single" w:sz="4" w:space="0" w:color="000000"/>
            </w:tcBorders>
          </w:tcPr>
          <w:p w14:paraId="013EABE3"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b/>
                <w:bCs/>
                <w:color w:val="000000"/>
                <w:sz w:val="22"/>
                <w:szCs w:val="22"/>
                <w:lang w:val="cs-CZ"/>
              </w:rPr>
              <w:t>Molekulární odpověď</w:t>
            </w:r>
            <w:r w:rsidRPr="009B1A37">
              <w:rPr>
                <w:rFonts w:ascii="Times New Roman" w:hAnsi="Times New Roman" w:cs="Times New Roman"/>
                <w:color w:val="000000"/>
                <w:sz w:val="22"/>
                <w:szCs w:val="22"/>
                <w:lang w:val="cs-CZ"/>
              </w:rPr>
              <w:t>**</w:t>
            </w:r>
          </w:p>
        </w:tc>
        <w:tc>
          <w:tcPr>
            <w:tcW w:w="2693" w:type="dxa"/>
          </w:tcPr>
          <w:p w14:paraId="5C54C88E"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p>
        </w:tc>
        <w:tc>
          <w:tcPr>
            <w:tcW w:w="2758" w:type="dxa"/>
            <w:tcBorders>
              <w:right w:val="single" w:sz="4" w:space="0" w:color="000000"/>
            </w:tcBorders>
          </w:tcPr>
          <w:p w14:paraId="3B9EC60E"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p>
        </w:tc>
      </w:tr>
      <w:tr w:rsidR="00D97A44" w:rsidRPr="009B1A37" w14:paraId="7C856F95" w14:textId="77777777" w:rsidTr="009F41EF">
        <w:trPr>
          <w:cantSplit/>
        </w:trPr>
        <w:tc>
          <w:tcPr>
            <w:tcW w:w="3794" w:type="dxa"/>
            <w:tcBorders>
              <w:left w:val="single" w:sz="4" w:space="0" w:color="000000"/>
            </w:tcBorders>
          </w:tcPr>
          <w:p w14:paraId="68E05B96"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Velká odpověď ve 12. měsíci (%)</w:t>
            </w:r>
          </w:p>
        </w:tc>
        <w:tc>
          <w:tcPr>
            <w:tcW w:w="2693" w:type="dxa"/>
          </w:tcPr>
          <w:p w14:paraId="022682E1" w14:textId="77777777" w:rsidR="00D97A44" w:rsidRPr="009B1A37" w:rsidRDefault="00D97A44" w:rsidP="009F41EF">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153/305=50,2</w:t>
            </w:r>
            <w:r w:rsidR="00BB39E8"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c>
          <w:tcPr>
            <w:tcW w:w="2758" w:type="dxa"/>
            <w:tcBorders>
              <w:right w:val="single" w:sz="4" w:space="0" w:color="000000"/>
            </w:tcBorders>
          </w:tcPr>
          <w:p w14:paraId="1A77AF1B" w14:textId="77777777" w:rsidR="00D97A44" w:rsidRPr="009B1A37" w:rsidRDefault="00D97A44" w:rsidP="009F41EF">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8/83=9,6</w:t>
            </w:r>
            <w:r w:rsidR="00BB39E8"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r>
      <w:tr w:rsidR="00D97A44" w:rsidRPr="009B1A37" w14:paraId="37DE6AA3" w14:textId="77777777" w:rsidTr="009F41EF">
        <w:trPr>
          <w:cantSplit/>
        </w:trPr>
        <w:tc>
          <w:tcPr>
            <w:tcW w:w="3794" w:type="dxa"/>
            <w:tcBorders>
              <w:left w:val="single" w:sz="4" w:space="0" w:color="000000"/>
            </w:tcBorders>
          </w:tcPr>
          <w:p w14:paraId="261690A1"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Velká odpověď ve 24. měsíci (%)</w:t>
            </w:r>
          </w:p>
          <w:p w14:paraId="4AB740BC" w14:textId="77777777" w:rsidR="00D97A44" w:rsidRPr="009B1A37" w:rsidRDefault="00D97A44" w:rsidP="009F41EF">
            <w:pPr>
              <w:pStyle w:val="Table"/>
              <w:keepLines w:val="0"/>
              <w:widowControl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Velká odpověď v 84. měsíci (%)</w:t>
            </w:r>
          </w:p>
        </w:tc>
        <w:tc>
          <w:tcPr>
            <w:tcW w:w="2693" w:type="dxa"/>
          </w:tcPr>
          <w:p w14:paraId="733B5ABD" w14:textId="77777777" w:rsidR="00D97A44" w:rsidRPr="009B1A37" w:rsidRDefault="00D97A44" w:rsidP="009F41EF">
            <w:pPr>
              <w:pStyle w:val="Table"/>
              <w:keepLines w:val="0"/>
              <w:widowControl w:val="0"/>
              <w:snapToGrid w:val="0"/>
              <w:spacing w:before="0" w:after="0"/>
              <w:jc w:val="center"/>
              <w:rPr>
                <w:lang w:val="cs-CZ"/>
              </w:rPr>
            </w:pPr>
            <w:r w:rsidRPr="009B1A37">
              <w:rPr>
                <w:rFonts w:ascii="Times New Roman" w:hAnsi="Times New Roman" w:cs="Times New Roman"/>
                <w:color w:val="000000"/>
                <w:sz w:val="22"/>
                <w:szCs w:val="22"/>
                <w:lang w:val="cs-CZ"/>
              </w:rPr>
              <w:t>73/104=70,2</w:t>
            </w:r>
            <w:r w:rsidR="00BB39E8"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p w14:paraId="4714FAD2" w14:textId="77777777" w:rsidR="00D97A44" w:rsidRPr="009B1A37" w:rsidRDefault="00D97A44" w:rsidP="009F41EF">
            <w:pPr>
              <w:pStyle w:val="Table"/>
              <w:keepLines w:val="0"/>
              <w:widowControl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102/116=87,9</w:t>
            </w:r>
            <w:r w:rsidR="00BB39E8"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c>
          <w:tcPr>
            <w:tcW w:w="2758" w:type="dxa"/>
            <w:tcBorders>
              <w:right w:val="single" w:sz="4" w:space="0" w:color="000000"/>
            </w:tcBorders>
          </w:tcPr>
          <w:p w14:paraId="0AE7355D" w14:textId="77777777" w:rsidR="00D97A44" w:rsidRPr="009B1A37" w:rsidRDefault="00D97A44" w:rsidP="009F41EF">
            <w:pPr>
              <w:pStyle w:val="Table"/>
              <w:keepLines w:val="0"/>
              <w:widowControl w:val="0"/>
              <w:snapToGrid w:val="0"/>
              <w:spacing w:before="0" w:after="0"/>
              <w:jc w:val="center"/>
              <w:rPr>
                <w:lang w:val="cs-CZ"/>
              </w:rPr>
            </w:pPr>
            <w:r w:rsidRPr="009B1A37">
              <w:rPr>
                <w:rFonts w:ascii="Times New Roman" w:hAnsi="Times New Roman" w:cs="Times New Roman"/>
                <w:color w:val="000000"/>
                <w:sz w:val="22"/>
                <w:szCs w:val="22"/>
                <w:lang w:val="cs-CZ"/>
              </w:rPr>
              <w:t>3/12=25</w:t>
            </w:r>
            <w:r w:rsidR="00BB39E8"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p w14:paraId="62F6F9EA" w14:textId="77777777" w:rsidR="00D97A44" w:rsidRPr="009B1A37" w:rsidRDefault="00D97A44" w:rsidP="009F41EF">
            <w:pPr>
              <w:pStyle w:val="Table"/>
              <w:keepLines w:val="0"/>
              <w:widowControl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3/4=75</w:t>
            </w:r>
            <w:r w:rsidR="00BB39E8"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r>
      <w:tr w:rsidR="00D97A44" w:rsidRPr="009B1A37" w14:paraId="75134621" w14:textId="77777777" w:rsidTr="009F41EF">
        <w:trPr>
          <w:cantSplit/>
        </w:trPr>
        <w:tc>
          <w:tcPr>
            <w:tcW w:w="9245" w:type="dxa"/>
            <w:gridSpan w:val="3"/>
            <w:tcBorders>
              <w:top w:val="single" w:sz="4" w:space="0" w:color="000000"/>
              <w:left w:val="single" w:sz="4" w:space="0" w:color="000000"/>
              <w:bottom w:val="single" w:sz="4" w:space="0" w:color="000000"/>
              <w:right w:val="single" w:sz="4" w:space="0" w:color="000000"/>
            </w:tcBorders>
          </w:tcPr>
          <w:p w14:paraId="6AADC6E1" w14:textId="77777777" w:rsidR="00D97A44" w:rsidRPr="009B1A37" w:rsidRDefault="00D97A44" w:rsidP="009F41EF">
            <w:pPr>
              <w:pStyle w:val="Table"/>
              <w:keepNext w:val="0"/>
              <w:keepLines w:val="0"/>
              <w:widowControl w:val="0"/>
              <w:suppressAutoHyphens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 p&lt;0,001, Fischerův test významnosti</w:t>
            </w:r>
          </w:p>
          <w:p w14:paraId="27B39383" w14:textId="77777777" w:rsidR="00D97A44" w:rsidRPr="009B1A37" w:rsidRDefault="00D97A44" w:rsidP="009F41EF">
            <w:pPr>
              <w:pStyle w:val="Table"/>
              <w:keepNext w:val="0"/>
              <w:keepLines w:val="0"/>
              <w:widowControl w:val="0"/>
              <w:suppressAutoHyphens w:val="0"/>
              <w:spacing w:before="0" w:after="0"/>
              <w:rPr>
                <w:rFonts w:ascii="Times New Roman" w:hAnsi="Times New Roman" w:cs="Times New Roman"/>
                <w:b/>
                <w:bCs/>
                <w:color w:val="000000"/>
                <w:sz w:val="22"/>
                <w:szCs w:val="22"/>
                <w:lang w:val="cs-CZ"/>
              </w:rPr>
            </w:pPr>
            <w:r w:rsidRPr="009B1A37">
              <w:rPr>
                <w:rFonts w:ascii="Times New Roman" w:hAnsi="Times New Roman" w:cs="Times New Roman"/>
                <w:color w:val="000000"/>
                <w:sz w:val="22"/>
                <w:szCs w:val="22"/>
                <w:lang w:val="cs-CZ"/>
              </w:rPr>
              <w:t>** procenta molekulární odpovědi jsou založená na dostupných vzorcích</w:t>
            </w:r>
          </w:p>
          <w:p w14:paraId="2F2EC00A" w14:textId="77777777" w:rsidR="00D97A44" w:rsidRPr="009B1A37" w:rsidRDefault="00D97A44" w:rsidP="009F41EF">
            <w:pPr>
              <w:pStyle w:val="Table"/>
              <w:keepNext w:val="0"/>
              <w:keepLines w:val="0"/>
              <w:widowControl w:val="0"/>
              <w:suppressAutoHyphens w:val="0"/>
              <w:spacing w:before="0" w:after="0"/>
              <w:rPr>
                <w:rFonts w:ascii="Times New Roman" w:hAnsi="Times New Roman" w:cs="Times New Roman"/>
                <w:b/>
                <w:bCs/>
                <w:color w:val="000000"/>
                <w:sz w:val="22"/>
                <w:szCs w:val="22"/>
                <w:lang w:val="cs-CZ"/>
              </w:rPr>
            </w:pPr>
            <w:r w:rsidRPr="009B1A37">
              <w:rPr>
                <w:rFonts w:ascii="Times New Roman" w:hAnsi="Times New Roman" w:cs="Times New Roman"/>
                <w:b/>
                <w:bCs/>
                <w:color w:val="000000"/>
                <w:sz w:val="22"/>
                <w:szCs w:val="22"/>
                <w:lang w:val="cs-CZ"/>
              </w:rPr>
              <w:t xml:space="preserve">Kritéria hematologické odpovědi (všechny odpovědi byly potvrzeny po </w:t>
            </w:r>
            <w:r w:rsidRPr="009B1A37">
              <w:rPr>
                <w:rFonts w:ascii="Symbol" w:hAnsi="Symbol"/>
                <w:b/>
                <w:bCs/>
                <w:color w:val="000000"/>
                <w:sz w:val="22"/>
                <w:szCs w:val="22"/>
                <w:lang w:val="cs-CZ"/>
              </w:rPr>
              <w:t></w:t>
            </w:r>
            <w:r w:rsidRPr="009B1A37">
              <w:rPr>
                <w:rFonts w:ascii="Times New Roman" w:hAnsi="Times New Roman" w:cs="Times New Roman"/>
                <w:b/>
                <w:bCs/>
                <w:color w:val="000000"/>
                <w:sz w:val="22"/>
                <w:szCs w:val="22"/>
                <w:lang w:val="cs-CZ"/>
              </w:rPr>
              <w:t> 4 týdnech):</w:t>
            </w:r>
          </w:p>
          <w:p w14:paraId="2F8A02FF" w14:textId="77777777" w:rsidR="00D97A44" w:rsidRPr="009B1A37" w:rsidRDefault="00B65210" w:rsidP="009F41EF">
            <w:pPr>
              <w:pStyle w:val="Table"/>
              <w:keepNext w:val="0"/>
              <w:keepLines w:val="0"/>
              <w:widowControl w:val="0"/>
              <w:suppressAutoHyphens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Leukocyty</w:t>
            </w:r>
            <w:r w:rsidR="00D97A44" w:rsidRPr="009B1A37">
              <w:rPr>
                <w:rFonts w:ascii="Times New Roman" w:hAnsi="Times New Roman" w:cs="Times New Roman"/>
                <w:color w:val="000000"/>
                <w:sz w:val="22"/>
                <w:szCs w:val="22"/>
                <w:lang w:val="cs-CZ"/>
              </w:rPr>
              <w:t xml:space="preserve"> &lt; 10 x 10</w:t>
            </w:r>
            <w:r w:rsidR="00D97A44" w:rsidRPr="009B1A37">
              <w:rPr>
                <w:rFonts w:ascii="Times New Roman" w:hAnsi="Times New Roman" w:cs="Times New Roman"/>
                <w:color w:val="000000"/>
                <w:sz w:val="22"/>
                <w:szCs w:val="22"/>
                <w:vertAlign w:val="superscript"/>
                <w:lang w:val="cs-CZ"/>
              </w:rPr>
              <w:t>9</w:t>
            </w:r>
            <w:r w:rsidR="00D97A44" w:rsidRPr="009B1A37">
              <w:rPr>
                <w:rFonts w:ascii="Times New Roman" w:hAnsi="Times New Roman" w:cs="Times New Roman"/>
                <w:color w:val="000000"/>
                <w:sz w:val="22"/>
                <w:szCs w:val="22"/>
                <w:lang w:val="cs-CZ"/>
              </w:rPr>
              <w:t xml:space="preserve">/l, </w:t>
            </w:r>
            <w:r w:rsidRPr="009B1A37">
              <w:rPr>
                <w:rFonts w:ascii="Times New Roman" w:hAnsi="Times New Roman" w:cs="Times New Roman"/>
                <w:color w:val="000000"/>
                <w:sz w:val="22"/>
                <w:szCs w:val="22"/>
                <w:lang w:val="cs-CZ"/>
              </w:rPr>
              <w:t>trombocyty</w:t>
            </w:r>
            <w:r w:rsidR="00D97A44" w:rsidRPr="009B1A37">
              <w:rPr>
                <w:rFonts w:ascii="Times New Roman" w:hAnsi="Times New Roman" w:cs="Times New Roman"/>
                <w:color w:val="000000"/>
                <w:sz w:val="22"/>
                <w:szCs w:val="22"/>
                <w:lang w:val="cs-CZ"/>
              </w:rPr>
              <w:t xml:space="preserve"> &lt; 450 x 10</w:t>
            </w:r>
            <w:r w:rsidR="00D97A44" w:rsidRPr="009B1A37">
              <w:rPr>
                <w:rFonts w:ascii="Times New Roman" w:hAnsi="Times New Roman" w:cs="Times New Roman"/>
                <w:color w:val="000000"/>
                <w:sz w:val="22"/>
                <w:szCs w:val="22"/>
                <w:vertAlign w:val="superscript"/>
                <w:lang w:val="cs-CZ"/>
              </w:rPr>
              <w:t>9</w:t>
            </w:r>
            <w:r w:rsidR="00D97A44" w:rsidRPr="009B1A37">
              <w:rPr>
                <w:rFonts w:ascii="Times New Roman" w:hAnsi="Times New Roman" w:cs="Times New Roman"/>
                <w:color w:val="000000"/>
                <w:sz w:val="22"/>
                <w:szCs w:val="22"/>
                <w:lang w:val="cs-CZ"/>
              </w:rPr>
              <w:t>/l, myelocyty+metamyelocyty &lt; 5</w:t>
            </w:r>
            <w:r w:rsidR="00BB39E8" w:rsidRPr="009B1A37">
              <w:rPr>
                <w:rFonts w:ascii="Times New Roman" w:hAnsi="Times New Roman" w:cs="Times New Roman"/>
                <w:color w:val="000000"/>
                <w:sz w:val="22"/>
                <w:szCs w:val="22"/>
                <w:lang w:val="cs-CZ"/>
              </w:rPr>
              <w:t> </w:t>
            </w:r>
            <w:r w:rsidR="00D97A44" w:rsidRPr="009B1A37">
              <w:rPr>
                <w:rFonts w:ascii="Times New Roman" w:hAnsi="Times New Roman" w:cs="Times New Roman"/>
                <w:color w:val="000000"/>
                <w:sz w:val="22"/>
                <w:szCs w:val="22"/>
                <w:lang w:val="cs-CZ"/>
              </w:rPr>
              <w:t>% v krvi, žádné blasty a promyelocyty v krvi, basofily &lt; 20</w:t>
            </w:r>
            <w:r w:rsidR="00BB39E8" w:rsidRPr="009B1A37">
              <w:rPr>
                <w:rFonts w:ascii="Times New Roman" w:hAnsi="Times New Roman" w:cs="Times New Roman"/>
                <w:color w:val="000000"/>
                <w:sz w:val="22"/>
                <w:szCs w:val="22"/>
                <w:lang w:val="cs-CZ"/>
              </w:rPr>
              <w:t> </w:t>
            </w:r>
            <w:r w:rsidR="00D97A44" w:rsidRPr="009B1A37">
              <w:rPr>
                <w:rFonts w:ascii="Times New Roman" w:hAnsi="Times New Roman" w:cs="Times New Roman"/>
                <w:color w:val="000000"/>
                <w:sz w:val="22"/>
                <w:szCs w:val="22"/>
                <w:lang w:val="cs-CZ"/>
              </w:rPr>
              <w:t>%, žádné extramedulární postižení</w:t>
            </w:r>
          </w:p>
          <w:p w14:paraId="5CA1AF6D" w14:textId="77777777" w:rsidR="00D97A44" w:rsidRPr="009B1A37" w:rsidRDefault="00D97A44" w:rsidP="009F41EF">
            <w:pPr>
              <w:pStyle w:val="Table"/>
              <w:keepNext w:val="0"/>
              <w:keepLines w:val="0"/>
              <w:widowControl w:val="0"/>
              <w:suppressAutoHyphens w:val="0"/>
              <w:spacing w:before="0" w:after="0"/>
              <w:rPr>
                <w:rFonts w:ascii="Times New Roman" w:hAnsi="Times New Roman" w:cs="Times New Roman"/>
                <w:color w:val="000000"/>
                <w:sz w:val="22"/>
                <w:szCs w:val="22"/>
                <w:lang w:val="cs-CZ"/>
              </w:rPr>
            </w:pPr>
            <w:r w:rsidRPr="009B1A37">
              <w:rPr>
                <w:rFonts w:ascii="Times New Roman" w:hAnsi="Times New Roman" w:cs="Times New Roman"/>
                <w:b/>
                <w:bCs/>
                <w:color w:val="000000"/>
                <w:sz w:val="22"/>
                <w:szCs w:val="22"/>
                <w:lang w:val="cs-CZ"/>
              </w:rPr>
              <w:t xml:space="preserve">Kriteria cytogenetické odpovědi: </w:t>
            </w:r>
            <w:r w:rsidRPr="009B1A37">
              <w:rPr>
                <w:rFonts w:ascii="Times New Roman" w:hAnsi="Times New Roman" w:cs="Times New Roman"/>
                <w:color w:val="000000"/>
                <w:sz w:val="22"/>
                <w:szCs w:val="22"/>
                <w:lang w:val="cs-CZ"/>
              </w:rPr>
              <w:t>kompletní (0% Ph+ metafáze), parciální (1–35</w:t>
            </w:r>
            <w:r w:rsidR="00BB39E8"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 malá (36–65</w:t>
            </w:r>
            <w:r w:rsidR="00BB39E8"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 nebo minimální (66–95</w:t>
            </w:r>
            <w:r w:rsidR="00BB39E8"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 Velká odpověď (0–35</w:t>
            </w:r>
            <w:r w:rsidR="00BB39E8"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 kombinuje obě odpovědi</w:t>
            </w:r>
            <w:r w:rsidR="00AF2D6E" w:rsidRPr="009B1A37">
              <w:rPr>
                <w:rFonts w:ascii="Times New Roman" w:hAnsi="Times New Roman" w:cs="Times New Roman"/>
                <w:color w:val="000000"/>
                <w:sz w:val="22"/>
                <w:szCs w:val="22"/>
                <w:lang w:val="cs-CZ"/>
              </w:rPr>
              <w:t xml:space="preserve"> </w:t>
            </w:r>
            <w:r w:rsidRPr="009B1A37">
              <w:rPr>
                <w:rFonts w:ascii="Times New Roman" w:hAnsi="Times New Roman" w:cs="Times New Roman"/>
                <w:color w:val="000000"/>
                <w:sz w:val="22"/>
                <w:szCs w:val="22"/>
                <w:lang w:val="cs-CZ"/>
              </w:rPr>
              <w:t>- kompletní a parciální.</w:t>
            </w:r>
          </w:p>
          <w:p w14:paraId="41D3CAAE" w14:textId="77777777" w:rsidR="00D97A44" w:rsidRPr="009B1A37" w:rsidRDefault="00D97A44" w:rsidP="009F41EF">
            <w:pPr>
              <w:pStyle w:val="Table"/>
              <w:keepNext w:val="0"/>
              <w:keepLines w:val="0"/>
              <w:widowControl w:val="0"/>
              <w:suppressAutoHyphens w:val="0"/>
              <w:spacing w:before="0" w:after="0"/>
              <w:rPr>
                <w:rFonts w:ascii="Times New Roman" w:hAnsi="Times New Roman" w:cs="Times New Roman"/>
                <w:color w:val="000000"/>
                <w:sz w:val="22"/>
                <w:szCs w:val="22"/>
                <w:lang w:val="cs-CZ"/>
              </w:rPr>
            </w:pPr>
            <w:r w:rsidRPr="009B1A37">
              <w:rPr>
                <w:rFonts w:ascii="Times New Roman" w:hAnsi="Times New Roman" w:cs="Times New Roman"/>
                <w:b/>
                <w:bCs/>
                <w:color w:val="000000"/>
                <w:sz w:val="22"/>
                <w:szCs w:val="22"/>
                <w:lang w:val="cs-CZ"/>
              </w:rPr>
              <w:t>Kritéria velké molekulární odpovědi</w:t>
            </w:r>
            <w:r w:rsidRPr="009B1A37">
              <w:rPr>
                <w:rFonts w:ascii="Times New Roman" w:hAnsi="Times New Roman" w:cs="Times New Roman"/>
                <w:color w:val="000000"/>
                <w:sz w:val="22"/>
                <w:szCs w:val="22"/>
                <w:lang w:val="cs-CZ"/>
              </w:rPr>
              <w:t>: v periferní krvi ≥ 3-logaritmové snížení množství Bcr-Abl transkriptů (měřeno pomocí testu kvantitativní polymerázové řetězové reakce (</w:t>
            </w:r>
            <w:smartTag w:uri="urn:schemas-microsoft-com:office:smarttags" w:element="stockticker">
              <w:r w:rsidRPr="009B1A37">
                <w:rPr>
                  <w:rFonts w:ascii="Times New Roman" w:hAnsi="Times New Roman" w:cs="Times New Roman"/>
                  <w:color w:val="000000"/>
                  <w:sz w:val="22"/>
                  <w:szCs w:val="22"/>
                  <w:lang w:val="cs-CZ"/>
                </w:rPr>
                <w:t>PCR</w:t>
              </w:r>
            </w:smartTag>
            <w:r w:rsidRPr="009B1A37">
              <w:rPr>
                <w:rFonts w:ascii="Times New Roman" w:hAnsi="Times New Roman" w:cs="Times New Roman"/>
                <w:color w:val="000000"/>
                <w:sz w:val="22"/>
                <w:szCs w:val="22"/>
                <w:lang w:val="cs-CZ"/>
              </w:rPr>
              <w:t>) reverzní transkriptázy v reálném čase) proti standardizované výchozí hodnotě.</w:t>
            </w:r>
          </w:p>
        </w:tc>
      </w:tr>
    </w:tbl>
    <w:p w14:paraId="7F7666C8" w14:textId="77777777" w:rsidR="00D97A44" w:rsidRPr="009B1A37" w:rsidRDefault="00D97A44" w:rsidP="00BE3D48">
      <w:pPr>
        <w:pStyle w:val="EndnoteText"/>
        <w:widowControl w:val="0"/>
      </w:pPr>
    </w:p>
    <w:p w14:paraId="7C51FE2A" w14:textId="77777777" w:rsidR="00D97A44" w:rsidRPr="009B1A37" w:rsidRDefault="00B8294E" w:rsidP="00BE3D48">
      <w:pPr>
        <w:pStyle w:val="EndnoteText"/>
        <w:widowControl w:val="0"/>
        <w:rPr>
          <w:color w:val="000000"/>
        </w:rPr>
      </w:pPr>
      <w:r w:rsidRPr="009B1A37">
        <w:rPr>
          <w:color w:val="000000"/>
        </w:rPr>
        <w:t>Výskyt</w:t>
      </w:r>
      <w:r w:rsidR="00D97A44" w:rsidRPr="009B1A37">
        <w:rPr>
          <w:color w:val="000000"/>
        </w:rPr>
        <w:t xml:space="preserve"> kompletní hematologické odpovědi, velké cytogenetické odpovědi a kompletní cytogenetické odpovědi na první linii léčby byl stanoven použitím Kaplan-Meierova postupu, pro který byly nedosažené odpovědi vyřazeny v den posledního vyšetření. S</w:t>
      </w:r>
      <w:r w:rsidR="00526CF9" w:rsidRPr="009B1A37">
        <w:rPr>
          <w:color w:val="000000"/>
        </w:rPr>
        <w:t> </w:t>
      </w:r>
      <w:r w:rsidR="00D97A44" w:rsidRPr="009B1A37">
        <w:rPr>
          <w:color w:val="000000"/>
        </w:rPr>
        <w:t>použitím tohoto postupu se stanovená kumulativní míra odpovědi v</w:t>
      </w:r>
      <w:r w:rsidR="00526CF9" w:rsidRPr="009B1A37">
        <w:rPr>
          <w:color w:val="000000"/>
        </w:rPr>
        <w:t> </w:t>
      </w:r>
      <w:r w:rsidR="00D97A44" w:rsidRPr="009B1A37">
        <w:rPr>
          <w:color w:val="000000"/>
        </w:rPr>
        <w:t>první linii léčby Glivecem zlepšila od 12.</w:t>
      </w:r>
      <w:r w:rsidR="00526CF9" w:rsidRPr="009B1A37">
        <w:rPr>
          <w:color w:val="000000"/>
        </w:rPr>
        <w:t> </w:t>
      </w:r>
      <w:r w:rsidR="00D97A44" w:rsidRPr="009B1A37">
        <w:rPr>
          <w:color w:val="000000"/>
        </w:rPr>
        <w:t xml:space="preserve">měsíce léčby do 84. měsíce léčby následovně: </w:t>
      </w:r>
      <w:smartTag w:uri="urn:schemas-microsoft-com:office:smarttags" w:element="stockticker">
        <w:r w:rsidR="00D97A44" w:rsidRPr="009B1A37">
          <w:rPr>
            <w:color w:val="000000"/>
          </w:rPr>
          <w:t>CHR</w:t>
        </w:r>
      </w:smartTag>
      <w:r w:rsidR="00D97A44" w:rsidRPr="009B1A37">
        <w:rPr>
          <w:color w:val="000000"/>
        </w:rPr>
        <w:t xml:space="preserve"> z 96,4</w:t>
      </w:r>
      <w:r w:rsidR="003A7148" w:rsidRPr="009B1A37">
        <w:rPr>
          <w:color w:val="000000"/>
        </w:rPr>
        <w:t> </w:t>
      </w:r>
      <w:r w:rsidR="00D97A44" w:rsidRPr="009B1A37">
        <w:rPr>
          <w:color w:val="000000"/>
        </w:rPr>
        <w:t>% na 98,4</w:t>
      </w:r>
      <w:r w:rsidR="003A7148" w:rsidRPr="009B1A37">
        <w:rPr>
          <w:color w:val="000000"/>
        </w:rPr>
        <w:t> </w:t>
      </w:r>
      <w:r w:rsidR="00D97A44" w:rsidRPr="009B1A37">
        <w:rPr>
          <w:color w:val="000000"/>
        </w:rPr>
        <w:t>% a CCyR z 69,5</w:t>
      </w:r>
      <w:r w:rsidR="003A7148" w:rsidRPr="009B1A37">
        <w:rPr>
          <w:color w:val="000000"/>
        </w:rPr>
        <w:t> </w:t>
      </w:r>
      <w:r w:rsidR="00D97A44" w:rsidRPr="009B1A37">
        <w:rPr>
          <w:color w:val="000000"/>
        </w:rPr>
        <w:t>% na 87,2</w:t>
      </w:r>
      <w:r w:rsidR="003A7148" w:rsidRPr="009B1A37">
        <w:rPr>
          <w:color w:val="000000"/>
        </w:rPr>
        <w:t> </w:t>
      </w:r>
      <w:r w:rsidR="00D97A44" w:rsidRPr="009B1A37">
        <w:rPr>
          <w:color w:val="000000"/>
        </w:rPr>
        <w:t>%.</w:t>
      </w:r>
    </w:p>
    <w:p w14:paraId="709086AB" w14:textId="77777777" w:rsidR="00D97A44" w:rsidRPr="009B1A37" w:rsidRDefault="00D97A44" w:rsidP="00BE3D48">
      <w:pPr>
        <w:pStyle w:val="EndnoteText"/>
        <w:widowControl w:val="0"/>
        <w:rPr>
          <w:color w:val="000000"/>
        </w:rPr>
      </w:pPr>
    </w:p>
    <w:p w14:paraId="738B403C" w14:textId="77777777" w:rsidR="00D97A44" w:rsidRPr="009B1A37" w:rsidRDefault="00D97A44" w:rsidP="00BE3D48">
      <w:pPr>
        <w:pStyle w:val="EndnoteText"/>
        <w:widowControl w:val="0"/>
        <w:rPr>
          <w:color w:val="000000"/>
        </w:rPr>
      </w:pPr>
      <w:r w:rsidRPr="009B1A37">
        <w:rPr>
          <w:color w:val="000000"/>
        </w:rPr>
        <w:t>Při 7letém sledování bylo v</w:t>
      </w:r>
      <w:r w:rsidR="00526CF9" w:rsidRPr="009B1A37">
        <w:rPr>
          <w:color w:val="000000"/>
        </w:rPr>
        <w:t> </w:t>
      </w:r>
      <w:r w:rsidRPr="009B1A37">
        <w:rPr>
          <w:color w:val="000000"/>
        </w:rPr>
        <w:t>rameni s</w:t>
      </w:r>
      <w:r w:rsidR="00526CF9" w:rsidRPr="009B1A37">
        <w:rPr>
          <w:color w:val="000000"/>
        </w:rPr>
        <w:t> </w:t>
      </w:r>
      <w:r w:rsidRPr="009B1A37">
        <w:rPr>
          <w:color w:val="000000"/>
        </w:rPr>
        <w:t>Glivecem 93 (16,8</w:t>
      </w:r>
      <w:r w:rsidR="003A7148" w:rsidRPr="009B1A37">
        <w:rPr>
          <w:color w:val="000000"/>
        </w:rPr>
        <w:t> </w:t>
      </w:r>
      <w:r w:rsidRPr="009B1A37">
        <w:rPr>
          <w:color w:val="000000"/>
        </w:rPr>
        <w:t>%) příhod progrese: v</w:t>
      </w:r>
      <w:r w:rsidR="00526CF9" w:rsidRPr="009B1A37">
        <w:rPr>
          <w:color w:val="000000"/>
        </w:rPr>
        <w:t> </w:t>
      </w:r>
      <w:r w:rsidRPr="009B1A37">
        <w:rPr>
          <w:color w:val="000000"/>
        </w:rPr>
        <w:t>37 (6,7</w:t>
      </w:r>
      <w:r w:rsidR="003A7148" w:rsidRPr="009B1A37">
        <w:rPr>
          <w:color w:val="000000"/>
        </w:rPr>
        <w:t> </w:t>
      </w:r>
      <w:r w:rsidRPr="009B1A37">
        <w:rPr>
          <w:color w:val="000000"/>
        </w:rPr>
        <w:t>%) případech se jednalo o</w:t>
      </w:r>
      <w:r w:rsidR="00526CF9" w:rsidRPr="009B1A37">
        <w:rPr>
          <w:color w:val="000000"/>
        </w:rPr>
        <w:t> </w:t>
      </w:r>
      <w:r w:rsidRPr="009B1A37">
        <w:rPr>
          <w:color w:val="000000"/>
        </w:rPr>
        <w:t>progresi do akcelerované fáze/blastické krize, v</w:t>
      </w:r>
      <w:r w:rsidR="00526CF9" w:rsidRPr="009B1A37">
        <w:rPr>
          <w:color w:val="000000"/>
        </w:rPr>
        <w:t> </w:t>
      </w:r>
      <w:r w:rsidRPr="009B1A37">
        <w:rPr>
          <w:color w:val="000000"/>
        </w:rPr>
        <w:t>31 (5,6</w:t>
      </w:r>
      <w:r w:rsidR="003A7148" w:rsidRPr="009B1A37">
        <w:rPr>
          <w:color w:val="000000"/>
        </w:rPr>
        <w:t> </w:t>
      </w:r>
      <w:r w:rsidRPr="009B1A37">
        <w:rPr>
          <w:color w:val="000000"/>
        </w:rPr>
        <w:t>%) o</w:t>
      </w:r>
      <w:r w:rsidR="00526CF9" w:rsidRPr="009B1A37">
        <w:rPr>
          <w:color w:val="000000"/>
        </w:rPr>
        <w:t> </w:t>
      </w:r>
      <w:r w:rsidRPr="009B1A37">
        <w:rPr>
          <w:color w:val="000000"/>
        </w:rPr>
        <w:t>ztrátu MCyR, v</w:t>
      </w:r>
      <w:r w:rsidR="00526CF9" w:rsidRPr="009B1A37">
        <w:rPr>
          <w:color w:val="000000"/>
        </w:rPr>
        <w:t> </w:t>
      </w:r>
      <w:r w:rsidRPr="009B1A37">
        <w:rPr>
          <w:color w:val="000000"/>
        </w:rPr>
        <w:t>15 (2,7</w:t>
      </w:r>
      <w:r w:rsidR="003A7148" w:rsidRPr="009B1A37">
        <w:rPr>
          <w:color w:val="000000"/>
        </w:rPr>
        <w:t> </w:t>
      </w:r>
      <w:r w:rsidRPr="009B1A37">
        <w:rPr>
          <w:color w:val="000000"/>
        </w:rPr>
        <w:t>%) o</w:t>
      </w:r>
      <w:r w:rsidR="00526CF9" w:rsidRPr="009B1A37">
        <w:rPr>
          <w:color w:val="000000"/>
        </w:rPr>
        <w:t> </w:t>
      </w:r>
      <w:r w:rsidRPr="009B1A37">
        <w:rPr>
          <w:color w:val="000000"/>
        </w:rPr>
        <w:t xml:space="preserve">ztrátu </w:t>
      </w:r>
      <w:smartTag w:uri="urn:schemas-microsoft-com:office:smarttags" w:element="stockticker">
        <w:r w:rsidRPr="009B1A37">
          <w:rPr>
            <w:color w:val="000000"/>
          </w:rPr>
          <w:t>CHR</w:t>
        </w:r>
      </w:smartTag>
      <w:r w:rsidRPr="009B1A37">
        <w:rPr>
          <w:color w:val="000000"/>
        </w:rPr>
        <w:t xml:space="preserve"> nebo zvýšení WBC a v 10 (1,8</w:t>
      </w:r>
      <w:r w:rsidR="003A7148" w:rsidRPr="009B1A37">
        <w:rPr>
          <w:color w:val="000000"/>
        </w:rPr>
        <w:t> </w:t>
      </w:r>
      <w:r w:rsidRPr="009B1A37">
        <w:rPr>
          <w:color w:val="000000"/>
        </w:rPr>
        <w:t>%) o úmrtí nesouvisejících s CML. Naproti tomu bylo v rameni s</w:t>
      </w:r>
      <w:r w:rsidR="00526CF9" w:rsidRPr="009B1A37">
        <w:rPr>
          <w:color w:val="000000"/>
        </w:rPr>
        <w:t> </w:t>
      </w:r>
      <w:r w:rsidRPr="009B1A37">
        <w:rPr>
          <w:color w:val="000000"/>
        </w:rPr>
        <w:t>IFN</w:t>
      </w:r>
      <w:r w:rsidRPr="009B1A37">
        <w:rPr>
          <w:rFonts w:ascii="Arial" w:hAnsi="Arial" w:cs="Arial"/>
          <w:color w:val="000000"/>
        </w:rPr>
        <w:t>+</w:t>
      </w:r>
      <w:r w:rsidRPr="009B1A37">
        <w:rPr>
          <w:color w:val="000000"/>
        </w:rPr>
        <w:t>Ara-C 165 (29,8</w:t>
      </w:r>
      <w:r w:rsidR="003A7148" w:rsidRPr="009B1A37">
        <w:rPr>
          <w:color w:val="000000"/>
        </w:rPr>
        <w:t> </w:t>
      </w:r>
      <w:r w:rsidRPr="009B1A37">
        <w:rPr>
          <w:color w:val="000000"/>
        </w:rPr>
        <w:t>%) příhod, z nichž 130 se vyskytlo během léčby IFN+Ara-C v první linii.</w:t>
      </w:r>
    </w:p>
    <w:p w14:paraId="402C3036" w14:textId="77777777" w:rsidR="00D97A44" w:rsidRPr="009B1A37" w:rsidRDefault="00D97A44" w:rsidP="00BE3D48">
      <w:pPr>
        <w:pStyle w:val="EndnoteText"/>
        <w:widowControl w:val="0"/>
        <w:rPr>
          <w:color w:val="000000"/>
        </w:rPr>
      </w:pPr>
    </w:p>
    <w:p w14:paraId="7A426F8A" w14:textId="77777777" w:rsidR="00D97A44" w:rsidRPr="009B1A37" w:rsidRDefault="00D97A44" w:rsidP="00BE3D48">
      <w:pPr>
        <w:pStyle w:val="EndnoteText"/>
        <w:widowControl w:val="0"/>
        <w:rPr>
          <w:color w:val="000000"/>
        </w:rPr>
      </w:pPr>
      <w:r w:rsidRPr="009B1A37">
        <w:rPr>
          <w:color w:val="000000"/>
        </w:rPr>
        <w:t>Odhadovaný podíl pacientů bez progrese do akcelerované fáze nebo blastické krize v 84. měsíci byl významně vyšší v rameni s Glivecem ve srovnání s ramenem s IFN (92,5</w:t>
      </w:r>
      <w:r w:rsidR="003A7148" w:rsidRPr="009B1A37">
        <w:rPr>
          <w:color w:val="000000"/>
        </w:rPr>
        <w:t> </w:t>
      </w:r>
      <w:r w:rsidRPr="009B1A37">
        <w:rPr>
          <w:color w:val="000000"/>
        </w:rPr>
        <w:t>% proti 85,1</w:t>
      </w:r>
      <w:r w:rsidR="003A7148" w:rsidRPr="009B1A37">
        <w:rPr>
          <w:color w:val="000000"/>
        </w:rPr>
        <w:t> </w:t>
      </w:r>
      <w:r w:rsidRPr="009B1A37">
        <w:rPr>
          <w:color w:val="000000"/>
        </w:rPr>
        <w:t>%, p&lt;0,001). Roční míra progrese do akcelerované fáze nebo blastické krize se v průběhu léčby snižovala a ve čtvrtém a pátém roce</w:t>
      </w:r>
      <w:r w:rsidR="00822069" w:rsidRPr="009B1A37">
        <w:rPr>
          <w:color w:val="000000"/>
        </w:rPr>
        <w:t xml:space="preserve"> </w:t>
      </w:r>
      <w:r w:rsidRPr="009B1A37">
        <w:rPr>
          <w:color w:val="000000"/>
        </w:rPr>
        <w:t>byla menší než 1</w:t>
      </w:r>
      <w:r w:rsidR="003A7148" w:rsidRPr="009B1A37">
        <w:rPr>
          <w:color w:val="000000"/>
        </w:rPr>
        <w:t> </w:t>
      </w:r>
      <w:r w:rsidRPr="009B1A37">
        <w:rPr>
          <w:color w:val="000000"/>
        </w:rPr>
        <w:t>% za rok</w:t>
      </w:r>
      <w:r w:rsidR="0032696C" w:rsidRPr="009B1A37">
        <w:rPr>
          <w:color w:val="000000"/>
        </w:rPr>
        <w:t xml:space="preserve">. </w:t>
      </w:r>
      <w:r w:rsidRPr="009B1A37">
        <w:rPr>
          <w:color w:val="000000"/>
        </w:rPr>
        <w:t>Odhadovaná míra přežití bez progrese v 84.</w:t>
      </w:r>
      <w:r w:rsidR="00526CF9" w:rsidRPr="009B1A37">
        <w:rPr>
          <w:color w:val="000000"/>
        </w:rPr>
        <w:t> </w:t>
      </w:r>
      <w:r w:rsidRPr="009B1A37">
        <w:rPr>
          <w:color w:val="000000"/>
        </w:rPr>
        <w:t>měsíci byla 81,2</w:t>
      </w:r>
      <w:r w:rsidR="003A7148" w:rsidRPr="009B1A37">
        <w:rPr>
          <w:color w:val="000000"/>
        </w:rPr>
        <w:t> </w:t>
      </w:r>
      <w:r w:rsidRPr="009B1A37">
        <w:rPr>
          <w:color w:val="000000"/>
        </w:rPr>
        <w:t>% v</w:t>
      </w:r>
      <w:r w:rsidR="00526CF9" w:rsidRPr="009B1A37">
        <w:rPr>
          <w:color w:val="000000"/>
        </w:rPr>
        <w:t> </w:t>
      </w:r>
      <w:r w:rsidRPr="009B1A37">
        <w:rPr>
          <w:color w:val="000000"/>
        </w:rPr>
        <w:t>rameni s</w:t>
      </w:r>
      <w:r w:rsidR="00526CF9" w:rsidRPr="009B1A37">
        <w:rPr>
          <w:color w:val="000000"/>
        </w:rPr>
        <w:t> </w:t>
      </w:r>
      <w:r w:rsidRPr="009B1A37">
        <w:rPr>
          <w:color w:val="000000"/>
        </w:rPr>
        <w:t>Glivecem a 60,6</w:t>
      </w:r>
      <w:r w:rsidR="003A7148" w:rsidRPr="009B1A37">
        <w:rPr>
          <w:color w:val="000000"/>
        </w:rPr>
        <w:t> </w:t>
      </w:r>
      <w:r w:rsidRPr="009B1A37">
        <w:rPr>
          <w:color w:val="000000"/>
        </w:rPr>
        <w:t>% u kontrolní skupiny (p&lt;0,001). Roční míra progrese jakéhokoli typu se pro Glivec rovněž sn</w:t>
      </w:r>
      <w:r w:rsidR="0032696C" w:rsidRPr="009B1A37">
        <w:rPr>
          <w:color w:val="000000"/>
        </w:rPr>
        <w:t>i</w:t>
      </w:r>
      <w:r w:rsidRPr="009B1A37">
        <w:rPr>
          <w:color w:val="000000"/>
        </w:rPr>
        <w:t>žovala s časem.</w:t>
      </w:r>
    </w:p>
    <w:p w14:paraId="61BDFEDC" w14:textId="77777777" w:rsidR="00D97A44" w:rsidRPr="009B1A37" w:rsidRDefault="00D97A44" w:rsidP="00BE3D48">
      <w:pPr>
        <w:pStyle w:val="EndnoteText"/>
        <w:widowControl w:val="0"/>
        <w:rPr>
          <w:color w:val="000000"/>
        </w:rPr>
      </w:pPr>
    </w:p>
    <w:p w14:paraId="50E73655" w14:textId="77777777" w:rsidR="00D97A44" w:rsidRPr="009B1A37" w:rsidRDefault="00D97A44" w:rsidP="00BE3D48">
      <w:pPr>
        <w:pStyle w:val="EndnoteText"/>
        <w:widowControl w:val="0"/>
        <w:rPr>
          <w:color w:val="000000"/>
        </w:rPr>
      </w:pPr>
      <w:r w:rsidRPr="009B1A37">
        <w:rPr>
          <w:color w:val="000000"/>
        </w:rPr>
        <w:t>Celkem ve skupině s Glivecem zemřelo 71 pacientů (12,8</w:t>
      </w:r>
      <w:r w:rsidR="003A7148" w:rsidRPr="009B1A37">
        <w:rPr>
          <w:color w:val="000000"/>
        </w:rPr>
        <w:t> </w:t>
      </w:r>
      <w:r w:rsidRPr="009B1A37">
        <w:rPr>
          <w:color w:val="000000"/>
        </w:rPr>
        <w:t>%) a 85 pacientů (15,4</w:t>
      </w:r>
      <w:r w:rsidR="003A7148" w:rsidRPr="009B1A37">
        <w:rPr>
          <w:color w:val="000000"/>
        </w:rPr>
        <w:t> </w:t>
      </w:r>
      <w:r w:rsidRPr="009B1A37">
        <w:rPr>
          <w:color w:val="000000"/>
        </w:rPr>
        <w:t>%) ve skupině s IFN+Ara-C. V 84. měsíci bylo celkové přežití ve skupině s Glivecem 86,4</w:t>
      </w:r>
      <w:r w:rsidR="003A7148" w:rsidRPr="009B1A37">
        <w:rPr>
          <w:color w:val="000000"/>
        </w:rPr>
        <w:t> </w:t>
      </w:r>
      <w:r w:rsidRPr="009B1A37">
        <w:rPr>
          <w:color w:val="000000"/>
        </w:rPr>
        <w:t>% (83, 90) oproti 83,3</w:t>
      </w:r>
      <w:r w:rsidR="003A7148" w:rsidRPr="009B1A37">
        <w:rPr>
          <w:color w:val="000000"/>
        </w:rPr>
        <w:t> </w:t>
      </w:r>
      <w:r w:rsidRPr="009B1A37">
        <w:rPr>
          <w:color w:val="000000"/>
        </w:rPr>
        <w:t>% (80, 87) ve skupině s IFN+Ara-C, (p=0,073, log-rank test). Cílový parametr „doba do výskytu příhody“ je výrazně ovlivněn vysokým podílem převedení z léčby IFN+Ara-C na léčbu Glivecem. Vliv</w:t>
      </w:r>
      <w:r w:rsidR="00526CF9" w:rsidRPr="009B1A37">
        <w:rPr>
          <w:color w:val="000000"/>
        </w:rPr>
        <w:t xml:space="preserve"> </w:t>
      </w:r>
      <w:r w:rsidRPr="009B1A37">
        <w:rPr>
          <w:color w:val="000000"/>
        </w:rPr>
        <w:t xml:space="preserve">léčby Glivecem na přežití v chronické fázi onemocnění nově diagnostikované CML byl dále </w:t>
      </w:r>
      <w:r w:rsidRPr="009B1A37">
        <w:rPr>
          <w:color w:val="000000"/>
        </w:rPr>
        <w:lastRenderedPageBreak/>
        <w:t xml:space="preserve">zkoumán v retrospektivní analýze výše uvedených údajů o Glivecu s původními údaji z jiné studie fáze </w:t>
      </w:r>
      <w:smartTag w:uri="urn:schemas-microsoft-com:office:smarttags" w:element="stockticker">
        <w:r w:rsidRPr="009B1A37">
          <w:rPr>
            <w:color w:val="000000"/>
          </w:rPr>
          <w:t>III</w:t>
        </w:r>
      </w:smartTag>
      <w:r w:rsidRPr="009B1A37">
        <w:rPr>
          <w:color w:val="000000"/>
        </w:rPr>
        <w:t>, kde byl použit stejný léčebný režim IFN+Ara-C (n=325). V této retrospektivní analýze byly prokázány lepší výsledky celkového přežití (p&lt;0,001)</w:t>
      </w:r>
      <w:r w:rsidR="00D7075C" w:rsidRPr="009B1A37">
        <w:rPr>
          <w:color w:val="000000"/>
        </w:rPr>
        <w:t xml:space="preserve"> </w:t>
      </w:r>
      <w:r w:rsidRPr="009B1A37">
        <w:rPr>
          <w:color w:val="000000"/>
        </w:rPr>
        <w:t>při podávání Glivecu oproti IFN+Ara-C</w:t>
      </w:r>
      <w:r w:rsidR="00D7075C" w:rsidRPr="009B1A37">
        <w:rPr>
          <w:color w:val="000000"/>
        </w:rPr>
        <w:t>;</w:t>
      </w:r>
      <w:r w:rsidRPr="009B1A37">
        <w:rPr>
          <w:color w:val="000000"/>
        </w:rPr>
        <w:t xml:space="preserve"> během 42 měsíců zemřelo 47 (8,5</w:t>
      </w:r>
      <w:r w:rsidR="003A7148" w:rsidRPr="009B1A37">
        <w:rPr>
          <w:color w:val="000000"/>
        </w:rPr>
        <w:t> </w:t>
      </w:r>
      <w:r w:rsidRPr="009B1A37">
        <w:rPr>
          <w:color w:val="000000"/>
        </w:rPr>
        <w:t>%) pacientů s Glivecem oproti 63 (19,4</w:t>
      </w:r>
      <w:r w:rsidR="003A7148" w:rsidRPr="009B1A37">
        <w:rPr>
          <w:color w:val="000000"/>
        </w:rPr>
        <w:t> </w:t>
      </w:r>
      <w:r w:rsidRPr="009B1A37">
        <w:rPr>
          <w:color w:val="000000"/>
        </w:rPr>
        <w:t>%) pacientům s IFN+Ara-C.</w:t>
      </w:r>
    </w:p>
    <w:p w14:paraId="511C30BF" w14:textId="77777777" w:rsidR="00D97A44" w:rsidRPr="009B1A37" w:rsidRDefault="00D97A44" w:rsidP="00BE3D48">
      <w:pPr>
        <w:pStyle w:val="EndnoteText"/>
        <w:widowControl w:val="0"/>
        <w:rPr>
          <w:color w:val="000000"/>
        </w:rPr>
      </w:pPr>
    </w:p>
    <w:p w14:paraId="4186EF5F" w14:textId="77777777" w:rsidR="00D97A44" w:rsidRPr="009B1A37" w:rsidRDefault="00D97A44" w:rsidP="00BE3D48">
      <w:pPr>
        <w:pStyle w:val="EndnoteText"/>
        <w:widowControl w:val="0"/>
        <w:rPr>
          <w:color w:val="000000"/>
        </w:rPr>
      </w:pPr>
      <w:r w:rsidRPr="009B1A37">
        <w:rPr>
          <w:color w:val="000000"/>
        </w:rPr>
        <w:t>U pacientů léčených Glivecem měl stupeň dosažené cytogenetické odpovědi a molekulární odpovědi jednoznačný vliv na dlouhodobé výsledky léčby. Zatímco 96</w:t>
      </w:r>
      <w:r w:rsidR="003A7148" w:rsidRPr="009B1A37">
        <w:rPr>
          <w:color w:val="000000"/>
        </w:rPr>
        <w:t> </w:t>
      </w:r>
      <w:r w:rsidRPr="009B1A37">
        <w:rPr>
          <w:color w:val="000000"/>
        </w:rPr>
        <w:t>% (93</w:t>
      </w:r>
      <w:r w:rsidR="003A7148" w:rsidRPr="009B1A37">
        <w:rPr>
          <w:color w:val="000000"/>
        </w:rPr>
        <w:t> </w:t>
      </w:r>
      <w:r w:rsidRPr="009B1A37">
        <w:rPr>
          <w:color w:val="000000"/>
        </w:rPr>
        <w:t>%) pacientů s CCyR (PCyR) ve 12. měsíci, bylo v 84. měsíci bez progrese do akcelerované fáze/blastické krize, bylo bez progrese do pokročilé CML v 84 měsících pouze 81</w:t>
      </w:r>
      <w:r w:rsidR="00F62619" w:rsidRPr="009B1A37">
        <w:rPr>
          <w:color w:val="000000"/>
        </w:rPr>
        <w:t> </w:t>
      </w:r>
      <w:r w:rsidRPr="009B1A37">
        <w:rPr>
          <w:color w:val="000000"/>
        </w:rPr>
        <w:t>% pacientů bez MCyR ve 12 měsících (p&lt;0,001 celkově, p=0,25 mezi CCyR a PCyR). U pacientů s nejméně 3-log redukcí Bcr-Abl transkriptů ve 12 měsících léčby, byla pravděpodobnost setrvání bez progrese do akcelerované fáze/blastické krize v 84 měsících 99</w:t>
      </w:r>
      <w:r w:rsidR="00BB39E8" w:rsidRPr="009B1A37">
        <w:rPr>
          <w:color w:val="000000"/>
        </w:rPr>
        <w:t> </w:t>
      </w:r>
      <w:r w:rsidRPr="009B1A37">
        <w:rPr>
          <w:color w:val="000000"/>
        </w:rPr>
        <w:t>%. Podobná zjištění byla shledána v analýze 18 měsíců léčby.</w:t>
      </w:r>
    </w:p>
    <w:p w14:paraId="7099DD23" w14:textId="77777777" w:rsidR="00D97A44" w:rsidRPr="009B1A37" w:rsidRDefault="00D97A44" w:rsidP="00BE3D48">
      <w:pPr>
        <w:pStyle w:val="EndnoteText"/>
        <w:widowControl w:val="0"/>
        <w:rPr>
          <w:color w:val="000000"/>
        </w:rPr>
      </w:pPr>
    </w:p>
    <w:p w14:paraId="59C56872" w14:textId="77777777" w:rsidR="00D97A44" w:rsidRPr="009B1A37" w:rsidRDefault="00D97A44" w:rsidP="00BE3D48">
      <w:pPr>
        <w:pStyle w:val="EndnoteText"/>
        <w:widowControl w:val="0"/>
        <w:rPr>
          <w:color w:val="000000"/>
        </w:rPr>
      </w:pPr>
      <w:r w:rsidRPr="009B1A37">
        <w:rPr>
          <w:color w:val="000000"/>
        </w:rPr>
        <w:t>V této studii bylo povolené zvýšení dávky ze 400 mg denně na 600 mg denně, a potom ze 600 mg denně na 800 mg denně. Po 42 měsících sledování došlo u 11 pacientů k potvrzené ztrátě jejich cytogenetické odpovědi (během 4 týdnů). Z těchto 11 pacientů byla u 4 zvýšena dávka až na 800 mg denně, dva z nich znovu dosáhli cytogenetické odpovědi (jeden částečné a jeden kompletní, ten později dosáhl také molekulární odpovědi). Zatímco u 7 pacientů, kterým nebyla zvýšena dávka, pouze jeden dosáhl kompletní cytogenetické odpovědi. Procento výskytu některých nežádoucích účinků bylo vyšší u 40 pacientů, kterým byla dávka zvýšena na 800 mg denně, ve srovnání s populací pacientů před zvýšením dávky (n=551). Častější nežádoucí účinky zahrnovaly gastrointestinální krvácení, konjunktivitidu a zvýšení transamináz a bilirubinu. Další nežádoucí účinky byly hlášeny s menší nebo se stejnou frekvencí.</w:t>
      </w:r>
    </w:p>
    <w:p w14:paraId="0544CA70" w14:textId="77777777" w:rsidR="00D97A44" w:rsidRPr="009B1A37" w:rsidRDefault="00D97A44" w:rsidP="00BE3D48">
      <w:pPr>
        <w:pStyle w:val="EndnoteText"/>
        <w:widowControl w:val="0"/>
        <w:rPr>
          <w:color w:val="000000"/>
        </w:rPr>
      </w:pPr>
    </w:p>
    <w:p w14:paraId="3B16E92E" w14:textId="77777777" w:rsidR="00D97A44" w:rsidRPr="009B1A37" w:rsidRDefault="00D97A44" w:rsidP="00BE3D48">
      <w:pPr>
        <w:pStyle w:val="EndnoteText"/>
        <w:widowControl w:val="0"/>
        <w:tabs>
          <w:tab w:val="clear" w:pos="567"/>
        </w:tabs>
        <w:rPr>
          <w:color w:val="000000"/>
        </w:rPr>
      </w:pPr>
      <w:r w:rsidRPr="009B1A37">
        <w:rPr>
          <w:i/>
          <w:iCs/>
          <w:color w:val="000000"/>
        </w:rPr>
        <w:t xml:space="preserve">Chronická fáze, selhání léčby interferonem: </w:t>
      </w:r>
      <w:r w:rsidRPr="009B1A37">
        <w:rPr>
          <w:color w:val="000000"/>
        </w:rPr>
        <w:t>532 dospělých pacientů bylo léčeno úvodní dávkou 400 mg. Pacienti byli rozděleni do tří hlavních kategorií: hematologické selhání (29</w:t>
      </w:r>
      <w:r w:rsidR="003A7148" w:rsidRPr="009B1A37">
        <w:rPr>
          <w:color w:val="000000"/>
        </w:rPr>
        <w:t> </w:t>
      </w:r>
      <w:r w:rsidRPr="009B1A37">
        <w:rPr>
          <w:color w:val="000000"/>
        </w:rPr>
        <w:t>%), cytogenetické selhání (35</w:t>
      </w:r>
      <w:r w:rsidR="003A7148" w:rsidRPr="009B1A37">
        <w:rPr>
          <w:color w:val="000000"/>
        </w:rPr>
        <w:t> </w:t>
      </w:r>
      <w:r w:rsidRPr="009B1A37">
        <w:rPr>
          <w:color w:val="000000"/>
        </w:rPr>
        <w:t>%), nebo intolerance interferonu (36</w:t>
      </w:r>
      <w:r w:rsidR="00F62619" w:rsidRPr="009B1A37">
        <w:rPr>
          <w:color w:val="000000"/>
        </w:rPr>
        <w:t> </w:t>
      </w:r>
      <w:r w:rsidRPr="009B1A37">
        <w:rPr>
          <w:color w:val="000000"/>
        </w:rPr>
        <w:t xml:space="preserve">%). Medián doby, po kterou pacienti užívali předchozí léčbu IFN v dávce </w:t>
      </w:r>
      <w:r w:rsidRPr="009B1A37">
        <w:rPr>
          <w:rFonts w:ascii="Symbol" w:hAnsi="Symbol"/>
          <w:color w:val="000000"/>
        </w:rPr>
        <w:t></w:t>
      </w:r>
      <w:r w:rsidRPr="009B1A37">
        <w:rPr>
          <w:color w:val="000000"/>
        </w:rPr>
        <w:t> 25 x 10</w:t>
      </w:r>
      <w:r w:rsidRPr="009B1A37">
        <w:rPr>
          <w:color w:val="000000"/>
          <w:vertAlign w:val="superscript"/>
        </w:rPr>
        <w:t>6</w:t>
      </w:r>
      <w:r w:rsidRPr="009B1A37">
        <w:rPr>
          <w:color w:val="000000"/>
        </w:rPr>
        <w:t xml:space="preserve"> IU/týden, byl 14 měsíců a všichni byli v pozdní chronické fázi, medián doby od diagnózy byl 32 měsíců. Základním parametrem účinnosti ve studii byla míra velké cytogenetické odpovědi (kompletní a parciální odpověď, 0 až 35</w:t>
      </w:r>
      <w:r w:rsidR="00F62619" w:rsidRPr="009B1A37">
        <w:rPr>
          <w:color w:val="000000"/>
        </w:rPr>
        <w:t> </w:t>
      </w:r>
      <w:r w:rsidRPr="009B1A37">
        <w:rPr>
          <w:color w:val="000000"/>
        </w:rPr>
        <w:t>% Ph+ metafází v kostní dřeni).</w:t>
      </w:r>
    </w:p>
    <w:p w14:paraId="78FC4FEA" w14:textId="77777777" w:rsidR="00D97A44" w:rsidRPr="009B1A37" w:rsidRDefault="00D97A44" w:rsidP="00BE3D48">
      <w:pPr>
        <w:pStyle w:val="EndnoteText"/>
        <w:widowControl w:val="0"/>
        <w:tabs>
          <w:tab w:val="clear" w:pos="567"/>
        </w:tabs>
        <w:rPr>
          <w:color w:val="000000"/>
        </w:rPr>
      </w:pPr>
    </w:p>
    <w:p w14:paraId="0292CBC8" w14:textId="77777777" w:rsidR="00D97A44" w:rsidRPr="009B1A37" w:rsidRDefault="00D97A44" w:rsidP="00BE3D48">
      <w:pPr>
        <w:pStyle w:val="EndnoteText"/>
        <w:widowControl w:val="0"/>
        <w:tabs>
          <w:tab w:val="clear" w:pos="567"/>
        </w:tabs>
        <w:rPr>
          <w:color w:val="000000"/>
        </w:rPr>
      </w:pPr>
      <w:r w:rsidRPr="009B1A37">
        <w:rPr>
          <w:color w:val="000000"/>
        </w:rPr>
        <w:t>V této studii dosáhlo 65</w:t>
      </w:r>
      <w:r w:rsidR="003A7148" w:rsidRPr="009B1A37">
        <w:rPr>
          <w:color w:val="000000"/>
        </w:rPr>
        <w:t> </w:t>
      </w:r>
      <w:r w:rsidRPr="009B1A37">
        <w:rPr>
          <w:color w:val="000000"/>
        </w:rPr>
        <w:t>% pacientů velké cytogenetické odpovědi, která byla kompletní u 53</w:t>
      </w:r>
      <w:r w:rsidR="00F62619" w:rsidRPr="009B1A37">
        <w:rPr>
          <w:color w:val="000000"/>
        </w:rPr>
        <w:t> </w:t>
      </w:r>
      <w:r w:rsidRPr="009B1A37">
        <w:rPr>
          <w:color w:val="000000"/>
        </w:rPr>
        <w:t>% (potvrzeno 43</w:t>
      </w:r>
      <w:r w:rsidR="00F62619" w:rsidRPr="009B1A37">
        <w:rPr>
          <w:color w:val="000000"/>
        </w:rPr>
        <w:t> </w:t>
      </w:r>
      <w:r w:rsidRPr="009B1A37">
        <w:rPr>
          <w:color w:val="000000"/>
        </w:rPr>
        <w:t>%) pacientů (</w:t>
      </w:r>
      <w:r w:rsidR="00874893" w:rsidRPr="009B1A37">
        <w:rPr>
          <w:color w:val="000000"/>
        </w:rPr>
        <w:t>t</w:t>
      </w:r>
      <w:r w:rsidRPr="009B1A37">
        <w:rPr>
          <w:color w:val="000000"/>
        </w:rPr>
        <w:t>abulka </w:t>
      </w:r>
      <w:r w:rsidR="00B20788" w:rsidRPr="009B1A37">
        <w:rPr>
          <w:color w:val="000000"/>
        </w:rPr>
        <w:t>3</w:t>
      </w:r>
      <w:r w:rsidRPr="009B1A37">
        <w:rPr>
          <w:color w:val="000000"/>
        </w:rPr>
        <w:t>). Kompletní hematologické odpovědi bylo dosaženo u 95</w:t>
      </w:r>
      <w:r w:rsidR="003A7148" w:rsidRPr="009B1A37">
        <w:rPr>
          <w:color w:val="000000"/>
        </w:rPr>
        <w:t> </w:t>
      </w:r>
      <w:r w:rsidRPr="009B1A37">
        <w:rPr>
          <w:color w:val="000000"/>
        </w:rPr>
        <w:t>% pacientů.</w:t>
      </w:r>
    </w:p>
    <w:p w14:paraId="54A0703A" w14:textId="77777777" w:rsidR="00D97A44" w:rsidRPr="009B1A37" w:rsidRDefault="00D97A44" w:rsidP="00BE3D48">
      <w:pPr>
        <w:pStyle w:val="EndnoteText"/>
        <w:widowControl w:val="0"/>
        <w:tabs>
          <w:tab w:val="clear" w:pos="567"/>
        </w:tabs>
        <w:rPr>
          <w:color w:val="000000"/>
        </w:rPr>
      </w:pPr>
    </w:p>
    <w:p w14:paraId="29FE403C" w14:textId="77777777" w:rsidR="00D97A44" w:rsidRPr="009B1A37" w:rsidRDefault="00D97A44" w:rsidP="00BE3D48">
      <w:pPr>
        <w:pStyle w:val="EndnoteText"/>
        <w:widowControl w:val="0"/>
        <w:tabs>
          <w:tab w:val="clear" w:pos="567"/>
        </w:tabs>
        <w:rPr>
          <w:color w:val="000000"/>
        </w:rPr>
      </w:pPr>
      <w:r w:rsidRPr="009B1A37">
        <w:rPr>
          <w:i/>
          <w:iCs/>
          <w:color w:val="000000"/>
        </w:rPr>
        <w:t>Akcelerovaná fáze</w:t>
      </w:r>
      <w:r w:rsidRPr="009B1A37">
        <w:rPr>
          <w:color w:val="000000"/>
        </w:rPr>
        <w:t>: Do studie bylo zařazeno 235 dospělých pacientů s akcelerovanou fází onemocnění. Léčba prvních 77 pacientů byla zahájena dávkou 400 mg, následně byl protokol doplněn a dovoloval podání vyšších dávek, zahajovací dávka pro zbývajících 158 pacientů byla 600 mg.</w:t>
      </w:r>
    </w:p>
    <w:p w14:paraId="19F2FC24" w14:textId="77777777" w:rsidR="00D97A44" w:rsidRPr="009B1A37" w:rsidRDefault="00D97A44" w:rsidP="00BE3D48">
      <w:pPr>
        <w:pStyle w:val="EndnoteText"/>
        <w:widowControl w:val="0"/>
        <w:tabs>
          <w:tab w:val="clear" w:pos="567"/>
        </w:tabs>
        <w:rPr>
          <w:color w:val="000000"/>
        </w:rPr>
      </w:pPr>
    </w:p>
    <w:p w14:paraId="19BFA95A" w14:textId="77777777" w:rsidR="00D97A44" w:rsidRPr="009B1A37" w:rsidRDefault="00D97A44" w:rsidP="00BE3D48">
      <w:pPr>
        <w:pStyle w:val="EndnoteText"/>
        <w:widowControl w:val="0"/>
        <w:tabs>
          <w:tab w:val="clear" w:pos="567"/>
        </w:tabs>
        <w:rPr>
          <w:color w:val="000000"/>
        </w:rPr>
      </w:pPr>
      <w:r w:rsidRPr="009B1A37">
        <w:rPr>
          <w:color w:val="000000"/>
        </w:rPr>
        <w:t xml:space="preserve">Základním parametrem účinnosti byl </w:t>
      </w:r>
      <w:r w:rsidR="00874893" w:rsidRPr="009B1A37">
        <w:rPr>
          <w:color w:val="000000"/>
        </w:rPr>
        <w:t>výskyt</w:t>
      </w:r>
      <w:r w:rsidRPr="009B1A37">
        <w:rPr>
          <w:color w:val="000000"/>
        </w:rPr>
        <w:t xml:space="preserve"> hematologické odpovědi, udávan</w:t>
      </w:r>
      <w:r w:rsidR="00874893" w:rsidRPr="009B1A37">
        <w:rPr>
          <w:color w:val="000000"/>
        </w:rPr>
        <w:t>ý</w:t>
      </w:r>
      <w:r w:rsidRPr="009B1A37">
        <w:rPr>
          <w:color w:val="000000"/>
        </w:rPr>
        <w:t xml:space="preserve"> jako buď kompletní hematologická odpověď, žádný průkaz leukemie (tj. vymizení blastů z kostní dřeně a krve, ale bez úplné obnovy periferní krve jako při kompletní odpovědi), nebo návrat do chronické fáze CML. Potvrzené hematologické odpovědi bylo dosaženo u 71,5</w:t>
      </w:r>
      <w:r w:rsidR="00F62619" w:rsidRPr="009B1A37">
        <w:rPr>
          <w:color w:val="000000"/>
        </w:rPr>
        <w:t> </w:t>
      </w:r>
      <w:r w:rsidRPr="009B1A37">
        <w:rPr>
          <w:color w:val="000000"/>
        </w:rPr>
        <w:t>% pacientů (</w:t>
      </w:r>
      <w:r w:rsidR="00874893" w:rsidRPr="009B1A37">
        <w:rPr>
          <w:color w:val="000000"/>
        </w:rPr>
        <w:t>t</w:t>
      </w:r>
      <w:r w:rsidRPr="009B1A37">
        <w:rPr>
          <w:color w:val="000000"/>
        </w:rPr>
        <w:t>abulka </w:t>
      </w:r>
      <w:r w:rsidR="00B20788" w:rsidRPr="009B1A37">
        <w:rPr>
          <w:color w:val="000000"/>
        </w:rPr>
        <w:t>3</w:t>
      </w:r>
      <w:r w:rsidRPr="009B1A37">
        <w:rPr>
          <w:color w:val="000000"/>
        </w:rPr>
        <w:t>). Důležité je, že 27,7</w:t>
      </w:r>
      <w:r w:rsidR="00F62619" w:rsidRPr="009B1A37">
        <w:rPr>
          <w:color w:val="000000"/>
        </w:rPr>
        <w:t> </w:t>
      </w:r>
      <w:r w:rsidRPr="009B1A37">
        <w:rPr>
          <w:color w:val="000000"/>
        </w:rPr>
        <w:t>% pacientů dosáhlo také hlavní cytogenetické odpovědi, která byla kompletní u 20,4</w:t>
      </w:r>
      <w:r w:rsidR="00F62619" w:rsidRPr="009B1A37">
        <w:rPr>
          <w:color w:val="000000"/>
        </w:rPr>
        <w:t> </w:t>
      </w:r>
      <w:r w:rsidRPr="009B1A37">
        <w:rPr>
          <w:color w:val="000000"/>
        </w:rPr>
        <w:t>% (potvrzena u 16</w:t>
      </w:r>
      <w:r w:rsidR="0006790A" w:rsidRPr="009B1A37">
        <w:rPr>
          <w:color w:val="000000"/>
        </w:rPr>
        <w:t> </w:t>
      </w:r>
      <w:r w:rsidRPr="009B1A37">
        <w:rPr>
          <w:color w:val="000000"/>
        </w:rPr>
        <w:t>%) pacientů. U pacientů léčených dávkou 600 mg, byl aktuální odhad mediánu přežití bez progrese 22,9 měsíců a celkového přežití 42,5 měsíce.</w:t>
      </w:r>
    </w:p>
    <w:p w14:paraId="68D0A4FB" w14:textId="77777777" w:rsidR="00D97A44" w:rsidRPr="009B1A37" w:rsidRDefault="00D97A44" w:rsidP="00BE3D48">
      <w:pPr>
        <w:pStyle w:val="EndnoteText"/>
        <w:widowControl w:val="0"/>
        <w:tabs>
          <w:tab w:val="clear" w:pos="567"/>
        </w:tabs>
        <w:rPr>
          <w:color w:val="000000"/>
        </w:rPr>
      </w:pPr>
    </w:p>
    <w:p w14:paraId="27560F5F" w14:textId="77777777" w:rsidR="00D97A44" w:rsidRPr="009B1A37" w:rsidRDefault="00D97A44" w:rsidP="00BE3D48">
      <w:pPr>
        <w:pStyle w:val="EndnoteText"/>
        <w:widowControl w:val="0"/>
        <w:tabs>
          <w:tab w:val="clear" w:pos="567"/>
        </w:tabs>
        <w:rPr>
          <w:color w:val="000000"/>
        </w:rPr>
      </w:pPr>
      <w:r w:rsidRPr="009B1A37">
        <w:rPr>
          <w:i/>
          <w:iCs/>
          <w:color w:val="000000"/>
        </w:rPr>
        <w:t>Myeloidní blastická krize:</w:t>
      </w:r>
      <w:r w:rsidRPr="009B1A37">
        <w:rPr>
          <w:color w:val="000000"/>
        </w:rPr>
        <w:t xml:space="preserve"> Do studie bylo zařazeno 260 pacientů s myeloidní blastickou krizí. 95 (37</w:t>
      </w:r>
      <w:r w:rsidR="0006790A" w:rsidRPr="009B1A37">
        <w:rPr>
          <w:color w:val="000000"/>
        </w:rPr>
        <w:t> </w:t>
      </w:r>
      <w:r w:rsidRPr="009B1A37">
        <w:rPr>
          <w:color w:val="000000"/>
        </w:rPr>
        <w:t>%) pacientů mělo předchozí chemoterapii buď pro akcelerovanou fázi nebo blastickou krizi („předléčení pacienti</w:t>
      </w:r>
      <w:r w:rsidRPr="009B1A37">
        <w:rPr>
          <w:color w:val="000000"/>
          <w:spacing w:val="-2"/>
        </w:rPr>
        <w:t>“</w:t>
      </w:r>
      <w:r w:rsidRPr="009B1A37">
        <w:rPr>
          <w:color w:val="000000"/>
        </w:rPr>
        <w:t>), zatímco 165 (63</w:t>
      </w:r>
      <w:r w:rsidR="0006790A" w:rsidRPr="009B1A37">
        <w:rPr>
          <w:color w:val="000000"/>
        </w:rPr>
        <w:t> </w:t>
      </w:r>
      <w:r w:rsidRPr="009B1A37">
        <w:rPr>
          <w:color w:val="000000"/>
        </w:rPr>
        <w:t>%) pacientů nebylo dosud léčeno („neléčení pacienti</w:t>
      </w:r>
      <w:r w:rsidRPr="009B1A37">
        <w:rPr>
          <w:color w:val="000000"/>
          <w:spacing w:val="-2"/>
        </w:rPr>
        <w:t>“</w:t>
      </w:r>
      <w:r w:rsidRPr="009B1A37">
        <w:rPr>
          <w:color w:val="000000"/>
        </w:rPr>
        <w:t>). Léčba prvních 37 pacientů byla zahájena dávkou 400 mg, následně byl protokol doplněn a dovoloval podání vyšších dávek, zahajovací dávka pro zbývajících 223 pacientů byla 600 mg.</w:t>
      </w:r>
    </w:p>
    <w:p w14:paraId="2B986F5A" w14:textId="77777777" w:rsidR="00D97A44" w:rsidRPr="009B1A37" w:rsidRDefault="00D97A44" w:rsidP="00BE3D48">
      <w:pPr>
        <w:pStyle w:val="EndnoteText"/>
        <w:widowControl w:val="0"/>
        <w:tabs>
          <w:tab w:val="clear" w:pos="567"/>
        </w:tabs>
        <w:rPr>
          <w:color w:val="000000"/>
        </w:rPr>
      </w:pPr>
    </w:p>
    <w:p w14:paraId="11F4A03F" w14:textId="77777777" w:rsidR="00D97A44" w:rsidRPr="009B1A37" w:rsidRDefault="00D97A44" w:rsidP="00BE3D48">
      <w:pPr>
        <w:pStyle w:val="EndnoteText"/>
        <w:widowControl w:val="0"/>
        <w:tabs>
          <w:tab w:val="clear" w:pos="567"/>
        </w:tabs>
        <w:rPr>
          <w:color w:val="000000"/>
        </w:rPr>
      </w:pPr>
      <w:r w:rsidRPr="009B1A37">
        <w:rPr>
          <w:color w:val="000000"/>
        </w:rPr>
        <w:t>Základním parametrem účinnosti, při použití stejných kritérií jako ve studii u akcelerované fáze, byla míra dosažení hematologické odpovědi, popisovaná buď jako kompletní hematologická odpověď, žádný průkaz leukemie, nebo návrat do chronické fáze CML. V této studii dosáhlo 31</w:t>
      </w:r>
      <w:r w:rsidR="0006790A" w:rsidRPr="009B1A37">
        <w:rPr>
          <w:color w:val="000000"/>
        </w:rPr>
        <w:t> </w:t>
      </w:r>
      <w:r w:rsidRPr="009B1A37">
        <w:rPr>
          <w:color w:val="000000"/>
        </w:rPr>
        <w:t>% pacientů hematologické odpovědi (36</w:t>
      </w:r>
      <w:r w:rsidR="0006790A" w:rsidRPr="009B1A37">
        <w:rPr>
          <w:color w:val="000000"/>
        </w:rPr>
        <w:t> </w:t>
      </w:r>
      <w:r w:rsidRPr="009B1A37">
        <w:rPr>
          <w:color w:val="000000"/>
        </w:rPr>
        <w:t>% u dříve neléčených pacientů a 22</w:t>
      </w:r>
      <w:r w:rsidR="0006790A" w:rsidRPr="009B1A37">
        <w:rPr>
          <w:color w:val="000000"/>
        </w:rPr>
        <w:t> </w:t>
      </w:r>
      <w:r w:rsidRPr="009B1A37">
        <w:rPr>
          <w:color w:val="000000"/>
        </w:rPr>
        <w:t>% u dříve léčených pacientů). Míra dosažených odpovědi byla vyšší u pacientů léčených dávkou 600 mg (33%) ve srovnání s pacienty, kteří dostávali dávku 400 mg (16%, p=0,0220). Aktuální odhadovaný medián přežití dříve neléčených pacientů byl 7,7 měsíců a předléčených pacientů byl 4,7 měsíců.</w:t>
      </w:r>
    </w:p>
    <w:p w14:paraId="70B44E7A" w14:textId="77777777" w:rsidR="00D97A44" w:rsidRPr="009B1A37" w:rsidRDefault="00D97A44" w:rsidP="00BE3D48">
      <w:pPr>
        <w:pStyle w:val="EndnoteText"/>
        <w:widowControl w:val="0"/>
        <w:tabs>
          <w:tab w:val="clear" w:pos="567"/>
        </w:tabs>
        <w:rPr>
          <w:color w:val="000000"/>
        </w:rPr>
      </w:pPr>
    </w:p>
    <w:p w14:paraId="503383FF" w14:textId="77777777" w:rsidR="00D97A44" w:rsidRPr="009B1A37" w:rsidRDefault="00D97A44" w:rsidP="00BE3D48">
      <w:pPr>
        <w:pStyle w:val="BodyText"/>
        <w:widowControl w:val="0"/>
        <w:spacing w:line="240" w:lineRule="auto"/>
        <w:rPr>
          <w:b w:val="0"/>
          <w:i w:val="0"/>
          <w:color w:val="000000"/>
        </w:rPr>
      </w:pPr>
      <w:r w:rsidRPr="009B1A37">
        <w:rPr>
          <w:b w:val="0"/>
          <w:iCs w:val="0"/>
          <w:color w:val="000000"/>
        </w:rPr>
        <w:t>Lymfoidní blastická krize</w:t>
      </w:r>
      <w:r w:rsidRPr="009B1A37">
        <w:rPr>
          <w:b w:val="0"/>
          <w:color w:val="000000"/>
        </w:rPr>
        <w:t>:</w:t>
      </w:r>
      <w:r w:rsidRPr="009B1A37">
        <w:rPr>
          <w:b w:val="0"/>
          <w:i w:val="0"/>
          <w:color w:val="000000"/>
        </w:rPr>
        <w:t xml:space="preserve"> Do studie fáze I byl zařazen omezený počet pacientů (n=10). </w:t>
      </w:r>
      <w:r w:rsidR="00874893" w:rsidRPr="009B1A37">
        <w:rPr>
          <w:b w:val="0"/>
          <w:i w:val="0"/>
          <w:color w:val="000000"/>
        </w:rPr>
        <w:t>Výskyt</w:t>
      </w:r>
      <w:r w:rsidRPr="009B1A37">
        <w:rPr>
          <w:b w:val="0"/>
          <w:i w:val="0"/>
          <w:color w:val="000000"/>
        </w:rPr>
        <w:t xml:space="preserve"> dosažené hematologické odpovědi byl 70</w:t>
      </w:r>
      <w:r w:rsidR="00F62619" w:rsidRPr="009B1A37">
        <w:rPr>
          <w:b w:val="0"/>
          <w:i w:val="0"/>
          <w:color w:val="000000"/>
        </w:rPr>
        <w:t> </w:t>
      </w:r>
      <w:r w:rsidRPr="009B1A37">
        <w:rPr>
          <w:b w:val="0"/>
          <w:i w:val="0"/>
          <w:color w:val="000000"/>
        </w:rPr>
        <w:t>% s trváním 2</w:t>
      </w:r>
      <w:r w:rsidRPr="009B1A37">
        <w:rPr>
          <w:b w:val="0"/>
          <w:bCs w:val="0"/>
          <w:i w:val="0"/>
          <w:iCs w:val="0"/>
          <w:color w:val="000000"/>
        </w:rPr>
        <w:t>–</w:t>
      </w:r>
      <w:r w:rsidRPr="009B1A37">
        <w:rPr>
          <w:b w:val="0"/>
          <w:i w:val="0"/>
          <w:color w:val="000000"/>
        </w:rPr>
        <w:t>3 měsíce.</w:t>
      </w:r>
    </w:p>
    <w:p w14:paraId="635BBA35" w14:textId="77777777" w:rsidR="00D97A44" w:rsidRPr="009B1A37" w:rsidRDefault="00D97A44" w:rsidP="00BE3D48">
      <w:pPr>
        <w:pStyle w:val="EndnoteText"/>
        <w:widowControl w:val="0"/>
        <w:tabs>
          <w:tab w:val="clear" w:pos="567"/>
        </w:tabs>
        <w:rPr>
          <w:color w:val="000000"/>
        </w:rPr>
      </w:pPr>
    </w:p>
    <w:p w14:paraId="510364A9" w14:textId="77777777" w:rsidR="00D97A44" w:rsidRPr="009B1A37" w:rsidRDefault="00D97A44" w:rsidP="009F41EF">
      <w:pPr>
        <w:pStyle w:val="EndnoteText"/>
        <w:keepNext/>
        <w:widowControl w:val="0"/>
        <w:tabs>
          <w:tab w:val="clear" w:pos="567"/>
          <w:tab w:val="left" w:pos="1134"/>
        </w:tabs>
        <w:suppressAutoHyphens w:val="0"/>
        <w:rPr>
          <w:b/>
          <w:bCs/>
          <w:color w:val="000000"/>
        </w:rPr>
      </w:pPr>
      <w:r w:rsidRPr="009B1A37">
        <w:rPr>
          <w:b/>
          <w:bCs/>
          <w:color w:val="000000"/>
        </w:rPr>
        <w:t>Tabulka </w:t>
      </w:r>
      <w:r w:rsidR="00B20788" w:rsidRPr="009B1A37">
        <w:rPr>
          <w:b/>
          <w:bCs/>
          <w:color w:val="000000"/>
        </w:rPr>
        <w:t>3</w:t>
      </w:r>
      <w:r w:rsidRPr="009B1A37">
        <w:rPr>
          <w:b/>
          <w:bCs/>
          <w:color w:val="000000"/>
        </w:rPr>
        <w:tab/>
        <w:t>Odpovědi ve studiích dospělých pacientů s CML</w:t>
      </w:r>
    </w:p>
    <w:p w14:paraId="0A398655" w14:textId="77777777" w:rsidR="00D97A44" w:rsidRPr="009B1A37" w:rsidRDefault="00D97A44" w:rsidP="009F41EF">
      <w:pPr>
        <w:pStyle w:val="EndnoteText"/>
        <w:keepNext/>
        <w:widowControl w:val="0"/>
        <w:tabs>
          <w:tab w:val="clear" w:pos="567"/>
        </w:tabs>
        <w:suppressAutoHyphens w:val="0"/>
        <w:rPr>
          <w:color w:val="000000"/>
        </w:rPr>
      </w:pPr>
    </w:p>
    <w:tbl>
      <w:tblPr>
        <w:tblW w:w="0" w:type="auto"/>
        <w:tblInd w:w="-20" w:type="dxa"/>
        <w:tblLayout w:type="fixed"/>
        <w:tblLook w:val="0000" w:firstRow="0" w:lastRow="0" w:firstColumn="0" w:lastColumn="0" w:noHBand="0" w:noVBand="0"/>
      </w:tblPr>
      <w:tblGrid>
        <w:gridCol w:w="3227"/>
        <w:gridCol w:w="1898"/>
        <w:gridCol w:w="1985"/>
        <w:gridCol w:w="1969"/>
      </w:tblGrid>
      <w:tr w:rsidR="00D97A44" w:rsidRPr="009B1A37" w14:paraId="09408EEC" w14:textId="77777777" w:rsidTr="009F41EF">
        <w:trPr>
          <w:cantSplit/>
        </w:trPr>
        <w:tc>
          <w:tcPr>
            <w:tcW w:w="3227" w:type="dxa"/>
            <w:tcBorders>
              <w:top w:val="single" w:sz="4" w:space="0" w:color="000000"/>
              <w:left w:val="single" w:sz="4" w:space="0" w:color="000000"/>
            </w:tcBorders>
          </w:tcPr>
          <w:p w14:paraId="5BE323AC" w14:textId="77777777" w:rsidR="00D97A44" w:rsidRPr="009B1A37" w:rsidRDefault="00D97A44" w:rsidP="009F41EF">
            <w:pPr>
              <w:pStyle w:val="EndnoteText"/>
              <w:keepNext/>
              <w:widowControl w:val="0"/>
              <w:tabs>
                <w:tab w:val="clear" w:pos="567"/>
              </w:tabs>
              <w:suppressAutoHyphens w:val="0"/>
              <w:snapToGrid w:val="0"/>
              <w:rPr>
                <w:color w:val="000000"/>
              </w:rPr>
            </w:pPr>
          </w:p>
        </w:tc>
        <w:tc>
          <w:tcPr>
            <w:tcW w:w="1898" w:type="dxa"/>
            <w:tcBorders>
              <w:top w:val="single" w:sz="4" w:space="0" w:color="000000"/>
              <w:left w:val="single" w:sz="4" w:space="0" w:color="000000"/>
            </w:tcBorders>
          </w:tcPr>
          <w:p w14:paraId="33DC718D" w14:textId="77777777" w:rsidR="00D97A44" w:rsidRPr="009B1A37" w:rsidRDefault="00D97A44" w:rsidP="009F41EF">
            <w:pPr>
              <w:pStyle w:val="EndnoteText"/>
              <w:keepNext/>
              <w:widowControl w:val="0"/>
              <w:tabs>
                <w:tab w:val="clear" w:pos="567"/>
              </w:tabs>
              <w:suppressAutoHyphens w:val="0"/>
              <w:snapToGrid w:val="0"/>
              <w:jc w:val="center"/>
              <w:rPr>
                <w:color w:val="000000"/>
              </w:rPr>
            </w:pPr>
            <w:r w:rsidRPr="009B1A37">
              <w:rPr>
                <w:color w:val="000000"/>
              </w:rPr>
              <w:t>Studie 0110</w:t>
            </w:r>
          </w:p>
          <w:p w14:paraId="2AFCEF90" w14:textId="77777777" w:rsidR="00D97A44" w:rsidRPr="009B1A37" w:rsidRDefault="00D97A44" w:rsidP="009F41EF">
            <w:pPr>
              <w:pStyle w:val="EndnoteText"/>
              <w:keepNext/>
              <w:widowControl w:val="0"/>
              <w:tabs>
                <w:tab w:val="clear" w:pos="567"/>
              </w:tabs>
              <w:suppressAutoHyphens w:val="0"/>
              <w:jc w:val="center"/>
              <w:rPr>
                <w:color w:val="000000"/>
              </w:rPr>
            </w:pPr>
            <w:r w:rsidRPr="009B1A37">
              <w:rPr>
                <w:color w:val="000000"/>
              </w:rPr>
              <w:t>37měsíční data</w:t>
            </w:r>
          </w:p>
          <w:p w14:paraId="447F29C6" w14:textId="77777777" w:rsidR="00D97A44" w:rsidRPr="009B1A37" w:rsidRDefault="00D97A44" w:rsidP="009F41EF">
            <w:pPr>
              <w:pStyle w:val="EndnoteText"/>
              <w:keepNext/>
              <w:widowControl w:val="0"/>
              <w:tabs>
                <w:tab w:val="clear" w:pos="567"/>
              </w:tabs>
              <w:suppressAutoHyphens w:val="0"/>
              <w:jc w:val="center"/>
              <w:rPr>
                <w:color w:val="000000"/>
              </w:rPr>
            </w:pPr>
            <w:r w:rsidRPr="009B1A37">
              <w:rPr>
                <w:color w:val="000000"/>
              </w:rPr>
              <w:t>Chronická fáze, IFN selhání</w:t>
            </w:r>
          </w:p>
          <w:p w14:paraId="5D726F30" w14:textId="77777777" w:rsidR="00D97A44" w:rsidRPr="009B1A37" w:rsidRDefault="00D97A44" w:rsidP="009F41EF">
            <w:pPr>
              <w:pStyle w:val="EndnoteText"/>
              <w:keepNext/>
              <w:widowControl w:val="0"/>
              <w:tabs>
                <w:tab w:val="clear" w:pos="567"/>
              </w:tabs>
              <w:suppressAutoHyphens w:val="0"/>
              <w:jc w:val="center"/>
              <w:rPr>
                <w:color w:val="000000"/>
              </w:rPr>
            </w:pPr>
            <w:r w:rsidRPr="009B1A37">
              <w:rPr>
                <w:color w:val="000000"/>
              </w:rPr>
              <w:t>(n=532)</w:t>
            </w:r>
          </w:p>
        </w:tc>
        <w:tc>
          <w:tcPr>
            <w:tcW w:w="1985" w:type="dxa"/>
            <w:tcBorders>
              <w:top w:val="single" w:sz="4" w:space="0" w:color="000000"/>
              <w:left w:val="single" w:sz="4" w:space="0" w:color="000000"/>
            </w:tcBorders>
          </w:tcPr>
          <w:p w14:paraId="0A20719D" w14:textId="77777777" w:rsidR="00D97A44" w:rsidRPr="009B1A37" w:rsidRDefault="00D97A44" w:rsidP="009F41EF">
            <w:pPr>
              <w:pStyle w:val="EndnoteText"/>
              <w:keepNext/>
              <w:widowControl w:val="0"/>
              <w:tabs>
                <w:tab w:val="clear" w:pos="567"/>
              </w:tabs>
              <w:suppressAutoHyphens w:val="0"/>
              <w:snapToGrid w:val="0"/>
              <w:jc w:val="center"/>
              <w:rPr>
                <w:color w:val="000000"/>
              </w:rPr>
            </w:pPr>
            <w:r w:rsidRPr="009B1A37">
              <w:rPr>
                <w:color w:val="000000"/>
              </w:rPr>
              <w:t>Studie 0109</w:t>
            </w:r>
          </w:p>
          <w:p w14:paraId="19B33A1A" w14:textId="77777777" w:rsidR="00D97A44" w:rsidRPr="009B1A37" w:rsidRDefault="00D97A44" w:rsidP="009F41EF">
            <w:pPr>
              <w:pStyle w:val="EndnoteText"/>
              <w:keepNext/>
              <w:widowControl w:val="0"/>
              <w:tabs>
                <w:tab w:val="clear" w:pos="567"/>
              </w:tabs>
              <w:suppressAutoHyphens w:val="0"/>
              <w:jc w:val="center"/>
              <w:rPr>
                <w:color w:val="000000"/>
              </w:rPr>
            </w:pPr>
            <w:r w:rsidRPr="009B1A37">
              <w:rPr>
                <w:color w:val="000000"/>
              </w:rPr>
              <w:t>40,5měsíční data</w:t>
            </w:r>
          </w:p>
          <w:p w14:paraId="0BC8B56A" w14:textId="77777777" w:rsidR="00D97A44" w:rsidRPr="009B1A37" w:rsidRDefault="00D97A44" w:rsidP="009F41EF">
            <w:pPr>
              <w:pStyle w:val="EndnoteText"/>
              <w:keepNext/>
              <w:widowControl w:val="0"/>
              <w:tabs>
                <w:tab w:val="clear" w:pos="567"/>
              </w:tabs>
              <w:suppressAutoHyphens w:val="0"/>
              <w:jc w:val="center"/>
              <w:rPr>
                <w:color w:val="000000"/>
              </w:rPr>
            </w:pPr>
            <w:r w:rsidRPr="009B1A37">
              <w:rPr>
                <w:color w:val="000000"/>
              </w:rPr>
              <w:t>Akcelerovaná fáze</w:t>
            </w:r>
          </w:p>
          <w:p w14:paraId="2DE45F4D" w14:textId="77777777" w:rsidR="00D97A44" w:rsidRPr="009B1A37" w:rsidRDefault="00D97A44" w:rsidP="009F41EF">
            <w:pPr>
              <w:pStyle w:val="EndnoteText"/>
              <w:keepNext/>
              <w:widowControl w:val="0"/>
              <w:tabs>
                <w:tab w:val="clear" w:pos="567"/>
              </w:tabs>
              <w:suppressAutoHyphens w:val="0"/>
              <w:jc w:val="center"/>
              <w:rPr>
                <w:color w:val="000000"/>
              </w:rPr>
            </w:pPr>
            <w:r w:rsidRPr="009B1A37">
              <w:rPr>
                <w:color w:val="000000"/>
              </w:rPr>
              <w:t>(n=235)</w:t>
            </w:r>
          </w:p>
        </w:tc>
        <w:tc>
          <w:tcPr>
            <w:tcW w:w="1969" w:type="dxa"/>
            <w:tcBorders>
              <w:top w:val="single" w:sz="4" w:space="0" w:color="000000"/>
              <w:left w:val="single" w:sz="4" w:space="0" w:color="000000"/>
              <w:right w:val="single" w:sz="4" w:space="0" w:color="000000"/>
            </w:tcBorders>
          </w:tcPr>
          <w:p w14:paraId="2D28E4DD" w14:textId="77777777" w:rsidR="00D97A44" w:rsidRPr="009B1A37" w:rsidRDefault="00D97A44" w:rsidP="009F41EF">
            <w:pPr>
              <w:pStyle w:val="EndnoteText"/>
              <w:keepNext/>
              <w:widowControl w:val="0"/>
              <w:tabs>
                <w:tab w:val="clear" w:pos="567"/>
              </w:tabs>
              <w:suppressAutoHyphens w:val="0"/>
              <w:snapToGrid w:val="0"/>
              <w:jc w:val="center"/>
              <w:rPr>
                <w:color w:val="000000"/>
              </w:rPr>
            </w:pPr>
            <w:r w:rsidRPr="009B1A37">
              <w:rPr>
                <w:color w:val="000000"/>
              </w:rPr>
              <w:t>Studie 0102</w:t>
            </w:r>
          </w:p>
          <w:p w14:paraId="14E0CE9A" w14:textId="77777777" w:rsidR="00D97A44" w:rsidRPr="009B1A37" w:rsidRDefault="00D97A44" w:rsidP="009F41EF">
            <w:pPr>
              <w:pStyle w:val="EndnoteText"/>
              <w:keepNext/>
              <w:widowControl w:val="0"/>
              <w:tabs>
                <w:tab w:val="clear" w:pos="567"/>
              </w:tabs>
              <w:suppressAutoHyphens w:val="0"/>
              <w:jc w:val="center"/>
              <w:rPr>
                <w:color w:val="000000"/>
              </w:rPr>
            </w:pPr>
            <w:r w:rsidRPr="009B1A37">
              <w:rPr>
                <w:color w:val="000000"/>
              </w:rPr>
              <w:t>38měsíční data</w:t>
            </w:r>
          </w:p>
          <w:p w14:paraId="0F629508" w14:textId="77777777" w:rsidR="00D97A44" w:rsidRPr="009B1A37" w:rsidRDefault="00D97A44" w:rsidP="009F41EF">
            <w:pPr>
              <w:pStyle w:val="EndnoteText"/>
              <w:keepNext/>
              <w:widowControl w:val="0"/>
              <w:tabs>
                <w:tab w:val="clear" w:pos="567"/>
              </w:tabs>
              <w:suppressAutoHyphens w:val="0"/>
              <w:jc w:val="center"/>
              <w:rPr>
                <w:color w:val="000000"/>
              </w:rPr>
            </w:pPr>
            <w:r w:rsidRPr="009B1A37">
              <w:rPr>
                <w:color w:val="000000"/>
              </w:rPr>
              <w:t>Myeloidní blastická krize</w:t>
            </w:r>
          </w:p>
          <w:p w14:paraId="53FC1864" w14:textId="77777777" w:rsidR="00D97A44" w:rsidRPr="009B1A37" w:rsidRDefault="00D97A44" w:rsidP="009F41EF">
            <w:pPr>
              <w:pStyle w:val="EndnoteText"/>
              <w:keepNext/>
              <w:widowControl w:val="0"/>
              <w:tabs>
                <w:tab w:val="clear" w:pos="567"/>
              </w:tabs>
              <w:suppressAutoHyphens w:val="0"/>
              <w:jc w:val="center"/>
              <w:rPr>
                <w:color w:val="000000"/>
              </w:rPr>
            </w:pPr>
            <w:r w:rsidRPr="009B1A37">
              <w:rPr>
                <w:color w:val="000000"/>
              </w:rPr>
              <w:t>(n=260)</w:t>
            </w:r>
          </w:p>
        </w:tc>
      </w:tr>
      <w:tr w:rsidR="00D97A44" w:rsidRPr="009B1A37" w14:paraId="45EDBC78" w14:textId="77777777" w:rsidTr="009F41EF">
        <w:trPr>
          <w:cantSplit/>
        </w:trPr>
        <w:tc>
          <w:tcPr>
            <w:tcW w:w="3227" w:type="dxa"/>
            <w:tcBorders>
              <w:top w:val="single" w:sz="4" w:space="0" w:color="000000"/>
              <w:left w:val="single" w:sz="4" w:space="0" w:color="000000"/>
            </w:tcBorders>
          </w:tcPr>
          <w:p w14:paraId="0CB79801" w14:textId="77777777" w:rsidR="00D97A44" w:rsidRPr="009B1A37" w:rsidRDefault="00D97A44" w:rsidP="009F41EF">
            <w:pPr>
              <w:pStyle w:val="EndnoteText"/>
              <w:keepNext/>
              <w:widowControl w:val="0"/>
              <w:tabs>
                <w:tab w:val="clear" w:pos="567"/>
              </w:tabs>
              <w:suppressAutoHyphens w:val="0"/>
              <w:snapToGrid w:val="0"/>
              <w:rPr>
                <w:color w:val="000000"/>
              </w:rPr>
            </w:pPr>
          </w:p>
        </w:tc>
        <w:tc>
          <w:tcPr>
            <w:tcW w:w="5852" w:type="dxa"/>
            <w:gridSpan w:val="3"/>
            <w:tcBorders>
              <w:top w:val="single" w:sz="4" w:space="0" w:color="000000"/>
              <w:left w:val="single" w:sz="4" w:space="0" w:color="000000"/>
              <w:right w:val="single" w:sz="4" w:space="0" w:color="000000"/>
            </w:tcBorders>
          </w:tcPr>
          <w:p w14:paraId="7A4F0E8A" w14:textId="77777777" w:rsidR="00D97A44" w:rsidRPr="009B1A37" w:rsidRDefault="00D97A44" w:rsidP="009F41EF">
            <w:pPr>
              <w:pStyle w:val="EndnoteText"/>
              <w:keepNext/>
              <w:widowControl w:val="0"/>
              <w:tabs>
                <w:tab w:val="clear" w:pos="567"/>
              </w:tabs>
              <w:suppressAutoHyphens w:val="0"/>
              <w:snapToGrid w:val="0"/>
              <w:jc w:val="center"/>
              <w:rPr>
                <w:color w:val="000000"/>
              </w:rPr>
            </w:pPr>
            <w:r w:rsidRPr="009B1A37">
              <w:rPr>
                <w:color w:val="000000"/>
              </w:rPr>
              <w:t>% pacientů (CI</w:t>
            </w:r>
            <w:r w:rsidRPr="009B1A37">
              <w:rPr>
                <w:color w:val="000000"/>
                <w:vertAlign w:val="subscript"/>
              </w:rPr>
              <w:t>95%</w:t>
            </w:r>
            <w:r w:rsidRPr="009B1A37">
              <w:rPr>
                <w:color w:val="000000"/>
              </w:rPr>
              <w:t>)</w:t>
            </w:r>
          </w:p>
        </w:tc>
      </w:tr>
      <w:tr w:rsidR="00D97A44" w:rsidRPr="009B1A37" w14:paraId="5A6E1E2F" w14:textId="77777777" w:rsidTr="009F41EF">
        <w:trPr>
          <w:cantSplit/>
        </w:trPr>
        <w:tc>
          <w:tcPr>
            <w:tcW w:w="3227" w:type="dxa"/>
            <w:tcBorders>
              <w:top w:val="single" w:sz="4" w:space="0" w:color="000000"/>
              <w:left w:val="single" w:sz="4" w:space="0" w:color="000000"/>
            </w:tcBorders>
          </w:tcPr>
          <w:p w14:paraId="4C6416A5" w14:textId="77777777" w:rsidR="00D97A44" w:rsidRPr="009B1A37" w:rsidRDefault="00D97A44" w:rsidP="009F41EF">
            <w:pPr>
              <w:pStyle w:val="EndnoteText"/>
              <w:keepNext/>
              <w:widowControl w:val="0"/>
              <w:tabs>
                <w:tab w:val="clear" w:pos="567"/>
              </w:tabs>
              <w:suppressAutoHyphens w:val="0"/>
              <w:snapToGrid w:val="0"/>
              <w:rPr>
                <w:color w:val="000000"/>
                <w:vertAlign w:val="superscript"/>
              </w:rPr>
            </w:pPr>
            <w:r w:rsidRPr="009B1A37">
              <w:rPr>
                <w:color w:val="000000"/>
              </w:rPr>
              <w:t>Hematologická odpověď</w:t>
            </w:r>
            <w:r w:rsidRPr="009B1A37">
              <w:rPr>
                <w:color w:val="000000"/>
                <w:vertAlign w:val="superscript"/>
              </w:rPr>
              <w:t>1</w:t>
            </w:r>
          </w:p>
        </w:tc>
        <w:tc>
          <w:tcPr>
            <w:tcW w:w="1898" w:type="dxa"/>
            <w:tcBorders>
              <w:top w:val="single" w:sz="4" w:space="0" w:color="000000"/>
              <w:left w:val="single" w:sz="4" w:space="0" w:color="000000"/>
            </w:tcBorders>
          </w:tcPr>
          <w:p w14:paraId="36C5839F" w14:textId="77777777" w:rsidR="00D97A44" w:rsidRPr="009B1A37" w:rsidRDefault="00D97A44" w:rsidP="009F41EF">
            <w:pPr>
              <w:pStyle w:val="EndnoteText"/>
              <w:keepNext/>
              <w:widowControl w:val="0"/>
              <w:tabs>
                <w:tab w:val="clear" w:pos="567"/>
              </w:tabs>
              <w:suppressAutoHyphens w:val="0"/>
              <w:snapToGrid w:val="0"/>
              <w:jc w:val="center"/>
              <w:rPr>
                <w:color w:val="000000"/>
              </w:rPr>
            </w:pPr>
            <w:r w:rsidRPr="009B1A37">
              <w:rPr>
                <w:color w:val="000000"/>
              </w:rPr>
              <w:t>95</w:t>
            </w:r>
            <w:r w:rsidR="00BB39E8" w:rsidRPr="009B1A37">
              <w:rPr>
                <w:color w:val="000000"/>
              </w:rPr>
              <w:t> </w:t>
            </w:r>
            <w:r w:rsidRPr="009B1A37">
              <w:rPr>
                <w:color w:val="000000"/>
              </w:rPr>
              <w:t>% (92,3–96,3)</w:t>
            </w:r>
          </w:p>
        </w:tc>
        <w:tc>
          <w:tcPr>
            <w:tcW w:w="1985" w:type="dxa"/>
            <w:tcBorders>
              <w:top w:val="single" w:sz="4" w:space="0" w:color="000000"/>
              <w:left w:val="single" w:sz="4" w:space="0" w:color="000000"/>
            </w:tcBorders>
          </w:tcPr>
          <w:p w14:paraId="52572FC5" w14:textId="77777777" w:rsidR="00D97A44" w:rsidRPr="009B1A37" w:rsidRDefault="00D97A44" w:rsidP="009F41EF">
            <w:pPr>
              <w:pStyle w:val="EndnoteText"/>
              <w:keepNext/>
              <w:widowControl w:val="0"/>
              <w:tabs>
                <w:tab w:val="clear" w:pos="567"/>
              </w:tabs>
              <w:suppressAutoHyphens w:val="0"/>
              <w:snapToGrid w:val="0"/>
              <w:jc w:val="center"/>
              <w:rPr>
                <w:color w:val="000000"/>
              </w:rPr>
            </w:pPr>
            <w:r w:rsidRPr="009B1A37">
              <w:rPr>
                <w:color w:val="000000"/>
              </w:rPr>
              <w:t>71</w:t>
            </w:r>
            <w:r w:rsidR="00BB39E8" w:rsidRPr="009B1A37">
              <w:rPr>
                <w:color w:val="000000"/>
              </w:rPr>
              <w:t> </w:t>
            </w:r>
            <w:r w:rsidRPr="009B1A37">
              <w:rPr>
                <w:color w:val="000000"/>
              </w:rPr>
              <w:t>% (65,3–77,2)</w:t>
            </w:r>
          </w:p>
        </w:tc>
        <w:tc>
          <w:tcPr>
            <w:tcW w:w="1969" w:type="dxa"/>
            <w:tcBorders>
              <w:top w:val="single" w:sz="4" w:space="0" w:color="000000"/>
              <w:left w:val="single" w:sz="4" w:space="0" w:color="000000"/>
              <w:right w:val="single" w:sz="4" w:space="0" w:color="000000"/>
            </w:tcBorders>
          </w:tcPr>
          <w:p w14:paraId="75D07D91" w14:textId="77777777" w:rsidR="00D97A44" w:rsidRPr="009B1A37" w:rsidRDefault="00D97A44" w:rsidP="009F41EF">
            <w:pPr>
              <w:pStyle w:val="EndnoteText"/>
              <w:keepNext/>
              <w:widowControl w:val="0"/>
              <w:tabs>
                <w:tab w:val="clear" w:pos="567"/>
              </w:tabs>
              <w:suppressAutoHyphens w:val="0"/>
              <w:snapToGrid w:val="0"/>
              <w:jc w:val="center"/>
              <w:rPr>
                <w:color w:val="000000"/>
              </w:rPr>
            </w:pPr>
            <w:r w:rsidRPr="009B1A37">
              <w:rPr>
                <w:color w:val="000000"/>
              </w:rPr>
              <w:t>31</w:t>
            </w:r>
            <w:r w:rsidR="00BB39E8" w:rsidRPr="009B1A37">
              <w:rPr>
                <w:color w:val="000000"/>
              </w:rPr>
              <w:t> </w:t>
            </w:r>
            <w:r w:rsidRPr="009B1A37">
              <w:rPr>
                <w:color w:val="000000"/>
              </w:rPr>
              <w:t>% (25,2–36,8)</w:t>
            </w:r>
          </w:p>
        </w:tc>
      </w:tr>
      <w:tr w:rsidR="00D97A44" w:rsidRPr="009B1A37" w14:paraId="03DF62CA" w14:textId="77777777" w:rsidTr="009F41EF">
        <w:trPr>
          <w:cantSplit/>
        </w:trPr>
        <w:tc>
          <w:tcPr>
            <w:tcW w:w="3227" w:type="dxa"/>
            <w:tcBorders>
              <w:left w:val="single" w:sz="4" w:space="0" w:color="000000"/>
            </w:tcBorders>
          </w:tcPr>
          <w:p w14:paraId="4D88CA50" w14:textId="77777777" w:rsidR="00D97A44" w:rsidRPr="009B1A37" w:rsidRDefault="00D97A44" w:rsidP="009F41EF">
            <w:pPr>
              <w:pStyle w:val="EndnoteText"/>
              <w:keepNext/>
              <w:widowControl w:val="0"/>
              <w:tabs>
                <w:tab w:val="clear" w:pos="567"/>
              </w:tabs>
              <w:suppressAutoHyphens w:val="0"/>
              <w:snapToGrid w:val="0"/>
              <w:ind w:left="284"/>
              <w:rPr>
                <w:color w:val="000000"/>
              </w:rPr>
            </w:pPr>
            <w:r w:rsidRPr="009B1A37">
              <w:rPr>
                <w:color w:val="000000"/>
              </w:rPr>
              <w:t>Kompletní hematologická odpověď (</w:t>
            </w:r>
            <w:smartTag w:uri="urn:schemas-microsoft-com:office:smarttags" w:element="stockticker">
              <w:r w:rsidRPr="009B1A37">
                <w:rPr>
                  <w:color w:val="000000"/>
                </w:rPr>
                <w:t>CHR</w:t>
              </w:r>
            </w:smartTag>
            <w:r w:rsidRPr="009B1A37">
              <w:rPr>
                <w:color w:val="000000"/>
              </w:rPr>
              <w:t>)</w:t>
            </w:r>
          </w:p>
        </w:tc>
        <w:tc>
          <w:tcPr>
            <w:tcW w:w="1898" w:type="dxa"/>
            <w:tcBorders>
              <w:left w:val="single" w:sz="4" w:space="0" w:color="000000"/>
            </w:tcBorders>
          </w:tcPr>
          <w:p w14:paraId="13C645B8" w14:textId="77777777" w:rsidR="00D97A44" w:rsidRPr="009B1A37" w:rsidRDefault="00D97A44" w:rsidP="009F41EF">
            <w:pPr>
              <w:pStyle w:val="EndnoteText"/>
              <w:keepNext/>
              <w:widowControl w:val="0"/>
              <w:tabs>
                <w:tab w:val="clear" w:pos="567"/>
              </w:tabs>
              <w:suppressAutoHyphens w:val="0"/>
              <w:snapToGrid w:val="0"/>
              <w:jc w:val="center"/>
              <w:rPr>
                <w:color w:val="000000"/>
              </w:rPr>
            </w:pPr>
            <w:r w:rsidRPr="009B1A37">
              <w:rPr>
                <w:color w:val="000000"/>
              </w:rPr>
              <w:t>95</w:t>
            </w:r>
            <w:r w:rsidR="00BB39E8" w:rsidRPr="009B1A37">
              <w:rPr>
                <w:color w:val="000000"/>
              </w:rPr>
              <w:t> </w:t>
            </w:r>
            <w:r w:rsidRPr="009B1A37">
              <w:rPr>
                <w:color w:val="000000"/>
              </w:rPr>
              <w:t>%</w:t>
            </w:r>
          </w:p>
        </w:tc>
        <w:tc>
          <w:tcPr>
            <w:tcW w:w="1985" w:type="dxa"/>
            <w:tcBorders>
              <w:left w:val="single" w:sz="4" w:space="0" w:color="000000"/>
            </w:tcBorders>
          </w:tcPr>
          <w:p w14:paraId="386D517A" w14:textId="77777777" w:rsidR="00D97A44" w:rsidRPr="009B1A37" w:rsidRDefault="00D97A44" w:rsidP="009F41EF">
            <w:pPr>
              <w:pStyle w:val="EndnoteText"/>
              <w:keepNext/>
              <w:widowControl w:val="0"/>
              <w:tabs>
                <w:tab w:val="clear" w:pos="567"/>
              </w:tabs>
              <w:suppressAutoHyphens w:val="0"/>
              <w:snapToGrid w:val="0"/>
              <w:jc w:val="center"/>
              <w:rPr>
                <w:color w:val="000000"/>
              </w:rPr>
            </w:pPr>
            <w:r w:rsidRPr="009B1A37">
              <w:rPr>
                <w:color w:val="000000"/>
              </w:rPr>
              <w:t>42</w:t>
            </w:r>
            <w:r w:rsidR="00BB39E8" w:rsidRPr="009B1A37">
              <w:rPr>
                <w:color w:val="000000"/>
              </w:rPr>
              <w:t> </w:t>
            </w:r>
            <w:r w:rsidRPr="009B1A37">
              <w:rPr>
                <w:color w:val="000000"/>
              </w:rPr>
              <w:t>%</w:t>
            </w:r>
          </w:p>
        </w:tc>
        <w:tc>
          <w:tcPr>
            <w:tcW w:w="1969" w:type="dxa"/>
            <w:tcBorders>
              <w:left w:val="single" w:sz="4" w:space="0" w:color="000000"/>
              <w:right w:val="single" w:sz="4" w:space="0" w:color="000000"/>
            </w:tcBorders>
          </w:tcPr>
          <w:p w14:paraId="54DB808C" w14:textId="77777777" w:rsidR="00D97A44" w:rsidRPr="009B1A37" w:rsidRDefault="00D97A44" w:rsidP="009F41EF">
            <w:pPr>
              <w:pStyle w:val="EndnoteText"/>
              <w:keepNext/>
              <w:widowControl w:val="0"/>
              <w:tabs>
                <w:tab w:val="clear" w:pos="567"/>
              </w:tabs>
              <w:suppressAutoHyphens w:val="0"/>
              <w:snapToGrid w:val="0"/>
              <w:jc w:val="center"/>
              <w:rPr>
                <w:color w:val="000000"/>
              </w:rPr>
            </w:pPr>
            <w:r w:rsidRPr="009B1A37">
              <w:rPr>
                <w:color w:val="000000"/>
              </w:rPr>
              <w:t>8</w:t>
            </w:r>
            <w:r w:rsidR="00BB39E8" w:rsidRPr="009B1A37">
              <w:rPr>
                <w:color w:val="000000"/>
              </w:rPr>
              <w:t> </w:t>
            </w:r>
            <w:r w:rsidRPr="009B1A37">
              <w:rPr>
                <w:color w:val="000000"/>
              </w:rPr>
              <w:t>%</w:t>
            </w:r>
          </w:p>
        </w:tc>
      </w:tr>
      <w:tr w:rsidR="00D97A44" w:rsidRPr="009B1A37" w14:paraId="2513F522" w14:textId="77777777" w:rsidTr="009F41EF">
        <w:trPr>
          <w:cantSplit/>
        </w:trPr>
        <w:tc>
          <w:tcPr>
            <w:tcW w:w="3227" w:type="dxa"/>
            <w:tcBorders>
              <w:left w:val="single" w:sz="4" w:space="0" w:color="000000"/>
            </w:tcBorders>
          </w:tcPr>
          <w:p w14:paraId="2BDD9063" w14:textId="77777777" w:rsidR="00D97A44" w:rsidRPr="009B1A37" w:rsidRDefault="00D97A44" w:rsidP="009F41EF">
            <w:pPr>
              <w:pStyle w:val="EndnoteText"/>
              <w:keepNext/>
              <w:widowControl w:val="0"/>
              <w:tabs>
                <w:tab w:val="clear" w:pos="567"/>
              </w:tabs>
              <w:suppressAutoHyphens w:val="0"/>
              <w:snapToGrid w:val="0"/>
              <w:ind w:left="284"/>
              <w:rPr>
                <w:color w:val="000000"/>
              </w:rPr>
            </w:pPr>
            <w:r w:rsidRPr="009B1A37">
              <w:rPr>
                <w:color w:val="000000"/>
              </w:rPr>
              <w:t>Bez průkazu leukemie (NEL)</w:t>
            </w:r>
          </w:p>
        </w:tc>
        <w:tc>
          <w:tcPr>
            <w:tcW w:w="1898" w:type="dxa"/>
            <w:tcBorders>
              <w:left w:val="single" w:sz="4" w:space="0" w:color="000000"/>
            </w:tcBorders>
          </w:tcPr>
          <w:p w14:paraId="6DF8F7DC" w14:textId="77777777" w:rsidR="00D97A44" w:rsidRPr="009B1A37" w:rsidRDefault="00D97A44" w:rsidP="009F41EF">
            <w:pPr>
              <w:pStyle w:val="EndnoteText"/>
              <w:keepNext/>
              <w:widowControl w:val="0"/>
              <w:tabs>
                <w:tab w:val="clear" w:pos="567"/>
              </w:tabs>
              <w:suppressAutoHyphens w:val="0"/>
              <w:snapToGrid w:val="0"/>
              <w:jc w:val="center"/>
              <w:rPr>
                <w:color w:val="000000"/>
              </w:rPr>
            </w:pPr>
            <w:r w:rsidRPr="009B1A37">
              <w:rPr>
                <w:color w:val="000000"/>
              </w:rPr>
              <w:t>Neaplikovatelné</w:t>
            </w:r>
          </w:p>
        </w:tc>
        <w:tc>
          <w:tcPr>
            <w:tcW w:w="1985" w:type="dxa"/>
            <w:tcBorders>
              <w:left w:val="single" w:sz="4" w:space="0" w:color="000000"/>
            </w:tcBorders>
          </w:tcPr>
          <w:p w14:paraId="0349A138" w14:textId="77777777" w:rsidR="00D97A44" w:rsidRPr="009B1A37" w:rsidRDefault="00D97A44" w:rsidP="009F41EF">
            <w:pPr>
              <w:pStyle w:val="EndnoteText"/>
              <w:keepNext/>
              <w:widowControl w:val="0"/>
              <w:tabs>
                <w:tab w:val="clear" w:pos="567"/>
              </w:tabs>
              <w:suppressAutoHyphens w:val="0"/>
              <w:snapToGrid w:val="0"/>
              <w:jc w:val="center"/>
              <w:rPr>
                <w:color w:val="000000"/>
              </w:rPr>
            </w:pPr>
            <w:r w:rsidRPr="009B1A37">
              <w:rPr>
                <w:color w:val="000000"/>
              </w:rPr>
              <w:t>12</w:t>
            </w:r>
            <w:r w:rsidR="00BB39E8" w:rsidRPr="009B1A37">
              <w:rPr>
                <w:color w:val="000000"/>
              </w:rPr>
              <w:t> </w:t>
            </w:r>
            <w:r w:rsidRPr="009B1A37">
              <w:rPr>
                <w:color w:val="000000"/>
              </w:rPr>
              <w:t>%</w:t>
            </w:r>
          </w:p>
        </w:tc>
        <w:tc>
          <w:tcPr>
            <w:tcW w:w="1969" w:type="dxa"/>
            <w:tcBorders>
              <w:left w:val="single" w:sz="4" w:space="0" w:color="000000"/>
              <w:right w:val="single" w:sz="4" w:space="0" w:color="000000"/>
            </w:tcBorders>
          </w:tcPr>
          <w:p w14:paraId="3ABAA335" w14:textId="77777777" w:rsidR="00D97A44" w:rsidRPr="009B1A37" w:rsidRDefault="00D97A44" w:rsidP="009F41EF">
            <w:pPr>
              <w:pStyle w:val="EndnoteText"/>
              <w:keepNext/>
              <w:widowControl w:val="0"/>
              <w:tabs>
                <w:tab w:val="clear" w:pos="567"/>
              </w:tabs>
              <w:suppressAutoHyphens w:val="0"/>
              <w:snapToGrid w:val="0"/>
              <w:jc w:val="center"/>
              <w:rPr>
                <w:color w:val="000000"/>
              </w:rPr>
            </w:pPr>
            <w:r w:rsidRPr="009B1A37">
              <w:rPr>
                <w:color w:val="000000"/>
              </w:rPr>
              <w:t>5</w:t>
            </w:r>
            <w:r w:rsidR="00BB39E8" w:rsidRPr="009B1A37">
              <w:rPr>
                <w:color w:val="000000"/>
              </w:rPr>
              <w:t> </w:t>
            </w:r>
            <w:r w:rsidRPr="009B1A37">
              <w:rPr>
                <w:color w:val="000000"/>
              </w:rPr>
              <w:t>%</w:t>
            </w:r>
          </w:p>
        </w:tc>
      </w:tr>
      <w:tr w:rsidR="00D97A44" w:rsidRPr="009B1A37" w14:paraId="6C8294B0" w14:textId="77777777" w:rsidTr="009F41EF">
        <w:trPr>
          <w:cantSplit/>
        </w:trPr>
        <w:tc>
          <w:tcPr>
            <w:tcW w:w="3227" w:type="dxa"/>
            <w:tcBorders>
              <w:left w:val="single" w:sz="4" w:space="0" w:color="000000"/>
            </w:tcBorders>
          </w:tcPr>
          <w:p w14:paraId="09AFF1C5" w14:textId="77777777" w:rsidR="00D97A44" w:rsidRPr="009B1A37" w:rsidRDefault="00D97A44" w:rsidP="009F41EF">
            <w:pPr>
              <w:pStyle w:val="EndnoteText"/>
              <w:keepNext/>
              <w:widowControl w:val="0"/>
              <w:tabs>
                <w:tab w:val="clear" w:pos="567"/>
              </w:tabs>
              <w:suppressAutoHyphens w:val="0"/>
              <w:snapToGrid w:val="0"/>
              <w:ind w:left="284"/>
              <w:rPr>
                <w:color w:val="000000"/>
              </w:rPr>
            </w:pPr>
            <w:r w:rsidRPr="009B1A37">
              <w:rPr>
                <w:color w:val="000000"/>
              </w:rPr>
              <w:t>Návrat do chronické fáze (</w:t>
            </w:r>
            <w:smartTag w:uri="urn:schemas-microsoft-com:office:smarttags" w:element="stockticker">
              <w:r w:rsidRPr="009B1A37">
                <w:rPr>
                  <w:color w:val="000000"/>
                </w:rPr>
                <w:t>RTC</w:t>
              </w:r>
            </w:smartTag>
            <w:r w:rsidRPr="009B1A37">
              <w:rPr>
                <w:color w:val="000000"/>
              </w:rPr>
              <w:t>)</w:t>
            </w:r>
          </w:p>
        </w:tc>
        <w:tc>
          <w:tcPr>
            <w:tcW w:w="1898" w:type="dxa"/>
            <w:tcBorders>
              <w:left w:val="single" w:sz="4" w:space="0" w:color="000000"/>
            </w:tcBorders>
          </w:tcPr>
          <w:p w14:paraId="3DDAD2EE" w14:textId="77777777" w:rsidR="00D97A44" w:rsidRPr="009B1A37" w:rsidRDefault="00D97A44" w:rsidP="009F41EF">
            <w:pPr>
              <w:pStyle w:val="EndnoteText"/>
              <w:keepNext/>
              <w:widowControl w:val="0"/>
              <w:tabs>
                <w:tab w:val="clear" w:pos="567"/>
              </w:tabs>
              <w:suppressAutoHyphens w:val="0"/>
              <w:snapToGrid w:val="0"/>
              <w:jc w:val="center"/>
              <w:rPr>
                <w:color w:val="000000"/>
              </w:rPr>
            </w:pPr>
            <w:r w:rsidRPr="009B1A37">
              <w:rPr>
                <w:color w:val="000000"/>
              </w:rPr>
              <w:t>Neaplikovatelné</w:t>
            </w:r>
          </w:p>
        </w:tc>
        <w:tc>
          <w:tcPr>
            <w:tcW w:w="1985" w:type="dxa"/>
            <w:tcBorders>
              <w:left w:val="single" w:sz="4" w:space="0" w:color="000000"/>
            </w:tcBorders>
          </w:tcPr>
          <w:p w14:paraId="0EDACF6D" w14:textId="77777777" w:rsidR="00D97A44" w:rsidRPr="009B1A37" w:rsidRDefault="00D97A44" w:rsidP="009F41EF">
            <w:pPr>
              <w:pStyle w:val="EndnoteText"/>
              <w:keepNext/>
              <w:widowControl w:val="0"/>
              <w:tabs>
                <w:tab w:val="clear" w:pos="567"/>
              </w:tabs>
              <w:suppressAutoHyphens w:val="0"/>
              <w:snapToGrid w:val="0"/>
              <w:jc w:val="center"/>
              <w:rPr>
                <w:color w:val="000000"/>
              </w:rPr>
            </w:pPr>
            <w:r w:rsidRPr="009B1A37">
              <w:rPr>
                <w:color w:val="000000"/>
              </w:rPr>
              <w:t>17</w:t>
            </w:r>
            <w:r w:rsidR="00BB39E8" w:rsidRPr="009B1A37">
              <w:rPr>
                <w:color w:val="000000"/>
              </w:rPr>
              <w:t> </w:t>
            </w:r>
            <w:r w:rsidRPr="009B1A37">
              <w:rPr>
                <w:color w:val="000000"/>
              </w:rPr>
              <w:t>%</w:t>
            </w:r>
          </w:p>
        </w:tc>
        <w:tc>
          <w:tcPr>
            <w:tcW w:w="1969" w:type="dxa"/>
            <w:tcBorders>
              <w:left w:val="single" w:sz="4" w:space="0" w:color="000000"/>
              <w:right w:val="single" w:sz="4" w:space="0" w:color="000000"/>
            </w:tcBorders>
          </w:tcPr>
          <w:p w14:paraId="7B544FB4" w14:textId="77777777" w:rsidR="00D97A44" w:rsidRPr="009B1A37" w:rsidRDefault="00D97A44" w:rsidP="009F41EF">
            <w:pPr>
              <w:pStyle w:val="EndnoteText"/>
              <w:keepNext/>
              <w:widowControl w:val="0"/>
              <w:tabs>
                <w:tab w:val="clear" w:pos="567"/>
              </w:tabs>
              <w:suppressAutoHyphens w:val="0"/>
              <w:snapToGrid w:val="0"/>
              <w:jc w:val="center"/>
              <w:rPr>
                <w:color w:val="000000"/>
              </w:rPr>
            </w:pPr>
            <w:r w:rsidRPr="009B1A37">
              <w:rPr>
                <w:color w:val="000000"/>
              </w:rPr>
              <w:t>18</w:t>
            </w:r>
            <w:r w:rsidR="00BB39E8" w:rsidRPr="009B1A37">
              <w:rPr>
                <w:color w:val="000000"/>
              </w:rPr>
              <w:t> </w:t>
            </w:r>
            <w:r w:rsidRPr="009B1A37">
              <w:rPr>
                <w:color w:val="000000"/>
              </w:rPr>
              <w:t>%</w:t>
            </w:r>
          </w:p>
        </w:tc>
      </w:tr>
      <w:tr w:rsidR="00D97A44" w:rsidRPr="009B1A37" w14:paraId="7C444EC5" w14:textId="77777777" w:rsidTr="009F41EF">
        <w:trPr>
          <w:cantSplit/>
        </w:trPr>
        <w:tc>
          <w:tcPr>
            <w:tcW w:w="3227" w:type="dxa"/>
            <w:tcBorders>
              <w:top w:val="single" w:sz="4" w:space="0" w:color="000000"/>
              <w:left w:val="single" w:sz="4" w:space="0" w:color="000000"/>
            </w:tcBorders>
          </w:tcPr>
          <w:p w14:paraId="688F1E25" w14:textId="77777777" w:rsidR="00D97A44" w:rsidRPr="009B1A37" w:rsidRDefault="00D97A44" w:rsidP="009F41EF">
            <w:pPr>
              <w:pStyle w:val="EndnoteText"/>
              <w:keepNext/>
              <w:widowControl w:val="0"/>
              <w:tabs>
                <w:tab w:val="clear" w:pos="567"/>
              </w:tabs>
              <w:suppressAutoHyphens w:val="0"/>
              <w:snapToGrid w:val="0"/>
              <w:rPr>
                <w:color w:val="000000"/>
                <w:vertAlign w:val="superscript"/>
              </w:rPr>
            </w:pPr>
            <w:r w:rsidRPr="009B1A37">
              <w:rPr>
                <w:color w:val="000000"/>
              </w:rPr>
              <w:t>Velká cytogenetická odpověď</w:t>
            </w:r>
            <w:r w:rsidRPr="009B1A37">
              <w:rPr>
                <w:color w:val="000000"/>
                <w:vertAlign w:val="superscript"/>
              </w:rPr>
              <w:t>2</w:t>
            </w:r>
          </w:p>
        </w:tc>
        <w:tc>
          <w:tcPr>
            <w:tcW w:w="1898" w:type="dxa"/>
            <w:tcBorders>
              <w:top w:val="single" w:sz="4" w:space="0" w:color="000000"/>
              <w:left w:val="single" w:sz="4" w:space="0" w:color="000000"/>
            </w:tcBorders>
          </w:tcPr>
          <w:p w14:paraId="5584552C" w14:textId="77777777" w:rsidR="00D97A44" w:rsidRPr="009B1A37" w:rsidRDefault="00D97A44" w:rsidP="009F41EF">
            <w:pPr>
              <w:pStyle w:val="EndnoteText"/>
              <w:keepNext/>
              <w:widowControl w:val="0"/>
              <w:tabs>
                <w:tab w:val="clear" w:pos="567"/>
              </w:tabs>
              <w:suppressAutoHyphens w:val="0"/>
              <w:snapToGrid w:val="0"/>
              <w:jc w:val="center"/>
              <w:rPr>
                <w:color w:val="000000"/>
              </w:rPr>
            </w:pPr>
            <w:r w:rsidRPr="009B1A37">
              <w:rPr>
                <w:color w:val="000000"/>
              </w:rPr>
              <w:t>65</w:t>
            </w:r>
            <w:r w:rsidR="00BB39E8" w:rsidRPr="009B1A37">
              <w:rPr>
                <w:color w:val="000000"/>
              </w:rPr>
              <w:t> </w:t>
            </w:r>
            <w:r w:rsidRPr="009B1A37">
              <w:rPr>
                <w:color w:val="000000"/>
              </w:rPr>
              <w:t>% (61,2–69,5)</w:t>
            </w:r>
          </w:p>
        </w:tc>
        <w:tc>
          <w:tcPr>
            <w:tcW w:w="1985" w:type="dxa"/>
            <w:tcBorders>
              <w:top w:val="single" w:sz="4" w:space="0" w:color="000000"/>
              <w:left w:val="single" w:sz="4" w:space="0" w:color="000000"/>
            </w:tcBorders>
          </w:tcPr>
          <w:p w14:paraId="50C449C2" w14:textId="77777777" w:rsidR="00D97A44" w:rsidRPr="009B1A37" w:rsidRDefault="00D97A44" w:rsidP="009F41EF">
            <w:pPr>
              <w:pStyle w:val="EndnoteText"/>
              <w:keepNext/>
              <w:widowControl w:val="0"/>
              <w:tabs>
                <w:tab w:val="clear" w:pos="567"/>
              </w:tabs>
              <w:suppressAutoHyphens w:val="0"/>
              <w:snapToGrid w:val="0"/>
              <w:jc w:val="center"/>
              <w:rPr>
                <w:color w:val="000000"/>
              </w:rPr>
            </w:pPr>
            <w:r w:rsidRPr="009B1A37">
              <w:rPr>
                <w:color w:val="000000"/>
              </w:rPr>
              <w:t>28</w:t>
            </w:r>
            <w:r w:rsidR="00BB39E8" w:rsidRPr="009B1A37">
              <w:rPr>
                <w:color w:val="000000"/>
              </w:rPr>
              <w:t> </w:t>
            </w:r>
            <w:r w:rsidRPr="009B1A37">
              <w:rPr>
                <w:color w:val="000000"/>
              </w:rPr>
              <w:t>% (22,0–33,9)</w:t>
            </w:r>
          </w:p>
        </w:tc>
        <w:tc>
          <w:tcPr>
            <w:tcW w:w="1969" w:type="dxa"/>
            <w:tcBorders>
              <w:top w:val="single" w:sz="4" w:space="0" w:color="000000"/>
              <w:left w:val="single" w:sz="4" w:space="0" w:color="000000"/>
              <w:right w:val="single" w:sz="4" w:space="0" w:color="000000"/>
            </w:tcBorders>
          </w:tcPr>
          <w:p w14:paraId="154E69FA" w14:textId="77777777" w:rsidR="00D97A44" w:rsidRPr="009B1A37" w:rsidRDefault="00D97A44" w:rsidP="009F41EF">
            <w:pPr>
              <w:pStyle w:val="EndnoteText"/>
              <w:keepNext/>
              <w:widowControl w:val="0"/>
              <w:tabs>
                <w:tab w:val="clear" w:pos="567"/>
              </w:tabs>
              <w:suppressAutoHyphens w:val="0"/>
              <w:snapToGrid w:val="0"/>
              <w:jc w:val="center"/>
              <w:rPr>
                <w:color w:val="000000"/>
              </w:rPr>
            </w:pPr>
            <w:r w:rsidRPr="009B1A37">
              <w:rPr>
                <w:color w:val="000000"/>
              </w:rPr>
              <w:t>15</w:t>
            </w:r>
            <w:r w:rsidR="00BB39E8" w:rsidRPr="009B1A37">
              <w:rPr>
                <w:color w:val="000000"/>
              </w:rPr>
              <w:t> </w:t>
            </w:r>
            <w:r w:rsidRPr="009B1A37">
              <w:rPr>
                <w:color w:val="000000"/>
              </w:rPr>
              <w:t>% (11,2–20,4)</w:t>
            </w:r>
          </w:p>
        </w:tc>
      </w:tr>
      <w:tr w:rsidR="00D97A44" w:rsidRPr="009B1A37" w14:paraId="4D036A0A" w14:textId="77777777" w:rsidTr="009F41EF">
        <w:trPr>
          <w:cantSplit/>
        </w:trPr>
        <w:tc>
          <w:tcPr>
            <w:tcW w:w="3227" w:type="dxa"/>
            <w:tcBorders>
              <w:left w:val="single" w:sz="4" w:space="0" w:color="000000"/>
            </w:tcBorders>
          </w:tcPr>
          <w:p w14:paraId="638EC92F" w14:textId="77777777" w:rsidR="00D97A44" w:rsidRPr="009B1A37" w:rsidRDefault="00D97A44" w:rsidP="009F41EF">
            <w:pPr>
              <w:pStyle w:val="EndnoteText"/>
              <w:keepNext/>
              <w:widowControl w:val="0"/>
              <w:tabs>
                <w:tab w:val="clear" w:pos="567"/>
              </w:tabs>
              <w:suppressAutoHyphens w:val="0"/>
              <w:snapToGrid w:val="0"/>
              <w:ind w:left="284"/>
              <w:rPr>
                <w:color w:val="000000"/>
              </w:rPr>
            </w:pPr>
            <w:r w:rsidRPr="009B1A37">
              <w:rPr>
                <w:color w:val="000000"/>
              </w:rPr>
              <w:t>Kompletní</w:t>
            </w:r>
          </w:p>
        </w:tc>
        <w:tc>
          <w:tcPr>
            <w:tcW w:w="1898" w:type="dxa"/>
            <w:tcBorders>
              <w:left w:val="single" w:sz="4" w:space="0" w:color="000000"/>
            </w:tcBorders>
          </w:tcPr>
          <w:p w14:paraId="77C90662" w14:textId="77777777" w:rsidR="00D97A44" w:rsidRPr="009B1A37" w:rsidRDefault="00D97A44" w:rsidP="009F41EF">
            <w:pPr>
              <w:pStyle w:val="EndnoteText"/>
              <w:keepNext/>
              <w:widowControl w:val="0"/>
              <w:tabs>
                <w:tab w:val="clear" w:pos="567"/>
              </w:tabs>
              <w:suppressAutoHyphens w:val="0"/>
              <w:snapToGrid w:val="0"/>
              <w:jc w:val="center"/>
              <w:rPr>
                <w:color w:val="000000"/>
              </w:rPr>
            </w:pPr>
            <w:r w:rsidRPr="009B1A37">
              <w:rPr>
                <w:color w:val="000000"/>
              </w:rPr>
              <w:t>53%</w:t>
            </w:r>
          </w:p>
        </w:tc>
        <w:tc>
          <w:tcPr>
            <w:tcW w:w="1985" w:type="dxa"/>
            <w:tcBorders>
              <w:left w:val="single" w:sz="4" w:space="0" w:color="000000"/>
            </w:tcBorders>
          </w:tcPr>
          <w:p w14:paraId="7606D688" w14:textId="77777777" w:rsidR="00D97A44" w:rsidRPr="009B1A37" w:rsidRDefault="00D97A44" w:rsidP="009F41EF">
            <w:pPr>
              <w:pStyle w:val="EndnoteText"/>
              <w:keepNext/>
              <w:widowControl w:val="0"/>
              <w:tabs>
                <w:tab w:val="clear" w:pos="567"/>
              </w:tabs>
              <w:suppressAutoHyphens w:val="0"/>
              <w:snapToGrid w:val="0"/>
              <w:jc w:val="center"/>
              <w:rPr>
                <w:color w:val="000000"/>
              </w:rPr>
            </w:pPr>
            <w:r w:rsidRPr="009B1A37">
              <w:rPr>
                <w:color w:val="000000"/>
              </w:rPr>
              <w:t>20</w:t>
            </w:r>
            <w:r w:rsidR="00BB39E8" w:rsidRPr="009B1A37">
              <w:rPr>
                <w:color w:val="000000"/>
              </w:rPr>
              <w:t> </w:t>
            </w:r>
            <w:r w:rsidRPr="009B1A37">
              <w:rPr>
                <w:color w:val="000000"/>
              </w:rPr>
              <w:t>%</w:t>
            </w:r>
          </w:p>
        </w:tc>
        <w:tc>
          <w:tcPr>
            <w:tcW w:w="1969" w:type="dxa"/>
            <w:tcBorders>
              <w:left w:val="single" w:sz="4" w:space="0" w:color="000000"/>
              <w:right w:val="single" w:sz="4" w:space="0" w:color="000000"/>
            </w:tcBorders>
          </w:tcPr>
          <w:p w14:paraId="7F612633" w14:textId="77777777" w:rsidR="00D97A44" w:rsidRPr="009B1A37" w:rsidRDefault="00D97A44" w:rsidP="009F41EF">
            <w:pPr>
              <w:pStyle w:val="EndnoteText"/>
              <w:keepNext/>
              <w:widowControl w:val="0"/>
              <w:tabs>
                <w:tab w:val="clear" w:pos="567"/>
              </w:tabs>
              <w:suppressAutoHyphens w:val="0"/>
              <w:snapToGrid w:val="0"/>
              <w:jc w:val="center"/>
              <w:rPr>
                <w:color w:val="000000"/>
              </w:rPr>
            </w:pPr>
            <w:r w:rsidRPr="009B1A37">
              <w:rPr>
                <w:color w:val="000000"/>
              </w:rPr>
              <w:t>7</w:t>
            </w:r>
            <w:r w:rsidR="00BB39E8" w:rsidRPr="009B1A37">
              <w:rPr>
                <w:color w:val="000000"/>
              </w:rPr>
              <w:t> </w:t>
            </w:r>
            <w:r w:rsidRPr="009B1A37">
              <w:rPr>
                <w:color w:val="000000"/>
              </w:rPr>
              <w:t>%</w:t>
            </w:r>
          </w:p>
        </w:tc>
      </w:tr>
      <w:tr w:rsidR="00D97A44" w:rsidRPr="009B1A37" w14:paraId="60330659" w14:textId="77777777" w:rsidTr="009F41EF">
        <w:trPr>
          <w:cantSplit/>
        </w:trPr>
        <w:tc>
          <w:tcPr>
            <w:tcW w:w="3227" w:type="dxa"/>
            <w:tcBorders>
              <w:left w:val="single" w:sz="4" w:space="0" w:color="000000"/>
            </w:tcBorders>
          </w:tcPr>
          <w:p w14:paraId="1707D0AF" w14:textId="77777777" w:rsidR="00D97A44" w:rsidRPr="009B1A37" w:rsidRDefault="00D97A44" w:rsidP="009F41EF">
            <w:pPr>
              <w:pStyle w:val="Zkladntextodsazen21"/>
              <w:keepNext/>
              <w:widowControl w:val="0"/>
              <w:tabs>
                <w:tab w:val="left" w:pos="851"/>
                <w:tab w:val="left" w:pos="1135"/>
                <w:tab w:val="left" w:pos="1419"/>
              </w:tabs>
              <w:suppressAutoHyphens w:val="0"/>
              <w:snapToGrid w:val="0"/>
              <w:spacing w:line="240" w:lineRule="auto"/>
              <w:ind w:left="284" w:firstLine="0"/>
              <w:rPr>
                <w:b w:val="0"/>
                <w:color w:val="000000"/>
              </w:rPr>
            </w:pPr>
            <w:r w:rsidRPr="009B1A37">
              <w:rPr>
                <w:b w:val="0"/>
                <w:color w:val="000000"/>
              </w:rPr>
              <w:t>(Potvrzeno</w:t>
            </w:r>
            <w:r w:rsidRPr="009B1A37">
              <w:rPr>
                <w:b w:val="0"/>
                <w:color w:val="000000"/>
                <w:vertAlign w:val="superscript"/>
              </w:rPr>
              <w:t>3</w:t>
            </w:r>
            <w:r w:rsidRPr="009B1A37">
              <w:rPr>
                <w:b w:val="0"/>
                <w:color w:val="000000"/>
              </w:rPr>
              <w:t>) [95% CI]</w:t>
            </w:r>
          </w:p>
        </w:tc>
        <w:tc>
          <w:tcPr>
            <w:tcW w:w="1898" w:type="dxa"/>
            <w:tcBorders>
              <w:left w:val="single" w:sz="4" w:space="0" w:color="000000"/>
            </w:tcBorders>
          </w:tcPr>
          <w:p w14:paraId="21DD9541" w14:textId="77777777" w:rsidR="00D97A44" w:rsidRPr="009B1A37" w:rsidRDefault="00D97A44" w:rsidP="009F41EF">
            <w:pPr>
              <w:pStyle w:val="Zkladntextodsazen21"/>
              <w:keepNext/>
              <w:widowControl w:val="0"/>
              <w:suppressAutoHyphens w:val="0"/>
              <w:snapToGrid w:val="0"/>
              <w:spacing w:line="240" w:lineRule="auto"/>
              <w:ind w:right="-53"/>
              <w:jc w:val="center"/>
              <w:rPr>
                <w:b w:val="0"/>
                <w:color w:val="000000"/>
              </w:rPr>
            </w:pPr>
            <w:r w:rsidRPr="009B1A37">
              <w:rPr>
                <w:b w:val="0"/>
                <w:color w:val="000000"/>
              </w:rPr>
              <w:t>(43</w:t>
            </w:r>
            <w:r w:rsidR="00BB39E8" w:rsidRPr="009B1A37">
              <w:rPr>
                <w:b w:val="0"/>
                <w:color w:val="000000"/>
              </w:rPr>
              <w:t> </w:t>
            </w:r>
            <w:r w:rsidRPr="009B1A37">
              <w:rPr>
                <w:b w:val="0"/>
                <w:color w:val="000000"/>
              </w:rPr>
              <w:t>%) [38,6–47,2]</w:t>
            </w:r>
          </w:p>
        </w:tc>
        <w:tc>
          <w:tcPr>
            <w:tcW w:w="1985" w:type="dxa"/>
            <w:tcBorders>
              <w:left w:val="single" w:sz="4" w:space="0" w:color="000000"/>
            </w:tcBorders>
          </w:tcPr>
          <w:p w14:paraId="4CB3A39F" w14:textId="77777777" w:rsidR="00D97A44" w:rsidRPr="009B1A37" w:rsidRDefault="00D97A44" w:rsidP="009F41EF">
            <w:pPr>
              <w:pStyle w:val="Zkladntextodsazen21"/>
              <w:keepNext/>
              <w:widowControl w:val="0"/>
              <w:suppressAutoHyphens w:val="0"/>
              <w:snapToGrid w:val="0"/>
              <w:spacing w:line="240" w:lineRule="auto"/>
              <w:jc w:val="center"/>
              <w:rPr>
                <w:b w:val="0"/>
                <w:color w:val="000000"/>
              </w:rPr>
            </w:pPr>
            <w:r w:rsidRPr="009B1A37">
              <w:rPr>
                <w:b w:val="0"/>
                <w:color w:val="000000"/>
              </w:rPr>
              <w:t>(16</w:t>
            </w:r>
            <w:r w:rsidR="00BB39E8" w:rsidRPr="009B1A37">
              <w:rPr>
                <w:b w:val="0"/>
                <w:color w:val="000000"/>
              </w:rPr>
              <w:t> </w:t>
            </w:r>
            <w:r w:rsidRPr="009B1A37">
              <w:rPr>
                <w:b w:val="0"/>
                <w:color w:val="000000"/>
              </w:rPr>
              <w:t>%) [11,3–21,0]</w:t>
            </w:r>
          </w:p>
        </w:tc>
        <w:tc>
          <w:tcPr>
            <w:tcW w:w="1969" w:type="dxa"/>
            <w:tcBorders>
              <w:left w:val="single" w:sz="4" w:space="0" w:color="000000"/>
              <w:right w:val="single" w:sz="4" w:space="0" w:color="000000"/>
            </w:tcBorders>
          </w:tcPr>
          <w:p w14:paraId="2298EFC4" w14:textId="77777777" w:rsidR="00D97A44" w:rsidRPr="009B1A37" w:rsidRDefault="00D97A44" w:rsidP="009F41EF">
            <w:pPr>
              <w:pStyle w:val="Zkladntextodsazen21"/>
              <w:keepNext/>
              <w:widowControl w:val="0"/>
              <w:suppressAutoHyphens w:val="0"/>
              <w:snapToGrid w:val="0"/>
              <w:spacing w:line="240" w:lineRule="auto"/>
              <w:jc w:val="center"/>
              <w:rPr>
                <w:b w:val="0"/>
                <w:color w:val="000000"/>
              </w:rPr>
            </w:pPr>
            <w:r w:rsidRPr="009B1A37">
              <w:rPr>
                <w:b w:val="0"/>
                <w:color w:val="000000"/>
              </w:rPr>
              <w:t>(2</w:t>
            </w:r>
            <w:r w:rsidR="00BB39E8" w:rsidRPr="009B1A37">
              <w:rPr>
                <w:b w:val="0"/>
                <w:color w:val="000000"/>
              </w:rPr>
              <w:t> </w:t>
            </w:r>
            <w:r w:rsidRPr="009B1A37">
              <w:rPr>
                <w:b w:val="0"/>
                <w:color w:val="000000"/>
              </w:rPr>
              <w:t>%) [0,6–4,4]</w:t>
            </w:r>
          </w:p>
        </w:tc>
      </w:tr>
      <w:tr w:rsidR="00D97A44" w:rsidRPr="009B1A37" w14:paraId="6594524C" w14:textId="77777777" w:rsidTr="009F41EF">
        <w:trPr>
          <w:cantSplit/>
        </w:trPr>
        <w:tc>
          <w:tcPr>
            <w:tcW w:w="3227" w:type="dxa"/>
            <w:tcBorders>
              <w:left w:val="single" w:sz="4" w:space="0" w:color="000000"/>
            </w:tcBorders>
          </w:tcPr>
          <w:p w14:paraId="20875D80" w14:textId="77777777" w:rsidR="00D97A44" w:rsidRPr="009B1A37" w:rsidRDefault="00D97A44" w:rsidP="009F41EF">
            <w:pPr>
              <w:pStyle w:val="EndnoteText"/>
              <w:keepNext/>
              <w:widowControl w:val="0"/>
              <w:tabs>
                <w:tab w:val="clear" w:pos="567"/>
              </w:tabs>
              <w:suppressAutoHyphens w:val="0"/>
              <w:snapToGrid w:val="0"/>
              <w:ind w:left="284"/>
              <w:rPr>
                <w:color w:val="000000"/>
              </w:rPr>
            </w:pPr>
            <w:r w:rsidRPr="009B1A37">
              <w:rPr>
                <w:color w:val="000000"/>
              </w:rPr>
              <w:t>Parciální</w:t>
            </w:r>
          </w:p>
        </w:tc>
        <w:tc>
          <w:tcPr>
            <w:tcW w:w="1898" w:type="dxa"/>
            <w:tcBorders>
              <w:left w:val="single" w:sz="4" w:space="0" w:color="000000"/>
            </w:tcBorders>
          </w:tcPr>
          <w:p w14:paraId="041AB0D3" w14:textId="77777777" w:rsidR="00D97A44" w:rsidRPr="009B1A37" w:rsidRDefault="00D97A44" w:rsidP="009F41EF">
            <w:pPr>
              <w:pStyle w:val="EndnoteText"/>
              <w:keepNext/>
              <w:widowControl w:val="0"/>
              <w:tabs>
                <w:tab w:val="clear" w:pos="567"/>
              </w:tabs>
              <w:suppressAutoHyphens w:val="0"/>
              <w:snapToGrid w:val="0"/>
              <w:jc w:val="center"/>
              <w:rPr>
                <w:color w:val="000000"/>
              </w:rPr>
            </w:pPr>
            <w:r w:rsidRPr="009B1A37">
              <w:rPr>
                <w:color w:val="000000"/>
              </w:rPr>
              <w:t>12</w:t>
            </w:r>
            <w:r w:rsidR="00BB39E8" w:rsidRPr="009B1A37">
              <w:rPr>
                <w:color w:val="000000"/>
              </w:rPr>
              <w:t> </w:t>
            </w:r>
            <w:r w:rsidRPr="009B1A37">
              <w:rPr>
                <w:color w:val="000000"/>
              </w:rPr>
              <w:t>%</w:t>
            </w:r>
          </w:p>
        </w:tc>
        <w:tc>
          <w:tcPr>
            <w:tcW w:w="1985" w:type="dxa"/>
            <w:tcBorders>
              <w:left w:val="single" w:sz="4" w:space="0" w:color="000000"/>
            </w:tcBorders>
          </w:tcPr>
          <w:p w14:paraId="0EFE4068" w14:textId="77777777" w:rsidR="00D97A44" w:rsidRPr="009B1A37" w:rsidRDefault="00D97A44" w:rsidP="009F41EF">
            <w:pPr>
              <w:pStyle w:val="EndnoteText"/>
              <w:keepNext/>
              <w:widowControl w:val="0"/>
              <w:tabs>
                <w:tab w:val="clear" w:pos="567"/>
              </w:tabs>
              <w:suppressAutoHyphens w:val="0"/>
              <w:snapToGrid w:val="0"/>
              <w:jc w:val="center"/>
              <w:rPr>
                <w:color w:val="000000"/>
              </w:rPr>
            </w:pPr>
            <w:r w:rsidRPr="009B1A37">
              <w:rPr>
                <w:color w:val="000000"/>
              </w:rPr>
              <w:t>7</w:t>
            </w:r>
            <w:r w:rsidR="00BB39E8" w:rsidRPr="009B1A37">
              <w:rPr>
                <w:color w:val="000000"/>
              </w:rPr>
              <w:t> </w:t>
            </w:r>
            <w:r w:rsidRPr="009B1A37">
              <w:rPr>
                <w:color w:val="000000"/>
              </w:rPr>
              <w:t>%</w:t>
            </w:r>
          </w:p>
        </w:tc>
        <w:tc>
          <w:tcPr>
            <w:tcW w:w="1969" w:type="dxa"/>
            <w:tcBorders>
              <w:left w:val="single" w:sz="4" w:space="0" w:color="000000"/>
              <w:right w:val="single" w:sz="4" w:space="0" w:color="000000"/>
            </w:tcBorders>
          </w:tcPr>
          <w:p w14:paraId="4AF9A0A2" w14:textId="77777777" w:rsidR="00D97A44" w:rsidRPr="009B1A37" w:rsidRDefault="00D97A44" w:rsidP="009F41EF">
            <w:pPr>
              <w:pStyle w:val="EndnoteText"/>
              <w:keepNext/>
              <w:widowControl w:val="0"/>
              <w:tabs>
                <w:tab w:val="clear" w:pos="567"/>
              </w:tabs>
              <w:suppressAutoHyphens w:val="0"/>
              <w:snapToGrid w:val="0"/>
              <w:jc w:val="center"/>
              <w:rPr>
                <w:color w:val="000000"/>
              </w:rPr>
            </w:pPr>
            <w:r w:rsidRPr="009B1A37">
              <w:rPr>
                <w:color w:val="000000"/>
              </w:rPr>
              <w:t>8</w:t>
            </w:r>
            <w:r w:rsidR="00BB39E8" w:rsidRPr="009B1A37">
              <w:rPr>
                <w:color w:val="000000"/>
              </w:rPr>
              <w:t> </w:t>
            </w:r>
            <w:r w:rsidRPr="009B1A37">
              <w:rPr>
                <w:color w:val="000000"/>
              </w:rPr>
              <w:t>%</w:t>
            </w:r>
          </w:p>
        </w:tc>
      </w:tr>
      <w:tr w:rsidR="00D97A44" w:rsidRPr="009B1A37" w14:paraId="3670F9BB" w14:textId="77777777" w:rsidTr="009F41EF">
        <w:trPr>
          <w:cantSplit/>
        </w:trPr>
        <w:tc>
          <w:tcPr>
            <w:tcW w:w="9079" w:type="dxa"/>
            <w:gridSpan w:val="4"/>
            <w:tcBorders>
              <w:top w:val="single" w:sz="4" w:space="0" w:color="000000"/>
              <w:left w:val="single" w:sz="4" w:space="0" w:color="000000"/>
              <w:bottom w:val="single" w:sz="4" w:space="0" w:color="000000"/>
              <w:right w:val="single" w:sz="4" w:space="0" w:color="000000"/>
            </w:tcBorders>
          </w:tcPr>
          <w:p w14:paraId="06261996" w14:textId="77777777" w:rsidR="00D97A44" w:rsidRPr="009B1A37" w:rsidRDefault="00D97A44" w:rsidP="009F41EF">
            <w:pPr>
              <w:pStyle w:val="Table"/>
              <w:keepNext w:val="0"/>
              <w:keepLines w:val="0"/>
              <w:widowControl w:val="0"/>
              <w:snapToGrid w:val="0"/>
              <w:spacing w:before="0" w:after="0"/>
              <w:rPr>
                <w:rFonts w:ascii="Times New Roman" w:hAnsi="Times New Roman" w:cs="Times New Roman"/>
                <w:b/>
                <w:bCs/>
                <w:color w:val="000000"/>
                <w:sz w:val="22"/>
                <w:szCs w:val="22"/>
                <w:lang w:val="cs-CZ"/>
              </w:rPr>
            </w:pPr>
            <w:r w:rsidRPr="009B1A37">
              <w:rPr>
                <w:rFonts w:ascii="Times New Roman" w:hAnsi="Times New Roman" w:cs="Times New Roman"/>
                <w:b/>
                <w:bCs/>
                <w:color w:val="000000"/>
                <w:sz w:val="22"/>
                <w:szCs w:val="22"/>
                <w:vertAlign w:val="superscript"/>
                <w:lang w:val="cs-CZ"/>
              </w:rPr>
              <w:t xml:space="preserve">1 </w:t>
            </w:r>
            <w:r w:rsidRPr="009B1A37">
              <w:rPr>
                <w:rFonts w:ascii="Times New Roman" w:hAnsi="Times New Roman" w:cs="Times New Roman"/>
                <w:b/>
                <w:bCs/>
                <w:color w:val="000000"/>
                <w:sz w:val="22"/>
                <w:szCs w:val="22"/>
                <w:lang w:val="cs-CZ"/>
              </w:rPr>
              <w:t xml:space="preserve">Kritéria hematologické odpovědi (všechny odpovědi byly potvrzeny za </w:t>
            </w:r>
            <w:r w:rsidRPr="009B1A37">
              <w:rPr>
                <w:rFonts w:ascii="Symbol" w:hAnsi="Symbol"/>
                <w:b/>
                <w:bCs/>
                <w:color w:val="000000"/>
                <w:sz w:val="22"/>
                <w:szCs w:val="22"/>
                <w:lang w:val="cs-CZ"/>
              </w:rPr>
              <w:t></w:t>
            </w:r>
            <w:r w:rsidRPr="009B1A37">
              <w:rPr>
                <w:rFonts w:ascii="Times New Roman" w:hAnsi="Times New Roman" w:cs="Times New Roman"/>
                <w:b/>
                <w:bCs/>
                <w:color w:val="000000"/>
                <w:sz w:val="22"/>
                <w:szCs w:val="22"/>
                <w:lang w:val="cs-CZ"/>
              </w:rPr>
              <w:t> 4 týdny):</w:t>
            </w:r>
          </w:p>
          <w:p w14:paraId="7EB03926" w14:textId="77777777" w:rsidR="00D97A44" w:rsidRPr="009B1A37" w:rsidRDefault="00D97A44" w:rsidP="009F41EF">
            <w:pPr>
              <w:pStyle w:val="Table"/>
              <w:keepNext w:val="0"/>
              <w:keepLines w:val="0"/>
              <w:widowControl w:val="0"/>
              <w:tabs>
                <w:tab w:val="clear" w:pos="284"/>
                <w:tab w:val="clear" w:pos="567"/>
                <w:tab w:val="left" w:pos="2268"/>
              </w:tabs>
              <w:spacing w:before="0" w:after="0"/>
              <w:ind w:left="567" w:hanging="567"/>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CHR</w:t>
              </w:r>
            </w:smartTag>
            <w:r w:rsidRPr="009B1A37">
              <w:rPr>
                <w:rFonts w:ascii="Times New Roman" w:hAnsi="Times New Roman" w:cs="Times New Roman"/>
                <w:color w:val="000000"/>
                <w:sz w:val="22"/>
                <w:szCs w:val="22"/>
                <w:lang w:val="cs-CZ"/>
              </w:rPr>
              <w:tab/>
              <w:t xml:space="preserve">Studie 0110 [Počet </w:t>
            </w:r>
            <w:r w:rsidR="00B65210" w:rsidRPr="009B1A37">
              <w:rPr>
                <w:rFonts w:ascii="Times New Roman" w:hAnsi="Times New Roman" w:cs="Times New Roman"/>
                <w:color w:val="000000"/>
                <w:sz w:val="22"/>
                <w:szCs w:val="22"/>
                <w:lang w:val="cs-CZ"/>
              </w:rPr>
              <w:t>leukocytů</w:t>
            </w:r>
            <w:r w:rsidRPr="009B1A37">
              <w:rPr>
                <w:rFonts w:ascii="Times New Roman" w:hAnsi="Times New Roman" w:cs="Times New Roman"/>
                <w:color w:val="000000"/>
                <w:sz w:val="22"/>
                <w:szCs w:val="22"/>
                <w:lang w:val="cs-CZ"/>
              </w:rPr>
              <w:t xml:space="preserve"> &lt; 10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 xml:space="preserve">/l, </w:t>
            </w:r>
            <w:r w:rsidR="00B65210" w:rsidRPr="009B1A37">
              <w:rPr>
                <w:rFonts w:ascii="Times New Roman" w:hAnsi="Times New Roman" w:cs="Times New Roman"/>
                <w:color w:val="000000"/>
                <w:sz w:val="22"/>
                <w:szCs w:val="22"/>
                <w:lang w:val="cs-CZ"/>
              </w:rPr>
              <w:t>trombocyty</w:t>
            </w:r>
            <w:r w:rsidRPr="009B1A37">
              <w:rPr>
                <w:rFonts w:ascii="Times New Roman" w:hAnsi="Times New Roman" w:cs="Times New Roman"/>
                <w:color w:val="000000"/>
                <w:sz w:val="22"/>
                <w:szCs w:val="22"/>
                <w:lang w:val="cs-CZ"/>
              </w:rPr>
              <w:t xml:space="preserve"> &lt; 450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/l, myelocyty+metamyelocyty &lt; 5</w:t>
            </w:r>
            <w:r w:rsidR="00FB1F74"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 v krvi, žádné blasty ani promyelocyty v krvi, basofily &lt; 20</w:t>
            </w:r>
            <w:r w:rsidR="00FB1F74"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 xml:space="preserve">%, žádné extramedulární postižení] a ve studiích </w:t>
            </w:r>
            <w:smartTag w:uri="urn:schemas-microsoft-com:office:smarttags" w:element="metricconverter">
              <w:smartTagPr>
                <w:attr w:name="ProductID" w:val="0102 a"/>
              </w:smartTagPr>
              <w:r w:rsidRPr="009B1A37">
                <w:rPr>
                  <w:rFonts w:ascii="Times New Roman" w:hAnsi="Times New Roman" w:cs="Times New Roman"/>
                  <w:color w:val="000000"/>
                  <w:sz w:val="22"/>
                  <w:szCs w:val="22"/>
                  <w:lang w:val="cs-CZ"/>
                </w:rPr>
                <w:t>0102 a</w:t>
              </w:r>
            </w:smartTag>
            <w:r w:rsidRPr="009B1A37">
              <w:rPr>
                <w:rFonts w:ascii="Times New Roman" w:hAnsi="Times New Roman" w:cs="Times New Roman"/>
                <w:color w:val="000000"/>
                <w:sz w:val="22"/>
                <w:szCs w:val="22"/>
                <w:lang w:val="cs-CZ"/>
              </w:rPr>
              <w:t xml:space="preserve"> 0109 [ANC </w:t>
            </w:r>
            <w:r w:rsidRPr="009B1A37">
              <w:rPr>
                <w:rFonts w:ascii="Symbol" w:hAnsi="Symbol"/>
                <w:color w:val="000000"/>
                <w:sz w:val="22"/>
                <w:szCs w:val="22"/>
                <w:lang w:val="cs-CZ"/>
              </w:rPr>
              <w:t></w:t>
            </w:r>
            <w:r w:rsidRPr="009B1A37">
              <w:rPr>
                <w:rFonts w:ascii="Times New Roman" w:hAnsi="Times New Roman" w:cs="Times New Roman"/>
                <w:color w:val="000000"/>
                <w:sz w:val="22"/>
                <w:szCs w:val="22"/>
                <w:lang w:val="cs-CZ"/>
              </w:rPr>
              <w:t> 1,5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 xml:space="preserve">/l, </w:t>
            </w:r>
            <w:r w:rsidR="0098741C" w:rsidRPr="009B1A37">
              <w:rPr>
                <w:rFonts w:ascii="Times New Roman" w:hAnsi="Times New Roman" w:cs="Times New Roman"/>
                <w:color w:val="000000"/>
                <w:sz w:val="22"/>
                <w:szCs w:val="22"/>
                <w:lang w:val="cs-CZ"/>
              </w:rPr>
              <w:t>trombocyty</w:t>
            </w:r>
            <w:r w:rsidRPr="009B1A37">
              <w:rPr>
                <w:rFonts w:ascii="Times New Roman" w:hAnsi="Times New Roman" w:cs="Times New Roman"/>
                <w:color w:val="000000"/>
                <w:sz w:val="22"/>
                <w:szCs w:val="22"/>
                <w:lang w:val="cs-CZ"/>
              </w:rPr>
              <w:t xml:space="preserve"> </w:t>
            </w:r>
            <w:r w:rsidRPr="009B1A37">
              <w:rPr>
                <w:rFonts w:ascii="Symbol" w:hAnsi="Symbol"/>
                <w:color w:val="000000"/>
                <w:sz w:val="22"/>
                <w:szCs w:val="22"/>
                <w:lang w:val="cs-CZ"/>
              </w:rPr>
              <w:t></w:t>
            </w:r>
            <w:r w:rsidRPr="009B1A37">
              <w:rPr>
                <w:rFonts w:ascii="Times New Roman" w:hAnsi="Times New Roman" w:cs="Times New Roman"/>
                <w:color w:val="000000"/>
                <w:sz w:val="22"/>
                <w:szCs w:val="22"/>
                <w:lang w:val="cs-CZ"/>
              </w:rPr>
              <w:t> 100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/l, žádné blasty v krvi, BM blasty &lt; 5</w:t>
            </w:r>
            <w:r w:rsidR="00FB1F74"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 a žádné extramedulární postižení]</w:t>
            </w:r>
          </w:p>
          <w:p w14:paraId="498D66B5" w14:textId="77777777" w:rsidR="00D97A44" w:rsidRPr="009B1A37" w:rsidRDefault="00D97A44" w:rsidP="009F41EF">
            <w:pPr>
              <w:pStyle w:val="Table"/>
              <w:keepNext w:val="0"/>
              <w:keepLines w:val="0"/>
              <w:widowControl w:val="0"/>
              <w:spacing w:before="0" w:after="0"/>
              <w:ind w:left="567" w:hanging="567"/>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NEL</w:t>
            </w:r>
            <w:r w:rsidRPr="009B1A37">
              <w:rPr>
                <w:rFonts w:ascii="Times New Roman" w:hAnsi="Times New Roman" w:cs="Times New Roman"/>
                <w:color w:val="000000"/>
                <w:sz w:val="22"/>
                <w:szCs w:val="22"/>
                <w:lang w:val="cs-CZ"/>
              </w:rPr>
              <w:tab/>
              <w:t xml:space="preserve">stejná kritéria jako pro </w:t>
            </w:r>
            <w:smartTag w:uri="urn:schemas-microsoft-com:office:smarttags" w:element="stockticker">
              <w:r w:rsidRPr="009B1A37">
                <w:rPr>
                  <w:rFonts w:ascii="Times New Roman" w:hAnsi="Times New Roman" w:cs="Times New Roman"/>
                  <w:color w:val="000000"/>
                  <w:sz w:val="22"/>
                  <w:szCs w:val="22"/>
                  <w:lang w:val="cs-CZ"/>
                </w:rPr>
                <w:t>CHR</w:t>
              </w:r>
            </w:smartTag>
            <w:r w:rsidRPr="009B1A37">
              <w:rPr>
                <w:rFonts w:ascii="Times New Roman" w:hAnsi="Times New Roman" w:cs="Times New Roman"/>
                <w:color w:val="000000"/>
                <w:sz w:val="22"/>
                <w:szCs w:val="22"/>
                <w:lang w:val="cs-CZ"/>
              </w:rPr>
              <w:t xml:space="preserve"> ale ANC </w:t>
            </w:r>
            <w:r w:rsidRPr="009B1A37">
              <w:rPr>
                <w:rFonts w:ascii="Symbol" w:hAnsi="Symbol"/>
                <w:color w:val="000000"/>
                <w:sz w:val="22"/>
                <w:szCs w:val="22"/>
                <w:lang w:val="cs-CZ"/>
              </w:rPr>
              <w:t></w:t>
            </w:r>
            <w:r w:rsidRPr="009B1A37">
              <w:rPr>
                <w:rFonts w:ascii="Times New Roman" w:hAnsi="Times New Roman" w:cs="Times New Roman"/>
                <w:color w:val="000000"/>
                <w:sz w:val="22"/>
                <w:szCs w:val="22"/>
                <w:lang w:val="cs-CZ"/>
              </w:rPr>
              <w:t> 1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 xml:space="preserve">/l a </w:t>
            </w:r>
            <w:r w:rsidR="0098741C" w:rsidRPr="009B1A37">
              <w:rPr>
                <w:rFonts w:ascii="Times New Roman" w:hAnsi="Times New Roman" w:cs="Times New Roman"/>
                <w:color w:val="000000"/>
                <w:sz w:val="22"/>
                <w:szCs w:val="22"/>
                <w:lang w:val="cs-CZ"/>
              </w:rPr>
              <w:t>trombocyty</w:t>
            </w:r>
            <w:r w:rsidRPr="009B1A37">
              <w:rPr>
                <w:rFonts w:ascii="Times New Roman" w:hAnsi="Times New Roman" w:cs="Times New Roman"/>
                <w:color w:val="000000"/>
                <w:sz w:val="22"/>
                <w:szCs w:val="22"/>
                <w:lang w:val="cs-CZ"/>
              </w:rPr>
              <w:t xml:space="preserve"> </w:t>
            </w:r>
            <w:r w:rsidRPr="009B1A37">
              <w:rPr>
                <w:rFonts w:ascii="Symbol" w:hAnsi="Symbol"/>
                <w:color w:val="000000"/>
                <w:sz w:val="22"/>
                <w:szCs w:val="22"/>
                <w:lang w:val="cs-CZ"/>
              </w:rPr>
              <w:t></w:t>
            </w:r>
            <w:r w:rsidRPr="009B1A37">
              <w:rPr>
                <w:rFonts w:ascii="Times New Roman" w:hAnsi="Times New Roman" w:cs="Times New Roman"/>
                <w:color w:val="000000"/>
                <w:sz w:val="22"/>
                <w:szCs w:val="22"/>
                <w:lang w:val="cs-CZ"/>
              </w:rPr>
              <w:t> 20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/l (</w:t>
            </w:r>
            <w:smartTag w:uri="urn:schemas-microsoft-com:office:smarttags" w:element="metricconverter">
              <w:smartTagPr>
                <w:attr w:name="ProductID" w:val="0102 a"/>
              </w:smartTagPr>
              <w:r w:rsidRPr="009B1A37">
                <w:rPr>
                  <w:rFonts w:ascii="Times New Roman" w:hAnsi="Times New Roman" w:cs="Times New Roman"/>
                  <w:color w:val="000000"/>
                  <w:sz w:val="22"/>
                  <w:szCs w:val="22"/>
                  <w:lang w:val="cs-CZ"/>
                </w:rPr>
                <w:t>0102 a</w:t>
              </w:r>
            </w:smartTag>
            <w:r w:rsidRPr="009B1A37">
              <w:rPr>
                <w:rFonts w:ascii="Times New Roman" w:hAnsi="Times New Roman" w:cs="Times New Roman"/>
                <w:color w:val="000000"/>
                <w:sz w:val="22"/>
                <w:szCs w:val="22"/>
                <w:lang w:val="cs-CZ"/>
              </w:rPr>
              <w:t xml:space="preserve"> 0109 pouze)</w:t>
            </w:r>
          </w:p>
          <w:p w14:paraId="50AA09FD" w14:textId="77777777" w:rsidR="00D97A44" w:rsidRPr="009B1A37" w:rsidRDefault="00D97A44" w:rsidP="009F41EF">
            <w:pPr>
              <w:pStyle w:val="Table"/>
              <w:keepNext w:val="0"/>
              <w:keepLines w:val="0"/>
              <w:widowControl w:val="0"/>
              <w:tabs>
                <w:tab w:val="clear" w:pos="284"/>
                <w:tab w:val="clear" w:pos="567"/>
                <w:tab w:val="left" w:pos="2268"/>
              </w:tabs>
              <w:spacing w:before="0" w:after="0"/>
              <w:ind w:left="567" w:hanging="567"/>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RTC</w:t>
              </w:r>
            </w:smartTag>
            <w:r w:rsidRPr="009B1A37">
              <w:rPr>
                <w:rFonts w:ascii="Times New Roman" w:hAnsi="Times New Roman" w:cs="Times New Roman"/>
                <w:color w:val="000000"/>
                <w:sz w:val="22"/>
                <w:szCs w:val="22"/>
                <w:lang w:val="cs-CZ"/>
              </w:rPr>
              <w:tab/>
              <w:t>&lt; 15</w:t>
            </w:r>
            <w:r w:rsidR="00FB1F74"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 blastů v BM a PB, &lt; 30</w:t>
            </w:r>
            <w:r w:rsidR="00FB1F74"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 blastů+promyelocytů v BM a PB, &lt; 20</w:t>
            </w:r>
            <w:r w:rsidR="00FB1F74"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 xml:space="preserve">% basofilů v PB, žádné jiné extramedulární postižení než ve slezině a játrech (pouze pro </w:t>
            </w:r>
            <w:smartTag w:uri="urn:schemas-microsoft-com:office:smarttags" w:element="metricconverter">
              <w:smartTagPr>
                <w:attr w:name="ProductID" w:val="0102 a"/>
              </w:smartTagPr>
              <w:r w:rsidRPr="009B1A37">
                <w:rPr>
                  <w:rFonts w:ascii="Times New Roman" w:hAnsi="Times New Roman" w:cs="Times New Roman"/>
                  <w:color w:val="000000"/>
                  <w:sz w:val="22"/>
                  <w:szCs w:val="22"/>
                  <w:lang w:val="cs-CZ"/>
                </w:rPr>
                <w:t>0102 a</w:t>
              </w:r>
            </w:smartTag>
            <w:r w:rsidRPr="009B1A37">
              <w:rPr>
                <w:rFonts w:ascii="Times New Roman" w:hAnsi="Times New Roman" w:cs="Times New Roman"/>
                <w:color w:val="000000"/>
                <w:sz w:val="22"/>
                <w:szCs w:val="22"/>
                <w:lang w:val="cs-CZ"/>
              </w:rPr>
              <w:t xml:space="preserve"> 0109).</w:t>
            </w:r>
          </w:p>
          <w:p w14:paraId="264E1FC1" w14:textId="77777777" w:rsidR="00D97A44" w:rsidRPr="009B1A37" w:rsidRDefault="00D97A44" w:rsidP="009F41EF">
            <w:pPr>
              <w:pStyle w:val="Table"/>
              <w:keepNext w:val="0"/>
              <w:keepLines w:val="0"/>
              <w:widowControl w:val="0"/>
              <w:tabs>
                <w:tab w:val="clear" w:pos="284"/>
                <w:tab w:val="clear" w:pos="567"/>
                <w:tab w:val="left" w:pos="2268"/>
              </w:tabs>
              <w:spacing w:before="0" w:after="0"/>
              <w:ind w:left="567" w:hanging="567"/>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 xml:space="preserve">BM = </w:t>
            </w:r>
            <w:r w:rsidR="0098741C" w:rsidRPr="009B1A37">
              <w:rPr>
                <w:rFonts w:ascii="Times New Roman" w:hAnsi="Times New Roman" w:cs="Times New Roman"/>
                <w:color w:val="000000"/>
                <w:sz w:val="22"/>
                <w:szCs w:val="22"/>
                <w:lang w:val="cs-CZ"/>
              </w:rPr>
              <w:t>k</w:t>
            </w:r>
            <w:r w:rsidRPr="009B1A37">
              <w:rPr>
                <w:rFonts w:ascii="Times New Roman" w:hAnsi="Times New Roman" w:cs="Times New Roman"/>
                <w:color w:val="000000"/>
                <w:sz w:val="22"/>
                <w:szCs w:val="22"/>
                <w:lang w:val="cs-CZ"/>
              </w:rPr>
              <w:t>ostní dřeň, PB = periferní krev</w:t>
            </w:r>
          </w:p>
          <w:p w14:paraId="1E24F7B9" w14:textId="77777777" w:rsidR="00D97A44" w:rsidRPr="009B1A37" w:rsidRDefault="00D97A44" w:rsidP="009F41EF">
            <w:pPr>
              <w:pStyle w:val="Table"/>
              <w:keepNext w:val="0"/>
              <w:keepLines w:val="0"/>
              <w:widowControl w:val="0"/>
              <w:spacing w:before="0" w:after="0"/>
              <w:rPr>
                <w:rFonts w:ascii="Times New Roman" w:hAnsi="Times New Roman" w:cs="Times New Roman"/>
                <w:b/>
                <w:bCs/>
                <w:color w:val="000000"/>
                <w:sz w:val="22"/>
                <w:szCs w:val="22"/>
                <w:lang w:val="cs-CZ"/>
              </w:rPr>
            </w:pPr>
            <w:r w:rsidRPr="009B1A37">
              <w:rPr>
                <w:rFonts w:ascii="Times New Roman" w:hAnsi="Times New Roman" w:cs="Times New Roman"/>
                <w:b/>
                <w:bCs/>
                <w:color w:val="000000"/>
                <w:sz w:val="22"/>
                <w:szCs w:val="22"/>
                <w:vertAlign w:val="superscript"/>
                <w:lang w:val="cs-CZ"/>
              </w:rPr>
              <w:t xml:space="preserve">2 </w:t>
            </w:r>
            <w:r w:rsidRPr="009B1A37">
              <w:rPr>
                <w:rFonts w:ascii="Times New Roman" w:hAnsi="Times New Roman" w:cs="Times New Roman"/>
                <w:b/>
                <w:bCs/>
                <w:color w:val="000000"/>
                <w:sz w:val="22"/>
                <w:szCs w:val="22"/>
                <w:lang w:val="cs-CZ"/>
              </w:rPr>
              <w:t>Kritéria cytogenetické odpovědi:</w:t>
            </w:r>
          </w:p>
          <w:p w14:paraId="0B402810" w14:textId="77777777" w:rsidR="00D97A44" w:rsidRPr="009B1A37" w:rsidRDefault="00D97A44" w:rsidP="009F41EF">
            <w:pPr>
              <w:pStyle w:val="EndnoteText"/>
              <w:widowControl w:val="0"/>
              <w:tabs>
                <w:tab w:val="clear" w:pos="567"/>
              </w:tabs>
              <w:rPr>
                <w:color w:val="000000"/>
              </w:rPr>
            </w:pPr>
            <w:r w:rsidRPr="009B1A37">
              <w:rPr>
                <w:color w:val="000000"/>
              </w:rPr>
              <w:t>Velká odpověď se skládá jak z kompletní tak i parciální odpovědi: kompletní (0% Ph+ metafáze), parciální (1–35</w:t>
            </w:r>
            <w:r w:rsidR="00FB1F74" w:rsidRPr="009B1A37">
              <w:rPr>
                <w:color w:val="000000"/>
              </w:rPr>
              <w:t> </w:t>
            </w:r>
            <w:r w:rsidRPr="009B1A37">
              <w:rPr>
                <w:color w:val="000000"/>
              </w:rPr>
              <w:t>%)</w:t>
            </w:r>
          </w:p>
          <w:p w14:paraId="374D959A" w14:textId="77777777" w:rsidR="00D97A44" w:rsidRPr="009B1A37" w:rsidRDefault="00D97A44" w:rsidP="009F41EF">
            <w:pPr>
              <w:pStyle w:val="EndnoteText"/>
              <w:widowControl w:val="0"/>
              <w:tabs>
                <w:tab w:val="clear" w:pos="567"/>
              </w:tabs>
              <w:rPr>
                <w:color w:val="000000"/>
              </w:rPr>
            </w:pPr>
            <w:r w:rsidRPr="009B1A37">
              <w:rPr>
                <w:color w:val="000000"/>
                <w:vertAlign w:val="superscript"/>
              </w:rPr>
              <w:t>3</w:t>
            </w:r>
            <w:r w:rsidRPr="009B1A37">
              <w:rPr>
                <w:color w:val="000000"/>
              </w:rPr>
              <w:t xml:space="preserve"> Kompletní cytogenetická odpověď potvrzena druhým cytogenetickým hodnocením kostní dřeně provedeným nejméně jeden měsíc po počátečním vyšetření kostní dřeně.</w:t>
            </w:r>
          </w:p>
        </w:tc>
      </w:tr>
    </w:tbl>
    <w:p w14:paraId="27294B09" w14:textId="77777777" w:rsidR="00D97A44" w:rsidRPr="009B1A37" w:rsidRDefault="00D97A44" w:rsidP="00BE3D48">
      <w:pPr>
        <w:pStyle w:val="EndnoteText"/>
        <w:widowControl w:val="0"/>
        <w:tabs>
          <w:tab w:val="clear" w:pos="567"/>
        </w:tabs>
      </w:pPr>
    </w:p>
    <w:p w14:paraId="76305269" w14:textId="77777777" w:rsidR="00D97A44" w:rsidRPr="009B1A37" w:rsidRDefault="00D97A44" w:rsidP="00BE3D48">
      <w:pPr>
        <w:pStyle w:val="EndnoteText"/>
        <w:widowControl w:val="0"/>
        <w:rPr>
          <w:color w:val="000000"/>
        </w:rPr>
      </w:pPr>
      <w:r w:rsidRPr="009B1A37">
        <w:rPr>
          <w:i/>
          <w:iCs/>
          <w:color w:val="000000"/>
        </w:rPr>
        <w:t>Pediatričtí pacienti</w:t>
      </w:r>
      <w:r w:rsidRPr="009B1A37">
        <w:rPr>
          <w:color w:val="000000"/>
        </w:rPr>
        <w:t>: Do studie fáze I zvyšování dávky bylo zahrnuto celkem 26 </w:t>
      </w:r>
      <w:r w:rsidR="0098741C" w:rsidRPr="009B1A37">
        <w:rPr>
          <w:color w:val="000000"/>
        </w:rPr>
        <w:t>pediatrických</w:t>
      </w:r>
      <w:r w:rsidRPr="009B1A37">
        <w:rPr>
          <w:color w:val="000000"/>
        </w:rPr>
        <w:t xml:space="preserve"> pacientů ve věku &lt; 18 let buď s chronickou fází CML (n=11) nebo CML v blastické krizi nebo Ph+ akutními leukemiemi (n=15). Byla to populace silně předléčených pacientů, protože 46</w:t>
      </w:r>
      <w:r w:rsidR="00FB1F74" w:rsidRPr="009B1A37">
        <w:rPr>
          <w:color w:val="000000"/>
        </w:rPr>
        <w:t> </w:t>
      </w:r>
      <w:r w:rsidRPr="009B1A37">
        <w:rPr>
          <w:color w:val="000000"/>
        </w:rPr>
        <w:t>% bylo dříve léčeno BMT a 73</w:t>
      </w:r>
      <w:r w:rsidR="00FB1F74" w:rsidRPr="009B1A37">
        <w:rPr>
          <w:color w:val="000000"/>
        </w:rPr>
        <w:t> </w:t>
      </w:r>
      <w:r w:rsidRPr="009B1A37">
        <w:rPr>
          <w:color w:val="000000"/>
        </w:rPr>
        <w:t>% dostávalo předchozí mnohočetnou chemoterapii. Pacienti byli léčeni dávkami Glivecu 260 mg/m</w:t>
      </w:r>
      <w:r w:rsidRPr="009B1A37">
        <w:rPr>
          <w:color w:val="000000"/>
          <w:vertAlign w:val="superscript"/>
        </w:rPr>
        <w:t>2</w:t>
      </w:r>
      <w:r w:rsidRPr="009B1A37">
        <w:rPr>
          <w:color w:val="000000"/>
        </w:rPr>
        <w:t>/den (n=5), 340 mg/m</w:t>
      </w:r>
      <w:r w:rsidRPr="009B1A37">
        <w:rPr>
          <w:color w:val="000000"/>
          <w:vertAlign w:val="superscript"/>
        </w:rPr>
        <w:t>2</w:t>
      </w:r>
      <w:r w:rsidRPr="009B1A37">
        <w:rPr>
          <w:color w:val="000000"/>
        </w:rPr>
        <w:t>/den (n=9), 440 mg/m</w:t>
      </w:r>
      <w:r w:rsidRPr="009B1A37">
        <w:rPr>
          <w:color w:val="000000"/>
          <w:vertAlign w:val="superscript"/>
        </w:rPr>
        <w:t>2</w:t>
      </w:r>
      <w:r w:rsidRPr="009B1A37">
        <w:rPr>
          <w:color w:val="000000"/>
        </w:rPr>
        <w:t>/den (n=7) a 570 mg/m</w:t>
      </w:r>
      <w:r w:rsidRPr="009B1A37">
        <w:rPr>
          <w:color w:val="000000"/>
          <w:vertAlign w:val="superscript"/>
        </w:rPr>
        <w:t>2</w:t>
      </w:r>
      <w:r w:rsidRPr="009B1A37">
        <w:rPr>
          <w:color w:val="000000"/>
        </w:rPr>
        <w:t>/den (n=5). Z 9 pacientů s chronickou fází CML a dostupnými cytogenetickými údaji, dosáhli 4 (44</w:t>
      </w:r>
      <w:r w:rsidR="00FB1F74" w:rsidRPr="009B1A37">
        <w:rPr>
          <w:color w:val="000000"/>
        </w:rPr>
        <w:t> </w:t>
      </w:r>
      <w:r w:rsidRPr="009B1A37">
        <w:rPr>
          <w:color w:val="000000"/>
        </w:rPr>
        <w:t>%) kompletní a 3 (33</w:t>
      </w:r>
      <w:r w:rsidR="00FB1F74" w:rsidRPr="009B1A37">
        <w:rPr>
          <w:color w:val="000000"/>
        </w:rPr>
        <w:t> </w:t>
      </w:r>
      <w:r w:rsidRPr="009B1A37">
        <w:rPr>
          <w:color w:val="000000"/>
        </w:rPr>
        <w:t xml:space="preserve">%) parciální cytogenetické odpovědi, </w:t>
      </w:r>
      <w:r w:rsidR="0098741C" w:rsidRPr="009B1A37">
        <w:rPr>
          <w:color w:val="000000"/>
        </w:rPr>
        <w:t>výskyt</w:t>
      </w:r>
      <w:r w:rsidRPr="009B1A37">
        <w:rPr>
          <w:color w:val="000000"/>
        </w:rPr>
        <w:t xml:space="preserve"> MCyR 77</w:t>
      </w:r>
      <w:r w:rsidR="00FB1F74" w:rsidRPr="009B1A37">
        <w:rPr>
          <w:color w:val="000000"/>
        </w:rPr>
        <w:t> </w:t>
      </w:r>
      <w:r w:rsidRPr="009B1A37">
        <w:rPr>
          <w:color w:val="000000"/>
        </w:rPr>
        <w:t>%.</w:t>
      </w:r>
    </w:p>
    <w:p w14:paraId="36D6848D" w14:textId="77777777" w:rsidR="00D97A44" w:rsidRPr="009B1A37" w:rsidRDefault="00D97A44" w:rsidP="00BE3D48">
      <w:pPr>
        <w:pStyle w:val="EndnoteText"/>
        <w:widowControl w:val="0"/>
        <w:rPr>
          <w:color w:val="000000"/>
        </w:rPr>
      </w:pPr>
    </w:p>
    <w:p w14:paraId="5EA7D92E" w14:textId="77777777" w:rsidR="00D97A44" w:rsidRPr="009B1A37" w:rsidRDefault="00D97A44" w:rsidP="00BE3D48">
      <w:pPr>
        <w:pStyle w:val="EndnoteText"/>
        <w:widowControl w:val="0"/>
        <w:rPr>
          <w:color w:val="000000"/>
        </w:rPr>
      </w:pPr>
      <w:r w:rsidRPr="009B1A37">
        <w:rPr>
          <w:color w:val="000000"/>
        </w:rPr>
        <w:t>Do otevřené, multicentrické, jednoramenné studie fáze II bylo zařazeno celkem 51 pediatrických pacientů s nově diagnostikovanou neléčenou CML v chronické fázi. Pacienti byli léčeni Glivecem 340 mg/m</w:t>
      </w:r>
      <w:r w:rsidRPr="009B1A37">
        <w:rPr>
          <w:color w:val="000000"/>
          <w:vertAlign w:val="superscript"/>
        </w:rPr>
        <w:t>2</w:t>
      </w:r>
      <w:r w:rsidRPr="009B1A37">
        <w:rPr>
          <w:color w:val="000000"/>
        </w:rPr>
        <w:t xml:space="preserve">/den bez přerušení při absenci dávku limitující toxicity. Léčba Glivecem vyvolala rychlou odpověď u nově diagnostikovaných dětských pacientů s CML s </w:t>
      </w:r>
      <w:smartTag w:uri="urn:schemas-microsoft-com:office:smarttags" w:element="stockticker">
        <w:r w:rsidRPr="009B1A37">
          <w:rPr>
            <w:color w:val="000000"/>
          </w:rPr>
          <w:t>CHR</w:t>
        </w:r>
      </w:smartTag>
      <w:r w:rsidRPr="009B1A37">
        <w:rPr>
          <w:color w:val="000000"/>
        </w:rPr>
        <w:t xml:space="preserve"> 78</w:t>
      </w:r>
      <w:r w:rsidR="00FB1F74" w:rsidRPr="009B1A37">
        <w:rPr>
          <w:color w:val="000000"/>
        </w:rPr>
        <w:t> </w:t>
      </w:r>
      <w:r w:rsidRPr="009B1A37">
        <w:rPr>
          <w:color w:val="000000"/>
        </w:rPr>
        <w:t>% po 8 týdnech léčby. Vysok</w:t>
      </w:r>
      <w:r w:rsidR="0098741C" w:rsidRPr="009B1A37">
        <w:rPr>
          <w:color w:val="000000"/>
        </w:rPr>
        <w:t>ý výskyt</w:t>
      </w:r>
      <w:r w:rsidRPr="009B1A37">
        <w:rPr>
          <w:color w:val="000000"/>
        </w:rPr>
        <w:t xml:space="preserve"> </w:t>
      </w:r>
      <w:smartTag w:uri="urn:schemas-microsoft-com:office:smarttags" w:element="stockticker">
        <w:r w:rsidRPr="009B1A37">
          <w:rPr>
            <w:color w:val="000000"/>
          </w:rPr>
          <w:t>CHR</w:t>
        </w:r>
      </w:smartTag>
      <w:r w:rsidRPr="009B1A37">
        <w:rPr>
          <w:color w:val="000000"/>
        </w:rPr>
        <w:t xml:space="preserve"> byl doprovázen rozvojem kompletní cytogenetické odpovědi (CCyR) u 65</w:t>
      </w:r>
      <w:r w:rsidR="00FB1F74" w:rsidRPr="009B1A37">
        <w:rPr>
          <w:color w:val="000000"/>
        </w:rPr>
        <w:t> </w:t>
      </w:r>
      <w:r w:rsidRPr="009B1A37">
        <w:rPr>
          <w:color w:val="000000"/>
        </w:rPr>
        <w:t>%, což je srovnatelné s výsledky pozorovanými u dospělých pacientů. Dodatečně parciální cytogenetická odpověď (PCyR) byla pozorována u 16</w:t>
      </w:r>
      <w:r w:rsidR="00FB1F74" w:rsidRPr="009B1A37">
        <w:rPr>
          <w:color w:val="000000"/>
        </w:rPr>
        <w:t> </w:t>
      </w:r>
      <w:r w:rsidRPr="009B1A37">
        <w:rPr>
          <w:color w:val="000000"/>
        </w:rPr>
        <w:t>%, McyR 81</w:t>
      </w:r>
      <w:r w:rsidR="00FB1F74" w:rsidRPr="009B1A37">
        <w:rPr>
          <w:color w:val="000000"/>
        </w:rPr>
        <w:t> </w:t>
      </w:r>
      <w:r w:rsidRPr="009B1A37">
        <w:rPr>
          <w:color w:val="000000"/>
        </w:rPr>
        <w:t xml:space="preserve">%. U většiny pacientů, kteří dosáhli kompletní cytogenetické odpovědi (CCyR), se CCyR vyvinula mezi </w:t>
      </w:r>
      <w:smartTag w:uri="urn:schemas-microsoft-com:office:smarttags" w:element="metricconverter">
        <w:smartTagPr>
          <w:attr w:name="ProductID" w:val="3. a"/>
        </w:smartTagPr>
        <w:r w:rsidRPr="009B1A37">
          <w:rPr>
            <w:color w:val="000000"/>
          </w:rPr>
          <w:t>3. a</w:t>
        </w:r>
      </w:smartTag>
      <w:r w:rsidRPr="009B1A37">
        <w:rPr>
          <w:color w:val="000000"/>
        </w:rPr>
        <w:t xml:space="preserve"> 10. měsícem léčby s mediánem času do dosažení odpovědi 5,6 měsíců podle Kaplan-Meierova odhadu.</w:t>
      </w:r>
    </w:p>
    <w:p w14:paraId="6843B03F" w14:textId="77777777" w:rsidR="00D97A44" w:rsidRPr="009B1A37" w:rsidRDefault="00D97A44" w:rsidP="00BE3D48">
      <w:pPr>
        <w:pStyle w:val="EndnoteText"/>
        <w:widowControl w:val="0"/>
        <w:rPr>
          <w:color w:val="000000"/>
          <w:u w:val="single"/>
        </w:rPr>
      </w:pPr>
    </w:p>
    <w:p w14:paraId="07CD485E" w14:textId="77777777" w:rsidR="00A53CF3" w:rsidRPr="009B1A37" w:rsidRDefault="00A53CF3" w:rsidP="00BE3D48">
      <w:pPr>
        <w:pStyle w:val="EndnoteText"/>
        <w:widowControl w:val="0"/>
        <w:rPr>
          <w:color w:val="000000"/>
        </w:rPr>
      </w:pPr>
      <w:r w:rsidRPr="009B1A37">
        <w:rPr>
          <w:color w:val="000000"/>
        </w:rPr>
        <w:t xml:space="preserve">Evropská </w:t>
      </w:r>
      <w:r w:rsidR="009C49BB" w:rsidRPr="009B1A37">
        <w:rPr>
          <w:color w:val="000000"/>
        </w:rPr>
        <w:t>a</w:t>
      </w:r>
      <w:r w:rsidR="00CE6789" w:rsidRPr="009B1A37">
        <w:rPr>
          <w:color w:val="000000"/>
        </w:rPr>
        <w:t xml:space="preserve">gentura </w:t>
      </w:r>
      <w:r w:rsidR="009C49BB" w:rsidRPr="009B1A37">
        <w:rPr>
          <w:color w:val="000000"/>
        </w:rPr>
        <w:t xml:space="preserve">pro léčivé přípravky </w:t>
      </w:r>
      <w:r w:rsidR="00CE6789" w:rsidRPr="009B1A37">
        <w:rPr>
          <w:color w:val="000000"/>
        </w:rPr>
        <w:t>rozhodla o zproštění povinnosti předložit výsledky studií s Glivecem u</w:t>
      </w:r>
      <w:r w:rsidR="00E1465F" w:rsidRPr="009B1A37">
        <w:rPr>
          <w:color w:val="000000"/>
        </w:rPr>
        <w:t> </w:t>
      </w:r>
      <w:r w:rsidR="00CE6789" w:rsidRPr="009B1A37">
        <w:rPr>
          <w:color w:val="000000"/>
        </w:rPr>
        <w:t xml:space="preserve">všech podskupin pediatrické populace </w:t>
      </w:r>
      <w:r w:rsidR="00E1465F" w:rsidRPr="009B1A37">
        <w:rPr>
          <w:color w:val="000000"/>
        </w:rPr>
        <w:t>s Philadelphia chromozom pozitivní (translokace bcr-abl) chronickou myeloidní leukemií</w:t>
      </w:r>
      <w:r w:rsidR="00CE6789" w:rsidRPr="009B1A37">
        <w:rPr>
          <w:color w:val="000000"/>
        </w:rPr>
        <w:t xml:space="preserve"> (</w:t>
      </w:r>
      <w:r w:rsidR="00E1465F" w:rsidRPr="009B1A37">
        <w:rPr>
          <w:color w:val="000000"/>
        </w:rPr>
        <w:t>informace o použití u dětí viz bod 4.2).</w:t>
      </w:r>
    </w:p>
    <w:p w14:paraId="695DEBB4" w14:textId="77777777" w:rsidR="00A53CF3" w:rsidRPr="009B1A37" w:rsidRDefault="00A53CF3" w:rsidP="00BE3D48">
      <w:pPr>
        <w:pStyle w:val="EndnoteText"/>
        <w:widowControl w:val="0"/>
        <w:rPr>
          <w:color w:val="000000"/>
          <w:u w:val="single"/>
        </w:rPr>
      </w:pPr>
    </w:p>
    <w:p w14:paraId="53284303" w14:textId="77777777" w:rsidR="00D97A44" w:rsidRPr="009B1A37" w:rsidRDefault="00D97A44" w:rsidP="00BE3D48">
      <w:pPr>
        <w:pStyle w:val="EndnoteText"/>
        <w:keepNext/>
        <w:widowControl w:val="0"/>
        <w:rPr>
          <w:color w:val="000000"/>
          <w:u w:val="single"/>
        </w:rPr>
      </w:pPr>
      <w:r w:rsidRPr="009B1A37">
        <w:rPr>
          <w:color w:val="000000"/>
          <w:u w:val="single"/>
        </w:rPr>
        <w:t xml:space="preserve">Klinické studie u Ph+ </w:t>
      </w:r>
      <w:smartTag w:uri="urn:schemas-microsoft-com:office:smarttags" w:element="stockticker">
        <w:r w:rsidRPr="009B1A37">
          <w:rPr>
            <w:color w:val="000000"/>
            <w:u w:val="single"/>
          </w:rPr>
          <w:t>ALL</w:t>
        </w:r>
      </w:smartTag>
    </w:p>
    <w:p w14:paraId="4A9FB623" w14:textId="77777777" w:rsidR="00D97A44" w:rsidRPr="009B1A37" w:rsidRDefault="00D97A44" w:rsidP="00BE3D48">
      <w:pPr>
        <w:pStyle w:val="Text"/>
        <w:widowControl w:val="0"/>
        <w:spacing w:before="0"/>
        <w:jc w:val="left"/>
        <w:rPr>
          <w:color w:val="000000"/>
          <w:sz w:val="22"/>
          <w:szCs w:val="22"/>
          <w:lang w:val="cs-CZ"/>
        </w:rPr>
      </w:pPr>
      <w:r w:rsidRPr="009B1A37">
        <w:rPr>
          <w:i/>
          <w:iCs/>
          <w:color w:val="000000"/>
          <w:sz w:val="22"/>
          <w:szCs w:val="22"/>
          <w:lang w:val="cs-CZ"/>
        </w:rPr>
        <w:t xml:space="preserve">Nově diagnostikovaná Ph+ </w:t>
      </w:r>
      <w:smartTag w:uri="urn:schemas-microsoft-com:office:smarttags" w:element="stockticker">
        <w:r w:rsidRPr="009B1A37">
          <w:rPr>
            <w:i/>
            <w:iCs/>
            <w:color w:val="000000"/>
            <w:sz w:val="22"/>
            <w:szCs w:val="22"/>
            <w:lang w:val="cs-CZ"/>
          </w:rPr>
          <w:t>ALL</w:t>
        </w:r>
      </w:smartTag>
      <w:r w:rsidRPr="009B1A37">
        <w:rPr>
          <w:color w:val="000000"/>
          <w:sz w:val="22"/>
          <w:szCs w:val="22"/>
          <w:lang w:val="cs-CZ"/>
        </w:rPr>
        <w:t>: V kontrolované studii (ADE10), ve které byl porovnáván imatinib s</w:t>
      </w:r>
      <w:r w:rsidR="00D97DA1" w:rsidRPr="009B1A37">
        <w:rPr>
          <w:color w:val="000000"/>
          <w:sz w:val="22"/>
          <w:szCs w:val="22"/>
          <w:lang w:val="cs-CZ"/>
        </w:rPr>
        <w:t xml:space="preserve"> indukční </w:t>
      </w:r>
      <w:r w:rsidRPr="009B1A37">
        <w:rPr>
          <w:color w:val="000000"/>
          <w:sz w:val="22"/>
          <w:szCs w:val="22"/>
          <w:lang w:val="cs-CZ"/>
        </w:rPr>
        <w:t>chemoterapi</w:t>
      </w:r>
      <w:r w:rsidR="00D97DA1" w:rsidRPr="009B1A37">
        <w:rPr>
          <w:color w:val="000000"/>
          <w:sz w:val="22"/>
          <w:szCs w:val="22"/>
          <w:lang w:val="cs-CZ"/>
        </w:rPr>
        <w:t>í</w:t>
      </w:r>
      <w:r w:rsidRPr="009B1A37">
        <w:rPr>
          <w:color w:val="000000"/>
          <w:sz w:val="22"/>
          <w:szCs w:val="22"/>
          <w:lang w:val="cs-CZ"/>
        </w:rPr>
        <w:t xml:space="preserve"> u 55 nově diagnostikovaných pacientů ve věku 55 let a starších, imatinib pod</w:t>
      </w:r>
      <w:r w:rsidR="00D97DA1" w:rsidRPr="009B1A37">
        <w:rPr>
          <w:color w:val="000000"/>
          <w:sz w:val="22"/>
          <w:szCs w:val="22"/>
          <w:lang w:val="cs-CZ"/>
        </w:rPr>
        <w:t>áv</w:t>
      </w:r>
      <w:r w:rsidRPr="009B1A37">
        <w:rPr>
          <w:color w:val="000000"/>
          <w:sz w:val="22"/>
          <w:szCs w:val="22"/>
          <w:lang w:val="cs-CZ"/>
        </w:rPr>
        <w:t xml:space="preserve">aný jako monoterapie navodil významně vyšší </w:t>
      </w:r>
      <w:r w:rsidR="0098741C" w:rsidRPr="009B1A37">
        <w:rPr>
          <w:color w:val="000000"/>
          <w:sz w:val="22"/>
          <w:szCs w:val="22"/>
          <w:lang w:val="cs-CZ"/>
        </w:rPr>
        <w:t>výskyt</w:t>
      </w:r>
      <w:r w:rsidRPr="009B1A37">
        <w:rPr>
          <w:color w:val="000000"/>
          <w:sz w:val="22"/>
          <w:szCs w:val="22"/>
          <w:lang w:val="cs-CZ"/>
        </w:rPr>
        <w:t xml:space="preserve"> kompletních hematologických odpovědí než chemoterapie (96,3</w:t>
      </w:r>
      <w:r w:rsidR="0067324A" w:rsidRPr="009B1A37">
        <w:rPr>
          <w:color w:val="000000"/>
          <w:sz w:val="22"/>
          <w:szCs w:val="22"/>
          <w:lang w:val="cs-CZ"/>
        </w:rPr>
        <w:t> </w:t>
      </w:r>
      <w:r w:rsidRPr="009B1A37">
        <w:rPr>
          <w:color w:val="000000"/>
          <w:sz w:val="22"/>
          <w:szCs w:val="22"/>
          <w:lang w:val="cs-CZ"/>
        </w:rPr>
        <w:t>% vs. 50</w:t>
      </w:r>
      <w:r w:rsidR="0067324A" w:rsidRPr="009B1A37">
        <w:rPr>
          <w:color w:val="000000"/>
          <w:sz w:val="22"/>
          <w:szCs w:val="22"/>
          <w:lang w:val="cs-CZ"/>
        </w:rPr>
        <w:t> </w:t>
      </w:r>
      <w:r w:rsidRPr="009B1A37">
        <w:rPr>
          <w:color w:val="000000"/>
          <w:sz w:val="22"/>
          <w:szCs w:val="22"/>
          <w:lang w:val="cs-CZ"/>
        </w:rPr>
        <w:t>%; p=0,0001). Podání imatinibu jako záchranné terapie pacientům, kteří neodpovídali na chemoterapii nebo jejichž odpověď na chemoterapii byla nedostatečná, vedlo u</w:t>
      </w:r>
      <w:r w:rsidRPr="009B1A37">
        <w:rPr>
          <w:color w:val="000000"/>
          <w:lang w:val="cs-CZ"/>
        </w:rPr>
        <w:t> </w:t>
      </w:r>
      <w:r w:rsidRPr="009B1A37">
        <w:rPr>
          <w:color w:val="000000"/>
          <w:sz w:val="22"/>
          <w:szCs w:val="22"/>
          <w:lang w:val="cs-CZ"/>
        </w:rPr>
        <w:t>9 pacientů (81,8</w:t>
      </w:r>
      <w:r w:rsidR="0067324A" w:rsidRPr="009B1A37">
        <w:rPr>
          <w:color w:val="000000"/>
          <w:sz w:val="22"/>
          <w:szCs w:val="22"/>
          <w:lang w:val="cs-CZ"/>
        </w:rPr>
        <w:t> </w:t>
      </w:r>
      <w:r w:rsidRPr="009B1A37">
        <w:rPr>
          <w:color w:val="000000"/>
          <w:sz w:val="22"/>
          <w:szCs w:val="22"/>
          <w:lang w:val="cs-CZ"/>
        </w:rPr>
        <w:t xml:space="preserve">%) z celkového počtu 11 pacientů k dosažení kompletní hematologické odpovědi. Tento klinický účinek byl po 2 týdnech léčby spojen s vyšší redukcí bcr-abl transkriptů u pacientů léčených imatinibem než v rameni s chemoterapií (p=0,02). Po fázi indukce všichni pacienti dostávali imatinib a konsolidační chemoterapii (viz </w:t>
      </w:r>
      <w:r w:rsidR="0098741C" w:rsidRPr="009B1A37">
        <w:rPr>
          <w:color w:val="000000"/>
          <w:sz w:val="22"/>
          <w:szCs w:val="22"/>
          <w:lang w:val="cs-CZ"/>
        </w:rPr>
        <w:t>t</w:t>
      </w:r>
      <w:r w:rsidRPr="009B1A37">
        <w:rPr>
          <w:color w:val="000000"/>
          <w:sz w:val="22"/>
          <w:szCs w:val="22"/>
          <w:lang w:val="cs-CZ"/>
        </w:rPr>
        <w:t>abulka </w:t>
      </w:r>
      <w:r w:rsidR="00B20788" w:rsidRPr="009B1A37">
        <w:rPr>
          <w:color w:val="000000"/>
          <w:sz w:val="22"/>
          <w:szCs w:val="22"/>
          <w:lang w:val="cs-CZ"/>
        </w:rPr>
        <w:t>4</w:t>
      </w:r>
      <w:r w:rsidRPr="009B1A37">
        <w:rPr>
          <w:color w:val="000000"/>
          <w:sz w:val="22"/>
          <w:szCs w:val="22"/>
          <w:lang w:val="cs-CZ"/>
        </w:rPr>
        <w:t>) a po 8 týdnech byly hladiny bcr-abl transkriptů stejné v obou ramenech. Jak se očekávalo na základě designu studie</w:t>
      </w:r>
      <w:r w:rsidRPr="009B1A37">
        <w:rPr>
          <w:rFonts w:eastAsia="MS Mincho"/>
          <w:color w:val="000000"/>
          <w:sz w:val="22"/>
          <w:szCs w:val="22"/>
          <w:lang w:val="cs-CZ"/>
        </w:rPr>
        <w:t>, nebyl pozorován žádný rozdíl v době trvání remise, v přežití bez známek onemocnění nebo celkovém přežití, ačkoliv pacienti s kompletní molekulární odpovědí a trvajícím minimálním reziduálním onemocněním měli lepší výsledek, pokud šlo o dobu trvání remise (p=0,01) a přežití bez známek onemocnění (p=0,02)</w:t>
      </w:r>
      <w:r w:rsidRPr="009B1A37">
        <w:rPr>
          <w:color w:val="000000"/>
          <w:sz w:val="22"/>
          <w:szCs w:val="22"/>
          <w:lang w:val="cs-CZ"/>
        </w:rPr>
        <w:t>.</w:t>
      </w:r>
    </w:p>
    <w:p w14:paraId="6C1B33B4" w14:textId="77777777" w:rsidR="00D97A44" w:rsidRPr="009B1A37" w:rsidRDefault="00D97A44" w:rsidP="00BE3D48">
      <w:pPr>
        <w:pStyle w:val="Text"/>
        <w:widowControl w:val="0"/>
        <w:spacing w:before="0"/>
        <w:jc w:val="left"/>
        <w:rPr>
          <w:color w:val="000000"/>
          <w:sz w:val="22"/>
          <w:szCs w:val="22"/>
          <w:lang w:val="cs-CZ"/>
        </w:rPr>
      </w:pPr>
    </w:p>
    <w:p w14:paraId="6A9B7C2B" w14:textId="77777777" w:rsidR="00D97A44" w:rsidRPr="009B1A37" w:rsidRDefault="00D97A44" w:rsidP="00BE3D48">
      <w:pPr>
        <w:pStyle w:val="EndnoteText"/>
        <w:widowControl w:val="0"/>
        <w:rPr>
          <w:color w:val="000000"/>
        </w:rPr>
      </w:pPr>
      <w:r w:rsidRPr="009B1A37">
        <w:rPr>
          <w:color w:val="000000"/>
        </w:rPr>
        <w:t xml:space="preserve">Výsledky pozorované ve skupině 211 nově diagnostikovaných pacientů s Ph+ </w:t>
      </w:r>
      <w:smartTag w:uri="urn:schemas-microsoft-com:office:smarttags" w:element="stockticker">
        <w:r w:rsidRPr="009B1A37">
          <w:rPr>
            <w:color w:val="000000"/>
          </w:rPr>
          <w:t>ALL</w:t>
        </w:r>
      </w:smartTag>
      <w:r w:rsidRPr="009B1A37">
        <w:rPr>
          <w:color w:val="000000"/>
        </w:rPr>
        <w:t xml:space="preserve"> ve čtyřech nekontrolovaných klinických studiích (AAU02, ADE04, AJP01 a AUS01) jsou shodné s výsledky popsanými výše. Podávání imatinibu v kombinaci s</w:t>
      </w:r>
      <w:r w:rsidR="00336E35" w:rsidRPr="009B1A37">
        <w:rPr>
          <w:color w:val="000000"/>
        </w:rPr>
        <w:t xml:space="preserve"> indukční </w:t>
      </w:r>
      <w:r w:rsidRPr="009B1A37">
        <w:rPr>
          <w:color w:val="000000"/>
        </w:rPr>
        <w:t>chemoterapi</w:t>
      </w:r>
      <w:r w:rsidR="00336E35" w:rsidRPr="009B1A37">
        <w:rPr>
          <w:color w:val="000000"/>
        </w:rPr>
        <w:t>í</w:t>
      </w:r>
      <w:r w:rsidRPr="009B1A37">
        <w:rPr>
          <w:color w:val="000000"/>
        </w:rPr>
        <w:t xml:space="preserve"> (viz </w:t>
      </w:r>
      <w:r w:rsidR="00AD5832" w:rsidRPr="009B1A37">
        <w:rPr>
          <w:color w:val="000000"/>
        </w:rPr>
        <w:t>t</w:t>
      </w:r>
      <w:r w:rsidRPr="009B1A37">
        <w:rPr>
          <w:color w:val="000000"/>
        </w:rPr>
        <w:t>abulka </w:t>
      </w:r>
      <w:r w:rsidR="00B20788" w:rsidRPr="009B1A37">
        <w:rPr>
          <w:color w:val="000000"/>
        </w:rPr>
        <w:t>4</w:t>
      </w:r>
      <w:r w:rsidRPr="009B1A37">
        <w:rPr>
          <w:color w:val="000000"/>
        </w:rPr>
        <w:t>) vedlo k dosažení kompletní hematologické odpovědi u</w:t>
      </w:r>
      <w:r w:rsidR="00526CF9" w:rsidRPr="009B1A37">
        <w:rPr>
          <w:color w:val="000000"/>
        </w:rPr>
        <w:t> </w:t>
      </w:r>
      <w:r w:rsidRPr="009B1A37">
        <w:rPr>
          <w:color w:val="000000"/>
        </w:rPr>
        <w:t>93</w:t>
      </w:r>
      <w:r w:rsidR="0006790A" w:rsidRPr="009B1A37">
        <w:rPr>
          <w:color w:val="000000"/>
        </w:rPr>
        <w:t> </w:t>
      </w:r>
      <w:r w:rsidRPr="009B1A37">
        <w:rPr>
          <w:color w:val="000000"/>
        </w:rPr>
        <w:t>% (147 ze 158 hodnotitelných pacientů) a k</w:t>
      </w:r>
      <w:r w:rsidR="00526CF9" w:rsidRPr="009B1A37">
        <w:rPr>
          <w:color w:val="000000"/>
        </w:rPr>
        <w:t> </w:t>
      </w:r>
      <w:r w:rsidRPr="009B1A37">
        <w:rPr>
          <w:color w:val="000000"/>
        </w:rPr>
        <w:t>dosažení velké cytogenetické odpovědi u</w:t>
      </w:r>
      <w:r w:rsidR="00526CF9" w:rsidRPr="009B1A37">
        <w:rPr>
          <w:color w:val="000000"/>
        </w:rPr>
        <w:t> </w:t>
      </w:r>
      <w:r w:rsidRPr="009B1A37">
        <w:rPr>
          <w:color w:val="000000"/>
        </w:rPr>
        <w:t>90</w:t>
      </w:r>
      <w:r w:rsidR="0067324A" w:rsidRPr="009B1A37">
        <w:rPr>
          <w:color w:val="000000"/>
        </w:rPr>
        <w:t> </w:t>
      </w:r>
      <w:r w:rsidRPr="009B1A37">
        <w:rPr>
          <w:color w:val="000000"/>
        </w:rPr>
        <w:t>%</w:t>
      </w:r>
      <w:r w:rsidR="00822069" w:rsidRPr="009B1A37">
        <w:rPr>
          <w:color w:val="000000"/>
        </w:rPr>
        <w:t xml:space="preserve"> </w:t>
      </w:r>
      <w:r w:rsidRPr="009B1A37">
        <w:rPr>
          <w:color w:val="000000"/>
        </w:rPr>
        <w:t xml:space="preserve">(19 z 21 hodnotitelných pacientů). </w:t>
      </w:r>
      <w:r w:rsidR="0098741C" w:rsidRPr="009B1A37">
        <w:rPr>
          <w:color w:val="000000"/>
        </w:rPr>
        <w:t>Výskyt</w:t>
      </w:r>
      <w:r w:rsidRPr="009B1A37">
        <w:rPr>
          <w:color w:val="000000"/>
        </w:rPr>
        <w:t xml:space="preserve"> kompletní molekulární odpovědi byl 48</w:t>
      </w:r>
      <w:r w:rsidR="0006790A" w:rsidRPr="009B1A37">
        <w:rPr>
          <w:color w:val="000000"/>
        </w:rPr>
        <w:t> </w:t>
      </w:r>
      <w:r w:rsidRPr="009B1A37">
        <w:rPr>
          <w:color w:val="000000"/>
        </w:rPr>
        <w:t>% (49 z</w:t>
      </w:r>
      <w:r w:rsidR="0098741C" w:rsidRPr="009B1A37">
        <w:rPr>
          <w:color w:val="000000"/>
        </w:rPr>
        <w:t>e</w:t>
      </w:r>
      <w:r w:rsidRPr="009B1A37">
        <w:rPr>
          <w:color w:val="000000"/>
        </w:rPr>
        <w:t xml:space="preserve"> 102 hodnotitelných pacientů). Ve dvou studiích (AJP01 a AUS01)</w:t>
      </w:r>
      <w:r w:rsidR="00336E35" w:rsidRPr="009B1A37">
        <w:rPr>
          <w:color w:val="000000"/>
        </w:rPr>
        <w:t xml:space="preserve"> </w:t>
      </w:r>
      <w:r w:rsidRPr="009B1A37">
        <w:rPr>
          <w:color w:val="000000"/>
        </w:rPr>
        <w:t>přežití bez známek onemocnění (</w:t>
      </w:r>
      <w:smartTag w:uri="urn:schemas-microsoft-com:office:smarttags" w:element="stockticker">
        <w:r w:rsidRPr="009B1A37">
          <w:rPr>
            <w:color w:val="000000"/>
          </w:rPr>
          <w:t>DFS</w:t>
        </w:r>
      </w:smartTag>
      <w:r w:rsidRPr="009B1A37">
        <w:rPr>
          <w:color w:val="000000"/>
        </w:rPr>
        <w:t xml:space="preserve">) a celkové přežití (OS) konstantně </w:t>
      </w:r>
      <w:r w:rsidR="00336E35" w:rsidRPr="009B1A37">
        <w:rPr>
          <w:color w:val="000000"/>
        </w:rPr>
        <w:t>převyšovaly</w:t>
      </w:r>
      <w:r w:rsidRPr="009B1A37">
        <w:rPr>
          <w:color w:val="000000"/>
        </w:rPr>
        <w:t xml:space="preserve"> 1 rok a tyto výsledky byly lepší </w:t>
      </w:r>
      <w:r w:rsidR="00336E35" w:rsidRPr="009B1A37">
        <w:rPr>
          <w:color w:val="000000"/>
        </w:rPr>
        <w:t>oproti historickým kontrolám</w:t>
      </w:r>
      <w:r w:rsidRPr="009B1A37">
        <w:rPr>
          <w:color w:val="000000"/>
        </w:rPr>
        <w:t>. (</w:t>
      </w:r>
      <w:smartTag w:uri="urn:schemas-microsoft-com:office:smarttags" w:element="stockticker">
        <w:r w:rsidRPr="009B1A37">
          <w:rPr>
            <w:color w:val="000000"/>
          </w:rPr>
          <w:t>DFS</w:t>
        </w:r>
      </w:smartTag>
      <w:r w:rsidRPr="009B1A37">
        <w:rPr>
          <w:color w:val="000000"/>
        </w:rPr>
        <w:t xml:space="preserve"> p&lt;0,001; OS p&lt;0,0</w:t>
      </w:r>
      <w:r w:rsidR="0098741C" w:rsidRPr="009B1A37">
        <w:rPr>
          <w:color w:val="000000"/>
        </w:rPr>
        <w:t>00</w:t>
      </w:r>
      <w:r w:rsidRPr="009B1A37">
        <w:rPr>
          <w:color w:val="000000"/>
        </w:rPr>
        <w:t>1).</w:t>
      </w:r>
    </w:p>
    <w:p w14:paraId="69F78085" w14:textId="77777777" w:rsidR="00D97A44" w:rsidRPr="009B1A37" w:rsidRDefault="00D97A44" w:rsidP="00BE3D48">
      <w:pPr>
        <w:pStyle w:val="EndnoteText"/>
        <w:widowControl w:val="0"/>
        <w:rPr>
          <w:color w:val="000000"/>
        </w:rPr>
      </w:pPr>
    </w:p>
    <w:p w14:paraId="570A54AB" w14:textId="77777777" w:rsidR="00D97A44" w:rsidRPr="009B1A37" w:rsidRDefault="00D97A44" w:rsidP="00BE3D48">
      <w:pPr>
        <w:pStyle w:val="EndnoteText"/>
        <w:keepNext/>
        <w:widowControl w:val="0"/>
        <w:tabs>
          <w:tab w:val="clear" w:pos="567"/>
          <w:tab w:val="left" w:pos="1134"/>
        </w:tabs>
        <w:rPr>
          <w:b/>
          <w:bCs/>
          <w:color w:val="000000"/>
        </w:rPr>
      </w:pPr>
      <w:r w:rsidRPr="009B1A37">
        <w:rPr>
          <w:b/>
          <w:bCs/>
          <w:color w:val="000000"/>
        </w:rPr>
        <w:t>Tabulka </w:t>
      </w:r>
      <w:r w:rsidR="00B20788" w:rsidRPr="009B1A37">
        <w:rPr>
          <w:b/>
          <w:bCs/>
          <w:color w:val="000000"/>
        </w:rPr>
        <w:t>4</w:t>
      </w:r>
      <w:r w:rsidRPr="009B1A37">
        <w:rPr>
          <w:b/>
          <w:bCs/>
          <w:color w:val="000000"/>
        </w:rPr>
        <w:tab/>
        <w:t xml:space="preserve">Chemoterapeutický režim </w:t>
      </w:r>
      <w:r w:rsidR="0098741C" w:rsidRPr="009B1A37">
        <w:rPr>
          <w:b/>
          <w:bCs/>
          <w:color w:val="000000"/>
        </w:rPr>
        <w:t>po</w:t>
      </w:r>
      <w:r w:rsidRPr="009B1A37">
        <w:rPr>
          <w:b/>
          <w:bCs/>
          <w:color w:val="000000"/>
        </w:rPr>
        <w:t>užívaný v kombinaci s imatinibem</w:t>
      </w:r>
    </w:p>
    <w:p w14:paraId="425F029B" w14:textId="77777777" w:rsidR="00D97A44" w:rsidRPr="009B1A37" w:rsidRDefault="00D97A44" w:rsidP="00BE3D48">
      <w:pPr>
        <w:pStyle w:val="EndnoteText"/>
        <w:keepNext/>
        <w:widowControl w:val="0"/>
        <w:rPr>
          <w:color w:val="000000"/>
        </w:rPr>
      </w:pPr>
    </w:p>
    <w:tbl>
      <w:tblPr>
        <w:tblW w:w="0" w:type="auto"/>
        <w:tblInd w:w="228" w:type="dxa"/>
        <w:tblLayout w:type="fixed"/>
        <w:tblLook w:val="0000" w:firstRow="0" w:lastRow="0" w:firstColumn="0" w:lastColumn="0" w:noHBand="0" w:noVBand="0"/>
      </w:tblPr>
      <w:tblGrid>
        <w:gridCol w:w="2148"/>
        <w:gridCol w:w="2652"/>
        <w:gridCol w:w="1080"/>
        <w:gridCol w:w="1380"/>
        <w:gridCol w:w="1620"/>
      </w:tblGrid>
      <w:tr w:rsidR="00D97A44" w:rsidRPr="009B1A37" w14:paraId="7EADCDF9" w14:textId="77777777" w:rsidTr="00F75C2F">
        <w:trPr>
          <w:cantSplit/>
        </w:trPr>
        <w:tc>
          <w:tcPr>
            <w:tcW w:w="2148" w:type="dxa"/>
            <w:tcBorders>
              <w:top w:val="single" w:sz="4" w:space="0" w:color="000000"/>
              <w:bottom w:val="single" w:sz="4" w:space="0" w:color="000000"/>
            </w:tcBorders>
          </w:tcPr>
          <w:p w14:paraId="51F3D005" w14:textId="77777777" w:rsidR="00D97A44" w:rsidRPr="009B1A37" w:rsidRDefault="00D97A44" w:rsidP="00BE3D48">
            <w:pPr>
              <w:pStyle w:val="Table"/>
              <w:widowControl w:val="0"/>
              <w:snapToGrid w:val="0"/>
              <w:spacing w:before="0" w:after="0"/>
              <w:rPr>
                <w:rFonts w:ascii="Times New Roman" w:hAnsi="Times New Roman" w:cs="Times New Roman"/>
                <w:b/>
                <w:bCs/>
                <w:color w:val="000000"/>
                <w:sz w:val="22"/>
                <w:szCs w:val="22"/>
                <w:lang w:val="cs-CZ"/>
              </w:rPr>
            </w:pPr>
            <w:r w:rsidRPr="009B1A37">
              <w:rPr>
                <w:rFonts w:ascii="Times New Roman" w:hAnsi="Times New Roman" w:cs="Times New Roman"/>
                <w:b/>
                <w:bCs/>
                <w:color w:val="000000"/>
                <w:sz w:val="22"/>
                <w:szCs w:val="22"/>
                <w:lang w:val="cs-CZ"/>
              </w:rPr>
              <w:t>Studie ADE10</w:t>
            </w:r>
          </w:p>
        </w:tc>
        <w:tc>
          <w:tcPr>
            <w:tcW w:w="6732" w:type="dxa"/>
            <w:gridSpan w:val="4"/>
            <w:tcBorders>
              <w:top w:val="single" w:sz="4" w:space="0" w:color="000000"/>
              <w:bottom w:val="single" w:sz="4" w:space="0" w:color="000000"/>
            </w:tcBorders>
          </w:tcPr>
          <w:p w14:paraId="1180363F" w14:textId="77777777" w:rsidR="00D97A44" w:rsidRPr="009B1A37" w:rsidRDefault="00D97A44" w:rsidP="00BE3D48">
            <w:pPr>
              <w:pStyle w:val="Table"/>
              <w:widowControl w:val="0"/>
              <w:snapToGrid w:val="0"/>
              <w:spacing w:before="0" w:after="0"/>
              <w:rPr>
                <w:rFonts w:ascii="Times New Roman" w:hAnsi="Times New Roman" w:cs="Times New Roman"/>
                <w:color w:val="000000"/>
                <w:sz w:val="22"/>
                <w:szCs w:val="22"/>
                <w:lang w:val="cs-CZ"/>
              </w:rPr>
            </w:pPr>
          </w:p>
        </w:tc>
      </w:tr>
      <w:tr w:rsidR="00D97A44" w:rsidRPr="009B1A37" w14:paraId="3EA86DB2" w14:textId="77777777" w:rsidTr="00F75C2F">
        <w:trPr>
          <w:cantSplit/>
        </w:trPr>
        <w:tc>
          <w:tcPr>
            <w:tcW w:w="2148" w:type="dxa"/>
            <w:tcBorders>
              <w:top w:val="single" w:sz="4" w:space="0" w:color="000000"/>
              <w:bottom w:val="single" w:sz="4" w:space="0" w:color="000000"/>
            </w:tcBorders>
          </w:tcPr>
          <w:p w14:paraId="6CC3C769" w14:textId="77777777" w:rsidR="00D97A44" w:rsidRPr="009B1A37" w:rsidRDefault="00D97A44" w:rsidP="00BE3D48">
            <w:pPr>
              <w:pStyle w:val="Table"/>
              <w:keepNext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Prefáze</w:t>
            </w:r>
          </w:p>
        </w:tc>
        <w:tc>
          <w:tcPr>
            <w:tcW w:w="6732" w:type="dxa"/>
            <w:gridSpan w:val="4"/>
            <w:tcBorders>
              <w:top w:val="single" w:sz="4" w:space="0" w:color="000000"/>
              <w:bottom w:val="single" w:sz="4" w:space="0" w:color="000000"/>
            </w:tcBorders>
          </w:tcPr>
          <w:p w14:paraId="2DC5EE06" w14:textId="77777777" w:rsidR="00D22C69" w:rsidRPr="009B1A37" w:rsidRDefault="00D97A44" w:rsidP="00BE3D48">
            <w:pPr>
              <w:pStyle w:val="Table"/>
              <w:keepNext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DEX 10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perorálně, den 1-5;</w:t>
            </w:r>
          </w:p>
          <w:p w14:paraId="1D491ECB" w14:textId="77777777" w:rsidR="00D22C69" w:rsidRPr="009B1A37" w:rsidRDefault="00D97A44" w:rsidP="00BE3D48">
            <w:pPr>
              <w:pStyle w:val="Table"/>
              <w:keepNext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CP 200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den 3, 4, 5;</w:t>
            </w:r>
          </w:p>
          <w:p w14:paraId="192F1795" w14:textId="77777777" w:rsidR="00D97A44" w:rsidRPr="009B1A37" w:rsidRDefault="00D97A44" w:rsidP="00BE3D48">
            <w:pPr>
              <w:pStyle w:val="Table"/>
              <w:keepNext w:val="0"/>
              <w:widowControl w:val="0"/>
              <w:snapToGrid w:val="0"/>
              <w:spacing w:before="0" w:after="0"/>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MTX</w:t>
              </w:r>
            </w:smartTag>
            <w:r w:rsidRPr="009B1A37">
              <w:rPr>
                <w:rFonts w:ascii="Times New Roman" w:hAnsi="Times New Roman" w:cs="Times New Roman"/>
                <w:color w:val="000000"/>
                <w:sz w:val="22"/>
                <w:szCs w:val="22"/>
                <w:lang w:val="cs-CZ"/>
              </w:rPr>
              <w:t xml:space="preserve"> 12 mg intratekálně, den 1</w:t>
            </w:r>
          </w:p>
        </w:tc>
      </w:tr>
      <w:tr w:rsidR="00D97A44" w:rsidRPr="009B1A37" w14:paraId="79BE11BD" w14:textId="77777777" w:rsidTr="00F75C2F">
        <w:trPr>
          <w:cantSplit/>
        </w:trPr>
        <w:tc>
          <w:tcPr>
            <w:tcW w:w="2148" w:type="dxa"/>
            <w:tcBorders>
              <w:top w:val="single" w:sz="4" w:space="0" w:color="000000"/>
              <w:bottom w:val="single" w:sz="4" w:space="0" w:color="000000"/>
            </w:tcBorders>
          </w:tcPr>
          <w:p w14:paraId="5E8512D7" w14:textId="77777777" w:rsidR="00D97A44" w:rsidRPr="009B1A37" w:rsidRDefault="00D97A44" w:rsidP="00BE3D48">
            <w:pPr>
              <w:pStyle w:val="Table"/>
              <w:keepNext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Indukce remise</w:t>
            </w:r>
          </w:p>
        </w:tc>
        <w:tc>
          <w:tcPr>
            <w:tcW w:w="6732" w:type="dxa"/>
            <w:gridSpan w:val="4"/>
            <w:tcBorders>
              <w:top w:val="single" w:sz="4" w:space="0" w:color="000000"/>
              <w:bottom w:val="single" w:sz="4" w:space="0" w:color="000000"/>
            </w:tcBorders>
          </w:tcPr>
          <w:p w14:paraId="32309F64" w14:textId="77777777" w:rsidR="00D22C69" w:rsidRPr="009B1A37" w:rsidRDefault="00D97A44" w:rsidP="00BE3D48">
            <w:pPr>
              <w:pStyle w:val="Table"/>
              <w:keepNext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DEX 10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perorálně, den 6-7, 13-16;</w:t>
            </w:r>
          </w:p>
          <w:p w14:paraId="0E5F9EA4" w14:textId="77777777" w:rsidR="00D22C69" w:rsidRPr="009B1A37" w:rsidRDefault="00D97A44" w:rsidP="00BE3D48">
            <w:pPr>
              <w:pStyle w:val="Table"/>
              <w:keepNext w:val="0"/>
              <w:widowControl w:val="0"/>
              <w:snapToGrid w:val="0"/>
              <w:spacing w:before="0" w:after="0"/>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VCR</w:t>
              </w:r>
            </w:smartTag>
            <w:r w:rsidRPr="009B1A37">
              <w:rPr>
                <w:rFonts w:ascii="Times New Roman" w:hAnsi="Times New Roman" w:cs="Times New Roman"/>
                <w:color w:val="000000"/>
                <w:sz w:val="22"/>
                <w:szCs w:val="22"/>
                <w:lang w:val="cs-CZ"/>
              </w:rPr>
              <w:t xml:space="preserve"> 1 mg i.v., den 7, 14;</w:t>
            </w:r>
          </w:p>
          <w:p w14:paraId="0555AEDB" w14:textId="77777777" w:rsidR="00D22C69" w:rsidRPr="009B1A37" w:rsidRDefault="00D97A44" w:rsidP="00BE3D48">
            <w:pPr>
              <w:pStyle w:val="Table"/>
              <w:keepNext w:val="0"/>
              <w:widowControl w:val="0"/>
              <w:snapToGrid w:val="0"/>
              <w:spacing w:before="0" w:after="0"/>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IDA</w:t>
              </w:r>
            </w:smartTag>
            <w:r w:rsidRPr="009B1A37">
              <w:rPr>
                <w:rFonts w:ascii="Times New Roman" w:hAnsi="Times New Roman" w:cs="Times New Roman"/>
                <w:color w:val="000000"/>
                <w:sz w:val="22"/>
                <w:szCs w:val="22"/>
                <w:lang w:val="cs-CZ"/>
              </w:rPr>
              <w:t xml:space="preserve"> 8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(0,5 h), den 7, 8, 14, 15;</w:t>
            </w:r>
          </w:p>
          <w:p w14:paraId="4321C0A7" w14:textId="77777777" w:rsidR="00D22C69" w:rsidRPr="009B1A37" w:rsidRDefault="00D97A44" w:rsidP="00BE3D48">
            <w:pPr>
              <w:pStyle w:val="Table"/>
              <w:keepNext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CP 500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w:t>
            </w:r>
            <w:r w:rsidR="00481A29" w:rsidRPr="009B1A37">
              <w:rPr>
                <w:rFonts w:ascii="Times New Roman" w:hAnsi="Times New Roman" w:cs="Times New Roman"/>
                <w:color w:val="000000"/>
                <w:sz w:val="22"/>
                <w:szCs w:val="22"/>
                <w:lang w:val="cs-CZ"/>
              </w:rPr>
              <w:t xml:space="preserve"> </w:t>
            </w:r>
            <w:r w:rsidRPr="009B1A37">
              <w:rPr>
                <w:rFonts w:ascii="Times New Roman" w:hAnsi="Times New Roman" w:cs="Times New Roman"/>
                <w:color w:val="000000"/>
                <w:sz w:val="22"/>
                <w:szCs w:val="22"/>
                <w:lang w:val="cs-CZ"/>
              </w:rPr>
              <w:t>(1 h) den 1;</w:t>
            </w:r>
          </w:p>
          <w:p w14:paraId="00E8B03F" w14:textId="77777777" w:rsidR="00D97A44" w:rsidRPr="009B1A37" w:rsidRDefault="00D97A44" w:rsidP="00BE3D48">
            <w:pPr>
              <w:pStyle w:val="Table"/>
              <w:keepNext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Ara-C 60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den 22-25, 29-32</w:t>
            </w:r>
          </w:p>
        </w:tc>
      </w:tr>
      <w:tr w:rsidR="00D97A44" w:rsidRPr="009B1A37" w14:paraId="4D7904C3" w14:textId="77777777" w:rsidTr="00F75C2F">
        <w:trPr>
          <w:cantSplit/>
        </w:trPr>
        <w:tc>
          <w:tcPr>
            <w:tcW w:w="2148" w:type="dxa"/>
            <w:tcBorders>
              <w:top w:val="single" w:sz="4" w:space="0" w:color="000000"/>
              <w:bottom w:val="single" w:sz="4" w:space="0" w:color="000000"/>
            </w:tcBorders>
          </w:tcPr>
          <w:p w14:paraId="0BBB69FD" w14:textId="77777777" w:rsidR="00D97A44" w:rsidRPr="009B1A37" w:rsidRDefault="00D97A44" w:rsidP="00BE3D48">
            <w:pPr>
              <w:pStyle w:val="Table"/>
              <w:keepNext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 xml:space="preserve">Konsolidační terapie I, </w:t>
            </w:r>
            <w:smartTag w:uri="urn:schemas-microsoft-com:office:smarttags" w:element="stockticker">
              <w:r w:rsidRPr="009B1A37">
                <w:rPr>
                  <w:rFonts w:ascii="Times New Roman" w:hAnsi="Times New Roman" w:cs="Times New Roman"/>
                  <w:color w:val="000000"/>
                  <w:sz w:val="22"/>
                  <w:szCs w:val="22"/>
                  <w:lang w:val="cs-CZ"/>
                </w:rPr>
                <w:t>III</w:t>
              </w:r>
            </w:smartTag>
            <w:r w:rsidRPr="009B1A37">
              <w:rPr>
                <w:rFonts w:ascii="Times New Roman" w:hAnsi="Times New Roman" w:cs="Times New Roman"/>
                <w:color w:val="000000"/>
                <w:sz w:val="22"/>
                <w:szCs w:val="22"/>
                <w:lang w:val="cs-CZ"/>
              </w:rPr>
              <w:t>, V</w:t>
            </w:r>
          </w:p>
        </w:tc>
        <w:tc>
          <w:tcPr>
            <w:tcW w:w="6732" w:type="dxa"/>
            <w:gridSpan w:val="4"/>
            <w:tcBorders>
              <w:top w:val="single" w:sz="4" w:space="0" w:color="000000"/>
              <w:bottom w:val="single" w:sz="4" w:space="0" w:color="000000"/>
            </w:tcBorders>
          </w:tcPr>
          <w:p w14:paraId="2FDDC456" w14:textId="77777777" w:rsidR="00D22C69" w:rsidRPr="009B1A37" w:rsidRDefault="00D97A44" w:rsidP="00BE3D48">
            <w:pPr>
              <w:pStyle w:val="Table"/>
              <w:keepNext w:val="0"/>
              <w:widowControl w:val="0"/>
              <w:snapToGrid w:val="0"/>
              <w:spacing w:before="0" w:after="0"/>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MTX</w:t>
              </w:r>
            </w:smartTag>
            <w:r w:rsidRPr="009B1A37">
              <w:rPr>
                <w:rFonts w:ascii="Times New Roman" w:hAnsi="Times New Roman" w:cs="Times New Roman"/>
                <w:color w:val="000000"/>
                <w:sz w:val="22"/>
                <w:szCs w:val="22"/>
                <w:lang w:val="cs-CZ"/>
              </w:rPr>
              <w:t xml:space="preserve"> 500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(24 h), den 1, 15;</w:t>
            </w:r>
          </w:p>
          <w:p w14:paraId="69C1DE46" w14:textId="77777777" w:rsidR="00D97A44" w:rsidRPr="009B1A37" w:rsidRDefault="00D97A44" w:rsidP="00BE3D48">
            <w:pPr>
              <w:pStyle w:val="Table"/>
              <w:keepNext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6-MP 25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perorálně, den 1-20</w:t>
            </w:r>
          </w:p>
        </w:tc>
      </w:tr>
      <w:tr w:rsidR="00D97A44" w:rsidRPr="009B1A37" w14:paraId="67F5F7ED" w14:textId="77777777" w:rsidTr="00F75C2F">
        <w:trPr>
          <w:cantSplit/>
        </w:trPr>
        <w:tc>
          <w:tcPr>
            <w:tcW w:w="2148" w:type="dxa"/>
            <w:tcBorders>
              <w:top w:val="single" w:sz="4" w:space="0" w:color="000000"/>
              <w:bottom w:val="single" w:sz="4" w:space="0" w:color="000000"/>
            </w:tcBorders>
          </w:tcPr>
          <w:p w14:paraId="36B884CE" w14:textId="77777777" w:rsidR="00D97A44" w:rsidRPr="009B1A37" w:rsidRDefault="00D97A44" w:rsidP="009F41EF">
            <w:pPr>
              <w:pStyle w:val="Table"/>
              <w:keepNext w:val="0"/>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Konsolidační terapie II, IV</w:t>
            </w:r>
          </w:p>
        </w:tc>
        <w:tc>
          <w:tcPr>
            <w:tcW w:w="6732" w:type="dxa"/>
            <w:gridSpan w:val="4"/>
            <w:tcBorders>
              <w:top w:val="single" w:sz="4" w:space="0" w:color="000000"/>
              <w:bottom w:val="single" w:sz="4" w:space="0" w:color="000000"/>
            </w:tcBorders>
          </w:tcPr>
          <w:p w14:paraId="5FCBB61D" w14:textId="77777777" w:rsidR="00D22C69" w:rsidRPr="009B1A37" w:rsidRDefault="00D97A44" w:rsidP="009F41EF">
            <w:pPr>
              <w:pStyle w:val="Table"/>
              <w:keepNext w:val="0"/>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Ara-C 75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(1 h), den 1-5;</w:t>
            </w:r>
          </w:p>
          <w:p w14:paraId="25166A3A" w14:textId="77777777" w:rsidR="00D97A44" w:rsidRPr="009B1A37" w:rsidRDefault="00D97A44" w:rsidP="009F41EF">
            <w:pPr>
              <w:pStyle w:val="Table"/>
              <w:keepNext w:val="0"/>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VM26 60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(1 h), den 1-5</w:t>
            </w:r>
          </w:p>
        </w:tc>
      </w:tr>
      <w:tr w:rsidR="00D97A44" w:rsidRPr="009B1A37" w14:paraId="7FB26FBF" w14:textId="77777777" w:rsidTr="00F75C2F">
        <w:trPr>
          <w:cantSplit/>
        </w:trPr>
        <w:tc>
          <w:tcPr>
            <w:tcW w:w="2148" w:type="dxa"/>
            <w:tcBorders>
              <w:top w:val="single" w:sz="4" w:space="0" w:color="000000"/>
              <w:bottom w:val="single" w:sz="4" w:space="0" w:color="000000"/>
            </w:tcBorders>
          </w:tcPr>
          <w:p w14:paraId="62353C87" w14:textId="77777777" w:rsidR="00D97A44" w:rsidRPr="009B1A37" w:rsidRDefault="00D97A44" w:rsidP="00BE3D48">
            <w:pPr>
              <w:pStyle w:val="Table"/>
              <w:keepNext w:val="0"/>
              <w:widowControl w:val="0"/>
              <w:snapToGrid w:val="0"/>
              <w:spacing w:before="0" w:after="0"/>
              <w:rPr>
                <w:rFonts w:ascii="Times New Roman" w:hAnsi="Times New Roman" w:cs="Times New Roman"/>
                <w:b/>
                <w:bCs/>
                <w:color w:val="000000"/>
                <w:sz w:val="22"/>
                <w:szCs w:val="22"/>
                <w:lang w:val="cs-CZ"/>
              </w:rPr>
            </w:pPr>
            <w:r w:rsidRPr="009B1A37">
              <w:rPr>
                <w:rFonts w:ascii="Times New Roman" w:hAnsi="Times New Roman" w:cs="Times New Roman"/>
                <w:b/>
                <w:bCs/>
                <w:color w:val="000000"/>
                <w:sz w:val="22"/>
                <w:szCs w:val="22"/>
                <w:lang w:val="cs-CZ"/>
              </w:rPr>
              <w:t>Studie AAU02</w:t>
            </w:r>
          </w:p>
        </w:tc>
        <w:tc>
          <w:tcPr>
            <w:tcW w:w="2652" w:type="dxa"/>
            <w:tcBorders>
              <w:top w:val="single" w:sz="4" w:space="0" w:color="000000"/>
              <w:bottom w:val="single" w:sz="4" w:space="0" w:color="000000"/>
            </w:tcBorders>
          </w:tcPr>
          <w:p w14:paraId="2F5FE36E" w14:textId="77777777" w:rsidR="00D97A44" w:rsidRPr="009B1A37" w:rsidRDefault="00D97A44" w:rsidP="00BE3D48">
            <w:pPr>
              <w:pStyle w:val="Table"/>
              <w:keepNext w:val="0"/>
              <w:widowControl w:val="0"/>
              <w:snapToGrid w:val="0"/>
              <w:spacing w:before="0" w:after="0"/>
              <w:rPr>
                <w:rFonts w:ascii="Times New Roman" w:hAnsi="Times New Roman" w:cs="Times New Roman"/>
                <w:color w:val="000000"/>
                <w:sz w:val="22"/>
                <w:szCs w:val="22"/>
                <w:lang w:val="cs-CZ"/>
              </w:rPr>
            </w:pPr>
          </w:p>
        </w:tc>
        <w:tc>
          <w:tcPr>
            <w:tcW w:w="1080" w:type="dxa"/>
            <w:tcBorders>
              <w:top w:val="single" w:sz="4" w:space="0" w:color="000000"/>
              <w:bottom w:val="single" w:sz="4" w:space="0" w:color="000000"/>
            </w:tcBorders>
          </w:tcPr>
          <w:p w14:paraId="0CA4CB61" w14:textId="77777777" w:rsidR="00D97A44" w:rsidRPr="009B1A37" w:rsidRDefault="00D97A44" w:rsidP="00BE3D48">
            <w:pPr>
              <w:pStyle w:val="Table"/>
              <w:keepNext w:val="0"/>
              <w:widowControl w:val="0"/>
              <w:snapToGrid w:val="0"/>
              <w:spacing w:before="0" w:after="0"/>
              <w:rPr>
                <w:rFonts w:ascii="Times New Roman" w:hAnsi="Times New Roman" w:cs="Times New Roman"/>
                <w:color w:val="000000"/>
                <w:sz w:val="22"/>
                <w:szCs w:val="22"/>
                <w:lang w:val="cs-CZ"/>
              </w:rPr>
            </w:pPr>
          </w:p>
        </w:tc>
        <w:tc>
          <w:tcPr>
            <w:tcW w:w="1380" w:type="dxa"/>
            <w:tcBorders>
              <w:top w:val="single" w:sz="4" w:space="0" w:color="000000"/>
              <w:bottom w:val="single" w:sz="4" w:space="0" w:color="000000"/>
            </w:tcBorders>
          </w:tcPr>
          <w:p w14:paraId="291B089A" w14:textId="77777777" w:rsidR="00D97A44" w:rsidRPr="009B1A37" w:rsidRDefault="00D97A44" w:rsidP="00BE3D48">
            <w:pPr>
              <w:pStyle w:val="Table"/>
              <w:keepNext w:val="0"/>
              <w:widowControl w:val="0"/>
              <w:snapToGrid w:val="0"/>
              <w:spacing w:before="0" w:after="0"/>
              <w:rPr>
                <w:rFonts w:ascii="Times New Roman" w:hAnsi="Times New Roman" w:cs="Times New Roman"/>
                <w:color w:val="000000"/>
                <w:sz w:val="22"/>
                <w:szCs w:val="22"/>
                <w:lang w:val="cs-CZ"/>
              </w:rPr>
            </w:pPr>
          </w:p>
        </w:tc>
        <w:tc>
          <w:tcPr>
            <w:tcW w:w="1620" w:type="dxa"/>
            <w:tcBorders>
              <w:top w:val="single" w:sz="4" w:space="0" w:color="000000"/>
              <w:bottom w:val="single" w:sz="4" w:space="0" w:color="000000"/>
            </w:tcBorders>
          </w:tcPr>
          <w:p w14:paraId="0D25D6E9" w14:textId="77777777" w:rsidR="00D97A44" w:rsidRPr="009B1A37" w:rsidRDefault="00D97A44" w:rsidP="00BE3D48">
            <w:pPr>
              <w:pStyle w:val="Table"/>
              <w:keepNext w:val="0"/>
              <w:widowControl w:val="0"/>
              <w:snapToGrid w:val="0"/>
              <w:spacing w:before="0" w:after="0"/>
              <w:rPr>
                <w:rFonts w:ascii="Times New Roman" w:hAnsi="Times New Roman" w:cs="Times New Roman"/>
                <w:color w:val="000000"/>
                <w:sz w:val="22"/>
                <w:szCs w:val="22"/>
                <w:lang w:val="cs-CZ"/>
              </w:rPr>
            </w:pPr>
          </w:p>
        </w:tc>
      </w:tr>
      <w:tr w:rsidR="00D97A44" w:rsidRPr="009B1A37" w14:paraId="12BC4826" w14:textId="77777777" w:rsidTr="00F75C2F">
        <w:trPr>
          <w:cantSplit/>
        </w:trPr>
        <w:tc>
          <w:tcPr>
            <w:tcW w:w="2148" w:type="dxa"/>
            <w:tcBorders>
              <w:top w:val="single" w:sz="4" w:space="0" w:color="000000"/>
              <w:bottom w:val="single" w:sz="4" w:space="0" w:color="000000"/>
            </w:tcBorders>
          </w:tcPr>
          <w:p w14:paraId="7B76010C" w14:textId="77777777" w:rsidR="00D97A44" w:rsidRPr="009B1A37" w:rsidRDefault="00D97A44" w:rsidP="00BE3D48">
            <w:pPr>
              <w:pStyle w:val="Table"/>
              <w:keepNext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Indukční terapie (</w:t>
            </w:r>
            <w:r w:rsidRPr="009B1A37">
              <w:rPr>
                <w:rFonts w:ascii="Times New Roman" w:hAnsi="Times New Roman" w:cs="Times New Roman"/>
                <w:i/>
                <w:iCs/>
                <w:color w:val="000000"/>
                <w:sz w:val="22"/>
                <w:szCs w:val="22"/>
                <w:lang w:val="cs-CZ"/>
              </w:rPr>
              <w:t>de novo</w:t>
            </w:r>
            <w:r w:rsidRPr="009B1A37">
              <w:rPr>
                <w:rFonts w:ascii="Times New Roman" w:hAnsi="Times New Roman" w:cs="Times New Roman"/>
                <w:color w:val="000000"/>
                <w:sz w:val="22"/>
                <w:szCs w:val="22"/>
                <w:lang w:val="cs-CZ"/>
              </w:rPr>
              <w:t xml:space="preserve"> Ph+ </w:t>
            </w:r>
            <w:smartTag w:uri="urn:schemas-microsoft-com:office:smarttags" w:element="stockticker">
              <w:r w:rsidRPr="009B1A37">
                <w:rPr>
                  <w:rFonts w:ascii="Times New Roman" w:hAnsi="Times New Roman" w:cs="Times New Roman"/>
                  <w:color w:val="000000"/>
                  <w:sz w:val="22"/>
                  <w:szCs w:val="22"/>
                  <w:lang w:val="cs-CZ"/>
                </w:rPr>
                <w:t>ALL</w:t>
              </w:r>
            </w:smartTag>
            <w:r w:rsidRPr="009B1A37">
              <w:rPr>
                <w:rFonts w:ascii="Times New Roman" w:hAnsi="Times New Roman" w:cs="Times New Roman"/>
                <w:color w:val="000000"/>
                <w:sz w:val="22"/>
                <w:szCs w:val="22"/>
                <w:lang w:val="cs-CZ"/>
              </w:rPr>
              <w:t>)</w:t>
            </w:r>
          </w:p>
        </w:tc>
        <w:tc>
          <w:tcPr>
            <w:tcW w:w="6732" w:type="dxa"/>
            <w:gridSpan w:val="4"/>
            <w:tcBorders>
              <w:top w:val="single" w:sz="4" w:space="0" w:color="000000"/>
              <w:bottom w:val="single" w:sz="4" w:space="0" w:color="000000"/>
            </w:tcBorders>
          </w:tcPr>
          <w:p w14:paraId="79132390" w14:textId="77777777" w:rsidR="00D22C69" w:rsidRPr="009B1A37" w:rsidRDefault="00BA17E5" w:rsidP="00BE3D48">
            <w:pPr>
              <w:pStyle w:val="Table"/>
              <w:keepNext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d</w:t>
            </w:r>
            <w:r w:rsidR="00D97A44" w:rsidRPr="009B1A37">
              <w:rPr>
                <w:rFonts w:ascii="Times New Roman" w:hAnsi="Times New Roman" w:cs="Times New Roman"/>
                <w:color w:val="000000"/>
                <w:sz w:val="22"/>
                <w:szCs w:val="22"/>
                <w:lang w:val="cs-CZ"/>
              </w:rPr>
              <w:t>aunorubicin 30 mg/m</w:t>
            </w:r>
            <w:r w:rsidR="00D97A44" w:rsidRPr="009B1A37">
              <w:rPr>
                <w:rFonts w:ascii="Times New Roman" w:hAnsi="Times New Roman" w:cs="Times New Roman"/>
                <w:color w:val="000000"/>
                <w:sz w:val="22"/>
                <w:szCs w:val="22"/>
                <w:vertAlign w:val="superscript"/>
                <w:lang w:val="cs-CZ"/>
              </w:rPr>
              <w:t>2</w:t>
            </w:r>
            <w:r w:rsidR="00D97A44" w:rsidRPr="009B1A37">
              <w:rPr>
                <w:rFonts w:ascii="Times New Roman" w:hAnsi="Times New Roman" w:cs="Times New Roman"/>
                <w:color w:val="000000"/>
                <w:sz w:val="22"/>
                <w:szCs w:val="22"/>
                <w:lang w:val="cs-CZ"/>
              </w:rPr>
              <w:t xml:space="preserve"> i.v., den 1-3, 15-16;</w:t>
            </w:r>
          </w:p>
          <w:p w14:paraId="6E485567" w14:textId="77777777" w:rsidR="00D22C69" w:rsidRPr="009B1A37" w:rsidRDefault="00D97A44" w:rsidP="00BE3D48">
            <w:pPr>
              <w:pStyle w:val="Table"/>
              <w:keepNext w:val="0"/>
              <w:widowControl w:val="0"/>
              <w:snapToGrid w:val="0"/>
              <w:spacing w:before="0" w:after="0"/>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VCR</w:t>
              </w:r>
            </w:smartTag>
            <w:r w:rsidRPr="009B1A37">
              <w:rPr>
                <w:rFonts w:ascii="Times New Roman" w:hAnsi="Times New Roman" w:cs="Times New Roman"/>
                <w:color w:val="000000"/>
                <w:sz w:val="22"/>
                <w:szCs w:val="22"/>
                <w:lang w:val="cs-CZ"/>
              </w:rPr>
              <w:t xml:space="preserve"> 2 mg celková dávka i.v., den 1, 8, 15, 22;</w:t>
            </w:r>
          </w:p>
          <w:p w14:paraId="680147A0" w14:textId="77777777" w:rsidR="00D22C69" w:rsidRPr="009B1A37" w:rsidRDefault="00D97A44" w:rsidP="00BE3D48">
            <w:pPr>
              <w:pStyle w:val="Table"/>
              <w:keepNext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CP 750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den 1, 8;</w:t>
            </w:r>
          </w:p>
          <w:p w14:paraId="1425C508" w14:textId="77777777" w:rsidR="00D22C69" w:rsidRPr="009B1A37" w:rsidRDefault="00BA17E5" w:rsidP="00BE3D48">
            <w:pPr>
              <w:pStyle w:val="Table"/>
              <w:keepNext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p</w:t>
            </w:r>
            <w:r w:rsidR="00D97A44" w:rsidRPr="009B1A37">
              <w:rPr>
                <w:rFonts w:ascii="Times New Roman" w:hAnsi="Times New Roman" w:cs="Times New Roman"/>
                <w:color w:val="000000"/>
                <w:sz w:val="22"/>
                <w:szCs w:val="22"/>
                <w:lang w:val="cs-CZ"/>
              </w:rPr>
              <w:t>rednison 60 mg/m</w:t>
            </w:r>
            <w:r w:rsidR="00D97A44" w:rsidRPr="009B1A37">
              <w:rPr>
                <w:rFonts w:ascii="Times New Roman" w:hAnsi="Times New Roman" w:cs="Times New Roman"/>
                <w:color w:val="000000"/>
                <w:sz w:val="22"/>
                <w:szCs w:val="22"/>
                <w:vertAlign w:val="superscript"/>
                <w:lang w:val="cs-CZ"/>
              </w:rPr>
              <w:t>2</w:t>
            </w:r>
            <w:r w:rsidR="00D97A44" w:rsidRPr="009B1A37">
              <w:rPr>
                <w:rFonts w:ascii="Times New Roman" w:hAnsi="Times New Roman" w:cs="Times New Roman"/>
                <w:color w:val="000000"/>
                <w:sz w:val="22"/>
                <w:szCs w:val="22"/>
                <w:lang w:val="cs-CZ"/>
              </w:rPr>
              <w:t xml:space="preserve"> perorálně, den 1-7, 15-21;</w:t>
            </w:r>
          </w:p>
          <w:p w14:paraId="080479B5" w14:textId="77777777" w:rsidR="00D22C69" w:rsidRPr="009B1A37" w:rsidRDefault="00D97A44" w:rsidP="00BE3D48">
            <w:pPr>
              <w:pStyle w:val="Table"/>
              <w:keepNext w:val="0"/>
              <w:widowControl w:val="0"/>
              <w:snapToGrid w:val="0"/>
              <w:spacing w:before="0" w:after="0"/>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IDA</w:t>
              </w:r>
            </w:smartTag>
            <w:r w:rsidRPr="009B1A37">
              <w:rPr>
                <w:rFonts w:ascii="Times New Roman" w:hAnsi="Times New Roman" w:cs="Times New Roman"/>
                <w:color w:val="000000"/>
                <w:sz w:val="22"/>
                <w:szCs w:val="22"/>
                <w:lang w:val="cs-CZ"/>
              </w:rPr>
              <w:t xml:space="preserve"> 9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perorálně, den 1-28;</w:t>
            </w:r>
          </w:p>
          <w:p w14:paraId="2EBDD844" w14:textId="77777777" w:rsidR="00D22C69" w:rsidRPr="009B1A37" w:rsidRDefault="00D97A44" w:rsidP="00BE3D48">
            <w:pPr>
              <w:pStyle w:val="Table"/>
              <w:keepNext w:val="0"/>
              <w:widowControl w:val="0"/>
              <w:snapToGrid w:val="0"/>
              <w:spacing w:before="0" w:after="0"/>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MTX</w:t>
              </w:r>
            </w:smartTag>
            <w:r w:rsidRPr="009B1A37">
              <w:rPr>
                <w:rFonts w:ascii="Times New Roman" w:hAnsi="Times New Roman" w:cs="Times New Roman"/>
                <w:color w:val="000000"/>
                <w:sz w:val="22"/>
                <w:szCs w:val="22"/>
                <w:lang w:val="cs-CZ"/>
              </w:rPr>
              <w:t xml:space="preserve"> 15 mg intratekálně, den 1, 8, 15, 22;</w:t>
            </w:r>
          </w:p>
          <w:p w14:paraId="441E756E" w14:textId="77777777" w:rsidR="00D22C69" w:rsidRPr="009B1A37" w:rsidRDefault="00D97A44" w:rsidP="00BE3D48">
            <w:pPr>
              <w:pStyle w:val="Table"/>
              <w:keepNext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Ara-C 40 mg intratekálně, den 1, 8, 15, 22;</w:t>
            </w:r>
          </w:p>
          <w:p w14:paraId="5F8BD6CC" w14:textId="77777777" w:rsidR="00D97A44" w:rsidRPr="009B1A37" w:rsidRDefault="00BA17E5" w:rsidP="00BE3D48">
            <w:pPr>
              <w:pStyle w:val="Table"/>
              <w:keepNext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m</w:t>
            </w:r>
            <w:r w:rsidR="00D97A44" w:rsidRPr="009B1A37">
              <w:rPr>
                <w:rFonts w:ascii="Times New Roman" w:hAnsi="Times New Roman" w:cs="Times New Roman"/>
                <w:color w:val="000000"/>
                <w:sz w:val="22"/>
                <w:szCs w:val="22"/>
                <w:lang w:val="cs-CZ"/>
              </w:rPr>
              <w:t>ethylprednisolon 40 mg intratekálně, den 1, 8, 15, 22</w:t>
            </w:r>
          </w:p>
        </w:tc>
      </w:tr>
      <w:tr w:rsidR="00D97A44" w:rsidRPr="009B1A37" w14:paraId="13320F3A" w14:textId="77777777" w:rsidTr="00F75C2F">
        <w:trPr>
          <w:cantSplit/>
        </w:trPr>
        <w:tc>
          <w:tcPr>
            <w:tcW w:w="2148" w:type="dxa"/>
            <w:tcBorders>
              <w:top w:val="single" w:sz="4" w:space="0" w:color="000000"/>
              <w:bottom w:val="single" w:sz="4" w:space="0" w:color="000000"/>
            </w:tcBorders>
          </w:tcPr>
          <w:p w14:paraId="5C288CD4" w14:textId="77777777" w:rsidR="00D97A44" w:rsidRPr="009B1A37" w:rsidRDefault="00D97A44" w:rsidP="009F41EF">
            <w:pPr>
              <w:pStyle w:val="Table"/>
              <w:keepNext w:val="0"/>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Konsolidace (</w:t>
            </w:r>
            <w:r w:rsidRPr="009B1A37">
              <w:rPr>
                <w:rFonts w:ascii="Times New Roman" w:hAnsi="Times New Roman" w:cs="Times New Roman"/>
                <w:i/>
                <w:iCs/>
                <w:color w:val="000000"/>
                <w:sz w:val="22"/>
                <w:szCs w:val="22"/>
                <w:lang w:val="cs-CZ"/>
              </w:rPr>
              <w:t>de novo</w:t>
            </w:r>
            <w:r w:rsidRPr="009B1A37">
              <w:rPr>
                <w:rFonts w:ascii="Times New Roman" w:hAnsi="Times New Roman" w:cs="Times New Roman"/>
                <w:color w:val="000000"/>
                <w:sz w:val="22"/>
                <w:szCs w:val="22"/>
                <w:lang w:val="cs-CZ"/>
              </w:rPr>
              <w:t xml:space="preserve"> Ph+ </w:t>
            </w:r>
            <w:smartTag w:uri="urn:schemas-microsoft-com:office:smarttags" w:element="stockticker">
              <w:r w:rsidRPr="009B1A37">
                <w:rPr>
                  <w:rFonts w:ascii="Times New Roman" w:hAnsi="Times New Roman" w:cs="Times New Roman"/>
                  <w:color w:val="000000"/>
                  <w:sz w:val="22"/>
                  <w:szCs w:val="22"/>
                  <w:lang w:val="cs-CZ"/>
                </w:rPr>
                <w:t>ALL</w:t>
              </w:r>
            </w:smartTag>
            <w:r w:rsidRPr="009B1A37">
              <w:rPr>
                <w:rFonts w:ascii="Times New Roman" w:hAnsi="Times New Roman" w:cs="Times New Roman"/>
                <w:color w:val="000000"/>
                <w:sz w:val="22"/>
                <w:szCs w:val="22"/>
                <w:lang w:val="cs-CZ"/>
              </w:rPr>
              <w:t>)</w:t>
            </w:r>
          </w:p>
        </w:tc>
        <w:tc>
          <w:tcPr>
            <w:tcW w:w="6732" w:type="dxa"/>
            <w:gridSpan w:val="4"/>
            <w:tcBorders>
              <w:top w:val="single" w:sz="4" w:space="0" w:color="000000"/>
              <w:bottom w:val="single" w:sz="4" w:space="0" w:color="000000"/>
            </w:tcBorders>
          </w:tcPr>
          <w:p w14:paraId="1AAF959B" w14:textId="77777777" w:rsidR="00D22C69" w:rsidRPr="009B1A37" w:rsidRDefault="00D97A44" w:rsidP="009F41EF">
            <w:pPr>
              <w:pStyle w:val="Table"/>
              <w:keepNext w:val="0"/>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Ara-C 1 000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/12 h i.v.(3 h), den 1-4;</w:t>
            </w:r>
          </w:p>
          <w:p w14:paraId="5D0B270F" w14:textId="77777777" w:rsidR="00D22C69" w:rsidRPr="009B1A37" w:rsidRDefault="00BA17E5" w:rsidP="009F41EF">
            <w:pPr>
              <w:pStyle w:val="Table"/>
              <w:keepNext w:val="0"/>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m</w:t>
            </w:r>
            <w:r w:rsidR="00D97A44" w:rsidRPr="009B1A37">
              <w:rPr>
                <w:rFonts w:ascii="Times New Roman" w:hAnsi="Times New Roman" w:cs="Times New Roman"/>
                <w:color w:val="000000"/>
                <w:sz w:val="22"/>
                <w:szCs w:val="22"/>
                <w:lang w:val="cs-CZ"/>
              </w:rPr>
              <w:t>itoxantron 10 mg/m</w:t>
            </w:r>
            <w:r w:rsidR="00D97A44" w:rsidRPr="009B1A37">
              <w:rPr>
                <w:rFonts w:ascii="Times New Roman" w:hAnsi="Times New Roman" w:cs="Times New Roman"/>
                <w:color w:val="000000"/>
                <w:sz w:val="22"/>
                <w:szCs w:val="22"/>
                <w:vertAlign w:val="superscript"/>
                <w:lang w:val="cs-CZ"/>
              </w:rPr>
              <w:t>2</w:t>
            </w:r>
            <w:r w:rsidR="00D97A44" w:rsidRPr="009B1A37">
              <w:rPr>
                <w:rFonts w:ascii="Times New Roman" w:hAnsi="Times New Roman" w:cs="Times New Roman"/>
                <w:color w:val="000000"/>
                <w:sz w:val="22"/>
                <w:szCs w:val="22"/>
                <w:lang w:val="cs-CZ"/>
              </w:rPr>
              <w:t xml:space="preserve"> i.v. den 3-5;</w:t>
            </w:r>
          </w:p>
          <w:p w14:paraId="0FE65CCB" w14:textId="77777777" w:rsidR="00D22C69" w:rsidRPr="009B1A37" w:rsidRDefault="00D97A44" w:rsidP="009F41EF">
            <w:pPr>
              <w:pStyle w:val="Table"/>
              <w:keepNext w:val="0"/>
              <w:keepLines w:val="0"/>
              <w:widowControl w:val="0"/>
              <w:snapToGrid w:val="0"/>
              <w:spacing w:before="0" w:after="0"/>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MTX</w:t>
              </w:r>
            </w:smartTag>
            <w:r w:rsidRPr="009B1A37">
              <w:rPr>
                <w:rFonts w:ascii="Times New Roman" w:hAnsi="Times New Roman" w:cs="Times New Roman"/>
                <w:color w:val="000000"/>
                <w:sz w:val="22"/>
                <w:szCs w:val="22"/>
                <w:lang w:val="cs-CZ"/>
              </w:rPr>
              <w:t xml:space="preserve"> 15 mg intratekálně, den 1;</w:t>
            </w:r>
          </w:p>
          <w:p w14:paraId="13829245" w14:textId="77777777" w:rsidR="00D97A44" w:rsidRPr="009B1A37" w:rsidRDefault="00BA17E5" w:rsidP="009F41EF">
            <w:pPr>
              <w:pStyle w:val="Table"/>
              <w:keepNext w:val="0"/>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m</w:t>
            </w:r>
            <w:r w:rsidR="00D97A44" w:rsidRPr="009B1A37">
              <w:rPr>
                <w:rFonts w:ascii="Times New Roman" w:hAnsi="Times New Roman" w:cs="Times New Roman"/>
                <w:color w:val="000000"/>
                <w:sz w:val="22"/>
                <w:szCs w:val="22"/>
                <w:lang w:val="cs-CZ"/>
              </w:rPr>
              <w:t>ethylprednisolon 40 mg intratekálně, den 1</w:t>
            </w:r>
          </w:p>
        </w:tc>
      </w:tr>
      <w:tr w:rsidR="00D97A44" w:rsidRPr="009B1A37" w14:paraId="1A5EF7A1" w14:textId="77777777" w:rsidTr="00F75C2F">
        <w:trPr>
          <w:cantSplit/>
        </w:trPr>
        <w:tc>
          <w:tcPr>
            <w:tcW w:w="4800" w:type="dxa"/>
            <w:gridSpan w:val="2"/>
            <w:tcBorders>
              <w:top w:val="single" w:sz="4" w:space="0" w:color="000000"/>
              <w:bottom w:val="single" w:sz="4" w:space="0" w:color="000000"/>
            </w:tcBorders>
          </w:tcPr>
          <w:p w14:paraId="027ED35B" w14:textId="77777777" w:rsidR="00D97A44" w:rsidRPr="009B1A37" w:rsidRDefault="00D97A44" w:rsidP="009F41EF">
            <w:pPr>
              <w:pStyle w:val="Table"/>
              <w:keepLines w:val="0"/>
              <w:widowControl w:val="0"/>
              <w:snapToGrid w:val="0"/>
              <w:spacing w:before="0" w:after="0"/>
              <w:rPr>
                <w:rFonts w:ascii="Times New Roman" w:hAnsi="Times New Roman" w:cs="Times New Roman"/>
                <w:b/>
                <w:bCs/>
                <w:color w:val="000000"/>
                <w:sz w:val="22"/>
                <w:szCs w:val="22"/>
                <w:lang w:val="cs-CZ"/>
              </w:rPr>
            </w:pPr>
            <w:r w:rsidRPr="009B1A37">
              <w:rPr>
                <w:rFonts w:ascii="Times New Roman" w:hAnsi="Times New Roman" w:cs="Times New Roman"/>
                <w:b/>
                <w:bCs/>
                <w:color w:val="000000"/>
                <w:sz w:val="22"/>
                <w:szCs w:val="22"/>
                <w:lang w:val="cs-CZ"/>
              </w:rPr>
              <w:t>Studie ADE04</w:t>
            </w:r>
          </w:p>
        </w:tc>
        <w:tc>
          <w:tcPr>
            <w:tcW w:w="1080" w:type="dxa"/>
            <w:tcBorders>
              <w:top w:val="single" w:sz="4" w:space="0" w:color="000000"/>
              <w:bottom w:val="single" w:sz="4" w:space="0" w:color="000000"/>
            </w:tcBorders>
          </w:tcPr>
          <w:p w14:paraId="567EEEC6"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p>
        </w:tc>
        <w:tc>
          <w:tcPr>
            <w:tcW w:w="1380" w:type="dxa"/>
            <w:tcBorders>
              <w:top w:val="single" w:sz="4" w:space="0" w:color="000000"/>
              <w:bottom w:val="single" w:sz="4" w:space="0" w:color="000000"/>
            </w:tcBorders>
          </w:tcPr>
          <w:p w14:paraId="5E9AFBEB"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p>
        </w:tc>
        <w:tc>
          <w:tcPr>
            <w:tcW w:w="1620" w:type="dxa"/>
            <w:tcBorders>
              <w:top w:val="single" w:sz="4" w:space="0" w:color="000000"/>
              <w:bottom w:val="single" w:sz="4" w:space="0" w:color="000000"/>
            </w:tcBorders>
          </w:tcPr>
          <w:p w14:paraId="7ABF5CFB"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p>
        </w:tc>
      </w:tr>
      <w:tr w:rsidR="00D97A44" w:rsidRPr="009B1A37" w14:paraId="1D1C1792" w14:textId="77777777" w:rsidTr="00F75C2F">
        <w:trPr>
          <w:cantSplit/>
        </w:trPr>
        <w:tc>
          <w:tcPr>
            <w:tcW w:w="2148" w:type="dxa"/>
            <w:tcBorders>
              <w:top w:val="single" w:sz="4" w:space="0" w:color="000000"/>
              <w:bottom w:val="single" w:sz="4" w:space="0" w:color="000000"/>
            </w:tcBorders>
          </w:tcPr>
          <w:p w14:paraId="484EAB70"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Prefáze</w:t>
            </w:r>
          </w:p>
        </w:tc>
        <w:tc>
          <w:tcPr>
            <w:tcW w:w="6732" w:type="dxa"/>
            <w:gridSpan w:val="4"/>
            <w:tcBorders>
              <w:top w:val="single" w:sz="4" w:space="0" w:color="000000"/>
              <w:bottom w:val="single" w:sz="4" w:space="0" w:color="000000"/>
            </w:tcBorders>
          </w:tcPr>
          <w:p w14:paraId="0D13BA43" w14:textId="77777777" w:rsidR="000C67DD"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DEX 10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perorálně, den 1-5;</w:t>
            </w:r>
          </w:p>
          <w:p w14:paraId="48DD5642" w14:textId="77777777" w:rsidR="000C67DD"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CP 200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den 3-5;</w:t>
            </w:r>
          </w:p>
          <w:p w14:paraId="6E430B79"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MTX</w:t>
              </w:r>
            </w:smartTag>
            <w:r w:rsidRPr="009B1A37">
              <w:rPr>
                <w:rFonts w:ascii="Times New Roman" w:hAnsi="Times New Roman" w:cs="Times New Roman"/>
                <w:color w:val="000000"/>
                <w:sz w:val="22"/>
                <w:szCs w:val="22"/>
                <w:lang w:val="cs-CZ"/>
              </w:rPr>
              <w:t xml:space="preserve"> 15 mg intratekálně, den 1</w:t>
            </w:r>
          </w:p>
        </w:tc>
      </w:tr>
      <w:tr w:rsidR="00D97A44" w:rsidRPr="009B1A37" w14:paraId="3F1E274E" w14:textId="77777777" w:rsidTr="00F75C2F">
        <w:trPr>
          <w:cantSplit/>
        </w:trPr>
        <w:tc>
          <w:tcPr>
            <w:tcW w:w="2148" w:type="dxa"/>
            <w:tcBorders>
              <w:top w:val="single" w:sz="4" w:space="0" w:color="000000"/>
              <w:bottom w:val="single" w:sz="4" w:space="0" w:color="000000"/>
            </w:tcBorders>
          </w:tcPr>
          <w:p w14:paraId="59C10432"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Indukční terapie I</w:t>
            </w:r>
          </w:p>
        </w:tc>
        <w:tc>
          <w:tcPr>
            <w:tcW w:w="6732" w:type="dxa"/>
            <w:gridSpan w:val="4"/>
            <w:tcBorders>
              <w:top w:val="single" w:sz="4" w:space="0" w:color="000000"/>
              <w:bottom w:val="single" w:sz="4" w:space="0" w:color="000000"/>
            </w:tcBorders>
          </w:tcPr>
          <w:p w14:paraId="5CCAC8EE" w14:textId="77777777" w:rsidR="000C67DD"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DEX 10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perorálně, den 1-5;</w:t>
            </w:r>
          </w:p>
          <w:p w14:paraId="6A8B3956" w14:textId="77777777" w:rsidR="000C67DD"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VCR</w:t>
              </w:r>
            </w:smartTag>
            <w:r w:rsidRPr="009B1A37">
              <w:rPr>
                <w:rFonts w:ascii="Times New Roman" w:hAnsi="Times New Roman" w:cs="Times New Roman"/>
                <w:color w:val="000000"/>
                <w:sz w:val="22"/>
                <w:szCs w:val="22"/>
                <w:lang w:val="cs-CZ"/>
              </w:rPr>
              <w:t xml:space="preserve"> 2 mg i.v., den 6, 13, 20;</w:t>
            </w:r>
          </w:p>
          <w:p w14:paraId="7A238123" w14:textId="77777777" w:rsidR="00D97A44" w:rsidRPr="009B1A37" w:rsidRDefault="00BA17E5"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d</w:t>
            </w:r>
            <w:r w:rsidR="00D97A44" w:rsidRPr="009B1A37">
              <w:rPr>
                <w:rFonts w:ascii="Times New Roman" w:hAnsi="Times New Roman" w:cs="Times New Roman"/>
                <w:color w:val="000000"/>
                <w:sz w:val="22"/>
                <w:szCs w:val="22"/>
                <w:lang w:val="cs-CZ"/>
              </w:rPr>
              <w:t>aunorubicin 45 mg/m</w:t>
            </w:r>
            <w:r w:rsidR="00D97A44" w:rsidRPr="009B1A37">
              <w:rPr>
                <w:rFonts w:ascii="Times New Roman" w:hAnsi="Times New Roman" w:cs="Times New Roman"/>
                <w:color w:val="000000"/>
                <w:sz w:val="22"/>
                <w:szCs w:val="22"/>
                <w:vertAlign w:val="superscript"/>
                <w:lang w:val="cs-CZ"/>
              </w:rPr>
              <w:t>2</w:t>
            </w:r>
            <w:r w:rsidR="00D97A44" w:rsidRPr="009B1A37">
              <w:rPr>
                <w:rFonts w:ascii="Times New Roman" w:hAnsi="Times New Roman" w:cs="Times New Roman"/>
                <w:color w:val="000000"/>
                <w:sz w:val="22"/>
                <w:szCs w:val="22"/>
                <w:lang w:val="cs-CZ"/>
              </w:rPr>
              <w:t xml:space="preserve"> i.v., den 6-7, 13-14</w:t>
            </w:r>
          </w:p>
        </w:tc>
      </w:tr>
      <w:tr w:rsidR="00D97A44" w:rsidRPr="009B1A37" w14:paraId="14410F08" w14:textId="77777777" w:rsidTr="00F75C2F">
        <w:trPr>
          <w:cantSplit/>
        </w:trPr>
        <w:tc>
          <w:tcPr>
            <w:tcW w:w="2148" w:type="dxa"/>
            <w:tcBorders>
              <w:top w:val="single" w:sz="4" w:space="0" w:color="000000"/>
              <w:bottom w:val="single" w:sz="4" w:space="0" w:color="000000"/>
            </w:tcBorders>
          </w:tcPr>
          <w:p w14:paraId="02D6C477"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Indukční terapie II</w:t>
            </w:r>
          </w:p>
        </w:tc>
        <w:tc>
          <w:tcPr>
            <w:tcW w:w="6732" w:type="dxa"/>
            <w:gridSpan w:val="4"/>
            <w:tcBorders>
              <w:top w:val="single" w:sz="4" w:space="0" w:color="000000"/>
              <w:bottom w:val="single" w:sz="4" w:space="0" w:color="000000"/>
            </w:tcBorders>
          </w:tcPr>
          <w:p w14:paraId="043BB6A4" w14:textId="77777777" w:rsidR="000C67DD"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CP 1 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(1 h), den 26, 46;</w:t>
            </w:r>
          </w:p>
          <w:p w14:paraId="01DA67E8" w14:textId="77777777" w:rsidR="000C67DD"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Ara-C 75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(1 h), den 28-31, 35-38, 42-45;</w:t>
            </w:r>
          </w:p>
          <w:p w14:paraId="32D0EDD7"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6-MP 60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perorálně, den 26-46</w:t>
            </w:r>
          </w:p>
        </w:tc>
      </w:tr>
      <w:tr w:rsidR="00D97A44" w:rsidRPr="009B1A37" w14:paraId="5569ACF7" w14:textId="77777777" w:rsidTr="00F75C2F">
        <w:trPr>
          <w:cantSplit/>
        </w:trPr>
        <w:tc>
          <w:tcPr>
            <w:tcW w:w="2148" w:type="dxa"/>
            <w:tcBorders>
              <w:bottom w:val="single" w:sz="4" w:space="0" w:color="000000"/>
            </w:tcBorders>
          </w:tcPr>
          <w:p w14:paraId="1EEA52CA" w14:textId="77777777" w:rsidR="00D97A44" w:rsidRPr="009B1A37" w:rsidRDefault="00D97A44" w:rsidP="009F41EF">
            <w:pPr>
              <w:pStyle w:val="Table"/>
              <w:keepNext w:val="0"/>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Konsolidační terapie</w:t>
            </w:r>
          </w:p>
        </w:tc>
        <w:tc>
          <w:tcPr>
            <w:tcW w:w="6732" w:type="dxa"/>
            <w:gridSpan w:val="4"/>
            <w:tcBorders>
              <w:bottom w:val="single" w:sz="4" w:space="0" w:color="000000"/>
            </w:tcBorders>
          </w:tcPr>
          <w:p w14:paraId="1E76E1A8" w14:textId="77777777" w:rsidR="000C67DD" w:rsidRPr="009B1A37" w:rsidRDefault="00D97A44" w:rsidP="009F41EF">
            <w:pPr>
              <w:pStyle w:val="Table"/>
              <w:keepNext w:val="0"/>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DEX 10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perorálně, den 1-5; vindesin 3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den 1;</w:t>
            </w:r>
          </w:p>
          <w:p w14:paraId="51BBAE71" w14:textId="77777777" w:rsidR="000C67DD" w:rsidRPr="009B1A37" w:rsidRDefault="00D97A44" w:rsidP="009F41EF">
            <w:pPr>
              <w:pStyle w:val="Table"/>
              <w:keepNext w:val="0"/>
              <w:keepLines w:val="0"/>
              <w:widowControl w:val="0"/>
              <w:snapToGrid w:val="0"/>
              <w:spacing w:before="0" w:after="0"/>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MTX</w:t>
              </w:r>
            </w:smartTag>
            <w:r w:rsidRPr="009B1A37">
              <w:rPr>
                <w:rFonts w:ascii="Times New Roman" w:hAnsi="Times New Roman" w:cs="Times New Roman"/>
                <w:color w:val="000000"/>
                <w:sz w:val="22"/>
                <w:szCs w:val="22"/>
                <w:lang w:val="cs-CZ"/>
              </w:rPr>
              <w:t xml:space="preserve"> 1,5 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(24 h), den 1;</w:t>
            </w:r>
          </w:p>
          <w:p w14:paraId="281FF8AC" w14:textId="77777777" w:rsidR="000C67DD" w:rsidRPr="009B1A37" w:rsidRDefault="00BA17E5" w:rsidP="009F41EF">
            <w:pPr>
              <w:pStyle w:val="Table"/>
              <w:keepNext w:val="0"/>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e</w:t>
            </w:r>
            <w:r w:rsidR="00D97A44" w:rsidRPr="009B1A37">
              <w:rPr>
                <w:rFonts w:ascii="Times New Roman" w:hAnsi="Times New Roman" w:cs="Times New Roman"/>
                <w:color w:val="000000"/>
                <w:sz w:val="22"/>
                <w:szCs w:val="22"/>
                <w:lang w:val="cs-CZ"/>
              </w:rPr>
              <w:t>toposid 250 mg/m</w:t>
            </w:r>
            <w:r w:rsidR="00D97A44" w:rsidRPr="009B1A37">
              <w:rPr>
                <w:rFonts w:ascii="Times New Roman" w:hAnsi="Times New Roman" w:cs="Times New Roman"/>
                <w:color w:val="000000"/>
                <w:sz w:val="22"/>
                <w:szCs w:val="22"/>
                <w:vertAlign w:val="superscript"/>
                <w:lang w:val="cs-CZ"/>
              </w:rPr>
              <w:t>2</w:t>
            </w:r>
            <w:r w:rsidR="00D97A44" w:rsidRPr="009B1A37">
              <w:rPr>
                <w:rFonts w:ascii="Times New Roman" w:hAnsi="Times New Roman" w:cs="Times New Roman"/>
                <w:color w:val="000000"/>
                <w:sz w:val="22"/>
                <w:szCs w:val="22"/>
                <w:lang w:val="cs-CZ"/>
              </w:rPr>
              <w:t xml:space="preserve"> i.v. (1 h) den 4-5;</w:t>
            </w:r>
          </w:p>
          <w:p w14:paraId="6D93AD3B" w14:textId="77777777" w:rsidR="00D97A44" w:rsidRPr="009B1A37" w:rsidRDefault="00D97A44" w:rsidP="009F41EF">
            <w:pPr>
              <w:pStyle w:val="Table"/>
              <w:keepNext w:val="0"/>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Ara-C 2x 2 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(3 h, q 12 h), den 5</w:t>
            </w:r>
          </w:p>
        </w:tc>
      </w:tr>
      <w:tr w:rsidR="00D97A44" w:rsidRPr="009B1A37" w14:paraId="0D2C7669" w14:textId="77777777" w:rsidTr="00F75C2F">
        <w:trPr>
          <w:cantSplit/>
        </w:trPr>
        <w:tc>
          <w:tcPr>
            <w:tcW w:w="2148" w:type="dxa"/>
            <w:tcBorders>
              <w:bottom w:val="single" w:sz="4" w:space="0" w:color="000000"/>
            </w:tcBorders>
          </w:tcPr>
          <w:p w14:paraId="521D555F" w14:textId="77777777" w:rsidR="00D97A44" w:rsidRPr="009B1A37" w:rsidRDefault="00D97A44" w:rsidP="009F41EF">
            <w:pPr>
              <w:pStyle w:val="Table"/>
              <w:keepLines w:val="0"/>
              <w:widowControl w:val="0"/>
              <w:snapToGrid w:val="0"/>
              <w:spacing w:before="0" w:after="0"/>
              <w:rPr>
                <w:rFonts w:ascii="Times New Roman" w:hAnsi="Times New Roman" w:cs="Times New Roman"/>
                <w:b/>
                <w:bCs/>
                <w:color w:val="000000"/>
                <w:sz w:val="22"/>
                <w:szCs w:val="22"/>
                <w:lang w:val="cs-CZ"/>
              </w:rPr>
            </w:pPr>
            <w:r w:rsidRPr="009B1A37">
              <w:rPr>
                <w:rFonts w:ascii="Times New Roman" w:hAnsi="Times New Roman" w:cs="Times New Roman"/>
                <w:b/>
                <w:bCs/>
                <w:color w:val="000000"/>
                <w:sz w:val="22"/>
                <w:szCs w:val="22"/>
                <w:lang w:val="cs-CZ"/>
              </w:rPr>
              <w:t>Studie AJP01</w:t>
            </w:r>
          </w:p>
        </w:tc>
        <w:tc>
          <w:tcPr>
            <w:tcW w:w="2652" w:type="dxa"/>
            <w:tcBorders>
              <w:bottom w:val="single" w:sz="4" w:space="0" w:color="000000"/>
            </w:tcBorders>
          </w:tcPr>
          <w:p w14:paraId="4A610EF4"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p>
        </w:tc>
        <w:tc>
          <w:tcPr>
            <w:tcW w:w="1080" w:type="dxa"/>
            <w:tcBorders>
              <w:bottom w:val="single" w:sz="4" w:space="0" w:color="000000"/>
            </w:tcBorders>
          </w:tcPr>
          <w:p w14:paraId="088780A2"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p>
        </w:tc>
        <w:tc>
          <w:tcPr>
            <w:tcW w:w="1380" w:type="dxa"/>
            <w:tcBorders>
              <w:bottom w:val="single" w:sz="4" w:space="0" w:color="000000"/>
            </w:tcBorders>
          </w:tcPr>
          <w:p w14:paraId="515E8019"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p>
        </w:tc>
        <w:tc>
          <w:tcPr>
            <w:tcW w:w="1620" w:type="dxa"/>
            <w:tcBorders>
              <w:bottom w:val="single" w:sz="4" w:space="0" w:color="000000"/>
            </w:tcBorders>
          </w:tcPr>
          <w:p w14:paraId="3165103B"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p>
        </w:tc>
      </w:tr>
      <w:tr w:rsidR="00D97A44" w:rsidRPr="009B1A37" w14:paraId="58D1B1AF" w14:textId="77777777" w:rsidTr="00F75C2F">
        <w:trPr>
          <w:cantSplit/>
        </w:trPr>
        <w:tc>
          <w:tcPr>
            <w:tcW w:w="2148" w:type="dxa"/>
            <w:tcBorders>
              <w:bottom w:val="single" w:sz="4" w:space="0" w:color="000000"/>
            </w:tcBorders>
          </w:tcPr>
          <w:p w14:paraId="7DC75EDA" w14:textId="77777777" w:rsidR="00D97A44" w:rsidRPr="009B1A37" w:rsidRDefault="00D97A44" w:rsidP="009F41EF">
            <w:pPr>
              <w:pStyle w:val="Table"/>
              <w:keepLines w:val="0"/>
              <w:widowControl w:val="0"/>
              <w:snapToGrid w:val="0"/>
              <w:spacing w:before="0" w:after="0"/>
              <w:jc w:val="both"/>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Indukční terapie</w:t>
            </w:r>
          </w:p>
        </w:tc>
        <w:tc>
          <w:tcPr>
            <w:tcW w:w="6732" w:type="dxa"/>
            <w:gridSpan w:val="4"/>
            <w:tcBorders>
              <w:bottom w:val="single" w:sz="4" w:space="0" w:color="000000"/>
            </w:tcBorders>
          </w:tcPr>
          <w:p w14:paraId="648EC0B0" w14:textId="77777777" w:rsidR="000C67DD"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CP 1,2 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(3 h), den 1;</w:t>
            </w:r>
          </w:p>
          <w:p w14:paraId="53830491" w14:textId="77777777" w:rsidR="000C67DD" w:rsidRPr="009B1A37" w:rsidRDefault="00BA17E5"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d</w:t>
            </w:r>
            <w:r w:rsidR="00D97A44" w:rsidRPr="009B1A37">
              <w:rPr>
                <w:rFonts w:ascii="Times New Roman" w:hAnsi="Times New Roman" w:cs="Times New Roman"/>
                <w:color w:val="000000"/>
                <w:sz w:val="22"/>
                <w:szCs w:val="22"/>
                <w:lang w:val="cs-CZ"/>
              </w:rPr>
              <w:t>aunorubicin 60 mg/m</w:t>
            </w:r>
            <w:r w:rsidR="00D97A44" w:rsidRPr="009B1A37">
              <w:rPr>
                <w:rFonts w:ascii="Times New Roman" w:hAnsi="Times New Roman" w:cs="Times New Roman"/>
                <w:color w:val="000000"/>
                <w:sz w:val="22"/>
                <w:szCs w:val="22"/>
                <w:vertAlign w:val="superscript"/>
                <w:lang w:val="cs-CZ"/>
              </w:rPr>
              <w:t>2</w:t>
            </w:r>
            <w:r w:rsidR="00D97A44" w:rsidRPr="009B1A37">
              <w:rPr>
                <w:rFonts w:ascii="Times New Roman" w:hAnsi="Times New Roman" w:cs="Times New Roman"/>
                <w:color w:val="000000"/>
                <w:sz w:val="22"/>
                <w:szCs w:val="22"/>
                <w:lang w:val="cs-CZ"/>
              </w:rPr>
              <w:t xml:space="preserve"> i.v. (1 h), den 1-3;</w:t>
            </w:r>
          </w:p>
          <w:p w14:paraId="64530657" w14:textId="77777777" w:rsidR="000C67DD" w:rsidRPr="009B1A37" w:rsidRDefault="00BA17E5"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v</w:t>
            </w:r>
            <w:r w:rsidR="00D97A44" w:rsidRPr="009B1A37">
              <w:rPr>
                <w:rFonts w:ascii="Times New Roman" w:hAnsi="Times New Roman" w:cs="Times New Roman"/>
                <w:color w:val="000000"/>
                <w:sz w:val="22"/>
                <w:szCs w:val="22"/>
                <w:lang w:val="cs-CZ"/>
              </w:rPr>
              <w:t>inkristin 1,3 mg/m</w:t>
            </w:r>
            <w:r w:rsidR="00D97A44" w:rsidRPr="009B1A37">
              <w:rPr>
                <w:rFonts w:ascii="Times New Roman" w:hAnsi="Times New Roman" w:cs="Times New Roman"/>
                <w:color w:val="000000"/>
                <w:sz w:val="22"/>
                <w:szCs w:val="22"/>
                <w:vertAlign w:val="superscript"/>
                <w:lang w:val="cs-CZ"/>
              </w:rPr>
              <w:t>2</w:t>
            </w:r>
            <w:r w:rsidR="00D97A44" w:rsidRPr="009B1A37">
              <w:rPr>
                <w:rFonts w:ascii="Times New Roman" w:hAnsi="Times New Roman" w:cs="Times New Roman"/>
                <w:color w:val="000000"/>
                <w:sz w:val="22"/>
                <w:szCs w:val="22"/>
                <w:lang w:val="cs-CZ"/>
              </w:rPr>
              <w:t xml:space="preserve"> i.v., den 1, 8, 15, 21;</w:t>
            </w:r>
          </w:p>
          <w:p w14:paraId="60272560" w14:textId="77777777" w:rsidR="00D97A44" w:rsidRPr="009B1A37" w:rsidRDefault="00BA17E5"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p</w:t>
            </w:r>
            <w:r w:rsidR="00D97A44" w:rsidRPr="009B1A37">
              <w:rPr>
                <w:rFonts w:ascii="Times New Roman" w:hAnsi="Times New Roman" w:cs="Times New Roman"/>
                <w:color w:val="000000"/>
                <w:sz w:val="22"/>
                <w:szCs w:val="22"/>
                <w:lang w:val="cs-CZ"/>
              </w:rPr>
              <w:t>rednisolon 60 mg/m</w:t>
            </w:r>
            <w:r w:rsidR="00D97A44" w:rsidRPr="009B1A37">
              <w:rPr>
                <w:rFonts w:ascii="Times New Roman" w:hAnsi="Times New Roman" w:cs="Times New Roman"/>
                <w:color w:val="000000"/>
                <w:sz w:val="22"/>
                <w:szCs w:val="22"/>
                <w:vertAlign w:val="superscript"/>
                <w:lang w:val="cs-CZ"/>
              </w:rPr>
              <w:t>2</w:t>
            </w:r>
            <w:r w:rsidR="00D97A44" w:rsidRPr="009B1A37">
              <w:rPr>
                <w:rFonts w:ascii="Times New Roman" w:hAnsi="Times New Roman" w:cs="Times New Roman"/>
                <w:color w:val="000000"/>
                <w:sz w:val="22"/>
                <w:szCs w:val="22"/>
                <w:lang w:val="cs-CZ"/>
              </w:rPr>
              <w:t>/den perorálně</w:t>
            </w:r>
          </w:p>
        </w:tc>
      </w:tr>
      <w:tr w:rsidR="00D97A44" w:rsidRPr="009B1A37" w14:paraId="529E3312" w14:textId="77777777" w:rsidTr="00F75C2F">
        <w:trPr>
          <w:cantSplit/>
        </w:trPr>
        <w:tc>
          <w:tcPr>
            <w:tcW w:w="2148" w:type="dxa"/>
            <w:tcBorders>
              <w:top w:val="single" w:sz="4" w:space="0" w:color="000000"/>
              <w:bottom w:val="single" w:sz="4" w:space="0" w:color="000000"/>
            </w:tcBorders>
          </w:tcPr>
          <w:p w14:paraId="7F9A704B" w14:textId="77777777" w:rsidR="00D97A44" w:rsidRPr="009B1A37" w:rsidRDefault="00D97A44" w:rsidP="009F41EF">
            <w:pPr>
              <w:pStyle w:val="Table"/>
              <w:keepLines w:val="0"/>
              <w:widowControl w:val="0"/>
              <w:tabs>
                <w:tab w:val="left" w:pos="0"/>
              </w:tabs>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Konsolidační terapie</w:t>
            </w:r>
          </w:p>
        </w:tc>
        <w:tc>
          <w:tcPr>
            <w:tcW w:w="6732" w:type="dxa"/>
            <w:gridSpan w:val="4"/>
            <w:tcBorders>
              <w:top w:val="single" w:sz="4" w:space="0" w:color="000000"/>
              <w:bottom w:val="single" w:sz="4" w:space="0" w:color="000000"/>
            </w:tcBorders>
          </w:tcPr>
          <w:p w14:paraId="62D2F8C3"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 xml:space="preserve">Alternativní chemoterapeutický postup: vysoká dávka chemoterapie s </w:t>
            </w:r>
            <w:smartTag w:uri="urn:schemas-microsoft-com:office:smarttags" w:element="stockticker">
              <w:r w:rsidRPr="009B1A37">
                <w:rPr>
                  <w:rFonts w:ascii="Times New Roman" w:hAnsi="Times New Roman" w:cs="Times New Roman"/>
                  <w:color w:val="000000"/>
                  <w:sz w:val="22"/>
                  <w:szCs w:val="22"/>
                  <w:lang w:val="cs-CZ"/>
                </w:rPr>
                <w:t>MTX</w:t>
              </w:r>
            </w:smartTag>
            <w:r w:rsidRPr="009B1A37">
              <w:rPr>
                <w:rFonts w:ascii="Times New Roman" w:hAnsi="Times New Roman" w:cs="Times New Roman"/>
                <w:color w:val="000000"/>
                <w:sz w:val="22"/>
                <w:szCs w:val="22"/>
                <w:lang w:val="cs-CZ"/>
              </w:rPr>
              <w:t xml:space="preserve"> 1 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(24 h), den 1, a Ara-C 2 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(q 12 h), den 2-3, po 4 cyklech</w:t>
            </w:r>
          </w:p>
        </w:tc>
      </w:tr>
      <w:tr w:rsidR="00D97A44" w:rsidRPr="009B1A37" w14:paraId="19BF6215" w14:textId="77777777" w:rsidTr="00F75C2F">
        <w:trPr>
          <w:cantSplit/>
        </w:trPr>
        <w:tc>
          <w:tcPr>
            <w:tcW w:w="2148" w:type="dxa"/>
            <w:tcBorders>
              <w:top w:val="single" w:sz="4" w:space="0" w:color="000000"/>
              <w:bottom w:val="single" w:sz="4" w:space="0" w:color="000000"/>
            </w:tcBorders>
          </w:tcPr>
          <w:p w14:paraId="1A1A1867" w14:textId="77777777" w:rsidR="00D97A44" w:rsidRPr="009B1A37" w:rsidRDefault="00D97A44" w:rsidP="009F41EF">
            <w:pPr>
              <w:pStyle w:val="Table"/>
              <w:keepNext w:val="0"/>
              <w:keepLines w:val="0"/>
              <w:widowControl w:val="0"/>
              <w:tabs>
                <w:tab w:val="left" w:pos="0"/>
              </w:tabs>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Udržovací terapie</w:t>
            </w:r>
          </w:p>
        </w:tc>
        <w:tc>
          <w:tcPr>
            <w:tcW w:w="6732" w:type="dxa"/>
            <w:gridSpan w:val="4"/>
            <w:tcBorders>
              <w:top w:val="single" w:sz="4" w:space="0" w:color="000000"/>
              <w:bottom w:val="single" w:sz="4" w:space="0" w:color="000000"/>
            </w:tcBorders>
          </w:tcPr>
          <w:p w14:paraId="7626D93E" w14:textId="77777777" w:rsidR="000C67DD" w:rsidRPr="009B1A37" w:rsidRDefault="00D97A44" w:rsidP="009F41EF">
            <w:pPr>
              <w:pStyle w:val="Table"/>
              <w:keepNext w:val="0"/>
              <w:keepLines w:val="0"/>
              <w:widowControl w:val="0"/>
              <w:snapToGrid w:val="0"/>
              <w:spacing w:before="0" w:after="0"/>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VCR</w:t>
              </w:r>
            </w:smartTag>
            <w:r w:rsidRPr="009B1A37">
              <w:rPr>
                <w:rFonts w:ascii="Times New Roman" w:hAnsi="Times New Roman" w:cs="Times New Roman"/>
                <w:color w:val="000000"/>
                <w:sz w:val="22"/>
                <w:szCs w:val="22"/>
                <w:lang w:val="cs-CZ"/>
              </w:rPr>
              <w:t xml:space="preserve"> 1,3 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den 1;</w:t>
            </w:r>
          </w:p>
          <w:p w14:paraId="4B6917B5" w14:textId="77777777" w:rsidR="00D97A44" w:rsidRPr="009B1A37" w:rsidRDefault="00BA17E5" w:rsidP="009F41EF">
            <w:pPr>
              <w:pStyle w:val="Table"/>
              <w:keepNext w:val="0"/>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p</w:t>
            </w:r>
            <w:r w:rsidR="00D97A44" w:rsidRPr="009B1A37">
              <w:rPr>
                <w:rFonts w:ascii="Times New Roman" w:hAnsi="Times New Roman" w:cs="Times New Roman"/>
                <w:color w:val="000000"/>
                <w:sz w:val="22"/>
                <w:szCs w:val="22"/>
                <w:lang w:val="cs-CZ"/>
              </w:rPr>
              <w:t>rednisolon 60 mg/m</w:t>
            </w:r>
            <w:r w:rsidR="00D97A44" w:rsidRPr="009B1A37">
              <w:rPr>
                <w:rFonts w:ascii="Times New Roman" w:hAnsi="Times New Roman" w:cs="Times New Roman"/>
                <w:color w:val="000000"/>
                <w:sz w:val="22"/>
                <w:szCs w:val="22"/>
                <w:vertAlign w:val="superscript"/>
                <w:lang w:val="cs-CZ"/>
              </w:rPr>
              <w:t>2</w:t>
            </w:r>
            <w:r w:rsidR="00D97A44" w:rsidRPr="009B1A37">
              <w:rPr>
                <w:rFonts w:ascii="Times New Roman" w:hAnsi="Times New Roman" w:cs="Times New Roman"/>
                <w:color w:val="000000"/>
                <w:sz w:val="22"/>
                <w:szCs w:val="22"/>
                <w:lang w:val="cs-CZ"/>
              </w:rPr>
              <w:t xml:space="preserve"> perorálně, den 1-5</w:t>
            </w:r>
          </w:p>
        </w:tc>
      </w:tr>
      <w:tr w:rsidR="00D97A44" w:rsidRPr="009B1A37" w14:paraId="34D3F0F5" w14:textId="77777777" w:rsidTr="00F75C2F">
        <w:trPr>
          <w:cantSplit/>
        </w:trPr>
        <w:tc>
          <w:tcPr>
            <w:tcW w:w="4800" w:type="dxa"/>
            <w:gridSpan w:val="2"/>
            <w:tcBorders>
              <w:top w:val="single" w:sz="4" w:space="0" w:color="000000"/>
              <w:bottom w:val="single" w:sz="4" w:space="0" w:color="000000"/>
            </w:tcBorders>
          </w:tcPr>
          <w:p w14:paraId="5E22859C" w14:textId="77777777" w:rsidR="00D97A44" w:rsidRPr="009B1A37" w:rsidRDefault="00D97A44" w:rsidP="009F41EF">
            <w:pPr>
              <w:pStyle w:val="Table"/>
              <w:keepLines w:val="0"/>
              <w:widowControl w:val="0"/>
              <w:snapToGrid w:val="0"/>
              <w:spacing w:before="0" w:after="0"/>
              <w:rPr>
                <w:rFonts w:ascii="Times New Roman" w:hAnsi="Times New Roman" w:cs="Times New Roman"/>
                <w:b/>
                <w:bCs/>
                <w:color w:val="000000"/>
                <w:sz w:val="22"/>
                <w:szCs w:val="22"/>
                <w:lang w:val="cs-CZ"/>
              </w:rPr>
            </w:pPr>
            <w:r w:rsidRPr="009B1A37">
              <w:rPr>
                <w:rFonts w:ascii="Times New Roman" w:hAnsi="Times New Roman" w:cs="Times New Roman"/>
                <w:b/>
                <w:bCs/>
                <w:color w:val="000000"/>
                <w:sz w:val="22"/>
                <w:szCs w:val="22"/>
                <w:lang w:val="cs-CZ"/>
              </w:rPr>
              <w:t>Studie AUS01</w:t>
            </w:r>
          </w:p>
        </w:tc>
        <w:tc>
          <w:tcPr>
            <w:tcW w:w="1080" w:type="dxa"/>
            <w:tcBorders>
              <w:top w:val="single" w:sz="4" w:space="0" w:color="000000"/>
              <w:bottom w:val="single" w:sz="4" w:space="0" w:color="000000"/>
            </w:tcBorders>
          </w:tcPr>
          <w:p w14:paraId="6D6CA489"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p>
        </w:tc>
        <w:tc>
          <w:tcPr>
            <w:tcW w:w="1380" w:type="dxa"/>
            <w:tcBorders>
              <w:top w:val="single" w:sz="4" w:space="0" w:color="000000"/>
              <w:bottom w:val="single" w:sz="4" w:space="0" w:color="000000"/>
            </w:tcBorders>
          </w:tcPr>
          <w:p w14:paraId="7BF10710"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p>
        </w:tc>
        <w:tc>
          <w:tcPr>
            <w:tcW w:w="1620" w:type="dxa"/>
            <w:tcBorders>
              <w:top w:val="single" w:sz="4" w:space="0" w:color="000000"/>
              <w:bottom w:val="single" w:sz="4" w:space="0" w:color="000000"/>
            </w:tcBorders>
          </w:tcPr>
          <w:p w14:paraId="68A8F535"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p>
        </w:tc>
      </w:tr>
      <w:tr w:rsidR="00D97A44" w:rsidRPr="009B1A37" w14:paraId="1EAEC296" w14:textId="77777777" w:rsidTr="00F75C2F">
        <w:trPr>
          <w:cantSplit/>
        </w:trPr>
        <w:tc>
          <w:tcPr>
            <w:tcW w:w="2148" w:type="dxa"/>
            <w:tcBorders>
              <w:top w:val="single" w:sz="4" w:space="0" w:color="000000"/>
              <w:bottom w:val="single" w:sz="4" w:space="0" w:color="000000"/>
            </w:tcBorders>
          </w:tcPr>
          <w:p w14:paraId="41CFC6C3"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Indukční-konsolidační terapie</w:t>
            </w:r>
          </w:p>
        </w:tc>
        <w:tc>
          <w:tcPr>
            <w:tcW w:w="6732" w:type="dxa"/>
            <w:gridSpan w:val="4"/>
            <w:tcBorders>
              <w:top w:val="single" w:sz="4" w:space="0" w:color="000000"/>
              <w:bottom w:val="single" w:sz="4" w:space="0" w:color="000000"/>
            </w:tcBorders>
          </w:tcPr>
          <w:p w14:paraId="5B0905EC" w14:textId="77777777" w:rsidR="000C67DD"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Hyper-CVAD režim: CP 300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(3 h, q 12 h), den 1-3;</w:t>
            </w:r>
          </w:p>
          <w:p w14:paraId="04351BD5" w14:textId="77777777" w:rsidR="000C67DD" w:rsidRPr="009B1A37" w:rsidRDefault="00BA17E5"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v</w:t>
            </w:r>
            <w:r w:rsidR="00D97A44" w:rsidRPr="009B1A37">
              <w:rPr>
                <w:rFonts w:ascii="Times New Roman" w:hAnsi="Times New Roman" w:cs="Times New Roman"/>
                <w:color w:val="000000"/>
                <w:sz w:val="22"/>
                <w:szCs w:val="22"/>
                <w:lang w:val="cs-CZ"/>
              </w:rPr>
              <w:t>inkristin 2 mg i.v., den 4, 11;</w:t>
            </w:r>
          </w:p>
          <w:p w14:paraId="04797FD7" w14:textId="77777777" w:rsidR="000C67DD" w:rsidRPr="009B1A37" w:rsidRDefault="00BA17E5"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d</w:t>
            </w:r>
            <w:r w:rsidR="00D97A44" w:rsidRPr="009B1A37">
              <w:rPr>
                <w:rFonts w:ascii="Times New Roman" w:hAnsi="Times New Roman" w:cs="Times New Roman"/>
                <w:color w:val="000000"/>
                <w:sz w:val="22"/>
                <w:szCs w:val="22"/>
                <w:lang w:val="cs-CZ"/>
              </w:rPr>
              <w:t>oxorubicin 50 mg/m</w:t>
            </w:r>
            <w:r w:rsidR="00D97A44" w:rsidRPr="009B1A37">
              <w:rPr>
                <w:rFonts w:ascii="Times New Roman" w:hAnsi="Times New Roman" w:cs="Times New Roman"/>
                <w:color w:val="000000"/>
                <w:sz w:val="22"/>
                <w:szCs w:val="22"/>
                <w:vertAlign w:val="superscript"/>
                <w:lang w:val="cs-CZ"/>
              </w:rPr>
              <w:t>2</w:t>
            </w:r>
            <w:r w:rsidR="00D97A44" w:rsidRPr="009B1A37">
              <w:rPr>
                <w:rFonts w:ascii="Times New Roman" w:hAnsi="Times New Roman" w:cs="Times New Roman"/>
                <w:color w:val="000000"/>
                <w:sz w:val="22"/>
                <w:szCs w:val="22"/>
                <w:lang w:val="cs-CZ"/>
              </w:rPr>
              <w:t xml:space="preserve"> i.v. (24 h), den 4;</w:t>
            </w:r>
          </w:p>
          <w:p w14:paraId="442A1D31"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DEX 40 mg/den po dnech 1-</w:t>
            </w:r>
            <w:smartTag w:uri="urn:schemas-microsoft-com:office:smarttags" w:element="metricconverter">
              <w:smartTagPr>
                <w:attr w:name="ProductID" w:val="4 a"/>
              </w:smartTagPr>
              <w:r w:rsidRPr="009B1A37">
                <w:rPr>
                  <w:rFonts w:ascii="Times New Roman" w:hAnsi="Times New Roman" w:cs="Times New Roman"/>
                  <w:color w:val="000000"/>
                  <w:sz w:val="22"/>
                  <w:szCs w:val="22"/>
                  <w:lang w:val="cs-CZ"/>
                </w:rPr>
                <w:t>4 a</w:t>
              </w:r>
            </w:smartTag>
            <w:r w:rsidRPr="009B1A37">
              <w:rPr>
                <w:rFonts w:ascii="Times New Roman" w:hAnsi="Times New Roman" w:cs="Times New Roman"/>
                <w:color w:val="000000"/>
                <w:sz w:val="22"/>
                <w:szCs w:val="22"/>
                <w:lang w:val="cs-CZ"/>
              </w:rPr>
              <w:t xml:space="preserve"> 11-14, střídavě s </w:t>
            </w:r>
            <w:smartTag w:uri="urn:schemas-microsoft-com:office:smarttags" w:element="stockticker">
              <w:r w:rsidRPr="009B1A37">
                <w:rPr>
                  <w:rFonts w:ascii="Times New Roman" w:hAnsi="Times New Roman" w:cs="Times New Roman"/>
                  <w:color w:val="000000"/>
                  <w:sz w:val="22"/>
                  <w:szCs w:val="22"/>
                  <w:lang w:val="cs-CZ"/>
                </w:rPr>
                <w:t>MTX</w:t>
              </w:r>
            </w:smartTag>
            <w:r w:rsidRPr="009B1A37">
              <w:rPr>
                <w:rFonts w:ascii="Times New Roman" w:hAnsi="Times New Roman" w:cs="Times New Roman"/>
                <w:color w:val="000000"/>
                <w:sz w:val="22"/>
                <w:szCs w:val="22"/>
                <w:lang w:val="cs-CZ"/>
              </w:rPr>
              <w:t xml:space="preserve"> 1 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(24 h), den 1, Ara-C 1 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(2 h, q 12 h), den 2-3 (celkově 8 léčebných </w:t>
            </w:r>
            <w:r w:rsidR="0098741C" w:rsidRPr="009B1A37">
              <w:rPr>
                <w:rFonts w:ascii="Times New Roman" w:hAnsi="Times New Roman" w:cs="Times New Roman"/>
                <w:color w:val="000000"/>
                <w:sz w:val="22"/>
                <w:szCs w:val="22"/>
                <w:lang w:val="cs-CZ"/>
              </w:rPr>
              <w:t>cyklů</w:t>
            </w:r>
            <w:r w:rsidRPr="009B1A37">
              <w:rPr>
                <w:rFonts w:ascii="Times New Roman" w:hAnsi="Times New Roman" w:cs="Times New Roman"/>
                <w:color w:val="000000"/>
                <w:sz w:val="22"/>
                <w:szCs w:val="22"/>
                <w:lang w:val="cs-CZ"/>
              </w:rPr>
              <w:t>)</w:t>
            </w:r>
          </w:p>
        </w:tc>
      </w:tr>
      <w:tr w:rsidR="00D97A44" w:rsidRPr="009B1A37" w14:paraId="3F2BD7B4" w14:textId="77777777" w:rsidTr="00F75C2F">
        <w:trPr>
          <w:cantSplit/>
        </w:trPr>
        <w:tc>
          <w:tcPr>
            <w:tcW w:w="2148" w:type="dxa"/>
            <w:tcBorders>
              <w:top w:val="single" w:sz="4" w:space="0" w:color="000000"/>
              <w:bottom w:val="single" w:sz="4" w:space="0" w:color="000000"/>
            </w:tcBorders>
          </w:tcPr>
          <w:p w14:paraId="316BA98B"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Udržovací terapie</w:t>
            </w:r>
          </w:p>
        </w:tc>
        <w:tc>
          <w:tcPr>
            <w:tcW w:w="6732" w:type="dxa"/>
            <w:gridSpan w:val="4"/>
            <w:tcBorders>
              <w:top w:val="single" w:sz="4" w:space="0" w:color="000000"/>
              <w:bottom w:val="single" w:sz="4" w:space="0" w:color="000000"/>
            </w:tcBorders>
          </w:tcPr>
          <w:p w14:paraId="0A54040E" w14:textId="77777777" w:rsidR="000C67DD"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VCR</w:t>
              </w:r>
            </w:smartTag>
            <w:r w:rsidRPr="009B1A37">
              <w:rPr>
                <w:rFonts w:ascii="Times New Roman" w:hAnsi="Times New Roman" w:cs="Times New Roman"/>
                <w:color w:val="000000"/>
                <w:sz w:val="22"/>
                <w:szCs w:val="22"/>
                <w:lang w:val="cs-CZ"/>
              </w:rPr>
              <w:t xml:space="preserve"> 2 mg i.v. měsíčně po dobu 13 měsíců;</w:t>
            </w:r>
          </w:p>
          <w:p w14:paraId="542C364C" w14:textId="77777777" w:rsidR="00D97A44" w:rsidRPr="009B1A37" w:rsidRDefault="00BA17E5"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p</w:t>
            </w:r>
            <w:r w:rsidR="00D97A44" w:rsidRPr="009B1A37">
              <w:rPr>
                <w:rFonts w:ascii="Times New Roman" w:hAnsi="Times New Roman" w:cs="Times New Roman"/>
                <w:color w:val="000000"/>
                <w:sz w:val="22"/>
                <w:szCs w:val="22"/>
                <w:lang w:val="cs-CZ"/>
              </w:rPr>
              <w:t>rednisolon 200 mg perorálně, 5 dnů za měsíc po dobu 13 měsíců</w:t>
            </w:r>
          </w:p>
        </w:tc>
      </w:tr>
      <w:tr w:rsidR="00D97A44" w:rsidRPr="009B1A37" w14:paraId="405412A2" w14:textId="77777777" w:rsidTr="00F75C2F">
        <w:trPr>
          <w:cantSplit/>
        </w:trPr>
        <w:tc>
          <w:tcPr>
            <w:tcW w:w="8880" w:type="dxa"/>
            <w:gridSpan w:val="5"/>
            <w:tcBorders>
              <w:top w:val="single" w:sz="4" w:space="0" w:color="000000"/>
              <w:bottom w:val="single" w:sz="4" w:space="0" w:color="000000"/>
            </w:tcBorders>
          </w:tcPr>
          <w:p w14:paraId="0FFEE2EB" w14:textId="77777777" w:rsidR="00D97A44" w:rsidRPr="009B1A37" w:rsidRDefault="00D97A44" w:rsidP="009F41EF">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 xml:space="preserve">Všechny léčebné režimy zahrnují podávání kortikosteroidů </w:t>
            </w:r>
            <w:r w:rsidR="0098741C" w:rsidRPr="009B1A37">
              <w:rPr>
                <w:rFonts w:ascii="Times New Roman" w:hAnsi="Times New Roman" w:cs="Times New Roman"/>
                <w:color w:val="000000"/>
                <w:sz w:val="22"/>
                <w:szCs w:val="22"/>
                <w:lang w:val="cs-CZ"/>
              </w:rPr>
              <w:t>k</w:t>
            </w:r>
            <w:r w:rsidRPr="009B1A37">
              <w:rPr>
                <w:rFonts w:ascii="Times New Roman" w:hAnsi="Times New Roman" w:cs="Times New Roman"/>
                <w:color w:val="000000"/>
                <w:sz w:val="22"/>
                <w:szCs w:val="22"/>
                <w:lang w:val="cs-CZ"/>
              </w:rPr>
              <w:t xml:space="preserve"> profylaxi postižení </w:t>
            </w:r>
            <w:smartTag w:uri="urn:schemas-microsoft-com:office:smarttags" w:element="stockticker">
              <w:r w:rsidRPr="009B1A37">
                <w:rPr>
                  <w:rFonts w:ascii="Times New Roman" w:hAnsi="Times New Roman" w:cs="Times New Roman"/>
                  <w:color w:val="000000"/>
                  <w:sz w:val="22"/>
                  <w:szCs w:val="22"/>
                  <w:lang w:val="cs-CZ"/>
                </w:rPr>
                <w:t>CNS</w:t>
              </w:r>
            </w:smartTag>
            <w:r w:rsidRPr="009B1A37">
              <w:rPr>
                <w:rFonts w:ascii="Times New Roman" w:hAnsi="Times New Roman" w:cs="Times New Roman"/>
                <w:color w:val="000000"/>
                <w:sz w:val="22"/>
                <w:szCs w:val="22"/>
                <w:lang w:val="cs-CZ"/>
              </w:rPr>
              <w:t>.</w:t>
            </w:r>
          </w:p>
        </w:tc>
      </w:tr>
      <w:tr w:rsidR="00D97A44" w:rsidRPr="009B1A37" w14:paraId="7CE3AC22" w14:textId="77777777" w:rsidTr="00F75C2F">
        <w:trPr>
          <w:cantSplit/>
        </w:trPr>
        <w:tc>
          <w:tcPr>
            <w:tcW w:w="8880" w:type="dxa"/>
            <w:gridSpan w:val="5"/>
            <w:tcBorders>
              <w:top w:val="single" w:sz="4" w:space="0" w:color="000000"/>
              <w:bottom w:val="single" w:sz="4" w:space="0" w:color="000000"/>
            </w:tcBorders>
          </w:tcPr>
          <w:p w14:paraId="745BB2B4" w14:textId="77777777" w:rsidR="00D97A44" w:rsidRPr="009B1A37" w:rsidRDefault="00D97A44" w:rsidP="009F41EF">
            <w:pPr>
              <w:pStyle w:val="Table"/>
              <w:keepNext w:val="0"/>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Ara-C: cytosin arabinosid; CP: cy</w:t>
            </w:r>
            <w:r w:rsidR="0098741C" w:rsidRPr="009B1A37">
              <w:rPr>
                <w:rFonts w:ascii="Times New Roman" w:hAnsi="Times New Roman" w:cs="Times New Roman"/>
                <w:color w:val="000000"/>
                <w:sz w:val="22"/>
                <w:szCs w:val="22"/>
                <w:lang w:val="cs-CZ"/>
              </w:rPr>
              <w:t>k</w:t>
            </w:r>
            <w:r w:rsidRPr="009B1A37">
              <w:rPr>
                <w:rFonts w:ascii="Times New Roman" w:hAnsi="Times New Roman" w:cs="Times New Roman"/>
                <w:color w:val="000000"/>
                <w:sz w:val="22"/>
                <w:szCs w:val="22"/>
                <w:lang w:val="cs-CZ"/>
              </w:rPr>
              <w:t xml:space="preserve">lofosfamid; DEX: dexamethason; </w:t>
            </w:r>
            <w:smartTag w:uri="urn:schemas-microsoft-com:office:smarttags" w:element="stockticker">
              <w:r w:rsidRPr="009B1A37">
                <w:rPr>
                  <w:rFonts w:ascii="Times New Roman" w:hAnsi="Times New Roman" w:cs="Times New Roman"/>
                  <w:color w:val="000000"/>
                  <w:sz w:val="22"/>
                  <w:szCs w:val="22"/>
                  <w:lang w:val="cs-CZ"/>
                </w:rPr>
                <w:t>MTX</w:t>
              </w:r>
            </w:smartTag>
            <w:r w:rsidRPr="009B1A37">
              <w:rPr>
                <w:rFonts w:ascii="Times New Roman" w:hAnsi="Times New Roman" w:cs="Times New Roman"/>
                <w:color w:val="000000"/>
                <w:sz w:val="22"/>
                <w:szCs w:val="22"/>
                <w:lang w:val="cs-CZ"/>
              </w:rPr>
              <w:t xml:space="preserve">: methotrexát; 6-MP: 6-merkaptopurin; VM26: teniposid; </w:t>
            </w:r>
            <w:smartTag w:uri="urn:schemas-microsoft-com:office:smarttags" w:element="stockticker">
              <w:r w:rsidRPr="009B1A37">
                <w:rPr>
                  <w:rFonts w:ascii="Times New Roman" w:hAnsi="Times New Roman" w:cs="Times New Roman"/>
                  <w:color w:val="000000"/>
                  <w:sz w:val="22"/>
                  <w:szCs w:val="22"/>
                  <w:lang w:val="cs-CZ"/>
                </w:rPr>
                <w:t>VCR</w:t>
              </w:r>
            </w:smartTag>
            <w:r w:rsidRPr="009B1A37">
              <w:rPr>
                <w:rFonts w:ascii="Times New Roman" w:hAnsi="Times New Roman" w:cs="Times New Roman"/>
                <w:color w:val="000000"/>
                <w:sz w:val="22"/>
                <w:szCs w:val="22"/>
                <w:lang w:val="cs-CZ"/>
              </w:rPr>
              <w:t xml:space="preserve">: vinkristin; </w:t>
            </w:r>
            <w:smartTag w:uri="urn:schemas-microsoft-com:office:smarttags" w:element="stockticker">
              <w:r w:rsidRPr="009B1A37">
                <w:rPr>
                  <w:rFonts w:ascii="Times New Roman" w:hAnsi="Times New Roman" w:cs="Times New Roman"/>
                  <w:color w:val="000000"/>
                  <w:sz w:val="22"/>
                  <w:szCs w:val="22"/>
                  <w:lang w:val="cs-CZ"/>
                </w:rPr>
                <w:t>IDA</w:t>
              </w:r>
            </w:smartTag>
            <w:r w:rsidRPr="009B1A37">
              <w:rPr>
                <w:rFonts w:ascii="Times New Roman" w:hAnsi="Times New Roman" w:cs="Times New Roman"/>
                <w:color w:val="000000"/>
                <w:sz w:val="22"/>
                <w:szCs w:val="22"/>
                <w:lang w:val="cs-CZ"/>
              </w:rPr>
              <w:t>: idarubicin; i.v.: intravenózně</w:t>
            </w:r>
          </w:p>
        </w:tc>
      </w:tr>
    </w:tbl>
    <w:p w14:paraId="454F8139" w14:textId="77777777" w:rsidR="00067F74" w:rsidRPr="009B1A37" w:rsidRDefault="00067F74" w:rsidP="00BE3D48">
      <w:pPr>
        <w:pStyle w:val="EndnoteText"/>
        <w:widowControl w:val="0"/>
        <w:rPr>
          <w:color w:val="000000"/>
        </w:rPr>
      </w:pPr>
    </w:p>
    <w:p w14:paraId="161D3EB4" w14:textId="77777777" w:rsidR="00067F74" w:rsidRPr="009B1A37" w:rsidRDefault="00067F74" w:rsidP="00BE3D48">
      <w:pPr>
        <w:pStyle w:val="EndnoteText"/>
        <w:widowControl w:val="0"/>
        <w:rPr>
          <w:color w:val="000000"/>
        </w:rPr>
      </w:pPr>
      <w:r w:rsidRPr="009B1A37">
        <w:rPr>
          <w:i/>
          <w:color w:val="000000"/>
        </w:rPr>
        <w:t>Pediatri</w:t>
      </w:r>
      <w:r w:rsidR="009C28BF" w:rsidRPr="009B1A37">
        <w:rPr>
          <w:i/>
          <w:color w:val="000000"/>
        </w:rPr>
        <w:t>čtí pacienti</w:t>
      </w:r>
      <w:r w:rsidRPr="009B1A37">
        <w:rPr>
          <w:color w:val="000000"/>
        </w:rPr>
        <w:t>:</w:t>
      </w:r>
      <w:r w:rsidRPr="009B1A37">
        <w:t xml:space="preserve"> </w:t>
      </w:r>
      <w:r w:rsidR="00F17A67" w:rsidRPr="009B1A37">
        <w:t>Do</w:t>
      </w:r>
      <w:r w:rsidR="00F17A67" w:rsidRPr="009B1A37">
        <w:rPr>
          <w:color w:val="000000"/>
        </w:rPr>
        <w:t xml:space="preserve"> otevřené, multicentrické, nerandomizované studie </w:t>
      </w:r>
      <w:r w:rsidR="0066575B" w:rsidRPr="009B1A37">
        <w:rPr>
          <w:color w:val="000000"/>
        </w:rPr>
        <w:t xml:space="preserve">I2301 </w:t>
      </w:r>
      <w:r w:rsidR="00F17A67" w:rsidRPr="009B1A37">
        <w:rPr>
          <w:color w:val="000000"/>
        </w:rPr>
        <w:t>fáze III se sekvenčními kohortami</w:t>
      </w:r>
      <w:r w:rsidRPr="009B1A37">
        <w:rPr>
          <w:color w:val="000000"/>
        </w:rPr>
        <w:t xml:space="preserve"> </w:t>
      </w:r>
      <w:r w:rsidR="00C16198" w:rsidRPr="009B1A37">
        <w:rPr>
          <w:color w:val="000000"/>
        </w:rPr>
        <w:t>bylo zařazeno celkem</w:t>
      </w:r>
      <w:r w:rsidRPr="009B1A37">
        <w:rPr>
          <w:color w:val="000000"/>
        </w:rPr>
        <w:t xml:space="preserve"> 93 </w:t>
      </w:r>
      <w:r w:rsidR="009C28BF" w:rsidRPr="009B1A37">
        <w:rPr>
          <w:color w:val="000000"/>
        </w:rPr>
        <w:t>pediatrických</w:t>
      </w:r>
      <w:r w:rsidRPr="009B1A37">
        <w:rPr>
          <w:color w:val="000000"/>
        </w:rPr>
        <w:t xml:space="preserve">, </w:t>
      </w:r>
      <w:r w:rsidR="00161327" w:rsidRPr="009B1A37">
        <w:rPr>
          <w:color w:val="000000"/>
        </w:rPr>
        <w:t xml:space="preserve">dospívajících a </w:t>
      </w:r>
      <w:r w:rsidR="00BE730C" w:rsidRPr="009B1A37">
        <w:rPr>
          <w:color w:val="000000"/>
        </w:rPr>
        <w:t>mladých dospělých</w:t>
      </w:r>
      <w:r w:rsidR="0066575B" w:rsidRPr="009B1A37">
        <w:rPr>
          <w:color w:val="000000"/>
        </w:rPr>
        <w:t xml:space="preserve"> </w:t>
      </w:r>
      <w:r w:rsidR="009C28BF" w:rsidRPr="009B1A37">
        <w:rPr>
          <w:color w:val="000000"/>
        </w:rPr>
        <w:t>pacientů</w:t>
      </w:r>
      <w:r w:rsidRPr="009B1A37">
        <w:rPr>
          <w:color w:val="000000"/>
        </w:rPr>
        <w:t xml:space="preserve"> (</w:t>
      </w:r>
      <w:r w:rsidR="009C28BF" w:rsidRPr="009B1A37">
        <w:rPr>
          <w:color w:val="000000"/>
        </w:rPr>
        <w:t>od</w:t>
      </w:r>
      <w:r w:rsidRPr="009B1A37">
        <w:rPr>
          <w:color w:val="000000"/>
        </w:rPr>
        <w:t xml:space="preserve"> 1</w:t>
      </w:r>
      <w:r w:rsidR="00C16198" w:rsidRPr="009B1A37">
        <w:rPr>
          <w:color w:val="000000"/>
        </w:rPr>
        <w:t xml:space="preserve"> </w:t>
      </w:r>
      <w:r w:rsidR="009C28BF" w:rsidRPr="009B1A37">
        <w:rPr>
          <w:color w:val="000000"/>
        </w:rPr>
        <w:t>do</w:t>
      </w:r>
      <w:r w:rsidRPr="009B1A37">
        <w:rPr>
          <w:color w:val="000000"/>
        </w:rPr>
        <w:t xml:space="preserve"> 22 </w:t>
      </w:r>
      <w:r w:rsidR="009C28BF" w:rsidRPr="009B1A37">
        <w:rPr>
          <w:color w:val="000000"/>
        </w:rPr>
        <w:t>let věku</w:t>
      </w:r>
      <w:r w:rsidRPr="009B1A37">
        <w:rPr>
          <w:color w:val="000000"/>
        </w:rPr>
        <w:t xml:space="preserve">) </w:t>
      </w:r>
      <w:r w:rsidR="00161327" w:rsidRPr="009B1A37">
        <w:rPr>
          <w:color w:val="000000"/>
        </w:rPr>
        <w:t>s</w:t>
      </w:r>
      <w:r w:rsidR="00C16198" w:rsidRPr="009B1A37">
        <w:rPr>
          <w:color w:val="000000"/>
        </w:rPr>
        <w:t> </w:t>
      </w:r>
      <w:r w:rsidRPr="009B1A37">
        <w:rPr>
          <w:color w:val="000000"/>
        </w:rPr>
        <w:t>Ph+ ALL</w:t>
      </w:r>
      <w:r w:rsidR="00F17A67" w:rsidRPr="009B1A37">
        <w:rPr>
          <w:color w:val="000000"/>
        </w:rPr>
        <w:t xml:space="preserve">, kteří byli </w:t>
      </w:r>
      <w:r w:rsidR="00161327" w:rsidRPr="009B1A37">
        <w:rPr>
          <w:color w:val="000000"/>
        </w:rPr>
        <w:t>léčen</w:t>
      </w:r>
      <w:r w:rsidR="00C16198" w:rsidRPr="009B1A37">
        <w:rPr>
          <w:color w:val="000000"/>
        </w:rPr>
        <w:t>i</w:t>
      </w:r>
      <w:r w:rsidRPr="009B1A37">
        <w:rPr>
          <w:color w:val="000000"/>
        </w:rPr>
        <w:t xml:space="preserve"> Glivec</w:t>
      </w:r>
      <w:r w:rsidR="00C16198" w:rsidRPr="009B1A37">
        <w:rPr>
          <w:color w:val="000000"/>
        </w:rPr>
        <w:t>em</w:t>
      </w:r>
      <w:r w:rsidRPr="009B1A37">
        <w:rPr>
          <w:color w:val="000000"/>
        </w:rPr>
        <w:t xml:space="preserve"> (340 mg/m</w:t>
      </w:r>
      <w:r w:rsidRPr="009B1A37">
        <w:rPr>
          <w:color w:val="000000"/>
          <w:vertAlign w:val="superscript"/>
        </w:rPr>
        <w:t>2</w:t>
      </w:r>
      <w:r w:rsidRPr="009B1A37">
        <w:rPr>
          <w:color w:val="000000"/>
        </w:rPr>
        <w:t>/d</w:t>
      </w:r>
      <w:r w:rsidR="00161327" w:rsidRPr="009B1A37">
        <w:rPr>
          <w:color w:val="000000"/>
        </w:rPr>
        <w:t>en</w:t>
      </w:r>
      <w:r w:rsidRPr="009B1A37">
        <w:rPr>
          <w:color w:val="000000"/>
        </w:rPr>
        <w:t xml:space="preserve">) </w:t>
      </w:r>
      <w:r w:rsidR="00161327" w:rsidRPr="009B1A37">
        <w:rPr>
          <w:color w:val="000000"/>
        </w:rPr>
        <w:t>v</w:t>
      </w:r>
      <w:r w:rsidR="004F7F57" w:rsidRPr="009B1A37">
        <w:rPr>
          <w:color w:val="000000"/>
        </w:rPr>
        <w:t> </w:t>
      </w:r>
      <w:r w:rsidR="00161327" w:rsidRPr="009B1A37">
        <w:rPr>
          <w:color w:val="000000"/>
        </w:rPr>
        <w:t>kombinaci</w:t>
      </w:r>
      <w:r w:rsidRPr="009B1A37">
        <w:rPr>
          <w:color w:val="000000"/>
        </w:rPr>
        <w:t xml:space="preserve"> </w:t>
      </w:r>
      <w:r w:rsidR="00161327" w:rsidRPr="009B1A37">
        <w:rPr>
          <w:color w:val="000000"/>
        </w:rPr>
        <w:t>s </w:t>
      </w:r>
      <w:r w:rsidRPr="009B1A37">
        <w:rPr>
          <w:color w:val="000000"/>
        </w:rPr>
        <w:t>inten</w:t>
      </w:r>
      <w:r w:rsidR="00161327" w:rsidRPr="009B1A37">
        <w:rPr>
          <w:color w:val="000000"/>
        </w:rPr>
        <w:t xml:space="preserve">zivní </w:t>
      </w:r>
      <w:r w:rsidRPr="009B1A37">
        <w:rPr>
          <w:color w:val="000000"/>
        </w:rPr>
        <w:t>chemoterap</w:t>
      </w:r>
      <w:r w:rsidR="00161327" w:rsidRPr="009B1A37">
        <w:rPr>
          <w:color w:val="000000"/>
        </w:rPr>
        <w:t>ií</w:t>
      </w:r>
      <w:r w:rsidRPr="009B1A37">
        <w:rPr>
          <w:color w:val="000000"/>
        </w:rPr>
        <w:t xml:space="preserve"> </w:t>
      </w:r>
      <w:r w:rsidR="00161327" w:rsidRPr="009B1A37">
        <w:rPr>
          <w:color w:val="000000"/>
        </w:rPr>
        <w:t>po indukční terapii</w:t>
      </w:r>
      <w:r w:rsidRPr="009B1A37">
        <w:rPr>
          <w:color w:val="000000"/>
        </w:rPr>
        <w:t>. G</w:t>
      </w:r>
      <w:r w:rsidR="00161327" w:rsidRPr="009B1A37">
        <w:rPr>
          <w:color w:val="000000"/>
        </w:rPr>
        <w:t>l</w:t>
      </w:r>
      <w:r w:rsidRPr="009B1A37">
        <w:rPr>
          <w:color w:val="000000"/>
        </w:rPr>
        <w:t xml:space="preserve">ivec </w:t>
      </w:r>
      <w:r w:rsidR="00161327" w:rsidRPr="009B1A37">
        <w:rPr>
          <w:color w:val="000000"/>
        </w:rPr>
        <w:t>byl podáván</w:t>
      </w:r>
      <w:r w:rsidRPr="009B1A37">
        <w:rPr>
          <w:color w:val="000000"/>
        </w:rPr>
        <w:t xml:space="preserve"> intermitent</w:t>
      </w:r>
      <w:r w:rsidR="00161327" w:rsidRPr="009B1A37">
        <w:rPr>
          <w:color w:val="000000"/>
        </w:rPr>
        <w:t>ně</w:t>
      </w:r>
      <w:r w:rsidR="003D5FD3" w:rsidRPr="009B1A37">
        <w:rPr>
          <w:color w:val="000000"/>
        </w:rPr>
        <w:t xml:space="preserve"> </w:t>
      </w:r>
      <w:r w:rsidR="004F7F57" w:rsidRPr="009B1A37">
        <w:rPr>
          <w:color w:val="000000"/>
        </w:rPr>
        <w:t>v </w:t>
      </w:r>
      <w:r w:rsidR="003D5FD3" w:rsidRPr="009B1A37">
        <w:rPr>
          <w:color w:val="000000"/>
        </w:rPr>
        <w:t>kohort</w:t>
      </w:r>
      <w:r w:rsidR="004F7F57" w:rsidRPr="009B1A37">
        <w:rPr>
          <w:color w:val="000000"/>
        </w:rPr>
        <w:t>ách</w:t>
      </w:r>
      <w:r w:rsidRPr="009B1A37">
        <w:rPr>
          <w:color w:val="000000"/>
        </w:rPr>
        <w:t xml:space="preserve"> 1</w:t>
      </w:r>
      <w:r w:rsidRPr="009B1A37">
        <w:rPr>
          <w:color w:val="000000"/>
        </w:rPr>
        <w:noBreakHyphen/>
        <w:t xml:space="preserve">5 </w:t>
      </w:r>
      <w:r w:rsidR="00E80F10" w:rsidRPr="009B1A37">
        <w:rPr>
          <w:color w:val="000000"/>
        </w:rPr>
        <w:t>s</w:t>
      </w:r>
      <w:r w:rsidR="00BB5321" w:rsidRPr="009B1A37">
        <w:rPr>
          <w:color w:val="000000"/>
        </w:rPr>
        <w:t> </w:t>
      </w:r>
      <w:r w:rsidR="003D5FD3" w:rsidRPr="009B1A37">
        <w:rPr>
          <w:color w:val="000000"/>
        </w:rPr>
        <w:t xml:space="preserve">prodlužujícím </w:t>
      </w:r>
      <w:r w:rsidR="004F7F57" w:rsidRPr="009B1A37">
        <w:rPr>
          <w:color w:val="000000"/>
        </w:rPr>
        <w:t xml:space="preserve">se </w:t>
      </w:r>
      <w:r w:rsidR="003D5FD3" w:rsidRPr="009B1A37">
        <w:rPr>
          <w:color w:val="000000"/>
        </w:rPr>
        <w:t>trváním</w:t>
      </w:r>
      <w:r w:rsidRPr="009B1A37">
        <w:rPr>
          <w:color w:val="000000"/>
        </w:rPr>
        <w:t xml:space="preserve"> a </w:t>
      </w:r>
      <w:r w:rsidR="003D5FD3" w:rsidRPr="009B1A37">
        <w:rPr>
          <w:color w:val="000000"/>
        </w:rPr>
        <w:t>časnějším za</w:t>
      </w:r>
      <w:r w:rsidR="00AD079B" w:rsidRPr="009B1A37">
        <w:rPr>
          <w:color w:val="000000"/>
        </w:rPr>
        <w:t>hájení</w:t>
      </w:r>
      <w:r w:rsidR="003D5FD3" w:rsidRPr="009B1A37">
        <w:rPr>
          <w:color w:val="000000"/>
        </w:rPr>
        <w:t xml:space="preserve">m </w:t>
      </w:r>
      <w:r w:rsidR="004F7F57" w:rsidRPr="009B1A37">
        <w:rPr>
          <w:color w:val="000000"/>
        </w:rPr>
        <w:t xml:space="preserve">léčby </w:t>
      </w:r>
      <w:r w:rsidRPr="009B1A37">
        <w:rPr>
          <w:color w:val="000000"/>
        </w:rPr>
        <w:t>Glivec</w:t>
      </w:r>
      <w:r w:rsidR="004F7F57" w:rsidRPr="009B1A37">
        <w:rPr>
          <w:color w:val="000000"/>
        </w:rPr>
        <w:t>em</w:t>
      </w:r>
      <w:r w:rsidRPr="009B1A37">
        <w:rPr>
          <w:color w:val="000000"/>
        </w:rPr>
        <w:t xml:space="preserve">; </w:t>
      </w:r>
      <w:r w:rsidR="003D5FD3" w:rsidRPr="009B1A37">
        <w:rPr>
          <w:color w:val="000000"/>
        </w:rPr>
        <w:t>kohorta</w:t>
      </w:r>
      <w:r w:rsidRPr="009B1A37">
        <w:rPr>
          <w:color w:val="000000"/>
        </w:rPr>
        <w:t xml:space="preserve"> 1 </w:t>
      </w:r>
      <w:r w:rsidR="00AD079B" w:rsidRPr="009B1A37">
        <w:rPr>
          <w:color w:val="000000"/>
        </w:rPr>
        <w:t>po</w:t>
      </w:r>
      <w:r w:rsidR="003D5FD3" w:rsidRPr="009B1A37">
        <w:rPr>
          <w:color w:val="000000"/>
        </w:rPr>
        <w:t>užívala nejnižší intenzitu</w:t>
      </w:r>
      <w:r w:rsidRPr="009B1A37">
        <w:rPr>
          <w:color w:val="000000"/>
        </w:rPr>
        <w:t xml:space="preserve"> a </w:t>
      </w:r>
      <w:r w:rsidR="003D5FD3" w:rsidRPr="009B1A37">
        <w:rPr>
          <w:color w:val="000000"/>
        </w:rPr>
        <w:t>kohorta</w:t>
      </w:r>
      <w:r w:rsidRPr="009B1A37">
        <w:rPr>
          <w:color w:val="000000"/>
        </w:rPr>
        <w:t xml:space="preserve"> </w:t>
      </w:r>
      <w:r w:rsidR="003D5FD3" w:rsidRPr="009B1A37">
        <w:rPr>
          <w:color w:val="000000"/>
        </w:rPr>
        <w:t>5</w:t>
      </w:r>
      <w:r w:rsidRPr="009B1A37">
        <w:rPr>
          <w:color w:val="000000"/>
        </w:rPr>
        <w:t xml:space="preserve"> </w:t>
      </w:r>
      <w:r w:rsidR="00AD079B" w:rsidRPr="009B1A37">
        <w:rPr>
          <w:color w:val="000000"/>
        </w:rPr>
        <w:t>po</w:t>
      </w:r>
      <w:r w:rsidR="003D5FD3" w:rsidRPr="009B1A37">
        <w:rPr>
          <w:color w:val="000000"/>
        </w:rPr>
        <w:t xml:space="preserve">užívala nejvyšší intenzitu </w:t>
      </w:r>
      <w:r w:rsidRPr="009B1A37">
        <w:rPr>
          <w:color w:val="000000"/>
        </w:rPr>
        <w:t>Glivec</w:t>
      </w:r>
      <w:r w:rsidR="003D5FD3" w:rsidRPr="009B1A37">
        <w:rPr>
          <w:color w:val="000000"/>
        </w:rPr>
        <w:t>u</w:t>
      </w:r>
      <w:r w:rsidRPr="009B1A37">
        <w:rPr>
          <w:color w:val="000000"/>
        </w:rPr>
        <w:t xml:space="preserve"> (</w:t>
      </w:r>
      <w:r w:rsidR="003D5FD3" w:rsidRPr="009B1A37">
        <w:rPr>
          <w:color w:val="000000"/>
        </w:rPr>
        <w:t>nejdelší trvání ve dnech</w:t>
      </w:r>
      <w:r w:rsidRPr="009B1A37">
        <w:rPr>
          <w:color w:val="000000"/>
        </w:rPr>
        <w:t xml:space="preserve"> </w:t>
      </w:r>
      <w:r w:rsidR="003D5FD3" w:rsidRPr="009B1A37">
        <w:rPr>
          <w:color w:val="000000"/>
        </w:rPr>
        <w:t>s</w:t>
      </w:r>
      <w:r w:rsidR="00E80F10" w:rsidRPr="009B1A37">
        <w:rPr>
          <w:color w:val="000000"/>
        </w:rPr>
        <w:t xml:space="preserve"> kontinuálním dávkováním </w:t>
      </w:r>
      <w:r w:rsidRPr="009B1A37">
        <w:rPr>
          <w:color w:val="000000"/>
        </w:rPr>
        <w:t>Glivec</w:t>
      </w:r>
      <w:r w:rsidR="00E80F10" w:rsidRPr="009B1A37">
        <w:rPr>
          <w:color w:val="000000"/>
        </w:rPr>
        <w:t>u</w:t>
      </w:r>
      <w:r w:rsidRPr="009B1A37">
        <w:rPr>
          <w:color w:val="000000"/>
        </w:rPr>
        <w:t xml:space="preserve"> </w:t>
      </w:r>
      <w:r w:rsidR="00F17A67" w:rsidRPr="009B1A37">
        <w:rPr>
          <w:color w:val="000000"/>
        </w:rPr>
        <w:t xml:space="preserve">již </w:t>
      </w:r>
      <w:r w:rsidR="00246476" w:rsidRPr="009B1A37">
        <w:rPr>
          <w:color w:val="000000"/>
        </w:rPr>
        <w:t xml:space="preserve">během prvních </w:t>
      </w:r>
      <w:r w:rsidR="00F17A67" w:rsidRPr="009B1A37">
        <w:rPr>
          <w:color w:val="000000"/>
        </w:rPr>
        <w:t>léčebných cyklů chemoterapie</w:t>
      </w:r>
      <w:r w:rsidRPr="009B1A37">
        <w:rPr>
          <w:color w:val="000000"/>
        </w:rPr>
        <w:t xml:space="preserve">). </w:t>
      </w:r>
      <w:r w:rsidR="00246476" w:rsidRPr="009B1A37">
        <w:rPr>
          <w:color w:val="000000"/>
        </w:rPr>
        <w:t>Kontinuální</w:t>
      </w:r>
      <w:r w:rsidRPr="009B1A37">
        <w:rPr>
          <w:color w:val="000000"/>
        </w:rPr>
        <w:t xml:space="preserve"> </w:t>
      </w:r>
      <w:r w:rsidR="00246476" w:rsidRPr="009B1A37">
        <w:rPr>
          <w:color w:val="000000"/>
        </w:rPr>
        <w:t xml:space="preserve">denní </w:t>
      </w:r>
      <w:r w:rsidR="00F17A67" w:rsidRPr="009B1A37">
        <w:rPr>
          <w:color w:val="000000"/>
        </w:rPr>
        <w:t xml:space="preserve">časná </w:t>
      </w:r>
      <w:r w:rsidR="00246476" w:rsidRPr="009B1A37">
        <w:rPr>
          <w:color w:val="000000"/>
        </w:rPr>
        <w:t>expozice Glivec</w:t>
      </w:r>
      <w:r w:rsidR="00F17A67" w:rsidRPr="009B1A37">
        <w:rPr>
          <w:color w:val="000000"/>
        </w:rPr>
        <w:t xml:space="preserve">em v průběhu </w:t>
      </w:r>
      <w:r w:rsidR="00E80F10" w:rsidRPr="009B1A37">
        <w:rPr>
          <w:color w:val="000000"/>
        </w:rPr>
        <w:t>léčby v kombinaci s c</w:t>
      </w:r>
      <w:r w:rsidRPr="009B1A37">
        <w:rPr>
          <w:color w:val="000000"/>
        </w:rPr>
        <w:t>hemoterap</w:t>
      </w:r>
      <w:r w:rsidR="00E80F10" w:rsidRPr="009B1A37">
        <w:rPr>
          <w:color w:val="000000"/>
        </w:rPr>
        <w:t>ií</w:t>
      </w:r>
      <w:r w:rsidRPr="009B1A37">
        <w:rPr>
          <w:color w:val="000000"/>
        </w:rPr>
        <w:t xml:space="preserve"> </w:t>
      </w:r>
      <w:r w:rsidR="00F17A67" w:rsidRPr="009B1A37">
        <w:rPr>
          <w:color w:val="000000"/>
        </w:rPr>
        <w:t xml:space="preserve">u pacientů </w:t>
      </w:r>
      <w:r w:rsidR="00E80F10" w:rsidRPr="009B1A37">
        <w:rPr>
          <w:color w:val="000000"/>
        </w:rPr>
        <w:t>v</w:t>
      </w:r>
      <w:r w:rsidR="00F17A67" w:rsidRPr="009B1A37">
        <w:rPr>
          <w:color w:val="000000"/>
        </w:rPr>
        <w:t> </w:t>
      </w:r>
      <w:r w:rsidR="00E80F10" w:rsidRPr="009B1A37">
        <w:rPr>
          <w:color w:val="000000"/>
        </w:rPr>
        <w:t>kohortě</w:t>
      </w:r>
      <w:r w:rsidR="00F17A67" w:rsidRPr="009B1A37">
        <w:rPr>
          <w:color w:val="000000"/>
        </w:rPr>
        <w:t xml:space="preserve"> </w:t>
      </w:r>
      <w:r w:rsidRPr="009B1A37">
        <w:rPr>
          <w:color w:val="000000"/>
        </w:rPr>
        <w:t xml:space="preserve">5 (n=50) </w:t>
      </w:r>
      <w:r w:rsidR="00E80F10" w:rsidRPr="009B1A37">
        <w:rPr>
          <w:color w:val="000000"/>
        </w:rPr>
        <w:t>zlepšila</w:t>
      </w:r>
      <w:r w:rsidRPr="009B1A37">
        <w:rPr>
          <w:color w:val="000000"/>
        </w:rPr>
        <w:t xml:space="preserve"> 4</w:t>
      </w:r>
      <w:r w:rsidR="00E80F10" w:rsidRPr="009B1A37">
        <w:rPr>
          <w:color w:val="000000"/>
        </w:rPr>
        <w:t>leté</w:t>
      </w:r>
      <w:r w:rsidRPr="009B1A37">
        <w:rPr>
          <w:color w:val="000000"/>
        </w:rPr>
        <w:t xml:space="preserve"> </w:t>
      </w:r>
      <w:r w:rsidR="00E80F10" w:rsidRPr="009B1A37">
        <w:rPr>
          <w:color w:val="000000"/>
        </w:rPr>
        <w:t xml:space="preserve">přežití bez </w:t>
      </w:r>
      <w:r w:rsidR="0098741C" w:rsidRPr="009B1A37">
        <w:rPr>
          <w:color w:val="000000"/>
        </w:rPr>
        <w:t>příhody</w:t>
      </w:r>
      <w:r w:rsidRPr="009B1A37">
        <w:rPr>
          <w:color w:val="000000"/>
        </w:rPr>
        <w:t xml:space="preserve"> (EFS) </w:t>
      </w:r>
      <w:r w:rsidR="00E80F10" w:rsidRPr="009B1A37">
        <w:rPr>
          <w:color w:val="000000"/>
        </w:rPr>
        <w:t>v porovnání s historickými kontrolami</w:t>
      </w:r>
      <w:r w:rsidRPr="009B1A37">
        <w:rPr>
          <w:color w:val="000000"/>
        </w:rPr>
        <w:t xml:space="preserve"> (n=120), </w:t>
      </w:r>
      <w:r w:rsidR="00E80F10" w:rsidRPr="009B1A37">
        <w:rPr>
          <w:color w:val="000000"/>
        </w:rPr>
        <w:t xml:space="preserve">které </w:t>
      </w:r>
      <w:r w:rsidR="00AD079B" w:rsidRPr="009B1A37">
        <w:rPr>
          <w:color w:val="000000"/>
        </w:rPr>
        <w:t>po</w:t>
      </w:r>
      <w:r w:rsidR="00E80F10" w:rsidRPr="009B1A37">
        <w:rPr>
          <w:color w:val="000000"/>
        </w:rPr>
        <w:t>užívaly standardní chemoterapii</w:t>
      </w:r>
      <w:r w:rsidRPr="009B1A37">
        <w:rPr>
          <w:color w:val="000000"/>
        </w:rPr>
        <w:t xml:space="preserve"> </w:t>
      </w:r>
      <w:r w:rsidR="00E80F10" w:rsidRPr="009B1A37">
        <w:rPr>
          <w:color w:val="000000"/>
        </w:rPr>
        <w:t>bez</w:t>
      </w:r>
      <w:r w:rsidRPr="009B1A37">
        <w:rPr>
          <w:color w:val="000000"/>
        </w:rPr>
        <w:t xml:space="preserve"> Glivec</w:t>
      </w:r>
      <w:r w:rsidR="00E80F10" w:rsidRPr="009B1A37">
        <w:rPr>
          <w:color w:val="000000"/>
        </w:rPr>
        <w:t>u</w:t>
      </w:r>
      <w:r w:rsidRPr="009B1A37">
        <w:rPr>
          <w:color w:val="000000"/>
        </w:rPr>
        <w:t xml:space="preserve"> (69</w:t>
      </w:r>
      <w:r w:rsidR="004F7F57" w:rsidRPr="009B1A37">
        <w:rPr>
          <w:color w:val="000000"/>
        </w:rPr>
        <w:t>,</w:t>
      </w:r>
      <w:r w:rsidRPr="009B1A37">
        <w:rPr>
          <w:color w:val="000000"/>
        </w:rPr>
        <w:t>6</w:t>
      </w:r>
      <w:r w:rsidR="004F7F57" w:rsidRPr="009B1A37">
        <w:rPr>
          <w:color w:val="000000"/>
        </w:rPr>
        <w:t> </w:t>
      </w:r>
      <w:r w:rsidRPr="009B1A37">
        <w:rPr>
          <w:color w:val="000000"/>
        </w:rPr>
        <w:t xml:space="preserve">% </w:t>
      </w:r>
      <w:r w:rsidR="004F7F57" w:rsidRPr="009B1A37">
        <w:rPr>
          <w:color w:val="000000"/>
        </w:rPr>
        <w:t>oproti</w:t>
      </w:r>
      <w:r w:rsidRPr="009B1A37">
        <w:rPr>
          <w:color w:val="000000"/>
        </w:rPr>
        <w:t xml:space="preserve"> 31</w:t>
      </w:r>
      <w:r w:rsidR="004F7F57" w:rsidRPr="009B1A37">
        <w:rPr>
          <w:color w:val="000000"/>
        </w:rPr>
        <w:t>,</w:t>
      </w:r>
      <w:r w:rsidRPr="009B1A37">
        <w:rPr>
          <w:color w:val="000000"/>
        </w:rPr>
        <w:t>6</w:t>
      </w:r>
      <w:r w:rsidR="004F7F57" w:rsidRPr="009B1A37">
        <w:rPr>
          <w:color w:val="000000"/>
        </w:rPr>
        <w:t> </w:t>
      </w:r>
      <w:r w:rsidRPr="009B1A37">
        <w:rPr>
          <w:color w:val="000000"/>
        </w:rPr>
        <w:t xml:space="preserve">%). </w:t>
      </w:r>
      <w:r w:rsidR="007C2B13" w:rsidRPr="009B1A37">
        <w:rPr>
          <w:color w:val="000000"/>
        </w:rPr>
        <w:t xml:space="preserve">Odhadované </w:t>
      </w:r>
      <w:r w:rsidRPr="009B1A37">
        <w:rPr>
          <w:color w:val="000000"/>
        </w:rPr>
        <w:t>4</w:t>
      </w:r>
      <w:r w:rsidR="007C2B13" w:rsidRPr="009B1A37">
        <w:rPr>
          <w:color w:val="000000"/>
        </w:rPr>
        <w:t>leté</w:t>
      </w:r>
      <w:r w:rsidRPr="009B1A37">
        <w:rPr>
          <w:color w:val="000000"/>
        </w:rPr>
        <w:t xml:space="preserve"> </w:t>
      </w:r>
      <w:r w:rsidR="007C2B13" w:rsidRPr="009B1A37">
        <w:rPr>
          <w:color w:val="000000"/>
        </w:rPr>
        <w:t>celkové přežití</w:t>
      </w:r>
      <w:r w:rsidR="004F7F57" w:rsidRPr="009B1A37">
        <w:rPr>
          <w:color w:val="000000"/>
        </w:rPr>
        <w:t xml:space="preserve"> </w:t>
      </w:r>
      <w:r w:rsidR="007C2B13" w:rsidRPr="009B1A37">
        <w:rPr>
          <w:color w:val="000000"/>
        </w:rPr>
        <w:t>v</w:t>
      </w:r>
      <w:r w:rsidR="004F7F57" w:rsidRPr="009B1A37">
        <w:rPr>
          <w:color w:val="000000"/>
        </w:rPr>
        <w:t> </w:t>
      </w:r>
      <w:r w:rsidR="007C2B13" w:rsidRPr="009B1A37">
        <w:rPr>
          <w:color w:val="000000"/>
        </w:rPr>
        <w:t>pacientské kohortě</w:t>
      </w:r>
      <w:r w:rsidRPr="009B1A37">
        <w:rPr>
          <w:color w:val="000000"/>
        </w:rPr>
        <w:t xml:space="preserve"> 5 </w:t>
      </w:r>
      <w:r w:rsidR="007C2B13" w:rsidRPr="009B1A37">
        <w:rPr>
          <w:color w:val="000000"/>
        </w:rPr>
        <w:t>bylo</w:t>
      </w:r>
      <w:r w:rsidRPr="009B1A37">
        <w:rPr>
          <w:color w:val="000000"/>
        </w:rPr>
        <w:t xml:space="preserve"> 83</w:t>
      </w:r>
      <w:r w:rsidR="007C2B13" w:rsidRPr="009B1A37">
        <w:rPr>
          <w:color w:val="000000"/>
        </w:rPr>
        <w:t>,</w:t>
      </w:r>
      <w:r w:rsidRPr="009B1A37">
        <w:rPr>
          <w:color w:val="000000"/>
        </w:rPr>
        <w:t>6</w:t>
      </w:r>
      <w:r w:rsidR="004F7F57" w:rsidRPr="009B1A37">
        <w:rPr>
          <w:color w:val="000000"/>
        </w:rPr>
        <w:t> </w:t>
      </w:r>
      <w:r w:rsidRPr="009B1A37">
        <w:rPr>
          <w:color w:val="000000"/>
        </w:rPr>
        <w:t xml:space="preserve">% </w:t>
      </w:r>
      <w:r w:rsidR="007C2B13" w:rsidRPr="009B1A37">
        <w:rPr>
          <w:color w:val="000000"/>
        </w:rPr>
        <w:t>v porovnání s </w:t>
      </w:r>
      <w:r w:rsidRPr="009B1A37">
        <w:rPr>
          <w:color w:val="000000"/>
        </w:rPr>
        <w:t>44</w:t>
      </w:r>
      <w:r w:rsidR="007C2B13" w:rsidRPr="009B1A37">
        <w:rPr>
          <w:color w:val="000000"/>
        </w:rPr>
        <w:t>,</w:t>
      </w:r>
      <w:r w:rsidRPr="009B1A37">
        <w:rPr>
          <w:color w:val="000000"/>
        </w:rPr>
        <w:t>8</w:t>
      </w:r>
      <w:r w:rsidR="0067324A" w:rsidRPr="009B1A37">
        <w:rPr>
          <w:color w:val="000000"/>
        </w:rPr>
        <w:t> </w:t>
      </w:r>
      <w:r w:rsidRPr="009B1A37">
        <w:rPr>
          <w:color w:val="000000"/>
        </w:rPr>
        <w:t xml:space="preserve">% </w:t>
      </w:r>
      <w:r w:rsidR="00F17A67" w:rsidRPr="009B1A37">
        <w:rPr>
          <w:color w:val="000000"/>
        </w:rPr>
        <w:t>u</w:t>
      </w:r>
      <w:r w:rsidR="007C2B13" w:rsidRPr="009B1A37">
        <w:rPr>
          <w:color w:val="000000"/>
        </w:rPr>
        <w:t> historick</w:t>
      </w:r>
      <w:r w:rsidR="00F17A67" w:rsidRPr="009B1A37">
        <w:rPr>
          <w:color w:val="000000"/>
        </w:rPr>
        <w:t>é</w:t>
      </w:r>
      <w:r w:rsidR="007C2B13" w:rsidRPr="009B1A37">
        <w:rPr>
          <w:color w:val="000000"/>
        </w:rPr>
        <w:t xml:space="preserve"> kontrol</w:t>
      </w:r>
      <w:r w:rsidR="00F17A67" w:rsidRPr="009B1A37">
        <w:rPr>
          <w:color w:val="000000"/>
        </w:rPr>
        <w:t>y</w:t>
      </w:r>
      <w:r w:rsidRPr="009B1A37">
        <w:rPr>
          <w:color w:val="000000"/>
        </w:rPr>
        <w:t>. 20</w:t>
      </w:r>
      <w:r w:rsidR="008736D2" w:rsidRPr="009B1A37">
        <w:rPr>
          <w:color w:val="000000"/>
        </w:rPr>
        <w:t> </w:t>
      </w:r>
      <w:r w:rsidR="00E80F10" w:rsidRPr="009B1A37">
        <w:rPr>
          <w:color w:val="000000"/>
        </w:rPr>
        <w:t xml:space="preserve">pacientům </w:t>
      </w:r>
      <w:r w:rsidR="007C2B13" w:rsidRPr="009B1A37">
        <w:rPr>
          <w:color w:val="000000"/>
        </w:rPr>
        <w:t>z</w:t>
      </w:r>
      <w:r w:rsidR="00E80F10" w:rsidRPr="009B1A37">
        <w:rPr>
          <w:color w:val="000000"/>
        </w:rPr>
        <w:t> </w:t>
      </w:r>
      <w:r w:rsidR="007C2B13" w:rsidRPr="009B1A37">
        <w:rPr>
          <w:color w:val="000000"/>
        </w:rPr>
        <w:t>50</w:t>
      </w:r>
      <w:r w:rsidR="00E80F10" w:rsidRPr="009B1A37">
        <w:rPr>
          <w:color w:val="000000"/>
        </w:rPr>
        <w:t xml:space="preserve"> </w:t>
      </w:r>
      <w:r w:rsidRPr="009B1A37">
        <w:rPr>
          <w:color w:val="000000"/>
        </w:rPr>
        <w:t>(40</w:t>
      </w:r>
      <w:r w:rsidR="004F7F57" w:rsidRPr="009B1A37">
        <w:rPr>
          <w:color w:val="000000"/>
        </w:rPr>
        <w:t> </w:t>
      </w:r>
      <w:r w:rsidRPr="009B1A37">
        <w:rPr>
          <w:color w:val="000000"/>
        </w:rPr>
        <w:t xml:space="preserve">%) </w:t>
      </w:r>
      <w:r w:rsidR="007C2B13" w:rsidRPr="009B1A37">
        <w:rPr>
          <w:color w:val="000000"/>
        </w:rPr>
        <w:t>v kohortě 5</w:t>
      </w:r>
      <w:r w:rsidRPr="009B1A37">
        <w:rPr>
          <w:color w:val="000000"/>
        </w:rPr>
        <w:t xml:space="preserve"> </w:t>
      </w:r>
      <w:r w:rsidR="007C2B13" w:rsidRPr="009B1A37">
        <w:rPr>
          <w:color w:val="000000"/>
        </w:rPr>
        <w:t xml:space="preserve">byla provedena transplantace </w:t>
      </w:r>
      <w:r w:rsidRPr="009B1A37">
        <w:rPr>
          <w:color w:val="000000"/>
        </w:rPr>
        <w:t>hematopoetic</w:t>
      </w:r>
      <w:r w:rsidR="007C2B13" w:rsidRPr="009B1A37">
        <w:rPr>
          <w:color w:val="000000"/>
        </w:rPr>
        <w:t>kých kmenových buněk</w:t>
      </w:r>
      <w:r w:rsidRPr="009B1A37">
        <w:rPr>
          <w:color w:val="000000"/>
        </w:rPr>
        <w:t>.</w:t>
      </w:r>
    </w:p>
    <w:p w14:paraId="7AFB2E71" w14:textId="77777777" w:rsidR="00067F74" w:rsidRPr="009B1A37" w:rsidRDefault="00067F74" w:rsidP="00BE3D48">
      <w:pPr>
        <w:pStyle w:val="EndnoteText"/>
        <w:widowControl w:val="0"/>
        <w:rPr>
          <w:color w:val="000000"/>
        </w:rPr>
      </w:pPr>
    </w:p>
    <w:p w14:paraId="1131A7F4" w14:textId="77777777" w:rsidR="00067F74" w:rsidRPr="009B1A37" w:rsidRDefault="00067F74" w:rsidP="00BE3D48">
      <w:pPr>
        <w:pStyle w:val="EndnoteText"/>
        <w:keepNext/>
        <w:widowControl w:val="0"/>
        <w:tabs>
          <w:tab w:val="clear" w:pos="567"/>
        </w:tabs>
        <w:ind w:left="1134" w:hanging="1134"/>
        <w:rPr>
          <w:b/>
          <w:color w:val="000000"/>
        </w:rPr>
      </w:pPr>
      <w:r w:rsidRPr="009B1A37">
        <w:rPr>
          <w:b/>
          <w:color w:val="000000"/>
        </w:rPr>
        <w:t>Tab</w:t>
      </w:r>
      <w:r w:rsidR="00CF3D59" w:rsidRPr="009B1A37">
        <w:rPr>
          <w:b/>
          <w:color w:val="000000"/>
        </w:rPr>
        <w:t>ulka</w:t>
      </w:r>
      <w:r w:rsidRPr="009B1A37">
        <w:rPr>
          <w:b/>
          <w:color w:val="000000"/>
        </w:rPr>
        <w:t> </w:t>
      </w:r>
      <w:r w:rsidR="00B20788" w:rsidRPr="009B1A37">
        <w:rPr>
          <w:b/>
          <w:color w:val="000000"/>
        </w:rPr>
        <w:t>5</w:t>
      </w:r>
      <w:r w:rsidRPr="009B1A37">
        <w:rPr>
          <w:b/>
          <w:color w:val="000000"/>
        </w:rPr>
        <w:tab/>
        <w:t>Chemoterap</w:t>
      </w:r>
      <w:r w:rsidR="00CF3D59" w:rsidRPr="009B1A37">
        <w:rPr>
          <w:b/>
          <w:color w:val="000000"/>
        </w:rPr>
        <w:t>eutické režimy používané ve studii I2301 v kombinaci s imatinibem</w:t>
      </w:r>
    </w:p>
    <w:p w14:paraId="3904FBB4" w14:textId="77777777" w:rsidR="00067F74" w:rsidRPr="009B1A37" w:rsidRDefault="00067F74" w:rsidP="00BE3D48">
      <w:pPr>
        <w:pStyle w:val="EndnoteText"/>
        <w:keepNext/>
        <w:widowControl w:val="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3"/>
        <w:gridCol w:w="6736"/>
      </w:tblGrid>
      <w:tr w:rsidR="00067F74" w:rsidRPr="009B1A37" w14:paraId="29B6C158" w14:textId="77777777" w:rsidTr="00F75C2F">
        <w:trPr>
          <w:cantSplit/>
        </w:trPr>
        <w:tc>
          <w:tcPr>
            <w:tcW w:w="2358" w:type="dxa"/>
            <w:shd w:val="clear" w:color="auto" w:fill="auto"/>
          </w:tcPr>
          <w:p w14:paraId="0F390DD9" w14:textId="77777777" w:rsidR="00067F74" w:rsidRPr="009B1A37" w:rsidRDefault="000E02D4" w:rsidP="00BE3D48">
            <w:pPr>
              <w:pStyle w:val="EndnoteText"/>
              <w:keepNext/>
              <w:widowControl w:val="0"/>
              <w:rPr>
                <w:color w:val="000000"/>
              </w:rPr>
            </w:pPr>
            <w:r w:rsidRPr="009B1A37">
              <w:rPr>
                <w:color w:val="000000"/>
              </w:rPr>
              <w:t>Konsolidační</w:t>
            </w:r>
            <w:r w:rsidR="00067F74" w:rsidRPr="009B1A37">
              <w:rPr>
                <w:color w:val="000000"/>
              </w:rPr>
              <w:t xml:space="preserve"> </w:t>
            </w:r>
            <w:r w:rsidR="00F87E46" w:rsidRPr="009B1A37">
              <w:rPr>
                <w:color w:val="000000"/>
              </w:rPr>
              <w:t>blok</w:t>
            </w:r>
            <w:r w:rsidR="00067F74" w:rsidRPr="009B1A37">
              <w:rPr>
                <w:color w:val="000000"/>
              </w:rPr>
              <w:t> 1</w:t>
            </w:r>
          </w:p>
          <w:p w14:paraId="1AD4EF10" w14:textId="77777777" w:rsidR="00067F74" w:rsidRPr="009B1A37" w:rsidRDefault="00067F74" w:rsidP="00BE3D48">
            <w:pPr>
              <w:pStyle w:val="EndnoteText"/>
              <w:keepNext/>
              <w:widowControl w:val="0"/>
              <w:rPr>
                <w:color w:val="000000"/>
              </w:rPr>
            </w:pPr>
            <w:r w:rsidRPr="009B1A37">
              <w:rPr>
                <w:color w:val="000000"/>
              </w:rPr>
              <w:t>(3 </w:t>
            </w:r>
            <w:r w:rsidR="004F7F57" w:rsidRPr="009B1A37">
              <w:rPr>
                <w:color w:val="000000"/>
              </w:rPr>
              <w:t>týdny</w:t>
            </w:r>
            <w:r w:rsidRPr="009B1A37">
              <w:rPr>
                <w:color w:val="000000"/>
              </w:rPr>
              <w:t>)</w:t>
            </w:r>
          </w:p>
        </w:tc>
        <w:tc>
          <w:tcPr>
            <w:tcW w:w="6929" w:type="dxa"/>
            <w:shd w:val="clear" w:color="auto" w:fill="auto"/>
          </w:tcPr>
          <w:p w14:paraId="75E3F93F" w14:textId="77777777" w:rsidR="00067F74" w:rsidRPr="009B1A37" w:rsidRDefault="00067F74" w:rsidP="00BE3D48">
            <w:pPr>
              <w:pStyle w:val="EndnoteText"/>
              <w:keepNext/>
              <w:widowControl w:val="0"/>
              <w:rPr>
                <w:color w:val="000000"/>
              </w:rPr>
            </w:pPr>
            <w:r w:rsidRPr="009B1A37">
              <w:rPr>
                <w:color w:val="000000"/>
              </w:rPr>
              <w:t>VP-16 (100 mg/m</w:t>
            </w:r>
            <w:r w:rsidRPr="009B1A37">
              <w:rPr>
                <w:color w:val="000000"/>
                <w:vertAlign w:val="superscript"/>
              </w:rPr>
              <w:t>2</w:t>
            </w:r>
            <w:r w:rsidRPr="009B1A37">
              <w:rPr>
                <w:color w:val="000000"/>
              </w:rPr>
              <w:t>/d</w:t>
            </w:r>
            <w:r w:rsidR="003D5FD3" w:rsidRPr="009B1A37">
              <w:rPr>
                <w:color w:val="000000"/>
              </w:rPr>
              <w:t>en</w:t>
            </w:r>
            <w:r w:rsidRPr="009B1A37">
              <w:rPr>
                <w:color w:val="000000"/>
              </w:rPr>
              <w:t xml:space="preserve">, </w:t>
            </w:r>
            <w:r w:rsidR="00F87E46" w:rsidRPr="009B1A37">
              <w:rPr>
                <w:color w:val="000000"/>
              </w:rPr>
              <w:t>i.v.</w:t>
            </w:r>
            <w:r w:rsidRPr="009B1A37">
              <w:rPr>
                <w:color w:val="000000"/>
              </w:rPr>
              <w:t>): d</w:t>
            </w:r>
            <w:r w:rsidR="00CF3D59" w:rsidRPr="009B1A37">
              <w:rPr>
                <w:color w:val="000000"/>
              </w:rPr>
              <w:t>ny</w:t>
            </w:r>
            <w:r w:rsidRPr="009B1A37">
              <w:rPr>
                <w:color w:val="000000"/>
              </w:rPr>
              <w:t> 1</w:t>
            </w:r>
            <w:r w:rsidRPr="009B1A37">
              <w:rPr>
                <w:color w:val="000000"/>
              </w:rPr>
              <w:noBreakHyphen/>
              <w:t>5</w:t>
            </w:r>
          </w:p>
          <w:p w14:paraId="45DDEE2E" w14:textId="77777777" w:rsidR="00067F74" w:rsidRPr="009B1A37" w:rsidRDefault="00BA17E5" w:rsidP="00BE3D48">
            <w:pPr>
              <w:pStyle w:val="EndnoteText"/>
              <w:keepNext/>
              <w:widowControl w:val="0"/>
              <w:rPr>
                <w:color w:val="000000"/>
              </w:rPr>
            </w:pPr>
            <w:r w:rsidRPr="009B1A37">
              <w:rPr>
                <w:color w:val="000000"/>
              </w:rPr>
              <w:t>i</w:t>
            </w:r>
            <w:r w:rsidR="00067F74" w:rsidRPr="009B1A37">
              <w:rPr>
                <w:color w:val="000000"/>
              </w:rPr>
              <w:t>fosfamid (1</w:t>
            </w:r>
            <w:r w:rsidR="004F7F57" w:rsidRPr="009B1A37">
              <w:rPr>
                <w:color w:val="000000"/>
              </w:rPr>
              <w:t>,</w:t>
            </w:r>
            <w:r w:rsidR="00067F74" w:rsidRPr="009B1A37">
              <w:rPr>
                <w:color w:val="000000"/>
              </w:rPr>
              <w:t>8 g/m</w:t>
            </w:r>
            <w:r w:rsidR="00067F74" w:rsidRPr="009B1A37">
              <w:rPr>
                <w:color w:val="000000"/>
                <w:vertAlign w:val="superscript"/>
              </w:rPr>
              <w:t>2</w:t>
            </w:r>
            <w:r w:rsidR="00067F74" w:rsidRPr="009B1A37">
              <w:rPr>
                <w:color w:val="000000"/>
              </w:rPr>
              <w:t>/d</w:t>
            </w:r>
            <w:r w:rsidR="003D5FD3" w:rsidRPr="009B1A37">
              <w:rPr>
                <w:color w:val="000000"/>
              </w:rPr>
              <w:t>en</w:t>
            </w:r>
            <w:r w:rsidR="00067F74" w:rsidRPr="009B1A37">
              <w:rPr>
                <w:color w:val="000000"/>
              </w:rPr>
              <w:t xml:space="preserve">, </w:t>
            </w:r>
            <w:r w:rsidR="00F87E46" w:rsidRPr="009B1A37">
              <w:rPr>
                <w:color w:val="000000"/>
              </w:rPr>
              <w:t>i.v.</w:t>
            </w:r>
            <w:r w:rsidR="00067F74" w:rsidRPr="009B1A37">
              <w:rPr>
                <w:color w:val="000000"/>
              </w:rPr>
              <w:t>): d</w:t>
            </w:r>
            <w:r w:rsidR="00CF3D59" w:rsidRPr="009B1A37">
              <w:rPr>
                <w:color w:val="000000"/>
              </w:rPr>
              <w:t>ny</w:t>
            </w:r>
            <w:r w:rsidR="00067F74" w:rsidRPr="009B1A37">
              <w:rPr>
                <w:color w:val="000000"/>
              </w:rPr>
              <w:t> 1</w:t>
            </w:r>
            <w:r w:rsidR="00067F74" w:rsidRPr="009B1A37">
              <w:rPr>
                <w:color w:val="000000"/>
              </w:rPr>
              <w:noBreakHyphen/>
              <w:t>5</w:t>
            </w:r>
          </w:p>
          <w:p w14:paraId="6E074422" w14:textId="77777777" w:rsidR="00067F74" w:rsidRPr="009B1A37" w:rsidRDefault="00067F74" w:rsidP="00BE3D48">
            <w:pPr>
              <w:pStyle w:val="EndnoteText"/>
              <w:keepNext/>
              <w:widowControl w:val="0"/>
              <w:rPr>
                <w:color w:val="000000"/>
              </w:rPr>
            </w:pPr>
            <w:r w:rsidRPr="009B1A37">
              <w:rPr>
                <w:color w:val="000000"/>
              </w:rPr>
              <w:t>MESNA (360 mg/m</w:t>
            </w:r>
            <w:r w:rsidRPr="009B1A37">
              <w:rPr>
                <w:color w:val="000000"/>
                <w:vertAlign w:val="superscript"/>
              </w:rPr>
              <w:t>2</w:t>
            </w:r>
            <w:r w:rsidRPr="009B1A37">
              <w:rPr>
                <w:color w:val="000000"/>
              </w:rPr>
              <w:t>/</w:t>
            </w:r>
            <w:r w:rsidR="00CF3D59" w:rsidRPr="009B1A37">
              <w:rPr>
                <w:color w:val="000000"/>
              </w:rPr>
              <w:t>dávka</w:t>
            </w:r>
            <w:r w:rsidRPr="009B1A37">
              <w:rPr>
                <w:color w:val="000000"/>
              </w:rPr>
              <w:t xml:space="preserve"> q3h, x 8 </w:t>
            </w:r>
            <w:r w:rsidR="004F7F57" w:rsidRPr="009B1A37">
              <w:rPr>
                <w:color w:val="000000"/>
              </w:rPr>
              <w:t>dáv</w:t>
            </w:r>
            <w:r w:rsidR="005026BE" w:rsidRPr="009B1A37">
              <w:rPr>
                <w:color w:val="000000"/>
              </w:rPr>
              <w:t>e</w:t>
            </w:r>
            <w:r w:rsidR="004F7F57" w:rsidRPr="009B1A37">
              <w:rPr>
                <w:color w:val="000000"/>
              </w:rPr>
              <w:t>k</w:t>
            </w:r>
            <w:r w:rsidRPr="009B1A37">
              <w:rPr>
                <w:color w:val="000000"/>
              </w:rPr>
              <w:t>/d</w:t>
            </w:r>
            <w:r w:rsidR="00CF3D59" w:rsidRPr="009B1A37">
              <w:rPr>
                <w:color w:val="000000"/>
              </w:rPr>
              <w:t>en</w:t>
            </w:r>
            <w:r w:rsidRPr="009B1A37">
              <w:rPr>
                <w:color w:val="000000"/>
              </w:rPr>
              <w:t xml:space="preserve">, </w:t>
            </w:r>
            <w:r w:rsidR="0098741C" w:rsidRPr="009B1A37">
              <w:rPr>
                <w:color w:val="000000"/>
              </w:rPr>
              <w:t>i.v.</w:t>
            </w:r>
            <w:r w:rsidRPr="009B1A37">
              <w:rPr>
                <w:color w:val="000000"/>
              </w:rPr>
              <w:t xml:space="preserve">): </w:t>
            </w:r>
            <w:r w:rsidR="00CF3D59" w:rsidRPr="009B1A37">
              <w:rPr>
                <w:color w:val="000000"/>
              </w:rPr>
              <w:t>dny</w:t>
            </w:r>
            <w:r w:rsidRPr="009B1A37">
              <w:rPr>
                <w:color w:val="000000"/>
              </w:rPr>
              <w:t> 1</w:t>
            </w:r>
            <w:r w:rsidRPr="009B1A37">
              <w:rPr>
                <w:color w:val="000000"/>
              </w:rPr>
              <w:noBreakHyphen/>
              <w:t>5</w:t>
            </w:r>
          </w:p>
          <w:p w14:paraId="27CDBBFF" w14:textId="77777777" w:rsidR="00067F74" w:rsidRPr="009B1A37" w:rsidRDefault="00067F74" w:rsidP="00BE3D48">
            <w:pPr>
              <w:pStyle w:val="EndnoteText"/>
              <w:keepNext/>
              <w:widowControl w:val="0"/>
              <w:rPr>
                <w:color w:val="000000"/>
              </w:rPr>
            </w:pPr>
            <w:r w:rsidRPr="009B1A37">
              <w:rPr>
                <w:color w:val="000000"/>
              </w:rPr>
              <w:t xml:space="preserve">G-CSF (5 μg/kg, </w:t>
            </w:r>
            <w:r w:rsidR="0098741C" w:rsidRPr="009B1A37">
              <w:rPr>
                <w:color w:val="000000"/>
              </w:rPr>
              <w:t>s.c.</w:t>
            </w:r>
            <w:r w:rsidRPr="009B1A37">
              <w:rPr>
                <w:color w:val="000000"/>
              </w:rPr>
              <w:t xml:space="preserve">): </w:t>
            </w:r>
            <w:r w:rsidR="003D5FD3" w:rsidRPr="009B1A37">
              <w:rPr>
                <w:color w:val="000000"/>
              </w:rPr>
              <w:t>dny</w:t>
            </w:r>
            <w:r w:rsidRPr="009B1A37">
              <w:rPr>
                <w:color w:val="000000"/>
              </w:rPr>
              <w:t> 6</w:t>
            </w:r>
            <w:r w:rsidRPr="009B1A37">
              <w:rPr>
                <w:color w:val="000000"/>
              </w:rPr>
              <w:noBreakHyphen/>
              <w:t xml:space="preserve">15 </w:t>
            </w:r>
            <w:r w:rsidR="003D5FD3" w:rsidRPr="009B1A37">
              <w:rPr>
                <w:color w:val="000000"/>
              </w:rPr>
              <w:t>nebo</w:t>
            </w:r>
            <w:r w:rsidRPr="009B1A37">
              <w:rPr>
                <w:color w:val="000000"/>
              </w:rPr>
              <w:t xml:space="preserve"> </w:t>
            </w:r>
            <w:r w:rsidR="006F2737" w:rsidRPr="009B1A37">
              <w:rPr>
                <w:color w:val="000000"/>
              </w:rPr>
              <w:t>do</w:t>
            </w:r>
            <w:r w:rsidRPr="009B1A37">
              <w:rPr>
                <w:color w:val="000000"/>
              </w:rPr>
              <w:t xml:space="preserve"> ANC &gt; 1500 </w:t>
            </w:r>
            <w:r w:rsidR="00B03F79" w:rsidRPr="009B1A37">
              <w:rPr>
                <w:color w:val="000000"/>
              </w:rPr>
              <w:t>po dosažení nejnižší hodnoty</w:t>
            </w:r>
          </w:p>
          <w:p w14:paraId="1AB1F1FE" w14:textId="77777777" w:rsidR="003D5FD3" w:rsidRPr="009B1A37" w:rsidRDefault="0098741C" w:rsidP="00BE3D48">
            <w:pPr>
              <w:pStyle w:val="EndnoteText"/>
              <w:keepNext/>
              <w:widowControl w:val="0"/>
              <w:rPr>
                <w:color w:val="000000"/>
              </w:rPr>
            </w:pPr>
            <w:r w:rsidRPr="009B1A37">
              <w:rPr>
                <w:color w:val="000000"/>
              </w:rPr>
              <w:t>i.t.</w:t>
            </w:r>
            <w:r w:rsidR="00067F74" w:rsidRPr="009B1A37">
              <w:rPr>
                <w:color w:val="000000"/>
              </w:rPr>
              <w:t xml:space="preserve"> </w:t>
            </w:r>
            <w:r w:rsidR="000E02D4" w:rsidRPr="009B1A37">
              <w:rPr>
                <w:color w:val="000000"/>
              </w:rPr>
              <w:t>léčba m</w:t>
            </w:r>
            <w:r w:rsidR="00067F74" w:rsidRPr="009B1A37">
              <w:rPr>
                <w:color w:val="000000"/>
              </w:rPr>
              <w:t>et</w:t>
            </w:r>
            <w:r w:rsidR="00190297" w:rsidRPr="009B1A37">
              <w:rPr>
                <w:color w:val="000000"/>
              </w:rPr>
              <w:t>h</w:t>
            </w:r>
            <w:r w:rsidR="00067F74" w:rsidRPr="009B1A37">
              <w:rPr>
                <w:color w:val="000000"/>
              </w:rPr>
              <w:t>otrex</w:t>
            </w:r>
            <w:r w:rsidR="003D5FD3" w:rsidRPr="009B1A37">
              <w:rPr>
                <w:color w:val="000000"/>
              </w:rPr>
              <w:t>á</w:t>
            </w:r>
            <w:r w:rsidR="00067F74" w:rsidRPr="009B1A37">
              <w:rPr>
                <w:color w:val="000000"/>
              </w:rPr>
              <w:t>t</w:t>
            </w:r>
            <w:r w:rsidR="000E02D4" w:rsidRPr="009B1A37">
              <w:rPr>
                <w:color w:val="000000"/>
              </w:rPr>
              <w:t>em</w:t>
            </w:r>
            <w:r w:rsidR="00067F74" w:rsidRPr="009B1A37">
              <w:rPr>
                <w:color w:val="000000"/>
              </w:rPr>
              <w:t xml:space="preserve"> (</w:t>
            </w:r>
            <w:r w:rsidR="00246476" w:rsidRPr="009B1A37">
              <w:rPr>
                <w:color w:val="000000"/>
              </w:rPr>
              <w:t>přizpůsobená věku</w:t>
            </w:r>
            <w:r w:rsidR="00067F74" w:rsidRPr="009B1A37">
              <w:rPr>
                <w:color w:val="000000"/>
              </w:rPr>
              <w:t xml:space="preserve">): </w:t>
            </w:r>
            <w:r w:rsidR="003D5FD3" w:rsidRPr="009B1A37">
              <w:rPr>
                <w:color w:val="000000"/>
              </w:rPr>
              <w:t>POUZE den</w:t>
            </w:r>
            <w:r w:rsidR="00067F74" w:rsidRPr="009B1A37">
              <w:rPr>
                <w:color w:val="000000"/>
              </w:rPr>
              <w:t> 1</w:t>
            </w:r>
          </w:p>
          <w:p w14:paraId="379D5446" w14:textId="77777777" w:rsidR="00067F74" w:rsidRPr="009B1A37" w:rsidRDefault="00246476" w:rsidP="00BE3D48">
            <w:pPr>
              <w:pStyle w:val="EndnoteText"/>
              <w:keepNext/>
              <w:widowControl w:val="0"/>
              <w:rPr>
                <w:color w:val="000000"/>
              </w:rPr>
            </w:pPr>
            <w:r w:rsidRPr="009B1A37">
              <w:rPr>
                <w:color w:val="000000"/>
              </w:rPr>
              <w:t>Trojnásobná</w:t>
            </w:r>
            <w:r w:rsidR="00067F74" w:rsidRPr="009B1A37">
              <w:rPr>
                <w:color w:val="000000"/>
              </w:rPr>
              <w:t xml:space="preserve"> </w:t>
            </w:r>
            <w:r w:rsidR="0098741C" w:rsidRPr="009B1A37">
              <w:rPr>
                <w:color w:val="000000"/>
              </w:rPr>
              <w:t>i.t.</w:t>
            </w:r>
            <w:r w:rsidR="00067F74" w:rsidRPr="009B1A37">
              <w:rPr>
                <w:color w:val="000000"/>
              </w:rPr>
              <w:t xml:space="preserve"> </w:t>
            </w:r>
            <w:r w:rsidRPr="009B1A37">
              <w:rPr>
                <w:color w:val="000000"/>
              </w:rPr>
              <w:t>léčba</w:t>
            </w:r>
            <w:r w:rsidR="00067F74" w:rsidRPr="009B1A37">
              <w:rPr>
                <w:color w:val="000000"/>
              </w:rPr>
              <w:t xml:space="preserve"> (</w:t>
            </w:r>
            <w:r w:rsidRPr="009B1A37">
              <w:rPr>
                <w:color w:val="000000"/>
              </w:rPr>
              <w:t>přizpůsobená věku</w:t>
            </w:r>
            <w:r w:rsidR="00067F74" w:rsidRPr="009B1A37">
              <w:rPr>
                <w:color w:val="000000"/>
              </w:rPr>
              <w:t xml:space="preserve">): </w:t>
            </w:r>
            <w:r w:rsidR="003D5FD3" w:rsidRPr="009B1A37">
              <w:rPr>
                <w:color w:val="000000"/>
              </w:rPr>
              <w:t>den</w:t>
            </w:r>
            <w:r w:rsidR="00067F74" w:rsidRPr="009B1A37">
              <w:rPr>
                <w:color w:val="000000"/>
              </w:rPr>
              <w:t> 8, 15</w:t>
            </w:r>
          </w:p>
        </w:tc>
      </w:tr>
      <w:tr w:rsidR="00067F74" w:rsidRPr="009B1A37" w14:paraId="672DF7F1" w14:textId="77777777" w:rsidTr="00F75C2F">
        <w:trPr>
          <w:cantSplit/>
        </w:trPr>
        <w:tc>
          <w:tcPr>
            <w:tcW w:w="2358" w:type="dxa"/>
            <w:shd w:val="clear" w:color="auto" w:fill="auto"/>
          </w:tcPr>
          <w:p w14:paraId="6324247C" w14:textId="77777777" w:rsidR="00067F74" w:rsidRPr="009B1A37" w:rsidRDefault="000E02D4" w:rsidP="00BE3D48">
            <w:pPr>
              <w:pStyle w:val="EndnoteText"/>
              <w:widowControl w:val="0"/>
              <w:rPr>
                <w:color w:val="000000"/>
              </w:rPr>
            </w:pPr>
            <w:r w:rsidRPr="009B1A37">
              <w:rPr>
                <w:color w:val="000000"/>
              </w:rPr>
              <w:t>Konsolidační</w:t>
            </w:r>
            <w:r w:rsidR="00067F74" w:rsidRPr="009B1A37">
              <w:rPr>
                <w:color w:val="000000"/>
              </w:rPr>
              <w:t xml:space="preserve"> </w:t>
            </w:r>
            <w:r w:rsidR="00F87E46" w:rsidRPr="009B1A37">
              <w:rPr>
                <w:color w:val="000000"/>
              </w:rPr>
              <w:t>blok</w:t>
            </w:r>
            <w:r w:rsidR="00067F74" w:rsidRPr="009B1A37">
              <w:rPr>
                <w:color w:val="000000"/>
              </w:rPr>
              <w:t> 2</w:t>
            </w:r>
          </w:p>
          <w:p w14:paraId="7C9888E0" w14:textId="77777777" w:rsidR="00067F74" w:rsidRPr="009B1A37" w:rsidRDefault="00067F74" w:rsidP="00BE3D48">
            <w:pPr>
              <w:pStyle w:val="EndnoteText"/>
              <w:widowControl w:val="0"/>
              <w:rPr>
                <w:color w:val="000000"/>
              </w:rPr>
            </w:pPr>
            <w:r w:rsidRPr="009B1A37">
              <w:rPr>
                <w:color w:val="000000"/>
              </w:rPr>
              <w:t>(3 </w:t>
            </w:r>
            <w:r w:rsidR="00CF3D59" w:rsidRPr="009B1A37">
              <w:rPr>
                <w:color w:val="000000"/>
              </w:rPr>
              <w:t>týdny</w:t>
            </w:r>
            <w:r w:rsidRPr="009B1A37">
              <w:rPr>
                <w:color w:val="000000"/>
              </w:rPr>
              <w:t>)</w:t>
            </w:r>
          </w:p>
        </w:tc>
        <w:tc>
          <w:tcPr>
            <w:tcW w:w="6929" w:type="dxa"/>
            <w:shd w:val="clear" w:color="auto" w:fill="auto"/>
          </w:tcPr>
          <w:p w14:paraId="02C805CB" w14:textId="77777777" w:rsidR="00067F74" w:rsidRPr="009B1A37" w:rsidRDefault="00BA17E5" w:rsidP="00BE3D48">
            <w:pPr>
              <w:pStyle w:val="EndnoteText"/>
              <w:widowControl w:val="0"/>
              <w:rPr>
                <w:color w:val="000000"/>
              </w:rPr>
            </w:pPr>
            <w:r w:rsidRPr="009B1A37">
              <w:rPr>
                <w:color w:val="000000"/>
              </w:rPr>
              <w:t>m</w:t>
            </w:r>
            <w:r w:rsidR="00067F74" w:rsidRPr="009B1A37">
              <w:rPr>
                <w:color w:val="000000"/>
              </w:rPr>
              <w:t>et</w:t>
            </w:r>
            <w:r w:rsidR="00E80F10" w:rsidRPr="009B1A37">
              <w:rPr>
                <w:color w:val="000000"/>
              </w:rPr>
              <w:t>h</w:t>
            </w:r>
            <w:r w:rsidR="00067F74" w:rsidRPr="009B1A37">
              <w:rPr>
                <w:color w:val="000000"/>
              </w:rPr>
              <w:t>otrex</w:t>
            </w:r>
            <w:r w:rsidR="00CF3D59" w:rsidRPr="009B1A37">
              <w:rPr>
                <w:color w:val="000000"/>
              </w:rPr>
              <w:t>á</w:t>
            </w:r>
            <w:r w:rsidR="003D5FD3" w:rsidRPr="009B1A37">
              <w:rPr>
                <w:color w:val="000000"/>
              </w:rPr>
              <w:t>t</w:t>
            </w:r>
            <w:r w:rsidR="00067F74" w:rsidRPr="009B1A37">
              <w:rPr>
                <w:color w:val="000000"/>
              </w:rPr>
              <w:t xml:space="preserve"> (5 g/m</w:t>
            </w:r>
            <w:r w:rsidR="00067F74" w:rsidRPr="009B1A37">
              <w:rPr>
                <w:color w:val="000000"/>
                <w:vertAlign w:val="superscript"/>
              </w:rPr>
              <w:t>2</w:t>
            </w:r>
            <w:r w:rsidR="00B03F79" w:rsidRPr="009B1A37">
              <w:rPr>
                <w:color w:val="000000"/>
                <w:vertAlign w:val="superscript"/>
              </w:rPr>
              <w:t xml:space="preserve"> </w:t>
            </w:r>
            <w:r w:rsidR="00B03F79" w:rsidRPr="009B1A37">
              <w:rPr>
                <w:color w:val="000000"/>
              </w:rPr>
              <w:t>v průběhu</w:t>
            </w:r>
            <w:r w:rsidR="00067F74" w:rsidRPr="009B1A37">
              <w:rPr>
                <w:color w:val="000000"/>
              </w:rPr>
              <w:t xml:space="preserve"> 24</w:t>
            </w:r>
            <w:r w:rsidR="00B03F79" w:rsidRPr="009B1A37">
              <w:rPr>
                <w:color w:val="000000"/>
              </w:rPr>
              <w:t xml:space="preserve"> </w:t>
            </w:r>
            <w:r w:rsidR="00067F74" w:rsidRPr="009B1A37">
              <w:rPr>
                <w:color w:val="000000"/>
              </w:rPr>
              <w:t>h</w:t>
            </w:r>
            <w:r w:rsidR="006166C3" w:rsidRPr="009B1A37">
              <w:rPr>
                <w:color w:val="000000"/>
              </w:rPr>
              <w:t>odin</w:t>
            </w:r>
            <w:r w:rsidR="00067F74" w:rsidRPr="009B1A37">
              <w:rPr>
                <w:color w:val="000000"/>
              </w:rPr>
              <w:t xml:space="preserve">, </w:t>
            </w:r>
            <w:r w:rsidR="0098741C" w:rsidRPr="009B1A37">
              <w:rPr>
                <w:color w:val="000000"/>
              </w:rPr>
              <w:t>i.v.</w:t>
            </w:r>
            <w:r w:rsidR="00067F74" w:rsidRPr="009B1A37">
              <w:rPr>
                <w:color w:val="000000"/>
              </w:rPr>
              <w:t xml:space="preserve">): </w:t>
            </w:r>
            <w:r w:rsidR="000E02D4" w:rsidRPr="009B1A37">
              <w:rPr>
                <w:color w:val="000000"/>
              </w:rPr>
              <w:t>den</w:t>
            </w:r>
            <w:r w:rsidR="00067F74" w:rsidRPr="009B1A37">
              <w:rPr>
                <w:color w:val="000000"/>
              </w:rPr>
              <w:t> 1</w:t>
            </w:r>
          </w:p>
          <w:p w14:paraId="4E92FF82" w14:textId="77777777" w:rsidR="00067F74" w:rsidRPr="009B1A37" w:rsidRDefault="00BA17E5" w:rsidP="00BE3D48">
            <w:pPr>
              <w:pStyle w:val="EndnoteText"/>
              <w:widowControl w:val="0"/>
              <w:rPr>
                <w:color w:val="000000"/>
              </w:rPr>
            </w:pPr>
            <w:r w:rsidRPr="009B1A37">
              <w:rPr>
                <w:color w:val="000000"/>
              </w:rPr>
              <w:t>l</w:t>
            </w:r>
            <w:r w:rsidR="00067F74" w:rsidRPr="009B1A37">
              <w:rPr>
                <w:color w:val="000000"/>
              </w:rPr>
              <w:t>eu</w:t>
            </w:r>
            <w:r w:rsidR="00CF3D59" w:rsidRPr="009B1A37">
              <w:rPr>
                <w:color w:val="000000"/>
              </w:rPr>
              <w:t>k</w:t>
            </w:r>
            <w:r w:rsidR="00067F74" w:rsidRPr="009B1A37">
              <w:rPr>
                <w:color w:val="000000"/>
              </w:rPr>
              <w:t>ovorin (75 mg/m</w:t>
            </w:r>
            <w:r w:rsidR="00067F74" w:rsidRPr="009B1A37">
              <w:rPr>
                <w:color w:val="000000"/>
                <w:vertAlign w:val="superscript"/>
              </w:rPr>
              <w:t>2</w:t>
            </w:r>
            <w:r w:rsidR="00067F74" w:rsidRPr="009B1A37">
              <w:rPr>
                <w:color w:val="000000"/>
              </w:rPr>
              <w:t xml:space="preserve"> </w:t>
            </w:r>
            <w:r w:rsidR="00B03F79" w:rsidRPr="009B1A37">
              <w:rPr>
                <w:color w:val="000000"/>
              </w:rPr>
              <w:t xml:space="preserve">ve </w:t>
            </w:r>
            <w:r w:rsidR="00067F74" w:rsidRPr="009B1A37">
              <w:rPr>
                <w:color w:val="000000"/>
              </w:rPr>
              <w:t>36</w:t>
            </w:r>
            <w:r w:rsidR="00B03F79" w:rsidRPr="009B1A37">
              <w:rPr>
                <w:color w:val="000000"/>
              </w:rPr>
              <w:t>. hodině</w:t>
            </w:r>
            <w:r w:rsidR="00067F74" w:rsidRPr="009B1A37">
              <w:rPr>
                <w:color w:val="000000"/>
              </w:rPr>
              <w:t xml:space="preserve">, </w:t>
            </w:r>
            <w:r w:rsidR="0098741C" w:rsidRPr="009B1A37">
              <w:rPr>
                <w:color w:val="000000"/>
              </w:rPr>
              <w:t>i.v.</w:t>
            </w:r>
            <w:r w:rsidR="00067F74" w:rsidRPr="009B1A37">
              <w:rPr>
                <w:color w:val="000000"/>
              </w:rPr>
              <w:t>; 15 mg/m</w:t>
            </w:r>
            <w:r w:rsidR="00067F74" w:rsidRPr="009B1A37">
              <w:rPr>
                <w:color w:val="000000"/>
                <w:vertAlign w:val="superscript"/>
              </w:rPr>
              <w:t>2</w:t>
            </w:r>
            <w:r w:rsidR="00067F74" w:rsidRPr="009B1A37">
              <w:rPr>
                <w:color w:val="000000"/>
              </w:rPr>
              <w:t xml:space="preserve"> </w:t>
            </w:r>
            <w:r w:rsidR="0098741C" w:rsidRPr="009B1A37">
              <w:rPr>
                <w:color w:val="000000"/>
              </w:rPr>
              <w:t>i.v.</w:t>
            </w:r>
            <w:r w:rsidR="00067F74" w:rsidRPr="009B1A37">
              <w:rPr>
                <w:color w:val="000000"/>
              </w:rPr>
              <w:t xml:space="preserve"> </w:t>
            </w:r>
            <w:r w:rsidR="000E02D4" w:rsidRPr="009B1A37">
              <w:rPr>
                <w:color w:val="000000"/>
              </w:rPr>
              <w:t>nebo</w:t>
            </w:r>
            <w:r w:rsidR="00067F74" w:rsidRPr="009B1A37">
              <w:rPr>
                <w:color w:val="000000"/>
              </w:rPr>
              <w:t xml:space="preserve"> </w:t>
            </w:r>
            <w:r w:rsidR="0098741C" w:rsidRPr="009B1A37">
              <w:rPr>
                <w:color w:val="000000"/>
              </w:rPr>
              <w:t>p.o.</w:t>
            </w:r>
            <w:r w:rsidR="00067F74" w:rsidRPr="009B1A37">
              <w:rPr>
                <w:color w:val="000000"/>
              </w:rPr>
              <w:t xml:space="preserve"> q6h x 6 d</w:t>
            </w:r>
            <w:r w:rsidR="0025447E" w:rsidRPr="009B1A37">
              <w:rPr>
                <w:color w:val="000000"/>
              </w:rPr>
              <w:t>ávek</w:t>
            </w:r>
            <w:r w:rsidR="00067F74" w:rsidRPr="009B1A37">
              <w:rPr>
                <w:color w:val="000000"/>
              </w:rPr>
              <w:t xml:space="preserve">)iii: </w:t>
            </w:r>
            <w:r w:rsidR="006F2737" w:rsidRPr="009B1A37">
              <w:rPr>
                <w:color w:val="000000"/>
              </w:rPr>
              <w:t>d</w:t>
            </w:r>
            <w:r w:rsidR="0025447E" w:rsidRPr="009B1A37">
              <w:rPr>
                <w:color w:val="000000"/>
              </w:rPr>
              <w:t>ny</w:t>
            </w:r>
            <w:r w:rsidR="00067F74" w:rsidRPr="009B1A37">
              <w:rPr>
                <w:color w:val="000000"/>
              </w:rPr>
              <w:t> 2 a 3</w:t>
            </w:r>
          </w:p>
          <w:p w14:paraId="7860F1FF" w14:textId="77777777" w:rsidR="00067F74" w:rsidRPr="009B1A37" w:rsidRDefault="00067F74" w:rsidP="00BE3D48">
            <w:pPr>
              <w:pStyle w:val="EndnoteText"/>
              <w:widowControl w:val="0"/>
              <w:rPr>
                <w:color w:val="000000"/>
              </w:rPr>
            </w:pPr>
            <w:r w:rsidRPr="009B1A37">
              <w:rPr>
                <w:color w:val="000000"/>
              </w:rPr>
              <w:t>T</w:t>
            </w:r>
            <w:r w:rsidR="000E02D4" w:rsidRPr="009B1A37">
              <w:rPr>
                <w:color w:val="000000"/>
              </w:rPr>
              <w:t>r</w:t>
            </w:r>
            <w:r w:rsidR="00246476" w:rsidRPr="009B1A37">
              <w:rPr>
                <w:color w:val="000000"/>
              </w:rPr>
              <w:t>ojnásobná</w:t>
            </w:r>
            <w:r w:rsidRPr="009B1A37">
              <w:rPr>
                <w:color w:val="000000"/>
              </w:rPr>
              <w:t xml:space="preserve"> </w:t>
            </w:r>
            <w:r w:rsidR="0098741C" w:rsidRPr="009B1A37">
              <w:rPr>
                <w:color w:val="000000"/>
              </w:rPr>
              <w:t>i.t.</w:t>
            </w:r>
            <w:r w:rsidRPr="009B1A37">
              <w:rPr>
                <w:color w:val="000000"/>
              </w:rPr>
              <w:t xml:space="preserve"> </w:t>
            </w:r>
            <w:r w:rsidR="00246476" w:rsidRPr="009B1A37">
              <w:rPr>
                <w:color w:val="000000"/>
              </w:rPr>
              <w:t>léčba</w:t>
            </w:r>
            <w:r w:rsidRPr="009B1A37">
              <w:rPr>
                <w:color w:val="000000"/>
              </w:rPr>
              <w:t xml:space="preserve"> (</w:t>
            </w:r>
            <w:r w:rsidR="006F2737" w:rsidRPr="009B1A37">
              <w:rPr>
                <w:color w:val="000000"/>
              </w:rPr>
              <w:t>přizpůsobená věku</w:t>
            </w:r>
            <w:r w:rsidRPr="009B1A37">
              <w:rPr>
                <w:color w:val="000000"/>
              </w:rPr>
              <w:t xml:space="preserve">): </w:t>
            </w:r>
            <w:r w:rsidR="00CF3D59" w:rsidRPr="009B1A37">
              <w:rPr>
                <w:color w:val="000000"/>
              </w:rPr>
              <w:t>den</w:t>
            </w:r>
            <w:r w:rsidRPr="009B1A37">
              <w:rPr>
                <w:color w:val="000000"/>
              </w:rPr>
              <w:t> 1</w:t>
            </w:r>
          </w:p>
          <w:p w14:paraId="3A30B754" w14:textId="77777777" w:rsidR="00067F74" w:rsidRPr="009B1A37" w:rsidRDefault="00067F74" w:rsidP="00BE3D48">
            <w:pPr>
              <w:pStyle w:val="EndnoteText"/>
              <w:widowControl w:val="0"/>
              <w:rPr>
                <w:color w:val="000000"/>
              </w:rPr>
            </w:pPr>
            <w:r w:rsidRPr="009B1A37">
              <w:rPr>
                <w:color w:val="000000"/>
              </w:rPr>
              <w:t>ARA-C (3 g/m</w:t>
            </w:r>
            <w:r w:rsidRPr="009B1A37">
              <w:rPr>
                <w:color w:val="000000"/>
                <w:vertAlign w:val="superscript"/>
              </w:rPr>
              <w:t>2</w:t>
            </w:r>
            <w:r w:rsidRPr="009B1A37">
              <w:rPr>
                <w:color w:val="000000"/>
              </w:rPr>
              <w:t>/</w:t>
            </w:r>
            <w:r w:rsidR="00246476" w:rsidRPr="009B1A37">
              <w:rPr>
                <w:color w:val="000000"/>
              </w:rPr>
              <w:t>dávku</w:t>
            </w:r>
            <w:r w:rsidRPr="009B1A37">
              <w:rPr>
                <w:color w:val="000000"/>
              </w:rPr>
              <w:t xml:space="preserve"> q 12 h x 4, </w:t>
            </w:r>
            <w:r w:rsidR="005026BE" w:rsidRPr="009B1A37">
              <w:rPr>
                <w:color w:val="000000"/>
              </w:rPr>
              <w:t>i.v.</w:t>
            </w:r>
            <w:r w:rsidRPr="009B1A37">
              <w:rPr>
                <w:color w:val="000000"/>
              </w:rPr>
              <w:t>): d</w:t>
            </w:r>
            <w:r w:rsidR="00CF3D59" w:rsidRPr="009B1A37">
              <w:rPr>
                <w:color w:val="000000"/>
              </w:rPr>
              <w:t>ny</w:t>
            </w:r>
            <w:r w:rsidRPr="009B1A37">
              <w:rPr>
                <w:color w:val="000000"/>
              </w:rPr>
              <w:t> 2 a 3</w:t>
            </w:r>
          </w:p>
          <w:p w14:paraId="79F5D65F" w14:textId="77777777" w:rsidR="00067F74" w:rsidRPr="009B1A37" w:rsidRDefault="00067F74" w:rsidP="00BE3D48">
            <w:pPr>
              <w:pStyle w:val="EndnoteText"/>
              <w:widowControl w:val="0"/>
              <w:rPr>
                <w:color w:val="000000"/>
              </w:rPr>
            </w:pPr>
            <w:r w:rsidRPr="009B1A37">
              <w:rPr>
                <w:color w:val="000000"/>
              </w:rPr>
              <w:t xml:space="preserve">G-CSF (5 μg/kg, </w:t>
            </w:r>
            <w:r w:rsidR="0098741C" w:rsidRPr="009B1A37">
              <w:rPr>
                <w:color w:val="000000"/>
              </w:rPr>
              <w:t>s.c.</w:t>
            </w:r>
            <w:r w:rsidRPr="009B1A37">
              <w:rPr>
                <w:color w:val="000000"/>
              </w:rPr>
              <w:t>): d</w:t>
            </w:r>
            <w:r w:rsidR="006F2737" w:rsidRPr="009B1A37">
              <w:rPr>
                <w:color w:val="000000"/>
              </w:rPr>
              <w:t>ny</w:t>
            </w:r>
            <w:r w:rsidRPr="009B1A37">
              <w:rPr>
                <w:color w:val="000000"/>
              </w:rPr>
              <w:t xml:space="preserve"> 4-13 </w:t>
            </w:r>
            <w:r w:rsidR="006F2737" w:rsidRPr="009B1A37">
              <w:rPr>
                <w:color w:val="000000"/>
              </w:rPr>
              <w:t>nebo do</w:t>
            </w:r>
            <w:r w:rsidRPr="009B1A37">
              <w:rPr>
                <w:color w:val="000000"/>
              </w:rPr>
              <w:t xml:space="preserve"> ANC &gt; 1500 </w:t>
            </w:r>
            <w:r w:rsidR="00B03F79" w:rsidRPr="009B1A37">
              <w:rPr>
                <w:color w:val="000000"/>
              </w:rPr>
              <w:t>po dosažení nejnižší hodnoty</w:t>
            </w:r>
          </w:p>
        </w:tc>
      </w:tr>
      <w:tr w:rsidR="00067F74" w:rsidRPr="009B1A37" w14:paraId="198350C7" w14:textId="77777777" w:rsidTr="00F75C2F">
        <w:trPr>
          <w:cantSplit/>
        </w:trPr>
        <w:tc>
          <w:tcPr>
            <w:tcW w:w="2358" w:type="dxa"/>
            <w:shd w:val="clear" w:color="auto" w:fill="auto"/>
          </w:tcPr>
          <w:p w14:paraId="698DB516" w14:textId="77777777" w:rsidR="00067F74" w:rsidRPr="009B1A37" w:rsidRDefault="00067F74" w:rsidP="00BE3D48">
            <w:pPr>
              <w:pStyle w:val="EndnoteText"/>
              <w:widowControl w:val="0"/>
              <w:rPr>
                <w:color w:val="000000"/>
              </w:rPr>
            </w:pPr>
            <w:r w:rsidRPr="009B1A37">
              <w:rPr>
                <w:color w:val="000000"/>
              </w:rPr>
              <w:t>Reindu</w:t>
            </w:r>
            <w:r w:rsidR="006F2737" w:rsidRPr="009B1A37">
              <w:rPr>
                <w:color w:val="000000"/>
              </w:rPr>
              <w:t xml:space="preserve">kční </w:t>
            </w:r>
            <w:r w:rsidR="00F87E46" w:rsidRPr="009B1A37">
              <w:rPr>
                <w:color w:val="000000"/>
              </w:rPr>
              <w:t>blok</w:t>
            </w:r>
            <w:r w:rsidRPr="009B1A37">
              <w:rPr>
                <w:color w:val="000000"/>
              </w:rPr>
              <w:t> 1</w:t>
            </w:r>
          </w:p>
          <w:p w14:paraId="7C68F357" w14:textId="77777777" w:rsidR="00067F74" w:rsidRPr="009B1A37" w:rsidRDefault="00067F74" w:rsidP="00BE3D48">
            <w:pPr>
              <w:pStyle w:val="EndnoteText"/>
              <w:widowControl w:val="0"/>
              <w:rPr>
                <w:color w:val="000000"/>
              </w:rPr>
            </w:pPr>
            <w:r w:rsidRPr="009B1A37">
              <w:rPr>
                <w:color w:val="000000"/>
              </w:rPr>
              <w:t>(3 </w:t>
            </w:r>
            <w:r w:rsidR="00CF3D59" w:rsidRPr="009B1A37">
              <w:rPr>
                <w:color w:val="000000"/>
              </w:rPr>
              <w:t>týdny</w:t>
            </w:r>
            <w:r w:rsidRPr="009B1A37">
              <w:rPr>
                <w:color w:val="000000"/>
              </w:rPr>
              <w:t>)</w:t>
            </w:r>
          </w:p>
        </w:tc>
        <w:tc>
          <w:tcPr>
            <w:tcW w:w="6929" w:type="dxa"/>
            <w:shd w:val="clear" w:color="auto" w:fill="auto"/>
          </w:tcPr>
          <w:p w14:paraId="614C5574" w14:textId="77777777" w:rsidR="00067F74" w:rsidRPr="009B1A37" w:rsidRDefault="00067F74" w:rsidP="00BE3D48">
            <w:pPr>
              <w:pStyle w:val="EndnoteText"/>
              <w:widowControl w:val="0"/>
              <w:rPr>
                <w:color w:val="000000"/>
              </w:rPr>
            </w:pPr>
            <w:r w:rsidRPr="009B1A37">
              <w:rPr>
                <w:color w:val="000000"/>
              </w:rPr>
              <w:t>VCR (1</w:t>
            </w:r>
            <w:r w:rsidR="006166C3" w:rsidRPr="009B1A37">
              <w:rPr>
                <w:color w:val="000000"/>
              </w:rPr>
              <w:t>,</w:t>
            </w:r>
            <w:r w:rsidRPr="009B1A37">
              <w:rPr>
                <w:color w:val="000000"/>
              </w:rPr>
              <w:t>5 mg/m</w:t>
            </w:r>
            <w:r w:rsidRPr="009B1A37">
              <w:rPr>
                <w:color w:val="000000"/>
                <w:vertAlign w:val="superscript"/>
              </w:rPr>
              <w:t>2</w:t>
            </w:r>
            <w:r w:rsidRPr="009B1A37">
              <w:rPr>
                <w:color w:val="000000"/>
              </w:rPr>
              <w:t>/d</w:t>
            </w:r>
            <w:r w:rsidR="0025447E" w:rsidRPr="009B1A37">
              <w:rPr>
                <w:color w:val="000000"/>
              </w:rPr>
              <w:t>en</w:t>
            </w:r>
            <w:r w:rsidRPr="009B1A37">
              <w:rPr>
                <w:color w:val="000000"/>
              </w:rPr>
              <w:t xml:space="preserve">, </w:t>
            </w:r>
            <w:r w:rsidR="0098741C" w:rsidRPr="009B1A37">
              <w:rPr>
                <w:color w:val="000000"/>
              </w:rPr>
              <w:t>i.v.</w:t>
            </w:r>
            <w:r w:rsidRPr="009B1A37">
              <w:rPr>
                <w:color w:val="000000"/>
              </w:rPr>
              <w:t xml:space="preserve">): </w:t>
            </w:r>
            <w:r w:rsidR="0025447E" w:rsidRPr="009B1A37">
              <w:rPr>
                <w:color w:val="000000"/>
              </w:rPr>
              <w:t>dny</w:t>
            </w:r>
            <w:r w:rsidRPr="009B1A37">
              <w:rPr>
                <w:color w:val="000000"/>
              </w:rPr>
              <w:t> 1, 8, a 15</w:t>
            </w:r>
          </w:p>
          <w:p w14:paraId="48771EED" w14:textId="77777777" w:rsidR="00067F74" w:rsidRPr="009B1A37" w:rsidRDefault="00067F74" w:rsidP="00BE3D48">
            <w:pPr>
              <w:pStyle w:val="EndnoteText"/>
              <w:widowControl w:val="0"/>
              <w:rPr>
                <w:color w:val="000000"/>
              </w:rPr>
            </w:pPr>
            <w:r w:rsidRPr="009B1A37">
              <w:rPr>
                <w:color w:val="000000"/>
              </w:rPr>
              <w:t>DAUN (45 mg/m</w:t>
            </w:r>
            <w:r w:rsidRPr="009B1A37">
              <w:rPr>
                <w:color w:val="000000"/>
                <w:vertAlign w:val="superscript"/>
              </w:rPr>
              <w:t>2</w:t>
            </w:r>
            <w:r w:rsidRPr="009B1A37">
              <w:rPr>
                <w:color w:val="000000"/>
              </w:rPr>
              <w:t>/d</w:t>
            </w:r>
            <w:r w:rsidR="0025447E" w:rsidRPr="009B1A37">
              <w:rPr>
                <w:color w:val="000000"/>
              </w:rPr>
              <w:t>en</w:t>
            </w:r>
            <w:r w:rsidRPr="009B1A37">
              <w:rPr>
                <w:color w:val="000000"/>
              </w:rPr>
              <w:t xml:space="preserve"> </w:t>
            </w:r>
            <w:r w:rsidR="00B03F79" w:rsidRPr="009B1A37">
              <w:rPr>
                <w:color w:val="000000"/>
              </w:rPr>
              <w:t>jako bolus</w:t>
            </w:r>
            <w:r w:rsidRPr="009B1A37">
              <w:rPr>
                <w:color w:val="000000"/>
              </w:rPr>
              <w:t xml:space="preserve">, </w:t>
            </w:r>
            <w:r w:rsidR="0098741C" w:rsidRPr="009B1A37">
              <w:rPr>
                <w:color w:val="000000"/>
              </w:rPr>
              <w:t>i.v.</w:t>
            </w:r>
            <w:r w:rsidRPr="009B1A37">
              <w:rPr>
                <w:color w:val="000000"/>
              </w:rPr>
              <w:t>): d</w:t>
            </w:r>
            <w:r w:rsidR="0025447E" w:rsidRPr="009B1A37">
              <w:rPr>
                <w:color w:val="000000"/>
              </w:rPr>
              <w:t>ny</w:t>
            </w:r>
            <w:r w:rsidRPr="009B1A37">
              <w:rPr>
                <w:color w:val="000000"/>
              </w:rPr>
              <w:t> 1 a 2</w:t>
            </w:r>
          </w:p>
          <w:p w14:paraId="1CEA577F" w14:textId="77777777" w:rsidR="00067F74" w:rsidRPr="009B1A37" w:rsidRDefault="00067F74" w:rsidP="00BE3D48">
            <w:pPr>
              <w:pStyle w:val="EndnoteText"/>
              <w:widowControl w:val="0"/>
              <w:rPr>
                <w:color w:val="000000"/>
              </w:rPr>
            </w:pPr>
            <w:r w:rsidRPr="009B1A37">
              <w:rPr>
                <w:color w:val="000000"/>
              </w:rPr>
              <w:t>CPM (250 mg/m</w:t>
            </w:r>
            <w:r w:rsidRPr="009B1A37">
              <w:rPr>
                <w:color w:val="000000"/>
                <w:vertAlign w:val="superscript"/>
              </w:rPr>
              <w:t>2</w:t>
            </w:r>
            <w:r w:rsidRPr="009B1A37">
              <w:rPr>
                <w:color w:val="000000"/>
              </w:rPr>
              <w:t>/d</w:t>
            </w:r>
            <w:r w:rsidR="006166C3" w:rsidRPr="009B1A37">
              <w:rPr>
                <w:color w:val="000000"/>
              </w:rPr>
              <w:t>ávku</w:t>
            </w:r>
            <w:r w:rsidRPr="009B1A37">
              <w:rPr>
                <w:color w:val="000000"/>
              </w:rPr>
              <w:t xml:space="preserve"> q12h x 4 </w:t>
            </w:r>
            <w:r w:rsidR="006F2737" w:rsidRPr="009B1A37">
              <w:rPr>
                <w:color w:val="000000"/>
              </w:rPr>
              <w:t>dávky</w:t>
            </w:r>
            <w:r w:rsidRPr="009B1A37">
              <w:rPr>
                <w:color w:val="000000"/>
              </w:rPr>
              <w:t xml:space="preserve">, </w:t>
            </w:r>
            <w:r w:rsidR="0098741C" w:rsidRPr="009B1A37">
              <w:rPr>
                <w:color w:val="000000"/>
              </w:rPr>
              <w:t>i.v.</w:t>
            </w:r>
            <w:r w:rsidRPr="009B1A37">
              <w:rPr>
                <w:color w:val="000000"/>
              </w:rPr>
              <w:t xml:space="preserve">): </w:t>
            </w:r>
            <w:r w:rsidR="006F2737" w:rsidRPr="009B1A37">
              <w:rPr>
                <w:color w:val="000000"/>
              </w:rPr>
              <w:t>dny</w:t>
            </w:r>
            <w:r w:rsidRPr="009B1A37">
              <w:rPr>
                <w:color w:val="000000"/>
              </w:rPr>
              <w:t> 3 a 4</w:t>
            </w:r>
          </w:p>
          <w:p w14:paraId="652B5E1A" w14:textId="77777777" w:rsidR="00067F74" w:rsidRPr="009B1A37" w:rsidRDefault="00067F74" w:rsidP="00BE3D48">
            <w:pPr>
              <w:pStyle w:val="EndnoteText"/>
              <w:widowControl w:val="0"/>
              <w:rPr>
                <w:color w:val="000000"/>
              </w:rPr>
            </w:pPr>
            <w:r w:rsidRPr="009B1A37">
              <w:rPr>
                <w:color w:val="000000"/>
              </w:rPr>
              <w:t>PEG-ASP (2500 IU/m</w:t>
            </w:r>
            <w:r w:rsidRPr="009B1A37">
              <w:rPr>
                <w:color w:val="000000"/>
                <w:vertAlign w:val="superscript"/>
              </w:rPr>
              <w:t>2</w:t>
            </w:r>
            <w:r w:rsidRPr="009B1A37">
              <w:rPr>
                <w:color w:val="000000"/>
              </w:rPr>
              <w:t xml:space="preserve">, </w:t>
            </w:r>
            <w:r w:rsidR="0098741C" w:rsidRPr="009B1A37">
              <w:rPr>
                <w:color w:val="000000"/>
              </w:rPr>
              <w:t>i.m.</w:t>
            </w:r>
            <w:r w:rsidRPr="009B1A37">
              <w:rPr>
                <w:color w:val="000000"/>
              </w:rPr>
              <w:t xml:space="preserve">): </w:t>
            </w:r>
            <w:r w:rsidR="0025447E" w:rsidRPr="009B1A37">
              <w:rPr>
                <w:color w:val="000000"/>
              </w:rPr>
              <w:t>den</w:t>
            </w:r>
            <w:r w:rsidRPr="009B1A37">
              <w:rPr>
                <w:color w:val="000000"/>
              </w:rPr>
              <w:t> 4</w:t>
            </w:r>
          </w:p>
          <w:p w14:paraId="4BC609C6" w14:textId="77777777" w:rsidR="00067F74" w:rsidRPr="009B1A37" w:rsidRDefault="00067F74" w:rsidP="00BE3D48">
            <w:pPr>
              <w:pStyle w:val="EndnoteText"/>
              <w:widowControl w:val="0"/>
              <w:rPr>
                <w:color w:val="000000"/>
              </w:rPr>
            </w:pPr>
            <w:r w:rsidRPr="009B1A37">
              <w:rPr>
                <w:color w:val="000000"/>
              </w:rPr>
              <w:t xml:space="preserve">G-CSF (5 μg/kg, </w:t>
            </w:r>
            <w:r w:rsidR="0098741C" w:rsidRPr="009B1A37">
              <w:rPr>
                <w:color w:val="000000"/>
              </w:rPr>
              <w:t>s.c.</w:t>
            </w:r>
            <w:r w:rsidRPr="009B1A37">
              <w:rPr>
                <w:color w:val="000000"/>
              </w:rPr>
              <w:t xml:space="preserve">): </w:t>
            </w:r>
            <w:r w:rsidR="006F2737" w:rsidRPr="009B1A37">
              <w:rPr>
                <w:color w:val="000000"/>
              </w:rPr>
              <w:t>dny</w:t>
            </w:r>
            <w:r w:rsidRPr="009B1A37">
              <w:rPr>
                <w:color w:val="000000"/>
              </w:rPr>
              <w:t> 5</w:t>
            </w:r>
            <w:r w:rsidRPr="009B1A37">
              <w:rPr>
                <w:color w:val="000000"/>
              </w:rPr>
              <w:noBreakHyphen/>
              <w:t xml:space="preserve">14 </w:t>
            </w:r>
            <w:r w:rsidR="006F2737" w:rsidRPr="009B1A37">
              <w:rPr>
                <w:color w:val="000000"/>
              </w:rPr>
              <w:t>nebo</w:t>
            </w:r>
            <w:r w:rsidRPr="009B1A37">
              <w:rPr>
                <w:color w:val="000000"/>
              </w:rPr>
              <w:t xml:space="preserve"> </w:t>
            </w:r>
            <w:r w:rsidR="006F2737" w:rsidRPr="009B1A37">
              <w:rPr>
                <w:color w:val="000000"/>
              </w:rPr>
              <w:t>do</w:t>
            </w:r>
            <w:r w:rsidRPr="009B1A37">
              <w:rPr>
                <w:color w:val="000000"/>
              </w:rPr>
              <w:t xml:space="preserve"> ANC &gt; 1500 </w:t>
            </w:r>
            <w:r w:rsidR="00B03F79" w:rsidRPr="009B1A37">
              <w:rPr>
                <w:color w:val="000000"/>
              </w:rPr>
              <w:t>po dosažení nejnižší hodnoty</w:t>
            </w:r>
          </w:p>
          <w:p w14:paraId="0771D437" w14:textId="77777777" w:rsidR="00067F74" w:rsidRPr="009B1A37" w:rsidRDefault="00067F74" w:rsidP="00BE3D48">
            <w:pPr>
              <w:pStyle w:val="EndnoteText"/>
              <w:widowControl w:val="0"/>
              <w:rPr>
                <w:color w:val="000000"/>
              </w:rPr>
            </w:pPr>
            <w:r w:rsidRPr="009B1A37">
              <w:rPr>
                <w:color w:val="000000"/>
              </w:rPr>
              <w:t>T</w:t>
            </w:r>
            <w:r w:rsidR="006F2737" w:rsidRPr="009B1A37">
              <w:rPr>
                <w:color w:val="000000"/>
              </w:rPr>
              <w:t>rojnásobná</w:t>
            </w:r>
            <w:r w:rsidRPr="009B1A37">
              <w:rPr>
                <w:color w:val="000000"/>
              </w:rPr>
              <w:t xml:space="preserve"> </w:t>
            </w:r>
            <w:r w:rsidR="0098741C" w:rsidRPr="009B1A37">
              <w:rPr>
                <w:color w:val="000000"/>
              </w:rPr>
              <w:t>i.t.</w:t>
            </w:r>
            <w:r w:rsidRPr="009B1A37">
              <w:rPr>
                <w:color w:val="000000"/>
              </w:rPr>
              <w:t xml:space="preserve"> </w:t>
            </w:r>
            <w:r w:rsidR="006F2737" w:rsidRPr="009B1A37">
              <w:rPr>
                <w:color w:val="000000"/>
              </w:rPr>
              <w:t>léčba</w:t>
            </w:r>
            <w:r w:rsidRPr="009B1A37">
              <w:rPr>
                <w:color w:val="000000"/>
              </w:rPr>
              <w:t xml:space="preserve"> (</w:t>
            </w:r>
            <w:r w:rsidR="006F2737" w:rsidRPr="009B1A37">
              <w:rPr>
                <w:color w:val="000000"/>
              </w:rPr>
              <w:t>přizpůsobená věku</w:t>
            </w:r>
            <w:r w:rsidRPr="009B1A37">
              <w:rPr>
                <w:color w:val="000000"/>
              </w:rPr>
              <w:t xml:space="preserve">): </w:t>
            </w:r>
            <w:r w:rsidR="006F2737" w:rsidRPr="009B1A37">
              <w:rPr>
                <w:color w:val="000000"/>
              </w:rPr>
              <w:t>dny</w:t>
            </w:r>
            <w:r w:rsidRPr="009B1A37">
              <w:rPr>
                <w:color w:val="000000"/>
              </w:rPr>
              <w:t> 1 a 15</w:t>
            </w:r>
          </w:p>
          <w:p w14:paraId="34E6E8F2" w14:textId="77777777" w:rsidR="00067F74" w:rsidRPr="009B1A37" w:rsidRDefault="00067F74" w:rsidP="00BE3D48">
            <w:pPr>
              <w:pStyle w:val="EndnoteText"/>
              <w:widowControl w:val="0"/>
              <w:rPr>
                <w:color w:val="000000"/>
              </w:rPr>
            </w:pPr>
            <w:r w:rsidRPr="009B1A37">
              <w:rPr>
                <w:color w:val="000000"/>
              </w:rPr>
              <w:t>DEX (6 mg/m</w:t>
            </w:r>
            <w:r w:rsidRPr="009B1A37">
              <w:rPr>
                <w:color w:val="000000"/>
                <w:vertAlign w:val="superscript"/>
              </w:rPr>
              <w:t>2</w:t>
            </w:r>
            <w:r w:rsidRPr="009B1A37">
              <w:rPr>
                <w:color w:val="000000"/>
              </w:rPr>
              <w:t>/</w:t>
            </w:r>
            <w:r w:rsidR="006F2737" w:rsidRPr="009B1A37">
              <w:rPr>
                <w:color w:val="000000"/>
              </w:rPr>
              <w:t>den</w:t>
            </w:r>
            <w:r w:rsidRPr="009B1A37">
              <w:rPr>
                <w:color w:val="000000"/>
              </w:rPr>
              <w:t xml:space="preserve">, </w:t>
            </w:r>
            <w:r w:rsidR="0098741C" w:rsidRPr="009B1A37">
              <w:rPr>
                <w:color w:val="000000"/>
              </w:rPr>
              <w:t>p.o.</w:t>
            </w:r>
            <w:r w:rsidRPr="009B1A37">
              <w:rPr>
                <w:color w:val="000000"/>
              </w:rPr>
              <w:t>): d</w:t>
            </w:r>
            <w:r w:rsidR="006F2737" w:rsidRPr="009B1A37">
              <w:rPr>
                <w:color w:val="000000"/>
              </w:rPr>
              <w:t>ny</w:t>
            </w:r>
            <w:r w:rsidRPr="009B1A37">
              <w:rPr>
                <w:color w:val="000000"/>
              </w:rPr>
              <w:t> 1</w:t>
            </w:r>
            <w:r w:rsidRPr="009B1A37">
              <w:rPr>
                <w:color w:val="000000"/>
              </w:rPr>
              <w:noBreakHyphen/>
              <w:t>7 a 15</w:t>
            </w:r>
            <w:r w:rsidRPr="009B1A37">
              <w:rPr>
                <w:color w:val="000000"/>
              </w:rPr>
              <w:noBreakHyphen/>
              <w:t>21</w:t>
            </w:r>
          </w:p>
        </w:tc>
      </w:tr>
      <w:tr w:rsidR="00067F74" w:rsidRPr="009B1A37" w14:paraId="4BC2E15C" w14:textId="77777777" w:rsidTr="00F75C2F">
        <w:trPr>
          <w:cantSplit/>
        </w:trPr>
        <w:tc>
          <w:tcPr>
            <w:tcW w:w="2358" w:type="dxa"/>
            <w:shd w:val="clear" w:color="auto" w:fill="auto"/>
          </w:tcPr>
          <w:p w14:paraId="5DBE92FF" w14:textId="77777777" w:rsidR="00067F74" w:rsidRPr="009B1A37" w:rsidRDefault="00067F74" w:rsidP="00BE3D48">
            <w:pPr>
              <w:pStyle w:val="EndnoteText"/>
              <w:widowControl w:val="0"/>
              <w:rPr>
                <w:color w:val="000000"/>
              </w:rPr>
            </w:pPr>
            <w:r w:rsidRPr="009B1A37">
              <w:rPr>
                <w:color w:val="000000"/>
              </w:rPr>
              <w:t>Inten</w:t>
            </w:r>
            <w:r w:rsidR="006F2737" w:rsidRPr="009B1A37">
              <w:rPr>
                <w:color w:val="000000"/>
              </w:rPr>
              <w:t xml:space="preserve">zifikační </w:t>
            </w:r>
            <w:r w:rsidR="00F87E46" w:rsidRPr="009B1A37">
              <w:rPr>
                <w:color w:val="000000"/>
              </w:rPr>
              <w:t>blok</w:t>
            </w:r>
            <w:r w:rsidRPr="009B1A37">
              <w:rPr>
                <w:color w:val="000000"/>
              </w:rPr>
              <w:t> 1</w:t>
            </w:r>
          </w:p>
          <w:p w14:paraId="731A1D05" w14:textId="77777777" w:rsidR="00067F74" w:rsidRPr="009B1A37" w:rsidRDefault="00067F74" w:rsidP="00BE3D48">
            <w:pPr>
              <w:pStyle w:val="EndnoteText"/>
              <w:widowControl w:val="0"/>
              <w:rPr>
                <w:color w:val="000000"/>
              </w:rPr>
            </w:pPr>
            <w:r w:rsidRPr="009B1A37">
              <w:rPr>
                <w:color w:val="000000"/>
              </w:rPr>
              <w:t>(9 </w:t>
            </w:r>
            <w:r w:rsidR="006F2737" w:rsidRPr="009B1A37">
              <w:rPr>
                <w:color w:val="000000"/>
              </w:rPr>
              <w:t>týdnů</w:t>
            </w:r>
            <w:r w:rsidRPr="009B1A37">
              <w:rPr>
                <w:color w:val="000000"/>
              </w:rPr>
              <w:t>)</w:t>
            </w:r>
          </w:p>
        </w:tc>
        <w:tc>
          <w:tcPr>
            <w:tcW w:w="6929" w:type="dxa"/>
            <w:shd w:val="clear" w:color="auto" w:fill="auto"/>
          </w:tcPr>
          <w:p w14:paraId="4BD84798" w14:textId="77777777" w:rsidR="00067F74" w:rsidRPr="009B1A37" w:rsidRDefault="00BA17E5" w:rsidP="00BE3D48">
            <w:pPr>
              <w:pStyle w:val="EndnoteText"/>
              <w:widowControl w:val="0"/>
              <w:rPr>
                <w:color w:val="000000"/>
              </w:rPr>
            </w:pPr>
            <w:r w:rsidRPr="009B1A37">
              <w:rPr>
                <w:color w:val="000000"/>
              </w:rPr>
              <w:t>m</w:t>
            </w:r>
            <w:r w:rsidR="00CF3D59" w:rsidRPr="009B1A37">
              <w:rPr>
                <w:color w:val="000000"/>
              </w:rPr>
              <w:t>et</w:t>
            </w:r>
            <w:r w:rsidR="00DE1BE6" w:rsidRPr="009B1A37">
              <w:rPr>
                <w:color w:val="000000"/>
              </w:rPr>
              <w:t>h</w:t>
            </w:r>
            <w:r w:rsidR="00067F74" w:rsidRPr="009B1A37">
              <w:rPr>
                <w:color w:val="000000"/>
              </w:rPr>
              <w:t>otrex</w:t>
            </w:r>
            <w:r w:rsidR="00CF3D59" w:rsidRPr="009B1A37">
              <w:rPr>
                <w:color w:val="000000"/>
              </w:rPr>
              <w:t>át</w:t>
            </w:r>
            <w:r w:rsidR="00067F74" w:rsidRPr="009B1A37">
              <w:rPr>
                <w:color w:val="000000"/>
              </w:rPr>
              <w:t xml:space="preserve"> (5 g/m</w:t>
            </w:r>
            <w:r w:rsidR="00067F74" w:rsidRPr="009B1A37">
              <w:rPr>
                <w:color w:val="000000"/>
                <w:vertAlign w:val="superscript"/>
              </w:rPr>
              <w:t>2</w:t>
            </w:r>
            <w:r w:rsidR="00067F74" w:rsidRPr="009B1A37">
              <w:rPr>
                <w:color w:val="000000"/>
              </w:rPr>
              <w:t xml:space="preserve"> </w:t>
            </w:r>
            <w:r w:rsidR="00A020C3" w:rsidRPr="009B1A37">
              <w:rPr>
                <w:color w:val="000000"/>
              </w:rPr>
              <w:t xml:space="preserve">v průběhu </w:t>
            </w:r>
            <w:r w:rsidR="00067F74" w:rsidRPr="009B1A37">
              <w:rPr>
                <w:color w:val="000000"/>
              </w:rPr>
              <w:t>24 ho</w:t>
            </w:r>
            <w:r w:rsidR="006166C3" w:rsidRPr="009B1A37">
              <w:rPr>
                <w:color w:val="000000"/>
              </w:rPr>
              <w:t>din</w:t>
            </w:r>
            <w:r w:rsidR="00067F74" w:rsidRPr="009B1A37">
              <w:rPr>
                <w:color w:val="000000"/>
              </w:rPr>
              <w:t xml:space="preserve">, </w:t>
            </w:r>
            <w:r w:rsidRPr="009B1A37">
              <w:rPr>
                <w:color w:val="000000"/>
              </w:rPr>
              <w:t>i.v.</w:t>
            </w:r>
            <w:r w:rsidR="00067F74" w:rsidRPr="009B1A37">
              <w:rPr>
                <w:color w:val="000000"/>
              </w:rPr>
              <w:t>): d</w:t>
            </w:r>
            <w:r w:rsidR="00431462" w:rsidRPr="009B1A37">
              <w:rPr>
                <w:color w:val="000000"/>
              </w:rPr>
              <w:t>ny</w:t>
            </w:r>
            <w:r w:rsidR="00067F74" w:rsidRPr="009B1A37">
              <w:rPr>
                <w:color w:val="000000"/>
              </w:rPr>
              <w:t> 1 a 15</w:t>
            </w:r>
          </w:p>
          <w:p w14:paraId="433F78F2" w14:textId="77777777" w:rsidR="00067F74" w:rsidRPr="009B1A37" w:rsidRDefault="00BA17E5" w:rsidP="00BE3D48">
            <w:pPr>
              <w:pStyle w:val="EndnoteText"/>
              <w:widowControl w:val="0"/>
              <w:rPr>
                <w:color w:val="000000"/>
              </w:rPr>
            </w:pPr>
            <w:r w:rsidRPr="009B1A37">
              <w:rPr>
                <w:color w:val="000000"/>
              </w:rPr>
              <w:t>l</w:t>
            </w:r>
            <w:r w:rsidR="00067F74" w:rsidRPr="009B1A37">
              <w:rPr>
                <w:color w:val="000000"/>
              </w:rPr>
              <w:t>eu</w:t>
            </w:r>
            <w:r w:rsidR="00CF3D59" w:rsidRPr="009B1A37">
              <w:rPr>
                <w:color w:val="000000"/>
              </w:rPr>
              <w:t>k</w:t>
            </w:r>
            <w:r w:rsidR="00067F74" w:rsidRPr="009B1A37">
              <w:rPr>
                <w:color w:val="000000"/>
              </w:rPr>
              <w:t>ovorin (75 mg/m</w:t>
            </w:r>
            <w:r w:rsidR="00067F74" w:rsidRPr="009B1A37">
              <w:rPr>
                <w:color w:val="000000"/>
                <w:vertAlign w:val="superscript"/>
              </w:rPr>
              <w:t>2</w:t>
            </w:r>
            <w:r w:rsidR="00067F74" w:rsidRPr="009B1A37">
              <w:rPr>
                <w:color w:val="000000"/>
              </w:rPr>
              <w:t xml:space="preserve"> </w:t>
            </w:r>
            <w:r w:rsidR="00B03F79" w:rsidRPr="009B1A37">
              <w:rPr>
                <w:color w:val="000000"/>
              </w:rPr>
              <w:t>ve 36. hodině</w:t>
            </w:r>
            <w:r w:rsidR="00067F74" w:rsidRPr="009B1A37">
              <w:rPr>
                <w:color w:val="000000"/>
              </w:rPr>
              <w:t xml:space="preserve">, </w:t>
            </w:r>
            <w:r w:rsidRPr="009B1A37">
              <w:rPr>
                <w:color w:val="000000"/>
              </w:rPr>
              <w:t>i.v.</w:t>
            </w:r>
            <w:r w:rsidR="00067F74" w:rsidRPr="009B1A37">
              <w:rPr>
                <w:color w:val="000000"/>
              </w:rPr>
              <w:t>; 15 mg/m</w:t>
            </w:r>
            <w:r w:rsidR="00067F74" w:rsidRPr="009B1A37">
              <w:rPr>
                <w:color w:val="000000"/>
                <w:vertAlign w:val="superscript"/>
              </w:rPr>
              <w:t>2</w:t>
            </w:r>
            <w:r w:rsidR="00067F74" w:rsidRPr="009B1A37">
              <w:rPr>
                <w:color w:val="000000"/>
              </w:rPr>
              <w:t xml:space="preserve"> </w:t>
            </w:r>
            <w:r w:rsidRPr="009B1A37">
              <w:rPr>
                <w:color w:val="000000"/>
              </w:rPr>
              <w:t>i.v.</w:t>
            </w:r>
            <w:r w:rsidR="00067F74" w:rsidRPr="009B1A37">
              <w:rPr>
                <w:color w:val="000000"/>
              </w:rPr>
              <w:t xml:space="preserve"> </w:t>
            </w:r>
            <w:r w:rsidR="00CF3D59" w:rsidRPr="009B1A37">
              <w:rPr>
                <w:color w:val="000000"/>
              </w:rPr>
              <w:t>nebo</w:t>
            </w:r>
            <w:r w:rsidR="00067F74" w:rsidRPr="009B1A37">
              <w:rPr>
                <w:color w:val="000000"/>
              </w:rPr>
              <w:t xml:space="preserve"> </w:t>
            </w:r>
            <w:r w:rsidRPr="009B1A37">
              <w:rPr>
                <w:color w:val="000000"/>
              </w:rPr>
              <w:t>p.o.</w:t>
            </w:r>
            <w:r w:rsidR="00067F74" w:rsidRPr="009B1A37">
              <w:rPr>
                <w:color w:val="000000"/>
              </w:rPr>
              <w:t xml:space="preserve"> q6h x 6 </w:t>
            </w:r>
            <w:r w:rsidR="00CF3D59" w:rsidRPr="009B1A37">
              <w:rPr>
                <w:color w:val="000000"/>
              </w:rPr>
              <w:t>dávek</w:t>
            </w:r>
            <w:r w:rsidR="00067F74" w:rsidRPr="009B1A37">
              <w:rPr>
                <w:color w:val="000000"/>
              </w:rPr>
              <w:t xml:space="preserve">)iii: </w:t>
            </w:r>
            <w:r w:rsidR="00B03F79" w:rsidRPr="009B1A37">
              <w:rPr>
                <w:color w:val="000000"/>
              </w:rPr>
              <w:t>d</w:t>
            </w:r>
            <w:r w:rsidR="00CF3D59" w:rsidRPr="009B1A37">
              <w:rPr>
                <w:color w:val="000000"/>
              </w:rPr>
              <w:t>ny</w:t>
            </w:r>
            <w:r w:rsidR="00067F74" w:rsidRPr="009B1A37">
              <w:rPr>
                <w:color w:val="000000"/>
              </w:rPr>
              <w:t> 2, 3, 16, a 17</w:t>
            </w:r>
          </w:p>
          <w:p w14:paraId="750FB6E0" w14:textId="77777777" w:rsidR="00067F74" w:rsidRPr="009B1A37" w:rsidRDefault="00067F74" w:rsidP="00BE3D48">
            <w:pPr>
              <w:pStyle w:val="EndnoteText"/>
              <w:widowControl w:val="0"/>
              <w:rPr>
                <w:color w:val="000000"/>
              </w:rPr>
            </w:pPr>
            <w:r w:rsidRPr="009B1A37">
              <w:rPr>
                <w:color w:val="000000"/>
              </w:rPr>
              <w:t>T</w:t>
            </w:r>
            <w:r w:rsidR="006166C3" w:rsidRPr="009B1A37">
              <w:rPr>
                <w:color w:val="000000"/>
              </w:rPr>
              <w:t>rojnásobná</w:t>
            </w:r>
            <w:r w:rsidRPr="009B1A37">
              <w:rPr>
                <w:color w:val="000000"/>
              </w:rPr>
              <w:t xml:space="preserve"> </w:t>
            </w:r>
            <w:r w:rsidR="00BA17E5" w:rsidRPr="009B1A37">
              <w:rPr>
                <w:color w:val="000000"/>
              </w:rPr>
              <w:t>i.t.</w:t>
            </w:r>
            <w:r w:rsidRPr="009B1A37">
              <w:rPr>
                <w:color w:val="000000"/>
              </w:rPr>
              <w:t xml:space="preserve"> </w:t>
            </w:r>
            <w:r w:rsidR="006166C3" w:rsidRPr="009B1A37">
              <w:rPr>
                <w:color w:val="000000"/>
              </w:rPr>
              <w:t>léčba</w:t>
            </w:r>
            <w:r w:rsidRPr="009B1A37">
              <w:rPr>
                <w:color w:val="000000"/>
              </w:rPr>
              <w:t xml:space="preserve"> (</w:t>
            </w:r>
            <w:r w:rsidR="00DB3D76" w:rsidRPr="009B1A37">
              <w:rPr>
                <w:color w:val="000000"/>
              </w:rPr>
              <w:t>přizpůsobená věku</w:t>
            </w:r>
            <w:r w:rsidRPr="009B1A37">
              <w:rPr>
                <w:color w:val="000000"/>
              </w:rPr>
              <w:t xml:space="preserve">): </w:t>
            </w:r>
            <w:r w:rsidR="00CF3D59" w:rsidRPr="009B1A37">
              <w:rPr>
                <w:color w:val="000000"/>
              </w:rPr>
              <w:t>dny</w:t>
            </w:r>
            <w:r w:rsidRPr="009B1A37">
              <w:rPr>
                <w:color w:val="000000"/>
              </w:rPr>
              <w:t> 1 a 22</w:t>
            </w:r>
          </w:p>
          <w:p w14:paraId="76E79CD8" w14:textId="77777777" w:rsidR="00067F74" w:rsidRPr="009B1A37" w:rsidRDefault="00067F74" w:rsidP="00BE3D48">
            <w:pPr>
              <w:pStyle w:val="EndnoteText"/>
              <w:widowControl w:val="0"/>
              <w:rPr>
                <w:color w:val="000000"/>
              </w:rPr>
            </w:pPr>
            <w:r w:rsidRPr="009B1A37">
              <w:rPr>
                <w:color w:val="000000"/>
              </w:rPr>
              <w:t>VP-16 (100 mg/m</w:t>
            </w:r>
            <w:r w:rsidRPr="009B1A37">
              <w:rPr>
                <w:color w:val="000000"/>
                <w:vertAlign w:val="superscript"/>
              </w:rPr>
              <w:t>2</w:t>
            </w:r>
            <w:r w:rsidRPr="009B1A37">
              <w:rPr>
                <w:color w:val="000000"/>
              </w:rPr>
              <w:t>/d</w:t>
            </w:r>
            <w:r w:rsidR="00CF3D59" w:rsidRPr="009B1A37">
              <w:rPr>
                <w:color w:val="000000"/>
              </w:rPr>
              <w:t>en</w:t>
            </w:r>
            <w:r w:rsidRPr="009B1A37">
              <w:rPr>
                <w:color w:val="000000"/>
              </w:rPr>
              <w:t xml:space="preserve">, </w:t>
            </w:r>
            <w:r w:rsidR="00BA17E5" w:rsidRPr="009B1A37">
              <w:rPr>
                <w:color w:val="000000"/>
              </w:rPr>
              <w:t>i.v.</w:t>
            </w:r>
            <w:r w:rsidRPr="009B1A37">
              <w:rPr>
                <w:color w:val="000000"/>
              </w:rPr>
              <w:t xml:space="preserve">): </w:t>
            </w:r>
            <w:r w:rsidR="00CF3D59" w:rsidRPr="009B1A37">
              <w:rPr>
                <w:color w:val="000000"/>
              </w:rPr>
              <w:t>dny</w:t>
            </w:r>
            <w:r w:rsidRPr="009B1A37">
              <w:rPr>
                <w:color w:val="000000"/>
              </w:rPr>
              <w:t> 22</w:t>
            </w:r>
            <w:r w:rsidRPr="009B1A37">
              <w:rPr>
                <w:color w:val="000000"/>
              </w:rPr>
              <w:noBreakHyphen/>
              <w:t>26</w:t>
            </w:r>
          </w:p>
          <w:p w14:paraId="2E78F2D8" w14:textId="77777777" w:rsidR="00067F74" w:rsidRPr="009B1A37" w:rsidRDefault="00067F74" w:rsidP="00BE3D48">
            <w:pPr>
              <w:pStyle w:val="EndnoteText"/>
              <w:widowControl w:val="0"/>
              <w:rPr>
                <w:color w:val="000000"/>
              </w:rPr>
            </w:pPr>
            <w:r w:rsidRPr="009B1A37">
              <w:rPr>
                <w:color w:val="000000"/>
              </w:rPr>
              <w:t>CPM (300 mg/m</w:t>
            </w:r>
            <w:r w:rsidRPr="009B1A37">
              <w:rPr>
                <w:color w:val="000000"/>
                <w:vertAlign w:val="superscript"/>
              </w:rPr>
              <w:t>2</w:t>
            </w:r>
            <w:r w:rsidRPr="009B1A37">
              <w:rPr>
                <w:color w:val="000000"/>
              </w:rPr>
              <w:t>/</w:t>
            </w:r>
            <w:r w:rsidR="00CF3D59" w:rsidRPr="009B1A37">
              <w:rPr>
                <w:color w:val="000000"/>
              </w:rPr>
              <w:t>den</w:t>
            </w:r>
            <w:r w:rsidRPr="009B1A37">
              <w:rPr>
                <w:color w:val="000000"/>
              </w:rPr>
              <w:t xml:space="preserve">, </w:t>
            </w:r>
            <w:r w:rsidR="00BA17E5" w:rsidRPr="009B1A37">
              <w:rPr>
                <w:color w:val="000000"/>
              </w:rPr>
              <w:t>i.v.</w:t>
            </w:r>
            <w:r w:rsidRPr="009B1A37">
              <w:rPr>
                <w:color w:val="000000"/>
              </w:rPr>
              <w:t>): d</w:t>
            </w:r>
            <w:r w:rsidR="00CF3D59" w:rsidRPr="009B1A37">
              <w:rPr>
                <w:color w:val="000000"/>
              </w:rPr>
              <w:t>ny</w:t>
            </w:r>
            <w:r w:rsidRPr="009B1A37">
              <w:rPr>
                <w:color w:val="000000"/>
              </w:rPr>
              <w:t> 22</w:t>
            </w:r>
            <w:r w:rsidRPr="009B1A37">
              <w:rPr>
                <w:color w:val="000000"/>
              </w:rPr>
              <w:noBreakHyphen/>
              <w:t>26</w:t>
            </w:r>
          </w:p>
          <w:p w14:paraId="7109235B" w14:textId="77777777" w:rsidR="00067F74" w:rsidRPr="009B1A37" w:rsidRDefault="00067F74" w:rsidP="00BE3D48">
            <w:pPr>
              <w:pStyle w:val="EndnoteText"/>
              <w:widowControl w:val="0"/>
              <w:rPr>
                <w:color w:val="000000"/>
              </w:rPr>
            </w:pPr>
            <w:r w:rsidRPr="009B1A37">
              <w:rPr>
                <w:color w:val="000000"/>
              </w:rPr>
              <w:t>MESNA (150 mg/m</w:t>
            </w:r>
            <w:r w:rsidRPr="009B1A37">
              <w:rPr>
                <w:color w:val="000000"/>
                <w:vertAlign w:val="superscript"/>
              </w:rPr>
              <w:t>2</w:t>
            </w:r>
            <w:r w:rsidRPr="009B1A37">
              <w:rPr>
                <w:color w:val="000000"/>
              </w:rPr>
              <w:t>/d</w:t>
            </w:r>
            <w:r w:rsidR="00CF3D59" w:rsidRPr="009B1A37">
              <w:rPr>
                <w:color w:val="000000"/>
              </w:rPr>
              <w:t>en</w:t>
            </w:r>
            <w:r w:rsidRPr="009B1A37">
              <w:rPr>
                <w:color w:val="000000"/>
              </w:rPr>
              <w:t xml:space="preserve">, </w:t>
            </w:r>
            <w:r w:rsidR="00BA17E5" w:rsidRPr="009B1A37">
              <w:rPr>
                <w:color w:val="000000"/>
              </w:rPr>
              <w:t>i.v.</w:t>
            </w:r>
            <w:r w:rsidRPr="009B1A37">
              <w:rPr>
                <w:color w:val="000000"/>
              </w:rPr>
              <w:t>): d</w:t>
            </w:r>
            <w:r w:rsidR="00CF3D59" w:rsidRPr="009B1A37">
              <w:rPr>
                <w:color w:val="000000"/>
              </w:rPr>
              <w:t>ny</w:t>
            </w:r>
            <w:r w:rsidRPr="009B1A37">
              <w:rPr>
                <w:color w:val="000000"/>
              </w:rPr>
              <w:t> 22</w:t>
            </w:r>
            <w:r w:rsidRPr="009B1A37">
              <w:rPr>
                <w:color w:val="000000"/>
              </w:rPr>
              <w:noBreakHyphen/>
              <w:t>26</w:t>
            </w:r>
          </w:p>
          <w:p w14:paraId="069E4090" w14:textId="77777777" w:rsidR="00067F74" w:rsidRPr="009B1A37" w:rsidRDefault="00067F74" w:rsidP="00BE3D48">
            <w:pPr>
              <w:pStyle w:val="EndnoteText"/>
              <w:widowControl w:val="0"/>
              <w:rPr>
                <w:color w:val="000000"/>
              </w:rPr>
            </w:pPr>
            <w:r w:rsidRPr="009B1A37">
              <w:rPr>
                <w:color w:val="000000"/>
              </w:rPr>
              <w:t xml:space="preserve">G-CSF (5 μg/kg, </w:t>
            </w:r>
            <w:r w:rsidR="00BA17E5" w:rsidRPr="009B1A37">
              <w:rPr>
                <w:color w:val="000000"/>
              </w:rPr>
              <w:t>s.c.</w:t>
            </w:r>
            <w:r w:rsidRPr="009B1A37">
              <w:rPr>
                <w:color w:val="000000"/>
              </w:rPr>
              <w:t xml:space="preserve">): </w:t>
            </w:r>
            <w:r w:rsidR="006166C3" w:rsidRPr="009B1A37">
              <w:rPr>
                <w:color w:val="000000"/>
              </w:rPr>
              <w:t xml:space="preserve">dny </w:t>
            </w:r>
            <w:r w:rsidRPr="009B1A37">
              <w:rPr>
                <w:color w:val="000000"/>
              </w:rPr>
              <w:t xml:space="preserve">27-36 </w:t>
            </w:r>
            <w:r w:rsidR="000E02D4" w:rsidRPr="009B1A37">
              <w:rPr>
                <w:color w:val="000000"/>
              </w:rPr>
              <w:t>nebo do</w:t>
            </w:r>
            <w:r w:rsidRPr="009B1A37">
              <w:rPr>
                <w:color w:val="000000"/>
              </w:rPr>
              <w:t xml:space="preserve"> ANC &gt; 1500 </w:t>
            </w:r>
            <w:r w:rsidR="00B03F79" w:rsidRPr="009B1A37">
              <w:rPr>
                <w:color w:val="000000"/>
              </w:rPr>
              <w:t>po dosažení nejnižší hodnoty</w:t>
            </w:r>
          </w:p>
          <w:p w14:paraId="001F9A60" w14:textId="77777777" w:rsidR="00067F74" w:rsidRPr="009B1A37" w:rsidRDefault="00067F74" w:rsidP="00BE3D48">
            <w:pPr>
              <w:pStyle w:val="EndnoteText"/>
              <w:widowControl w:val="0"/>
              <w:rPr>
                <w:color w:val="000000"/>
              </w:rPr>
            </w:pPr>
            <w:r w:rsidRPr="009B1A37">
              <w:rPr>
                <w:color w:val="000000"/>
              </w:rPr>
              <w:t>ARA-C (3 g/m</w:t>
            </w:r>
            <w:r w:rsidRPr="009B1A37">
              <w:rPr>
                <w:color w:val="000000"/>
                <w:vertAlign w:val="superscript"/>
              </w:rPr>
              <w:t>2</w:t>
            </w:r>
            <w:r w:rsidRPr="009B1A37">
              <w:rPr>
                <w:color w:val="000000"/>
              </w:rPr>
              <w:t xml:space="preserve">, q12h, </w:t>
            </w:r>
            <w:r w:rsidR="00BA17E5" w:rsidRPr="009B1A37">
              <w:rPr>
                <w:color w:val="000000"/>
              </w:rPr>
              <w:t>i.v.</w:t>
            </w:r>
            <w:r w:rsidRPr="009B1A37">
              <w:rPr>
                <w:color w:val="000000"/>
              </w:rPr>
              <w:t>): d</w:t>
            </w:r>
            <w:r w:rsidR="000E02D4" w:rsidRPr="009B1A37">
              <w:rPr>
                <w:color w:val="000000"/>
              </w:rPr>
              <w:t>ny</w:t>
            </w:r>
            <w:r w:rsidRPr="009B1A37">
              <w:rPr>
                <w:color w:val="000000"/>
              </w:rPr>
              <w:t> 43, 44</w:t>
            </w:r>
          </w:p>
          <w:p w14:paraId="577201FB" w14:textId="77777777" w:rsidR="00067F74" w:rsidRPr="009B1A37" w:rsidRDefault="00067F74" w:rsidP="00BE3D48">
            <w:pPr>
              <w:pStyle w:val="EndnoteText"/>
              <w:widowControl w:val="0"/>
              <w:rPr>
                <w:color w:val="000000"/>
              </w:rPr>
            </w:pPr>
            <w:r w:rsidRPr="009B1A37">
              <w:rPr>
                <w:color w:val="000000"/>
              </w:rPr>
              <w:t>L-ASP (6000 IU/m</w:t>
            </w:r>
            <w:r w:rsidRPr="009B1A37">
              <w:rPr>
                <w:color w:val="000000"/>
                <w:vertAlign w:val="superscript"/>
              </w:rPr>
              <w:t>2</w:t>
            </w:r>
            <w:r w:rsidRPr="009B1A37">
              <w:rPr>
                <w:color w:val="000000"/>
              </w:rPr>
              <w:t xml:space="preserve">, </w:t>
            </w:r>
            <w:r w:rsidR="00BA17E5" w:rsidRPr="009B1A37">
              <w:rPr>
                <w:color w:val="000000"/>
              </w:rPr>
              <w:t>i.m.</w:t>
            </w:r>
            <w:r w:rsidRPr="009B1A37">
              <w:rPr>
                <w:color w:val="000000"/>
              </w:rPr>
              <w:t>): d</w:t>
            </w:r>
            <w:r w:rsidR="000E02D4" w:rsidRPr="009B1A37">
              <w:rPr>
                <w:color w:val="000000"/>
              </w:rPr>
              <w:t>en</w:t>
            </w:r>
            <w:r w:rsidRPr="009B1A37">
              <w:rPr>
                <w:color w:val="000000"/>
              </w:rPr>
              <w:t> 44</w:t>
            </w:r>
          </w:p>
        </w:tc>
      </w:tr>
      <w:tr w:rsidR="00067F74" w:rsidRPr="009B1A37" w14:paraId="32EB31AC" w14:textId="77777777" w:rsidTr="00F75C2F">
        <w:trPr>
          <w:cantSplit/>
        </w:trPr>
        <w:tc>
          <w:tcPr>
            <w:tcW w:w="2358" w:type="dxa"/>
            <w:shd w:val="clear" w:color="auto" w:fill="auto"/>
          </w:tcPr>
          <w:p w14:paraId="0E4C7339" w14:textId="77777777" w:rsidR="00067F74" w:rsidRPr="009B1A37" w:rsidRDefault="00067F74" w:rsidP="00BE3D48">
            <w:pPr>
              <w:pStyle w:val="EndnoteText"/>
              <w:widowControl w:val="0"/>
              <w:rPr>
                <w:color w:val="000000"/>
              </w:rPr>
            </w:pPr>
            <w:r w:rsidRPr="009B1A37">
              <w:rPr>
                <w:color w:val="000000"/>
              </w:rPr>
              <w:t>Reindu</w:t>
            </w:r>
            <w:r w:rsidR="006F2737" w:rsidRPr="009B1A37">
              <w:rPr>
                <w:color w:val="000000"/>
              </w:rPr>
              <w:t xml:space="preserve">kční </w:t>
            </w:r>
            <w:r w:rsidR="00F87E46" w:rsidRPr="009B1A37">
              <w:rPr>
                <w:color w:val="000000"/>
              </w:rPr>
              <w:t>blok</w:t>
            </w:r>
            <w:r w:rsidRPr="009B1A37">
              <w:rPr>
                <w:color w:val="000000"/>
              </w:rPr>
              <w:t> 2</w:t>
            </w:r>
          </w:p>
          <w:p w14:paraId="25ECFB4B" w14:textId="77777777" w:rsidR="00067F74" w:rsidRPr="009B1A37" w:rsidRDefault="00067F74" w:rsidP="00BE3D48">
            <w:pPr>
              <w:pStyle w:val="EndnoteText"/>
              <w:widowControl w:val="0"/>
              <w:rPr>
                <w:color w:val="000000"/>
              </w:rPr>
            </w:pPr>
            <w:r w:rsidRPr="009B1A37">
              <w:rPr>
                <w:color w:val="000000"/>
              </w:rPr>
              <w:t>(3 </w:t>
            </w:r>
            <w:r w:rsidR="0025447E" w:rsidRPr="009B1A37">
              <w:rPr>
                <w:color w:val="000000"/>
              </w:rPr>
              <w:t>týdny</w:t>
            </w:r>
            <w:r w:rsidRPr="009B1A37">
              <w:rPr>
                <w:color w:val="000000"/>
              </w:rPr>
              <w:t>)</w:t>
            </w:r>
          </w:p>
        </w:tc>
        <w:tc>
          <w:tcPr>
            <w:tcW w:w="6929" w:type="dxa"/>
            <w:shd w:val="clear" w:color="auto" w:fill="auto"/>
          </w:tcPr>
          <w:p w14:paraId="0F713ED2" w14:textId="77777777" w:rsidR="00067F74" w:rsidRPr="009B1A37" w:rsidRDefault="00067F74" w:rsidP="00BE3D48">
            <w:pPr>
              <w:pStyle w:val="EndnoteText"/>
              <w:widowControl w:val="0"/>
              <w:rPr>
                <w:color w:val="000000"/>
              </w:rPr>
            </w:pPr>
            <w:r w:rsidRPr="009B1A37">
              <w:rPr>
                <w:color w:val="000000"/>
              </w:rPr>
              <w:t>VCR (1</w:t>
            </w:r>
            <w:r w:rsidR="00DB3D76" w:rsidRPr="009B1A37">
              <w:rPr>
                <w:color w:val="000000"/>
              </w:rPr>
              <w:t>,</w:t>
            </w:r>
            <w:r w:rsidRPr="009B1A37">
              <w:rPr>
                <w:color w:val="000000"/>
              </w:rPr>
              <w:t>5 mg/m</w:t>
            </w:r>
            <w:r w:rsidRPr="009B1A37">
              <w:rPr>
                <w:color w:val="000000"/>
                <w:vertAlign w:val="superscript"/>
              </w:rPr>
              <w:t>2</w:t>
            </w:r>
            <w:r w:rsidRPr="009B1A37">
              <w:rPr>
                <w:color w:val="000000"/>
              </w:rPr>
              <w:t>/d</w:t>
            </w:r>
            <w:r w:rsidR="000E02D4" w:rsidRPr="009B1A37">
              <w:rPr>
                <w:color w:val="000000"/>
              </w:rPr>
              <w:t>en</w:t>
            </w:r>
            <w:r w:rsidRPr="009B1A37">
              <w:rPr>
                <w:color w:val="000000"/>
              </w:rPr>
              <w:t xml:space="preserve">, </w:t>
            </w:r>
            <w:r w:rsidR="00BA17E5" w:rsidRPr="009B1A37">
              <w:rPr>
                <w:color w:val="000000"/>
              </w:rPr>
              <w:t>i.v.</w:t>
            </w:r>
            <w:r w:rsidRPr="009B1A37">
              <w:rPr>
                <w:color w:val="000000"/>
              </w:rPr>
              <w:t>): d</w:t>
            </w:r>
            <w:r w:rsidR="00DB3D76" w:rsidRPr="009B1A37">
              <w:rPr>
                <w:color w:val="000000"/>
              </w:rPr>
              <w:t>ny</w:t>
            </w:r>
            <w:r w:rsidR="008736D2" w:rsidRPr="009B1A37">
              <w:rPr>
                <w:color w:val="000000"/>
              </w:rPr>
              <w:t> </w:t>
            </w:r>
            <w:r w:rsidRPr="009B1A37">
              <w:rPr>
                <w:color w:val="000000"/>
              </w:rPr>
              <w:t>1, 8 a 15</w:t>
            </w:r>
          </w:p>
          <w:p w14:paraId="0683B836" w14:textId="77777777" w:rsidR="00067F74" w:rsidRPr="009B1A37" w:rsidRDefault="00067F74" w:rsidP="00BE3D48">
            <w:pPr>
              <w:pStyle w:val="EndnoteText"/>
              <w:widowControl w:val="0"/>
              <w:rPr>
                <w:color w:val="000000"/>
              </w:rPr>
            </w:pPr>
            <w:r w:rsidRPr="009B1A37">
              <w:rPr>
                <w:color w:val="000000"/>
              </w:rPr>
              <w:t>DAUN (45 mg/m</w:t>
            </w:r>
            <w:r w:rsidRPr="009B1A37">
              <w:rPr>
                <w:color w:val="000000"/>
                <w:vertAlign w:val="superscript"/>
              </w:rPr>
              <w:t>2</w:t>
            </w:r>
            <w:r w:rsidRPr="009B1A37">
              <w:rPr>
                <w:color w:val="000000"/>
              </w:rPr>
              <w:t>/</w:t>
            </w:r>
            <w:r w:rsidR="000E02D4" w:rsidRPr="009B1A37">
              <w:rPr>
                <w:color w:val="000000"/>
              </w:rPr>
              <w:t>den</w:t>
            </w:r>
            <w:r w:rsidRPr="009B1A37">
              <w:rPr>
                <w:color w:val="000000"/>
              </w:rPr>
              <w:t xml:space="preserve"> </w:t>
            </w:r>
            <w:r w:rsidR="00B03F79" w:rsidRPr="009B1A37">
              <w:rPr>
                <w:color w:val="000000"/>
              </w:rPr>
              <w:t>jako bolus</w:t>
            </w:r>
            <w:r w:rsidRPr="009B1A37">
              <w:rPr>
                <w:color w:val="000000"/>
              </w:rPr>
              <w:t xml:space="preserve">, </w:t>
            </w:r>
            <w:r w:rsidR="00BA17E5" w:rsidRPr="009B1A37">
              <w:rPr>
                <w:color w:val="000000"/>
              </w:rPr>
              <w:t>i.v.</w:t>
            </w:r>
            <w:r w:rsidRPr="009B1A37">
              <w:rPr>
                <w:color w:val="000000"/>
              </w:rPr>
              <w:t>): d</w:t>
            </w:r>
            <w:r w:rsidR="00DB3D76" w:rsidRPr="009B1A37">
              <w:rPr>
                <w:color w:val="000000"/>
              </w:rPr>
              <w:t>ny</w:t>
            </w:r>
            <w:r w:rsidRPr="009B1A37">
              <w:rPr>
                <w:color w:val="000000"/>
              </w:rPr>
              <w:t> 1 a 2</w:t>
            </w:r>
          </w:p>
          <w:p w14:paraId="063EB2C2" w14:textId="77777777" w:rsidR="00067F74" w:rsidRPr="009B1A37" w:rsidRDefault="00067F74" w:rsidP="00BE3D48">
            <w:pPr>
              <w:pStyle w:val="EndnoteText"/>
              <w:widowControl w:val="0"/>
              <w:rPr>
                <w:color w:val="000000"/>
              </w:rPr>
            </w:pPr>
            <w:r w:rsidRPr="009B1A37">
              <w:rPr>
                <w:color w:val="000000"/>
              </w:rPr>
              <w:t>CPM (250 mg/m</w:t>
            </w:r>
            <w:r w:rsidRPr="009B1A37">
              <w:rPr>
                <w:color w:val="000000"/>
                <w:vertAlign w:val="superscript"/>
              </w:rPr>
              <w:t>2</w:t>
            </w:r>
            <w:r w:rsidRPr="009B1A37">
              <w:rPr>
                <w:color w:val="000000"/>
              </w:rPr>
              <w:t>/</w:t>
            </w:r>
            <w:r w:rsidR="000E02D4" w:rsidRPr="009B1A37">
              <w:rPr>
                <w:color w:val="000000"/>
              </w:rPr>
              <w:t>dávku</w:t>
            </w:r>
            <w:r w:rsidRPr="009B1A37">
              <w:rPr>
                <w:color w:val="000000"/>
              </w:rPr>
              <w:t xml:space="preserve"> q12h x 4 </w:t>
            </w:r>
            <w:r w:rsidR="00DB3D76" w:rsidRPr="009B1A37">
              <w:rPr>
                <w:color w:val="000000"/>
              </w:rPr>
              <w:t>dávky</w:t>
            </w:r>
            <w:r w:rsidRPr="009B1A37">
              <w:rPr>
                <w:color w:val="000000"/>
              </w:rPr>
              <w:t>, i</w:t>
            </w:r>
            <w:r w:rsidR="00BA17E5" w:rsidRPr="009B1A37">
              <w:rPr>
                <w:color w:val="000000"/>
              </w:rPr>
              <w:t>.</w:t>
            </w:r>
            <w:r w:rsidRPr="009B1A37">
              <w:rPr>
                <w:color w:val="000000"/>
              </w:rPr>
              <w:t>v</w:t>
            </w:r>
            <w:r w:rsidR="00BA17E5" w:rsidRPr="009B1A37">
              <w:rPr>
                <w:color w:val="000000"/>
              </w:rPr>
              <w:t>.</w:t>
            </w:r>
            <w:r w:rsidRPr="009B1A37">
              <w:rPr>
                <w:color w:val="000000"/>
              </w:rPr>
              <w:t xml:space="preserve">): </w:t>
            </w:r>
            <w:r w:rsidR="00DB3D76" w:rsidRPr="009B1A37">
              <w:rPr>
                <w:color w:val="000000"/>
              </w:rPr>
              <w:t>dny</w:t>
            </w:r>
            <w:r w:rsidR="008736D2" w:rsidRPr="009B1A37">
              <w:rPr>
                <w:color w:val="000000"/>
              </w:rPr>
              <w:t> </w:t>
            </w:r>
            <w:r w:rsidRPr="009B1A37">
              <w:rPr>
                <w:color w:val="000000"/>
              </w:rPr>
              <w:t>3 a 4</w:t>
            </w:r>
          </w:p>
          <w:p w14:paraId="2E5C665D" w14:textId="77777777" w:rsidR="00067F74" w:rsidRPr="009B1A37" w:rsidRDefault="00067F74" w:rsidP="00BE3D48">
            <w:pPr>
              <w:pStyle w:val="EndnoteText"/>
              <w:widowControl w:val="0"/>
              <w:rPr>
                <w:color w:val="000000"/>
              </w:rPr>
            </w:pPr>
            <w:r w:rsidRPr="009B1A37">
              <w:rPr>
                <w:color w:val="000000"/>
              </w:rPr>
              <w:t>PEG-ASP (2500 IU/m</w:t>
            </w:r>
            <w:r w:rsidRPr="009B1A37">
              <w:rPr>
                <w:color w:val="000000"/>
                <w:vertAlign w:val="superscript"/>
              </w:rPr>
              <w:t>2</w:t>
            </w:r>
            <w:r w:rsidRPr="009B1A37">
              <w:rPr>
                <w:color w:val="000000"/>
              </w:rPr>
              <w:t xml:space="preserve">, </w:t>
            </w:r>
            <w:r w:rsidR="00BA17E5" w:rsidRPr="009B1A37">
              <w:rPr>
                <w:color w:val="000000"/>
              </w:rPr>
              <w:t>i.m.</w:t>
            </w:r>
            <w:r w:rsidRPr="009B1A37">
              <w:rPr>
                <w:color w:val="000000"/>
              </w:rPr>
              <w:t>): d</w:t>
            </w:r>
            <w:r w:rsidR="00DB3D76" w:rsidRPr="009B1A37">
              <w:rPr>
                <w:color w:val="000000"/>
              </w:rPr>
              <w:t>en</w:t>
            </w:r>
            <w:r w:rsidR="008736D2" w:rsidRPr="009B1A37">
              <w:rPr>
                <w:color w:val="000000"/>
              </w:rPr>
              <w:t> </w:t>
            </w:r>
            <w:r w:rsidRPr="009B1A37">
              <w:rPr>
                <w:color w:val="000000"/>
              </w:rPr>
              <w:t>4</w:t>
            </w:r>
          </w:p>
          <w:p w14:paraId="29CFC5DE" w14:textId="77777777" w:rsidR="00067F74" w:rsidRPr="009B1A37" w:rsidRDefault="00067F74" w:rsidP="00BE3D48">
            <w:pPr>
              <w:pStyle w:val="EndnoteText"/>
              <w:widowControl w:val="0"/>
              <w:rPr>
                <w:color w:val="000000"/>
              </w:rPr>
            </w:pPr>
            <w:r w:rsidRPr="009B1A37">
              <w:rPr>
                <w:color w:val="000000"/>
              </w:rPr>
              <w:t xml:space="preserve">G-CSF (5 μg/kg, </w:t>
            </w:r>
            <w:r w:rsidR="00BA17E5" w:rsidRPr="009B1A37">
              <w:rPr>
                <w:color w:val="000000"/>
              </w:rPr>
              <w:t>s.c.</w:t>
            </w:r>
            <w:r w:rsidRPr="009B1A37">
              <w:rPr>
                <w:color w:val="000000"/>
              </w:rPr>
              <w:t>): d</w:t>
            </w:r>
            <w:r w:rsidR="0009628F" w:rsidRPr="009B1A37">
              <w:rPr>
                <w:color w:val="000000"/>
              </w:rPr>
              <w:t>ny</w:t>
            </w:r>
            <w:r w:rsidRPr="009B1A37">
              <w:rPr>
                <w:color w:val="000000"/>
              </w:rPr>
              <w:t xml:space="preserve"> 5-14 </w:t>
            </w:r>
            <w:r w:rsidR="0009628F" w:rsidRPr="009B1A37">
              <w:rPr>
                <w:color w:val="000000"/>
              </w:rPr>
              <w:t>nebo do</w:t>
            </w:r>
            <w:r w:rsidRPr="009B1A37">
              <w:rPr>
                <w:color w:val="000000"/>
              </w:rPr>
              <w:t xml:space="preserve"> ANC &gt; 1500 </w:t>
            </w:r>
            <w:r w:rsidR="00B03F79" w:rsidRPr="009B1A37">
              <w:rPr>
                <w:color w:val="000000"/>
              </w:rPr>
              <w:t>po dosažení nejnižší hodnoty</w:t>
            </w:r>
          </w:p>
          <w:p w14:paraId="22E6A573" w14:textId="77777777" w:rsidR="00067F74" w:rsidRPr="009B1A37" w:rsidRDefault="00E80F10" w:rsidP="00BE3D48">
            <w:pPr>
              <w:pStyle w:val="EndnoteText"/>
              <w:widowControl w:val="0"/>
              <w:rPr>
                <w:color w:val="000000"/>
              </w:rPr>
            </w:pPr>
            <w:r w:rsidRPr="009B1A37">
              <w:rPr>
                <w:color w:val="000000"/>
              </w:rPr>
              <w:t>Trojnásobná</w:t>
            </w:r>
            <w:r w:rsidR="00067F74" w:rsidRPr="009B1A37">
              <w:rPr>
                <w:color w:val="000000"/>
              </w:rPr>
              <w:t xml:space="preserve"> </w:t>
            </w:r>
            <w:r w:rsidR="00BA17E5" w:rsidRPr="009B1A37">
              <w:rPr>
                <w:color w:val="000000"/>
              </w:rPr>
              <w:t>i.t.</w:t>
            </w:r>
            <w:r w:rsidR="00067F74" w:rsidRPr="009B1A37">
              <w:rPr>
                <w:color w:val="000000"/>
              </w:rPr>
              <w:t xml:space="preserve"> </w:t>
            </w:r>
            <w:r w:rsidRPr="009B1A37">
              <w:rPr>
                <w:color w:val="000000"/>
              </w:rPr>
              <w:t>léčba</w:t>
            </w:r>
            <w:r w:rsidR="00067F74" w:rsidRPr="009B1A37">
              <w:rPr>
                <w:color w:val="000000"/>
              </w:rPr>
              <w:t xml:space="preserve"> (</w:t>
            </w:r>
            <w:r w:rsidR="00DB3D76" w:rsidRPr="009B1A37">
              <w:rPr>
                <w:color w:val="000000"/>
              </w:rPr>
              <w:t>přizpůsobená věku</w:t>
            </w:r>
            <w:r w:rsidR="00067F74" w:rsidRPr="009B1A37">
              <w:rPr>
                <w:color w:val="000000"/>
              </w:rPr>
              <w:t>): d</w:t>
            </w:r>
            <w:r w:rsidR="00DB3D76" w:rsidRPr="009B1A37">
              <w:rPr>
                <w:color w:val="000000"/>
              </w:rPr>
              <w:t>ny</w:t>
            </w:r>
            <w:r w:rsidR="00067F74" w:rsidRPr="009B1A37">
              <w:rPr>
                <w:color w:val="000000"/>
              </w:rPr>
              <w:t> 1 a 15</w:t>
            </w:r>
          </w:p>
          <w:p w14:paraId="0565F16A" w14:textId="77777777" w:rsidR="00067F74" w:rsidRPr="009B1A37" w:rsidRDefault="00067F74" w:rsidP="00BE3D48">
            <w:pPr>
              <w:pStyle w:val="EndnoteText"/>
              <w:widowControl w:val="0"/>
              <w:rPr>
                <w:color w:val="000000"/>
              </w:rPr>
            </w:pPr>
            <w:r w:rsidRPr="009B1A37">
              <w:rPr>
                <w:color w:val="000000"/>
              </w:rPr>
              <w:t>DEX (6 mg/m</w:t>
            </w:r>
            <w:r w:rsidRPr="009B1A37">
              <w:rPr>
                <w:color w:val="000000"/>
                <w:vertAlign w:val="superscript"/>
              </w:rPr>
              <w:t>2</w:t>
            </w:r>
            <w:r w:rsidRPr="009B1A37">
              <w:rPr>
                <w:color w:val="000000"/>
              </w:rPr>
              <w:t>/d</w:t>
            </w:r>
            <w:r w:rsidR="00DB3D76" w:rsidRPr="009B1A37">
              <w:rPr>
                <w:color w:val="000000"/>
              </w:rPr>
              <w:t>en</w:t>
            </w:r>
            <w:r w:rsidRPr="009B1A37">
              <w:rPr>
                <w:color w:val="000000"/>
              </w:rPr>
              <w:t xml:space="preserve">, </w:t>
            </w:r>
            <w:r w:rsidR="00BA17E5" w:rsidRPr="009B1A37">
              <w:rPr>
                <w:color w:val="000000"/>
              </w:rPr>
              <w:t>p.o.</w:t>
            </w:r>
            <w:r w:rsidRPr="009B1A37">
              <w:rPr>
                <w:color w:val="000000"/>
              </w:rPr>
              <w:t>): d</w:t>
            </w:r>
            <w:r w:rsidR="00DB3D76" w:rsidRPr="009B1A37">
              <w:rPr>
                <w:color w:val="000000"/>
              </w:rPr>
              <w:t>ny</w:t>
            </w:r>
            <w:r w:rsidR="008736D2" w:rsidRPr="009B1A37">
              <w:rPr>
                <w:color w:val="000000"/>
              </w:rPr>
              <w:t> </w:t>
            </w:r>
            <w:r w:rsidRPr="009B1A37">
              <w:rPr>
                <w:color w:val="000000"/>
              </w:rPr>
              <w:t>1</w:t>
            </w:r>
            <w:r w:rsidRPr="009B1A37">
              <w:rPr>
                <w:color w:val="000000"/>
              </w:rPr>
              <w:noBreakHyphen/>
              <w:t>7 a 15</w:t>
            </w:r>
            <w:r w:rsidRPr="009B1A37">
              <w:rPr>
                <w:color w:val="000000"/>
              </w:rPr>
              <w:noBreakHyphen/>
              <w:t>21</w:t>
            </w:r>
          </w:p>
        </w:tc>
      </w:tr>
      <w:tr w:rsidR="00067F74" w:rsidRPr="009B1A37" w14:paraId="3195CCEA" w14:textId="77777777" w:rsidTr="00F75C2F">
        <w:trPr>
          <w:cantSplit/>
        </w:trPr>
        <w:tc>
          <w:tcPr>
            <w:tcW w:w="2358" w:type="dxa"/>
            <w:shd w:val="clear" w:color="auto" w:fill="auto"/>
          </w:tcPr>
          <w:p w14:paraId="03DD55E0" w14:textId="77777777" w:rsidR="00067F74" w:rsidRPr="009B1A37" w:rsidRDefault="00067F74" w:rsidP="00BE3D48">
            <w:pPr>
              <w:pStyle w:val="EndnoteText"/>
              <w:widowControl w:val="0"/>
              <w:rPr>
                <w:color w:val="000000"/>
              </w:rPr>
            </w:pPr>
            <w:r w:rsidRPr="009B1A37">
              <w:rPr>
                <w:color w:val="000000"/>
              </w:rPr>
              <w:t>Inten</w:t>
            </w:r>
            <w:r w:rsidR="000E02D4" w:rsidRPr="009B1A37">
              <w:rPr>
                <w:color w:val="000000"/>
              </w:rPr>
              <w:t>zifikační</w:t>
            </w:r>
            <w:r w:rsidRPr="009B1A37">
              <w:rPr>
                <w:color w:val="000000"/>
              </w:rPr>
              <w:t xml:space="preserve"> </w:t>
            </w:r>
            <w:r w:rsidR="00F87E46" w:rsidRPr="009B1A37">
              <w:rPr>
                <w:color w:val="000000"/>
              </w:rPr>
              <w:t>blok</w:t>
            </w:r>
            <w:r w:rsidRPr="009B1A37">
              <w:rPr>
                <w:color w:val="000000"/>
              </w:rPr>
              <w:t> 2</w:t>
            </w:r>
          </w:p>
          <w:p w14:paraId="5D34234D" w14:textId="77777777" w:rsidR="00067F74" w:rsidRPr="009B1A37" w:rsidRDefault="00067F74" w:rsidP="00BE3D48">
            <w:pPr>
              <w:pStyle w:val="EndnoteText"/>
              <w:widowControl w:val="0"/>
              <w:rPr>
                <w:color w:val="000000"/>
              </w:rPr>
            </w:pPr>
            <w:r w:rsidRPr="009B1A37">
              <w:rPr>
                <w:color w:val="000000"/>
              </w:rPr>
              <w:t>(9 </w:t>
            </w:r>
            <w:r w:rsidR="0025447E" w:rsidRPr="009B1A37">
              <w:rPr>
                <w:color w:val="000000"/>
              </w:rPr>
              <w:t>týdn</w:t>
            </w:r>
            <w:r w:rsidR="000E02D4" w:rsidRPr="009B1A37">
              <w:rPr>
                <w:color w:val="000000"/>
              </w:rPr>
              <w:t>ů</w:t>
            </w:r>
            <w:r w:rsidRPr="009B1A37">
              <w:rPr>
                <w:color w:val="000000"/>
              </w:rPr>
              <w:t>)</w:t>
            </w:r>
          </w:p>
        </w:tc>
        <w:tc>
          <w:tcPr>
            <w:tcW w:w="6929" w:type="dxa"/>
            <w:shd w:val="clear" w:color="auto" w:fill="auto"/>
          </w:tcPr>
          <w:p w14:paraId="343B3244" w14:textId="77777777" w:rsidR="00067F74" w:rsidRPr="009B1A37" w:rsidRDefault="00BA17E5" w:rsidP="00BE3D48">
            <w:pPr>
              <w:pStyle w:val="EndnoteText"/>
              <w:widowControl w:val="0"/>
              <w:rPr>
                <w:color w:val="000000"/>
              </w:rPr>
            </w:pPr>
            <w:r w:rsidRPr="009B1A37">
              <w:rPr>
                <w:color w:val="000000"/>
              </w:rPr>
              <w:t>m</w:t>
            </w:r>
            <w:r w:rsidR="00067F74" w:rsidRPr="009B1A37">
              <w:rPr>
                <w:color w:val="000000"/>
              </w:rPr>
              <w:t>et</w:t>
            </w:r>
            <w:r w:rsidR="00E80F10" w:rsidRPr="009B1A37">
              <w:rPr>
                <w:color w:val="000000"/>
              </w:rPr>
              <w:t>h</w:t>
            </w:r>
            <w:r w:rsidR="00067F74" w:rsidRPr="009B1A37">
              <w:rPr>
                <w:color w:val="000000"/>
              </w:rPr>
              <w:t>otrex</w:t>
            </w:r>
            <w:r w:rsidR="000E02D4" w:rsidRPr="009B1A37">
              <w:rPr>
                <w:color w:val="000000"/>
              </w:rPr>
              <w:t>á</w:t>
            </w:r>
            <w:r w:rsidR="00067F74" w:rsidRPr="009B1A37">
              <w:rPr>
                <w:color w:val="000000"/>
              </w:rPr>
              <w:t>t (5 g/m</w:t>
            </w:r>
            <w:r w:rsidR="00067F74" w:rsidRPr="009B1A37">
              <w:rPr>
                <w:color w:val="000000"/>
                <w:vertAlign w:val="superscript"/>
              </w:rPr>
              <w:t>2</w:t>
            </w:r>
            <w:r w:rsidR="00067F74" w:rsidRPr="009B1A37">
              <w:rPr>
                <w:color w:val="000000"/>
              </w:rPr>
              <w:t xml:space="preserve"> </w:t>
            </w:r>
            <w:r w:rsidR="00A020C3" w:rsidRPr="009B1A37">
              <w:rPr>
                <w:color w:val="000000"/>
              </w:rPr>
              <w:t>v průběhu</w:t>
            </w:r>
            <w:r w:rsidR="00067F74" w:rsidRPr="009B1A37">
              <w:rPr>
                <w:color w:val="000000"/>
              </w:rPr>
              <w:t xml:space="preserve"> 24 ho</w:t>
            </w:r>
            <w:r w:rsidR="001C0629" w:rsidRPr="009B1A37">
              <w:rPr>
                <w:color w:val="000000"/>
              </w:rPr>
              <w:t>din</w:t>
            </w:r>
            <w:r w:rsidR="00067F74" w:rsidRPr="009B1A37">
              <w:rPr>
                <w:color w:val="000000"/>
              </w:rPr>
              <w:t xml:space="preserve">, </w:t>
            </w:r>
            <w:r w:rsidRPr="009B1A37">
              <w:rPr>
                <w:color w:val="000000"/>
              </w:rPr>
              <w:t>i.v.</w:t>
            </w:r>
            <w:r w:rsidR="00067F74" w:rsidRPr="009B1A37">
              <w:rPr>
                <w:color w:val="000000"/>
              </w:rPr>
              <w:t>): d</w:t>
            </w:r>
            <w:r w:rsidR="000E02D4" w:rsidRPr="009B1A37">
              <w:rPr>
                <w:color w:val="000000"/>
              </w:rPr>
              <w:t>ny</w:t>
            </w:r>
            <w:r w:rsidR="00067F74" w:rsidRPr="009B1A37">
              <w:rPr>
                <w:color w:val="000000"/>
              </w:rPr>
              <w:t> 1 a 15</w:t>
            </w:r>
          </w:p>
          <w:p w14:paraId="5E0426C1" w14:textId="77777777" w:rsidR="00067F74" w:rsidRPr="009B1A37" w:rsidRDefault="00BA17E5" w:rsidP="00BE3D48">
            <w:pPr>
              <w:pStyle w:val="EndnoteText"/>
              <w:widowControl w:val="0"/>
              <w:rPr>
                <w:color w:val="000000"/>
              </w:rPr>
            </w:pPr>
            <w:r w:rsidRPr="009B1A37">
              <w:rPr>
                <w:color w:val="000000"/>
              </w:rPr>
              <w:t>l</w:t>
            </w:r>
            <w:r w:rsidR="00067F74" w:rsidRPr="009B1A37">
              <w:rPr>
                <w:color w:val="000000"/>
              </w:rPr>
              <w:t>eu</w:t>
            </w:r>
            <w:r w:rsidR="00DB3D76" w:rsidRPr="009B1A37">
              <w:rPr>
                <w:color w:val="000000"/>
              </w:rPr>
              <w:t>k</w:t>
            </w:r>
            <w:r w:rsidR="00067F74" w:rsidRPr="009B1A37">
              <w:rPr>
                <w:color w:val="000000"/>
              </w:rPr>
              <w:t>ovorin (75 mg/m</w:t>
            </w:r>
            <w:r w:rsidR="00067F74" w:rsidRPr="009B1A37">
              <w:rPr>
                <w:color w:val="000000"/>
                <w:vertAlign w:val="superscript"/>
              </w:rPr>
              <w:t>2</w:t>
            </w:r>
            <w:r w:rsidR="00067F74" w:rsidRPr="009B1A37">
              <w:rPr>
                <w:color w:val="000000"/>
              </w:rPr>
              <w:t xml:space="preserve"> </w:t>
            </w:r>
            <w:r w:rsidR="00B03F79" w:rsidRPr="009B1A37">
              <w:rPr>
                <w:color w:val="000000"/>
              </w:rPr>
              <w:t>ve 36. hodině</w:t>
            </w:r>
            <w:r w:rsidR="00067F74" w:rsidRPr="009B1A37">
              <w:rPr>
                <w:color w:val="000000"/>
              </w:rPr>
              <w:t xml:space="preserve">, </w:t>
            </w:r>
            <w:r w:rsidRPr="009B1A37">
              <w:rPr>
                <w:color w:val="000000"/>
              </w:rPr>
              <w:t>i.v.</w:t>
            </w:r>
            <w:r w:rsidR="00067F74" w:rsidRPr="009B1A37">
              <w:rPr>
                <w:color w:val="000000"/>
              </w:rPr>
              <w:t>; 15 mg/m</w:t>
            </w:r>
            <w:r w:rsidR="00067F74" w:rsidRPr="009B1A37">
              <w:rPr>
                <w:color w:val="000000"/>
                <w:vertAlign w:val="superscript"/>
              </w:rPr>
              <w:t>2</w:t>
            </w:r>
            <w:r w:rsidR="00067F74" w:rsidRPr="009B1A37">
              <w:rPr>
                <w:color w:val="000000"/>
              </w:rPr>
              <w:t xml:space="preserve"> </w:t>
            </w:r>
            <w:r w:rsidRPr="009B1A37">
              <w:rPr>
                <w:color w:val="000000"/>
              </w:rPr>
              <w:t>i.v.</w:t>
            </w:r>
            <w:r w:rsidR="00067F74" w:rsidRPr="009B1A37">
              <w:rPr>
                <w:color w:val="000000"/>
              </w:rPr>
              <w:t xml:space="preserve"> </w:t>
            </w:r>
            <w:r w:rsidR="00DB3D76" w:rsidRPr="009B1A37">
              <w:rPr>
                <w:color w:val="000000"/>
              </w:rPr>
              <w:t xml:space="preserve">nebo </w:t>
            </w:r>
            <w:r w:rsidRPr="009B1A37">
              <w:rPr>
                <w:color w:val="000000"/>
              </w:rPr>
              <w:t>p.o.</w:t>
            </w:r>
            <w:r w:rsidR="00067F74" w:rsidRPr="009B1A37">
              <w:rPr>
                <w:color w:val="000000"/>
              </w:rPr>
              <w:t xml:space="preserve"> q6h x 6 d</w:t>
            </w:r>
            <w:r w:rsidR="006B4D21" w:rsidRPr="009B1A37">
              <w:rPr>
                <w:color w:val="000000"/>
              </w:rPr>
              <w:t>ávek</w:t>
            </w:r>
            <w:r w:rsidR="00067F74" w:rsidRPr="009B1A37">
              <w:rPr>
                <w:color w:val="000000"/>
              </w:rPr>
              <w:t>)iii: d</w:t>
            </w:r>
            <w:r w:rsidR="000E02D4" w:rsidRPr="009B1A37">
              <w:rPr>
                <w:color w:val="000000"/>
              </w:rPr>
              <w:t>ny</w:t>
            </w:r>
            <w:r w:rsidR="00067F74" w:rsidRPr="009B1A37">
              <w:rPr>
                <w:color w:val="000000"/>
              </w:rPr>
              <w:t> 2, 3, 16 a 17</w:t>
            </w:r>
          </w:p>
          <w:p w14:paraId="604FA1F6" w14:textId="77777777" w:rsidR="00067F74" w:rsidRPr="009B1A37" w:rsidRDefault="00067F74" w:rsidP="00BE3D48">
            <w:pPr>
              <w:pStyle w:val="EndnoteText"/>
              <w:widowControl w:val="0"/>
              <w:rPr>
                <w:color w:val="000000"/>
              </w:rPr>
            </w:pPr>
            <w:r w:rsidRPr="009B1A37">
              <w:rPr>
                <w:color w:val="000000"/>
              </w:rPr>
              <w:t>Tr</w:t>
            </w:r>
            <w:r w:rsidR="000E02D4" w:rsidRPr="009B1A37">
              <w:rPr>
                <w:color w:val="000000"/>
              </w:rPr>
              <w:t>ojnásobná</w:t>
            </w:r>
            <w:r w:rsidRPr="009B1A37">
              <w:rPr>
                <w:color w:val="000000"/>
              </w:rPr>
              <w:t xml:space="preserve"> </w:t>
            </w:r>
            <w:r w:rsidR="00BA17E5" w:rsidRPr="009B1A37">
              <w:rPr>
                <w:color w:val="000000"/>
              </w:rPr>
              <w:t>i.t.</w:t>
            </w:r>
            <w:r w:rsidRPr="009B1A37">
              <w:rPr>
                <w:color w:val="000000"/>
              </w:rPr>
              <w:t xml:space="preserve"> </w:t>
            </w:r>
            <w:r w:rsidR="000E02D4" w:rsidRPr="009B1A37">
              <w:rPr>
                <w:color w:val="000000"/>
              </w:rPr>
              <w:t>léčba</w:t>
            </w:r>
            <w:r w:rsidRPr="009B1A37">
              <w:rPr>
                <w:color w:val="000000"/>
              </w:rPr>
              <w:t xml:space="preserve"> (</w:t>
            </w:r>
            <w:r w:rsidR="001C0629" w:rsidRPr="009B1A37">
              <w:rPr>
                <w:color w:val="000000"/>
              </w:rPr>
              <w:t>přizpůsobená věku</w:t>
            </w:r>
            <w:r w:rsidRPr="009B1A37">
              <w:rPr>
                <w:color w:val="000000"/>
              </w:rPr>
              <w:t>): d</w:t>
            </w:r>
            <w:r w:rsidR="000E02D4" w:rsidRPr="009B1A37">
              <w:rPr>
                <w:color w:val="000000"/>
              </w:rPr>
              <w:t>ny</w:t>
            </w:r>
            <w:r w:rsidRPr="009B1A37">
              <w:rPr>
                <w:color w:val="000000"/>
              </w:rPr>
              <w:t> 1 a 22</w:t>
            </w:r>
          </w:p>
          <w:p w14:paraId="6A055120" w14:textId="77777777" w:rsidR="00067F74" w:rsidRPr="009B1A37" w:rsidRDefault="00067F74" w:rsidP="00BE3D48">
            <w:pPr>
              <w:pStyle w:val="EndnoteText"/>
              <w:widowControl w:val="0"/>
              <w:rPr>
                <w:color w:val="000000"/>
              </w:rPr>
            </w:pPr>
            <w:r w:rsidRPr="009B1A37">
              <w:rPr>
                <w:color w:val="000000"/>
              </w:rPr>
              <w:t>VP-16 (100 mg/m</w:t>
            </w:r>
            <w:r w:rsidRPr="009B1A37">
              <w:rPr>
                <w:color w:val="000000"/>
                <w:vertAlign w:val="superscript"/>
              </w:rPr>
              <w:t>2</w:t>
            </w:r>
            <w:r w:rsidRPr="009B1A37">
              <w:rPr>
                <w:color w:val="000000"/>
              </w:rPr>
              <w:t>/d</w:t>
            </w:r>
            <w:r w:rsidR="000E02D4" w:rsidRPr="009B1A37">
              <w:rPr>
                <w:color w:val="000000"/>
              </w:rPr>
              <w:t>en</w:t>
            </w:r>
            <w:r w:rsidRPr="009B1A37">
              <w:rPr>
                <w:color w:val="000000"/>
              </w:rPr>
              <w:t xml:space="preserve">, </w:t>
            </w:r>
            <w:r w:rsidR="00BA17E5" w:rsidRPr="009B1A37">
              <w:rPr>
                <w:color w:val="000000"/>
              </w:rPr>
              <w:t>i.v.</w:t>
            </w:r>
            <w:r w:rsidRPr="009B1A37">
              <w:rPr>
                <w:color w:val="000000"/>
              </w:rPr>
              <w:t>): d</w:t>
            </w:r>
            <w:r w:rsidR="000E02D4" w:rsidRPr="009B1A37">
              <w:rPr>
                <w:color w:val="000000"/>
              </w:rPr>
              <w:t>ny</w:t>
            </w:r>
            <w:r w:rsidRPr="009B1A37">
              <w:rPr>
                <w:color w:val="000000"/>
              </w:rPr>
              <w:t> 22</w:t>
            </w:r>
            <w:r w:rsidRPr="009B1A37">
              <w:rPr>
                <w:color w:val="000000"/>
              </w:rPr>
              <w:noBreakHyphen/>
              <w:t>26</w:t>
            </w:r>
          </w:p>
          <w:p w14:paraId="69063501" w14:textId="77777777" w:rsidR="00067F74" w:rsidRPr="009B1A37" w:rsidRDefault="00067F74" w:rsidP="00BE3D48">
            <w:pPr>
              <w:pStyle w:val="EndnoteText"/>
              <w:widowControl w:val="0"/>
              <w:rPr>
                <w:color w:val="000000"/>
              </w:rPr>
            </w:pPr>
            <w:r w:rsidRPr="009B1A37">
              <w:rPr>
                <w:color w:val="000000"/>
              </w:rPr>
              <w:t>CPM (300 mg/m</w:t>
            </w:r>
            <w:r w:rsidRPr="009B1A37">
              <w:rPr>
                <w:color w:val="000000"/>
                <w:vertAlign w:val="superscript"/>
              </w:rPr>
              <w:t>2</w:t>
            </w:r>
            <w:r w:rsidRPr="009B1A37">
              <w:rPr>
                <w:color w:val="000000"/>
              </w:rPr>
              <w:t>/d</w:t>
            </w:r>
            <w:r w:rsidR="000E02D4" w:rsidRPr="009B1A37">
              <w:rPr>
                <w:color w:val="000000"/>
              </w:rPr>
              <w:t>en</w:t>
            </w:r>
            <w:r w:rsidRPr="009B1A37">
              <w:rPr>
                <w:color w:val="000000"/>
              </w:rPr>
              <w:t xml:space="preserve">, </w:t>
            </w:r>
            <w:r w:rsidR="00BA17E5" w:rsidRPr="009B1A37">
              <w:rPr>
                <w:color w:val="000000"/>
              </w:rPr>
              <w:t>i.v.</w:t>
            </w:r>
            <w:r w:rsidRPr="009B1A37">
              <w:rPr>
                <w:color w:val="000000"/>
              </w:rPr>
              <w:t>): d</w:t>
            </w:r>
            <w:r w:rsidR="000E02D4" w:rsidRPr="009B1A37">
              <w:rPr>
                <w:color w:val="000000"/>
              </w:rPr>
              <w:t>ny</w:t>
            </w:r>
            <w:r w:rsidRPr="009B1A37">
              <w:rPr>
                <w:color w:val="000000"/>
              </w:rPr>
              <w:t> 22</w:t>
            </w:r>
            <w:r w:rsidRPr="009B1A37">
              <w:rPr>
                <w:color w:val="000000"/>
              </w:rPr>
              <w:noBreakHyphen/>
              <w:t>26</w:t>
            </w:r>
          </w:p>
          <w:p w14:paraId="2E2C5549" w14:textId="77777777" w:rsidR="00067F74" w:rsidRPr="009B1A37" w:rsidRDefault="00067F74" w:rsidP="00BE3D48">
            <w:pPr>
              <w:pStyle w:val="EndnoteText"/>
              <w:widowControl w:val="0"/>
              <w:rPr>
                <w:color w:val="000000"/>
              </w:rPr>
            </w:pPr>
            <w:r w:rsidRPr="009B1A37">
              <w:rPr>
                <w:color w:val="000000"/>
              </w:rPr>
              <w:t>MESNA (150 mg/m</w:t>
            </w:r>
            <w:r w:rsidRPr="009B1A37">
              <w:rPr>
                <w:color w:val="000000"/>
                <w:vertAlign w:val="superscript"/>
              </w:rPr>
              <w:t>2</w:t>
            </w:r>
            <w:r w:rsidRPr="009B1A37">
              <w:rPr>
                <w:color w:val="000000"/>
              </w:rPr>
              <w:t>/d</w:t>
            </w:r>
            <w:r w:rsidR="000E02D4" w:rsidRPr="009B1A37">
              <w:rPr>
                <w:color w:val="000000"/>
              </w:rPr>
              <w:t>en</w:t>
            </w:r>
            <w:r w:rsidRPr="009B1A37">
              <w:rPr>
                <w:color w:val="000000"/>
              </w:rPr>
              <w:t xml:space="preserve">, </w:t>
            </w:r>
            <w:r w:rsidR="00BA17E5" w:rsidRPr="009B1A37">
              <w:rPr>
                <w:color w:val="000000"/>
              </w:rPr>
              <w:t>i.v.</w:t>
            </w:r>
            <w:r w:rsidRPr="009B1A37">
              <w:rPr>
                <w:color w:val="000000"/>
              </w:rPr>
              <w:t xml:space="preserve">): </w:t>
            </w:r>
            <w:r w:rsidR="000E02D4" w:rsidRPr="009B1A37">
              <w:rPr>
                <w:color w:val="000000"/>
              </w:rPr>
              <w:t>dny</w:t>
            </w:r>
            <w:r w:rsidRPr="009B1A37">
              <w:rPr>
                <w:color w:val="000000"/>
              </w:rPr>
              <w:t> 22</w:t>
            </w:r>
            <w:r w:rsidRPr="009B1A37">
              <w:rPr>
                <w:color w:val="000000"/>
              </w:rPr>
              <w:noBreakHyphen/>
              <w:t>26</w:t>
            </w:r>
          </w:p>
          <w:p w14:paraId="75D096E6" w14:textId="77777777" w:rsidR="00067F74" w:rsidRPr="009B1A37" w:rsidRDefault="00067F74" w:rsidP="00BE3D48">
            <w:pPr>
              <w:pStyle w:val="EndnoteText"/>
              <w:widowControl w:val="0"/>
              <w:rPr>
                <w:color w:val="000000"/>
              </w:rPr>
            </w:pPr>
            <w:r w:rsidRPr="009B1A37">
              <w:rPr>
                <w:color w:val="000000"/>
              </w:rPr>
              <w:t xml:space="preserve">G-CSF (5 μg/kg, </w:t>
            </w:r>
            <w:r w:rsidR="00BA17E5" w:rsidRPr="009B1A37">
              <w:rPr>
                <w:color w:val="000000"/>
              </w:rPr>
              <w:t>s.c.</w:t>
            </w:r>
            <w:r w:rsidRPr="009B1A37">
              <w:rPr>
                <w:color w:val="000000"/>
              </w:rPr>
              <w:t>): d</w:t>
            </w:r>
            <w:r w:rsidR="000E02D4" w:rsidRPr="009B1A37">
              <w:rPr>
                <w:color w:val="000000"/>
              </w:rPr>
              <w:t>ny</w:t>
            </w:r>
            <w:r w:rsidRPr="009B1A37">
              <w:rPr>
                <w:color w:val="000000"/>
              </w:rPr>
              <w:t> 27</w:t>
            </w:r>
            <w:r w:rsidRPr="009B1A37">
              <w:rPr>
                <w:color w:val="000000"/>
              </w:rPr>
              <w:noBreakHyphen/>
              <w:t xml:space="preserve">36 </w:t>
            </w:r>
            <w:r w:rsidR="000E02D4" w:rsidRPr="009B1A37">
              <w:rPr>
                <w:color w:val="000000"/>
              </w:rPr>
              <w:t>nebo do</w:t>
            </w:r>
            <w:r w:rsidRPr="009B1A37">
              <w:rPr>
                <w:color w:val="000000"/>
              </w:rPr>
              <w:t xml:space="preserve"> ANC &gt; 1500 post nadir</w:t>
            </w:r>
          </w:p>
          <w:p w14:paraId="5E39FD66" w14:textId="77777777" w:rsidR="00067F74" w:rsidRPr="009B1A37" w:rsidRDefault="00067F74" w:rsidP="00BE3D48">
            <w:pPr>
              <w:pStyle w:val="EndnoteText"/>
              <w:widowControl w:val="0"/>
              <w:rPr>
                <w:color w:val="000000"/>
              </w:rPr>
            </w:pPr>
            <w:r w:rsidRPr="009B1A37">
              <w:rPr>
                <w:color w:val="000000"/>
              </w:rPr>
              <w:t>ARA-C (3 g/m</w:t>
            </w:r>
            <w:r w:rsidRPr="009B1A37">
              <w:rPr>
                <w:color w:val="000000"/>
                <w:vertAlign w:val="superscript"/>
              </w:rPr>
              <w:t>2</w:t>
            </w:r>
            <w:r w:rsidRPr="009B1A37">
              <w:rPr>
                <w:color w:val="000000"/>
              </w:rPr>
              <w:t xml:space="preserve">, q12h, </w:t>
            </w:r>
            <w:r w:rsidR="00DF6686" w:rsidRPr="009B1A37">
              <w:rPr>
                <w:color w:val="000000"/>
              </w:rPr>
              <w:t>i.v.</w:t>
            </w:r>
            <w:r w:rsidRPr="009B1A37">
              <w:rPr>
                <w:color w:val="000000"/>
              </w:rPr>
              <w:t>): d</w:t>
            </w:r>
            <w:r w:rsidR="000E02D4" w:rsidRPr="009B1A37">
              <w:rPr>
                <w:color w:val="000000"/>
              </w:rPr>
              <w:t>ny</w:t>
            </w:r>
            <w:r w:rsidRPr="009B1A37">
              <w:rPr>
                <w:color w:val="000000"/>
              </w:rPr>
              <w:t> 43, 44</w:t>
            </w:r>
          </w:p>
          <w:p w14:paraId="71BB1808" w14:textId="77777777" w:rsidR="00067F74" w:rsidRPr="009B1A37" w:rsidRDefault="00067F74" w:rsidP="00BE3D48">
            <w:pPr>
              <w:pStyle w:val="EndnoteText"/>
              <w:widowControl w:val="0"/>
              <w:rPr>
                <w:color w:val="000000"/>
              </w:rPr>
            </w:pPr>
            <w:r w:rsidRPr="009B1A37">
              <w:rPr>
                <w:color w:val="000000"/>
              </w:rPr>
              <w:t>L-ASP (6000 IU/m</w:t>
            </w:r>
            <w:r w:rsidRPr="009B1A37">
              <w:rPr>
                <w:color w:val="000000"/>
                <w:vertAlign w:val="superscript"/>
              </w:rPr>
              <w:t>2</w:t>
            </w:r>
            <w:r w:rsidRPr="009B1A37">
              <w:rPr>
                <w:color w:val="000000"/>
              </w:rPr>
              <w:t xml:space="preserve">, </w:t>
            </w:r>
            <w:r w:rsidR="00DF6686" w:rsidRPr="009B1A37">
              <w:rPr>
                <w:color w:val="000000"/>
              </w:rPr>
              <w:t>i.m.</w:t>
            </w:r>
            <w:r w:rsidRPr="009B1A37">
              <w:rPr>
                <w:color w:val="000000"/>
              </w:rPr>
              <w:t>): d</w:t>
            </w:r>
            <w:r w:rsidR="001C0629" w:rsidRPr="009B1A37">
              <w:rPr>
                <w:color w:val="000000"/>
              </w:rPr>
              <w:t>en</w:t>
            </w:r>
            <w:r w:rsidRPr="009B1A37">
              <w:rPr>
                <w:color w:val="000000"/>
              </w:rPr>
              <w:t> 44</w:t>
            </w:r>
          </w:p>
        </w:tc>
      </w:tr>
      <w:tr w:rsidR="00067F74" w:rsidRPr="009B1A37" w14:paraId="6EE4B8D2" w14:textId="77777777" w:rsidTr="00F75C2F">
        <w:trPr>
          <w:cantSplit/>
        </w:trPr>
        <w:tc>
          <w:tcPr>
            <w:tcW w:w="2358" w:type="dxa"/>
            <w:shd w:val="clear" w:color="auto" w:fill="auto"/>
          </w:tcPr>
          <w:p w14:paraId="5AE2F6F6" w14:textId="77777777" w:rsidR="00E80F10" w:rsidRPr="009B1A37" w:rsidRDefault="000E02D4" w:rsidP="00BE3D48">
            <w:pPr>
              <w:pStyle w:val="EndnoteText"/>
              <w:widowControl w:val="0"/>
              <w:rPr>
                <w:color w:val="000000"/>
              </w:rPr>
            </w:pPr>
            <w:r w:rsidRPr="009B1A37">
              <w:rPr>
                <w:color w:val="000000"/>
              </w:rPr>
              <w:t>Udržov</w:t>
            </w:r>
            <w:r w:rsidR="00E80F10" w:rsidRPr="009B1A37">
              <w:rPr>
                <w:color w:val="000000"/>
              </w:rPr>
              <w:t>ací terapie</w:t>
            </w:r>
          </w:p>
          <w:p w14:paraId="50291FEC" w14:textId="77777777" w:rsidR="00067F74" w:rsidRPr="009B1A37" w:rsidRDefault="00067F74" w:rsidP="00BE3D48">
            <w:pPr>
              <w:pStyle w:val="EndnoteText"/>
              <w:widowControl w:val="0"/>
              <w:rPr>
                <w:color w:val="000000"/>
              </w:rPr>
            </w:pPr>
            <w:r w:rsidRPr="009B1A37">
              <w:rPr>
                <w:color w:val="000000"/>
              </w:rPr>
              <w:t>(8týdenní cykly)</w:t>
            </w:r>
          </w:p>
          <w:p w14:paraId="54BA716E" w14:textId="77777777" w:rsidR="00067F74" w:rsidRPr="009B1A37" w:rsidRDefault="00067F74" w:rsidP="00BE3D48">
            <w:pPr>
              <w:pStyle w:val="EndnoteText"/>
              <w:widowControl w:val="0"/>
              <w:rPr>
                <w:color w:val="000000"/>
              </w:rPr>
            </w:pPr>
            <w:r w:rsidRPr="009B1A37">
              <w:rPr>
                <w:color w:val="000000"/>
              </w:rPr>
              <w:t>Cykly 1–4</w:t>
            </w:r>
          </w:p>
        </w:tc>
        <w:tc>
          <w:tcPr>
            <w:tcW w:w="6929" w:type="dxa"/>
            <w:shd w:val="clear" w:color="auto" w:fill="auto"/>
          </w:tcPr>
          <w:p w14:paraId="0F9E7ADB" w14:textId="77777777" w:rsidR="00067F74" w:rsidRPr="009B1A37" w:rsidRDefault="00067F74" w:rsidP="00BE3D48">
            <w:pPr>
              <w:pStyle w:val="EndnoteText"/>
              <w:widowControl w:val="0"/>
              <w:rPr>
                <w:color w:val="000000"/>
              </w:rPr>
            </w:pPr>
            <w:r w:rsidRPr="009B1A37">
              <w:rPr>
                <w:color w:val="000000"/>
              </w:rPr>
              <w:t>MTX (5 g/m</w:t>
            </w:r>
            <w:r w:rsidRPr="009B1A37">
              <w:rPr>
                <w:color w:val="000000"/>
                <w:vertAlign w:val="superscript"/>
              </w:rPr>
              <w:t>2</w:t>
            </w:r>
            <w:r w:rsidRPr="009B1A37">
              <w:rPr>
                <w:color w:val="000000"/>
              </w:rPr>
              <w:t xml:space="preserve"> </w:t>
            </w:r>
            <w:r w:rsidR="00A020C3" w:rsidRPr="009B1A37">
              <w:rPr>
                <w:color w:val="000000"/>
              </w:rPr>
              <w:t>v průběhu</w:t>
            </w:r>
            <w:r w:rsidRPr="009B1A37">
              <w:rPr>
                <w:color w:val="000000"/>
              </w:rPr>
              <w:t xml:space="preserve"> 24 </w:t>
            </w:r>
            <w:r w:rsidR="00CF3D59" w:rsidRPr="009B1A37">
              <w:rPr>
                <w:color w:val="000000"/>
              </w:rPr>
              <w:t>hodin</w:t>
            </w:r>
            <w:r w:rsidRPr="009B1A37">
              <w:rPr>
                <w:color w:val="000000"/>
              </w:rPr>
              <w:t xml:space="preserve">, </w:t>
            </w:r>
            <w:r w:rsidR="000B39C2" w:rsidRPr="009B1A37">
              <w:rPr>
                <w:color w:val="000000"/>
              </w:rPr>
              <w:t>i.v.</w:t>
            </w:r>
            <w:r w:rsidRPr="009B1A37">
              <w:rPr>
                <w:color w:val="000000"/>
              </w:rPr>
              <w:t>): d</w:t>
            </w:r>
            <w:r w:rsidR="00CF3D59" w:rsidRPr="009B1A37">
              <w:rPr>
                <w:color w:val="000000"/>
              </w:rPr>
              <w:t>en</w:t>
            </w:r>
            <w:r w:rsidRPr="009B1A37">
              <w:rPr>
                <w:color w:val="000000"/>
              </w:rPr>
              <w:t> 1</w:t>
            </w:r>
          </w:p>
          <w:p w14:paraId="4DDBDAA1" w14:textId="77777777" w:rsidR="00067F74" w:rsidRPr="009B1A37" w:rsidRDefault="000B39C2" w:rsidP="00BE3D48">
            <w:pPr>
              <w:pStyle w:val="EndnoteText"/>
              <w:widowControl w:val="0"/>
              <w:rPr>
                <w:color w:val="000000"/>
              </w:rPr>
            </w:pPr>
            <w:r w:rsidRPr="009B1A37">
              <w:rPr>
                <w:color w:val="000000"/>
              </w:rPr>
              <w:t>l</w:t>
            </w:r>
            <w:r w:rsidR="00CF3D59" w:rsidRPr="009B1A37">
              <w:rPr>
                <w:color w:val="000000"/>
              </w:rPr>
              <w:t>euk</w:t>
            </w:r>
            <w:r w:rsidR="00067F74" w:rsidRPr="009B1A37">
              <w:rPr>
                <w:color w:val="000000"/>
              </w:rPr>
              <w:t>ovorin (75 mg/m</w:t>
            </w:r>
            <w:r w:rsidR="00067F74" w:rsidRPr="009B1A37">
              <w:rPr>
                <w:color w:val="000000"/>
                <w:vertAlign w:val="superscript"/>
              </w:rPr>
              <w:t>2</w:t>
            </w:r>
            <w:r w:rsidR="00067F74" w:rsidRPr="009B1A37">
              <w:rPr>
                <w:color w:val="000000"/>
              </w:rPr>
              <w:t xml:space="preserve"> </w:t>
            </w:r>
            <w:r w:rsidR="00B03F79" w:rsidRPr="009B1A37">
              <w:rPr>
                <w:color w:val="000000"/>
              </w:rPr>
              <w:t>ve 36.</w:t>
            </w:r>
            <w:r w:rsidR="008736D2" w:rsidRPr="009B1A37">
              <w:rPr>
                <w:color w:val="000000"/>
              </w:rPr>
              <w:t> </w:t>
            </w:r>
            <w:r w:rsidR="00B03F79" w:rsidRPr="009B1A37">
              <w:rPr>
                <w:color w:val="000000"/>
              </w:rPr>
              <w:t>hodině</w:t>
            </w:r>
            <w:r w:rsidR="00067F74" w:rsidRPr="009B1A37">
              <w:rPr>
                <w:color w:val="000000"/>
              </w:rPr>
              <w:t xml:space="preserve">, </w:t>
            </w:r>
            <w:r w:rsidRPr="009B1A37">
              <w:rPr>
                <w:color w:val="000000"/>
              </w:rPr>
              <w:t>i.v.</w:t>
            </w:r>
            <w:r w:rsidR="00067F74" w:rsidRPr="009B1A37">
              <w:rPr>
                <w:color w:val="000000"/>
              </w:rPr>
              <w:t>; 15 mg/m</w:t>
            </w:r>
            <w:r w:rsidR="00067F74" w:rsidRPr="009B1A37">
              <w:rPr>
                <w:color w:val="000000"/>
                <w:vertAlign w:val="superscript"/>
              </w:rPr>
              <w:t>2</w:t>
            </w:r>
            <w:r w:rsidR="00067F74" w:rsidRPr="009B1A37">
              <w:rPr>
                <w:color w:val="000000"/>
              </w:rPr>
              <w:t xml:space="preserve"> </w:t>
            </w:r>
            <w:r w:rsidRPr="009B1A37">
              <w:rPr>
                <w:color w:val="000000"/>
              </w:rPr>
              <w:t>i.v.</w:t>
            </w:r>
            <w:r w:rsidR="00067F74" w:rsidRPr="009B1A37">
              <w:rPr>
                <w:color w:val="000000"/>
              </w:rPr>
              <w:t xml:space="preserve"> </w:t>
            </w:r>
            <w:r w:rsidR="000E02D4" w:rsidRPr="009B1A37">
              <w:rPr>
                <w:color w:val="000000"/>
              </w:rPr>
              <w:t xml:space="preserve">nebo </w:t>
            </w:r>
            <w:r w:rsidRPr="009B1A37">
              <w:rPr>
                <w:color w:val="000000"/>
              </w:rPr>
              <w:t>p.o.</w:t>
            </w:r>
            <w:r w:rsidR="00067F74" w:rsidRPr="009B1A37">
              <w:rPr>
                <w:color w:val="000000"/>
              </w:rPr>
              <w:t xml:space="preserve"> q6h x 6</w:t>
            </w:r>
            <w:r w:rsidR="008736D2" w:rsidRPr="009B1A37">
              <w:rPr>
                <w:color w:val="000000"/>
              </w:rPr>
              <w:t> </w:t>
            </w:r>
            <w:r w:rsidR="00067F74" w:rsidRPr="009B1A37">
              <w:rPr>
                <w:color w:val="000000"/>
              </w:rPr>
              <w:t>d</w:t>
            </w:r>
            <w:r w:rsidR="000E02D4" w:rsidRPr="009B1A37">
              <w:rPr>
                <w:color w:val="000000"/>
              </w:rPr>
              <w:t>ávek</w:t>
            </w:r>
            <w:r w:rsidR="00067F74" w:rsidRPr="009B1A37">
              <w:rPr>
                <w:color w:val="000000"/>
              </w:rPr>
              <w:t>)iii: d</w:t>
            </w:r>
            <w:r w:rsidR="000E02D4" w:rsidRPr="009B1A37">
              <w:rPr>
                <w:color w:val="000000"/>
              </w:rPr>
              <w:t>ny</w:t>
            </w:r>
            <w:r w:rsidR="00067F74" w:rsidRPr="009B1A37">
              <w:rPr>
                <w:color w:val="000000"/>
              </w:rPr>
              <w:t> 2 a 3</w:t>
            </w:r>
          </w:p>
          <w:p w14:paraId="065F3FBD" w14:textId="77777777" w:rsidR="00067F74" w:rsidRPr="009B1A37" w:rsidRDefault="000E02D4" w:rsidP="00BE3D48">
            <w:pPr>
              <w:pStyle w:val="EndnoteText"/>
              <w:widowControl w:val="0"/>
              <w:rPr>
                <w:color w:val="000000"/>
              </w:rPr>
            </w:pPr>
            <w:r w:rsidRPr="009B1A37">
              <w:rPr>
                <w:color w:val="000000"/>
              </w:rPr>
              <w:t>Tro</w:t>
            </w:r>
            <w:r w:rsidR="00E80F10" w:rsidRPr="009B1A37">
              <w:rPr>
                <w:color w:val="000000"/>
              </w:rPr>
              <w:t>j</w:t>
            </w:r>
            <w:r w:rsidRPr="009B1A37">
              <w:rPr>
                <w:color w:val="000000"/>
              </w:rPr>
              <w:t>násobná</w:t>
            </w:r>
            <w:r w:rsidR="00067F74" w:rsidRPr="009B1A37">
              <w:rPr>
                <w:color w:val="000000"/>
              </w:rPr>
              <w:t xml:space="preserve"> </w:t>
            </w:r>
            <w:r w:rsidR="000B39C2" w:rsidRPr="009B1A37">
              <w:rPr>
                <w:color w:val="000000"/>
              </w:rPr>
              <w:t>i.t.</w:t>
            </w:r>
            <w:r w:rsidR="00067F74" w:rsidRPr="009B1A37">
              <w:rPr>
                <w:color w:val="000000"/>
              </w:rPr>
              <w:t xml:space="preserve"> </w:t>
            </w:r>
            <w:r w:rsidRPr="009B1A37">
              <w:rPr>
                <w:color w:val="000000"/>
              </w:rPr>
              <w:t>léčba</w:t>
            </w:r>
            <w:r w:rsidR="00067F74" w:rsidRPr="009B1A37">
              <w:rPr>
                <w:color w:val="000000"/>
              </w:rPr>
              <w:t xml:space="preserve"> (</w:t>
            </w:r>
            <w:r w:rsidR="001C0629" w:rsidRPr="009B1A37">
              <w:rPr>
                <w:color w:val="000000"/>
              </w:rPr>
              <w:t>přizpůsobená věku</w:t>
            </w:r>
            <w:r w:rsidR="00067F74" w:rsidRPr="009B1A37">
              <w:rPr>
                <w:color w:val="000000"/>
              </w:rPr>
              <w:t>): d</w:t>
            </w:r>
            <w:r w:rsidR="001C0629" w:rsidRPr="009B1A37">
              <w:rPr>
                <w:color w:val="000000"/>
              </w:rPr>
              <w:t>ny</w:t>
            </w:r>
            <w:r w:rsidR="00067F74" w:rsidRPr="009B1A37">
              <w:rPr>
                <w:color w:val="000000"/>
              </w:rPr>
              <w:t> 1, 29</w:t>
            </w:r>
          </w:p>
          <w:p w14:paraId="0F1CE2B2" w14:textId="77777777" w:rsidR="00067F74" w:rsidRPr="009B1A37" w:rsidRDefault="00067F74" w:rsidP="00BE3D48">
            <w:pPr>
              <w:pStyle w:val="EndnoteText"/>
              <w:widowControl w:val="0"/>
              <w:rPr>
                <w:color w:val="000000"/>
              </w:rPr>
            </w:pPr>
            <w:r w:rsidRPr="009B1A37">
              <w:rPr>
                <w:color w:val="000000"/>
              </w:rPr>
              <w:t>VCR (1</w:t>
            </w:r>
            <w:r w:rsidR="000E02D4" w:rsidRPr="009B1A37">
              <w:rPr>
                <w:color w:val="000000"/>
              </w:rPr>
              <w:t>,</w:t>
            </w:r>
            <w:r w:rsidRPr="009B1A37">
              <w:rPr>
                <w:color w:val="000000"/>
              </w:rPr>
              <w:t>5 mg/m</w:t>
            </w:r>
            <w:r w:rsidRPr="009B1A37">
              <w:rPr>
                <w:color w:val="000000"/>
                <w:vertAlign w:val="superscript"/>
              </w:rPr>
              <w:t>2</w:t>
            </w:r>
            <w:r w:rsidRPr="009B1A37">
              <w:rPr>
                <w:color w:val="000000"/>
              </w:rPr>
              <w:t xml:space="preserve">, </w:t>
            </w:r>
            <w:r w:rsidR="000B39C2" w:rsidRPr="009B1A37">
              <w:rPr>
                <w:color w:val="000000"/>
              </w:rPr>
              <w:t>i.v.</w:t>
            </w:r>
            <w:r w:rsidRPr="009B1A37">
              <w:rPr>
                <w:color w:val="000000"/>
              </w:rPr>
              <w:t>): d</w:t>
            </w:r>
            <w:r w:rsidR="000E02D4" w:rsidRPr="009B1A37">
              <w:rPr>
                <w:color w:val="000000"/>
              </w:rPr>
              <w:t>ny</w:t>
            </w:r>
            <w:r w:rsidRPr="009B1A37">
              <w:rPr>
                <w:color w:val="000000"/>
              </w:rPr>
              <w:t> 1, 29</w:t>
            </w:r>
          </w:p>
          <w:p w14:paraId="62318082" w14:textId="77777777" w:rsidR="00067F74" w:rsidRPr="009B1A37" w:rsidRDefault="00067F74" w:rsidP="00BE3D48">
            <w:pPr>
              <w:pStyle w:val="EndnoteText"/>
              <w:widowControl w:val="0"/>
              <w:rPr>
                <w:color w:val="000000"/>
              </w:rPr>
            </w:pPr>
            <w:r w:rsidRPr="009B1A37">
              <w:rPr>
                <w:color w:val="000000"/>
              </w:rPr>
              <w:t>DEX (6 mg/m</w:t>
            </w:r>
            <w:r w:rsidRPr="009B1A37">
              <w:rPr>
                <w:color w:val="000000"/>
                <w:vertAlign w:val="superscript"/>
              </w:rPr>
              <w:t>2</w:t>
            </w:r>
            <w:r w:rsidRPr="009B1A37">
              <w:rPr>
                <w:color w:val="000000"/>
              </w:rPr>
              <w:t>/</w:t>
            </w:r>
            <w:r w:rsidR="000E02D4" w:rsidRPr="009B1A37">
              <w:rPr>
                <w:color w:val="000000"/>
              </w:rPr>
              <w:t>den</w:t>
            </w:r>
            <w:r w:rsidRPr="009B1A37">
              <w:rPr>
                <w:color w:val="000000"/>
              </w:rPr>
              <w:t xml:space="preserve"> </w:t>
            </w:r>
            <w:r w:rsidR="000B39C2" w:rsidRPr="009B1A37">
              <w:rPr>
                <w:color w:val="000000"/>
              </w:rPr>
              <w:t>p.o.</w:t>
            </w:r>
            <w:r w:rsidRPr="009B1A37">
              <w:rPr>
                <w:color w:val="000000"/>
              </w:rPr>
              <w:t>): d</w:t>
            </w:r>
            <w:r w:rsidR="000E02D4" w:rsidRPr="009B1A37">
              <w:rPr>
                <w:color w:val="000000"/>
              </w:rPr>
              <w:t>ny</w:t>
            </w:r>
            <w:r w:rsidRPr="009B1A37">
              <w:rPr>
                <w:color w:val="000000"/>
              </w:rPr>
              <w:t> 1</w:t>
            </w:r>
            <w:r w:rsidRPr="009B1A37">
              <w:rPr>
                <w:color w:val="000000"/>
              </w:rPr>
              <w:noBreakHyphen/>
              <w:t>5; 29</w:t>
            </w:r>
            <w:r w:rsidRPr="009B1A37">
              <w:rPr>
                <w:color w:val="000000"/>
              </w:rPr>
              <w:noBreakHyphen/>
              <w:t>33</w:t>
            </w:r>
          </w:p>
          <w:p w14:paraId="201BDDC2" w14:textId="77777777" w:rsidR="00067F74" w:rsidRPr="009B1A37" w:rsidRDefault="00067F74" w:rsidP="00BE3D48">
            <w:pPr>
              <w:pStyle w:val="EndnoteText"/>
              <w:widowControl w:val="0"/>
              <w:rPr>
                <w:color w:val="000000"/>
              </w:rPr>
            </w:pPr>
            <w:r w:rsidRPr="009B1A37">
              <w:rPr>
                <w:color w:val="000000"/>
              </w:rPr>
              <w:t>6-MP (75 mg/m</w:t>
            </w:r>
            <w:r w:rsidRPr="009B1A37">
              <w:rPr>
                <w:color w:val="000000"/>
                <w:vertAlign w:val="superscript"/>
              </w:rPr>
              <w:t>2</w:t>
            </w:r>
            <w:r w:rsidRPr="009B1A37">
              <w:rPr>
                <w:color w:val="000000"/>
              </w:rPr>
              <w:t>/d</w:t>
            </w:r>
            <w:r w:rsidR="000E02D4" w:rsidRPr="009B1A37">
              <w:rPr>
                <w:color w:val="000000"/>
              </w:rPr>
              <w:t>en</w:t>
            </w:r>
            <w:r w:rsidRPr="009B1A37">
              <w:rPr>
                <w:color w:val="000000"/>
              </w:rPr>
              <w:t xml:space="preserve">, </w:t>
            </w:r>
            <w:r w:rsidR="000B39C2" w:rsidRPr="009B1A37">
              <w:rPr>
                <w:color w:val="000000"/>
              </w:rPr>
              <w:t>p.o.</w:t>
            </w:r>
            <w:r w:rsidRPr="009B1A37">
              <w:rPr>
                <w:color w:val="000000"/>
              </w:rPr>
              <w:t>): d</w:t>
            </w:r>
            <w:r w:rsidR="000E02D4" w:rsidRPr="009B1A37">
              <w:rPr>
                <w:color w:val="000000"/>
              </w:rPr>
              <w:t>ny</w:t>
            </w:r>
            <w:r w:rsidRPr="009B1A37">
              <w:rPr>
                <w:color w:val="000000"/>
              </w:rPr>
              <w:t> 8-28</w:t>
            </w:r>
          </w:p>
          <w:p w14:paraId="68172FD8" w14:textId="77777777" w:rsidR="00067F74" w:rsidRPr="009B1A37" w:rsidRDefault="000B39C2" w:rsidP="00BE3D48">
            <w:pPr>
              <w:pStyle w:val="EndnoteText"/>
              <w:widowControl w:val="0"/>
              <w:rPr>
                <w:color w:val="000000"/>
              </w:rPr>
            </w:pPr>
            <w:r w:rsidRPr="009B1A37">
              <w:rPr>
                <w:color w:val="000000"/>
              </w:rPr>
              <w:t>m</w:t>
            </w:r>
            <w:r w:rsidR="00067F74" w:rsidRPr="009B1A37">
              <w:rPr>
                <w:color w:val="000000"/>
              </w:rPr>
              <w:t>et</w:t>
            </w:r>
            <w:r w:rsidR="00E80F10" w:rsidRPr="009B1A37">
              <w:rPr>
                <w:color w:val="000000"/>
              </w:rPr>
              <w:t>h</w:t>
            </w:r>
            <w:r w:rsidR="00067F74" w:rsidRPr="009B1A37">
              <w:rPr>
                <w:color w:val="000000"/>
              </w:rPr>
              <w:t>otrex</w:t>
            </w:r>
            <w:r w:rsidR="000E02D4" w:rsidRPr="009B1A37">
              <w:rPr>
                <w:color w:val="000000"/>
              </w:rPr>
              <w:t>á</w:t>
            </w:r>
            <w:r w:rsidR="00067F74" w:rsidRPr="009B1A37">
              <w:rPr>
                <w:color w:val="000000"/>
              </w:rPr>
              <w:t>t (20 mg/m</w:t>
            </w:r>
            <w:r w:rsidR="00067F74" w:rsidRPr="009B1A37">
              <w:rPr>
                <w:color w:val="000000"/>
                <w:vertAlign w:val="superscript"/>
              </w:rPr>
              <w:t>2</w:t>
            </w:r>
            <w:r w:rsidR="00067F74" w:rsidRPr="009B1A37">
              <w:rPr>
                <w:color w:val="000000"/>
              </w:rPr>
              <w:t>/</w:t>
            </w:r>
            <w:r w:rsidR="000E02D4" w:rsidRPr="009B1A37">
              <w:rPr>
                <w:color w:val="000000"/>
              </w:rPr>
              <w:t>týden</w:t>
            </w:r>
            <w:r w:rsidR="00067F74" w:rsidRPr="009B1A37">
              <w:rPr>
                <w:color w:val="000000"/>
              </w:rPr>
              <w:t xml:space="preserve">, </w:t>
            </w:r>
            <w:r w:rsidRPr="009B1A37">
              <w:rPr>
                <w:color w:val="000000"/>
              </w:rPr>
              <w:t>p.o.</w:t>
            </w:r>
            <w:r w:rsidR="00067F74" w:rsidRPr="009B1A37">
              <w:rPr>
                <w:color w:val="000000"/>
              </w:rPr>
              <w:t>): d</w:t>
            </w:r>
            <w:r w:rsidR="000E02D4" w:rsidRPr="009B1A37">
              <w:rPr>
                <w:color w:val="000000"/>
              </w:rPr>
              <w:t>ny</w:t>
            </w:r>
            <w:r w:rsidR="00067F74" w:rsidRPr="009B1A37">
              <w:rPr>
                <w:color w:val="000000"/>
              </w:rPr>
              <w:t> 8, 15, 22</w:t>
            </w:r>
          </w:p>
          <w:p w14:paraId="5C935F89" w14:textId="77777777" w:rsidR="00067F74" w:rsidRPr="009B1A37" w:rsidRDefault="00067F74" w:rsidP="00BE3D48">
            <w:pPr>
              <w:pStyle w:val="EndnoteText"/>
              <w:widowControl w:val="0"/>
              <w:rPr>
                <w:color w:val="000000"/>
              </w:rPr>
            </w:pPr>
            <w:r w:rsidRPr="009B1A37">
              <w:rPr>
                <w:color w:val="000000"/>
              </w:rPr>
              <w:t>VP-16 (100 mg/m</w:t>
            </w:r>
            <w:r w:rsidRPr="009B1A37">
              <w:rPr>
                <w:color w:val="000000"/>
                <w:vertAlign w:val="superscript"/>
              </w:rPr>
              <w:t>2</w:t>
            </w:r>
            <w:r w:rsidRPr="009B1A37">
              <w:rPr>
                <w:color w:val="000000"/>
              </w:rPr>
              <w:t xml:space="preserve">, </w:t>
            </w:r>
            <w:r w:rsidR="0098741C" w:rsidRPr="009B1A37">
              <w:rPr>
                <w:color w:val="000000"/>
              </w:rPr>
              <w:t>i.v.</w:t>
            </w:r>
            <w:r w:rsidRPr="009B1A37">
              <w:rPr>
                <w:color w:val="000000"/>
              </w:rPr>
              <w:t>): d</w:t>
            </w:r>
            <w:r w:rsidR="000E02D4" w:rsidRPr="009B1A37">
              <w:rPr>
                <w:color w:val="000000"/>
              </w:rPr>
              <w:t>ny</w:t>
            </w:r>
            <w:r w:rsidRPr="009B1A37">
              <w:rPr>
                <w:color w:val="000000"/>
              </w:rPr>
              <w:t> 29</w:t>
            </w:r>
            <w:r w:rsidRPr="009B1A37">
              <w:rPr>
                <w:color w:val="000000"/>
              </w:rPr>
              <w:noBreakHyphen/>
              <w:t>33</w:t>
            </w:r>
          </w:p>
          <w:p w14:paraId="1CC50475" w14:textId="77777777" w:rsidR="00067F74" w:rsidRPr="009B1A37" w:rsidRDefault="00067F74" w:rsidP="00BE3D48">
            <w:pPr>
              <w:pStyle w:val="EndnoteText"/>
              <w:widowControl w:val="0"/>
              <w:rPr>
                <w:color w:val="000000"/>
              </w:rPr>
            </w:pPr>
            <w:r w:rsidRPr="009B1A37">
              <w:rPr>
                <w:color w:val="000000"/>
              </w:rPr>
              <w:t>CPM (300 mg/m</w:t>
            </w:r>
            <w:r w:rsidRPr="009B1A37">
              <w:rPr>
                <w:color w:val="000000"/>
                <w:vertAlign w:val="superscript"/>
              </w:rPr>
              <w:t>2</w:t>
            </w:r>
            <w:r w:rsidRPr="009B1A37">
              <w:rPr>
                <w:color w:val="000000"/>
              </w:rPr>
              <w:t xml:space="preserve">, </w:t>
            </w:r>
            <w:r w:rsidR="0098741C" w:rsidRPr="009B1A37">
              <w:rPr>
                <w:color w:val="000000"/>
              </w:rPr>
              <w:t>i.v.</w:t>
            </w:r>
            <w:r w:rsidRPr="009B1A37">
              <w:rPr>
                <w:color w:val="000000"/>
              </w:rPr>
              <w:t>): d</w:t>
            </w:r>
            <w:r w:rsidR="000E02D4" w:rsidRPr="009B1A37">
              <w:rPr>
                <w:color w:val="000000"/>
              </w:rPr>
              <w:t>ny</w:t>
            </w:r>
            <w:r w:rsidRPr="009B1A37">
              <w:rPr>
                <w:color w:val="000000"/>
              </w:rPr>
              <w:t> 29</w:t>
            </w:r>
            <w:r w:rsidRPr="009B1A37">
              <w:rPr>
                <w:color w:val="000000"/>
              </w:rPr>
              <w:noBreakHyphen/>
              <w:t>33</w:t>
            </w:r>
          </w:p>
          <w:p w14:paraId="4D48AF61" w14:textId="77777777" w:rsidR="00067F74" w:rsidRPr="009B1A37" w:rsidRDefault="00067F74" w:rsidP="00BE3D48">
            <w:pPr>
              <w:pStyle w:val="EndnoteText"/>
              <w:widowControl w:val="0"/>
              <w:rPr>
                <w:color w:val="000000"/>
              </w:rPr>
            </w:pPr>
            <w:r w:rsidRPr="009B1A37">
              <w:rPr>
                <w:color w:val="000000"/>
              </w:rPr>
              <w:t>M</w:t>
            </w:r>
            <w:r w:rsidR="00F85A21" w:rsidRPr="009B1A37">
              <w:rPr>
                <w:color w:val="000000"/>
              </w:rPr>
              <w:t>ESNA</w:t>
            </w:r>
            <w:r w:rsidRPr="009B1A37">
              <w:rPr>
                <w:color w:val="000000"/>
              </w:rPr>
              <w:t xml:space="preserve"> </w:t>
            </w:r>
            <w:r w:rsidR="0098741C" w:rsidRPr="009B1A37">
              <w:rPr>
                <w:color w:val="000000"/>
              </w:rPr>
              <w:t>i.v.</w:t>
            </w:r>
            <w:r w:rsidRPr="009B1A37">
              <w:rPr>
                <w:color w:val="000000"/>
              </w:rPr>
              <w:t xml:space="preserve"> </w:t>
            </w:r>
            <w:r w:rsidR="00E05020" w:rsidRPr="009B1A37">
              <w:rPr>
                <w:color w:val="000000"/>
              </w:rPr>
              <w:t>dny</w:t>
            </w:r>
            <w:r w:rsidRPr="009B1A37">
              <w:rPr>
                <w:color w:val="000000"/>
              </w:rPr>
              <w:t> 29</w:t>
            </w:r>
            <w:r w:rsidRPr="009B1A37">
              <w:rPr>
                <w:color w:val="000000"/>
              </w:rPr>
              <w:noBreakHyphen/>
              <w:t>33</w:t>
            </w:r>
          </w:p>
          <w:p w14:paraId="787D02E3" w14:textId="77777777" w:rsidR="00067F74" w:rsidRPr="009B1A37" w:rsidRDefault="00067F74" w:rsidP="00BE3D48">
            <w:pPr>
              <w:pStyle w:val="EndnoteText"/>
              <w:widowControl w:val="0"/>
              <w:rPr>
                <w:color w:val="000000"/>
              </w:rPr>
            </w:pPr>
            <w:r w:rsidRPr="009B1A37">
              <w:rPr>
                <w:color w:val="000000"/>
              </w:rPr>
              <w:t xml:space="preserve">G-CSF (5 μg/kg, </w:t>
            </w:r>
            <w:r w:rsidR="00F87E46" w:rsidRPr="009B1A37">
              <w:rPr>
                <w:color w:val="000000"/>
              </w:rPr>
              <w:t>s.c.</w:t>
            </w:r>
            <w:r w:rsidRPr="009B1A37">
              <w:rPr>
                <w:color w:val="000000"/>
              </w:rPr>
              <w:t>): d</w:t>
            </w:r>
            <w:r w:rsidR="00E05020" w:rsidRPr="009B1A37">
              <w:rPr>
                <w:color w:val="000000"/>
              </w:rPr>
              <w:t>ny</w:t>
            </w:r>
            <w:r w:rsidRPr="009B1A37">
              <w:rPr>
                <w:color w:val="000000"/>
              </w:rPr>
              <w:t> 34</w:t>
            </w:r>
            <w:r w:rsidRPr="009B1A37">
              <w:rPr>
                <w:color w:val="000000"/>
              </w:rPr>
              <w:noBreakHyphen/>
              <w:t>43</w:t>
            </w:r>
          </w:p>
        </w:tc>
      </w:tr>
      <w:tr w:rsidR="00067F74" w:rsidRPr="009B1A37" w14:paraId="65218106" w14:textId="77777777" w:rsidTr="00F75C2F">
        <w:trPr>
          <w:cantSplit/>
        </w:trPr>
        <w:tc>
          <w:tcPr>
            <w:tcW w:w="2358" w:type="dxa"/>
            <w:shd w:val="clear" w:color="auto" w:fill="auto"/>
          </w:tcPr>
          <w:p w14:paraId="579341F4" w14:textId="77777777" w:rsidR="00067F74" w:rsidRPr="009B1A37" w:rsidRDefault="00CE680A" w:rsidP="00BE3D48">
            <w:pPr>
              <w:pStyle w:val="EndnoteText"/>
              <w:widowControl w:val="0"/>
              <w:rPr>
                <w:color w:val="000000"/>
              </w:rPr>
            </w:pPr>
            <w:r w:rsidRPr="009B1A37">
              <w:rPr>
                <w:color w:val="000000"/>
              </w:rPr>
              <w:t>Udržovací terapie</w:t>
            </w:r>
          </w:p>
          <w:p w14:paraId="47561C9C" w14:textId="77777777" w:rsidR="00067F74" w:rsidRPr="009B1A37" w:rsidRDefault="00067F74" w:rsidP="00BE3D48">
            <w:pPr>
              <w:pStyle w:val="EndnoteText"/>
              <w:widowControl w:val="0"/>
              <w:rPr>
                <w:color w:val="000000"/>
              </w:rPr>
            </w:pPr>
            <w:r w:rsidRPr="009B1A37">
              <w:rPr>
                <w:color w:val="000000"/>
              </w:rPr>
              <w:t>(8týdenní cykly)</w:t>
            </w:r>
          </w:p>
          <w:p w14:paraId="4D9466E3" w14:textId="77777777" w:rsidR="00067F74" w:rsidRPr="009B1A37" w:rsidRDefault="00067F74" w:rsidP="00BE3D48">
            <w:pPr>
              <w:pStyle w:val="EndnoteText"/>
              <w:widowControl w:val="0"/>
              <w:rPr>
                <w:color w:val="000000"/>
              </w:rPr>
            </w:pPr>
            <w:r w:rsidRPr="009B1A37">
              <w:rPr>
                <w:color w:val="000000"/>
              </w:rPr>
              <w:t>Cyklus 5</w:t>
            </w:r>
          </w:p>
        </w:tc>
        <w:tc>
          <w:tcPr>
            <w:tcW w:w="6929" w:type="dxa"/>
            <w:shd w:val="clear" w:color="auto" w:fill="auto"/>
          </w:tcPr>
          <w:p w14:paraId="513BE09D" w14:textId="77777777" w:rsidR="00067F74" w:rsidRPr="009B1A37" w:rsidRDefault="001C0629" w:rsidP="00BE3D48">
            <w:pPr>
              <w:pStyle w:val="EndnoteText"/>
              <w:widowControl w:val="0"/>
              <w:rPr>
                <w:color w:val="000000"/>
              </w:rPr>
            </w:pPr>
            <w:r w:rsidRPr="009B1A37">
              <w:rPr>
                <w:color w:val="000000"/>
              </w:rPr>
              <w:t>Ozařování krania</w:t>
            </w:r>
            <w:r w:rsidR="00067F74" w:rsidRPr="009B1A37">
              <w:rPr>
                <w:color w:val="000000"/>
              </w:rPr>
              <w:t xml:space="preserve"> (</w:t>
            </w:r>
            <w:r w:rsidRPr="009B1A37">
              <w:rPr>
                <w:color w:val="000000"/>
              </w:rPr>
              <w:t>p</w:t>
            </w:r>
            <w:r w:rsidR="00E05020" w:rsidRPr="009B1A37">
              <w:rPr>
                <w:color w:val="000000"/>
              </w:rPr>
              <w:t xml:space="preserve">ouze </w:t>
            </w:r>
            <w:r w:rsidR="00F87E46" w:rsidRPr="009B1A37">
              <w:rPr>
                <w:color w:val="000000"/>
              </w:rPr>
              <w:t>cyklus</w:t>
            </w:r>
            <w:r w:rsidR="00067F74" w:rsidRPr="009B1A37">
              <w:rPr>
                <w:color w:val="000000"/>
              </w:rPr>
              <w:t> 5)</w:t>
            </w:r>
          </w:p>
          <w:p w14:paraId="0124D230" w14:textId="77777777" w:rsidR="00067F74" w:rsidRPr="009B1A37" w:rsidRDefault="00067F74" w:rsidP="00BE3D48">
            <w:pPr>
              <w:pStyle w:val="EndnoteText"/>
              <w:widowControl w:val="0"/>
              <w:rPr>
                <w:color w:val="000000"/>
              </w:rPr>
            </w:pPr>
            <w:r w:rsidRPr="009B1A37">
              <w:rPr>
                <w:color w:val="000000"/>
              </w:rPr>
              <w:t xml:space="preserve">12 Gy </w:t>
            </w:r>
            <w:r w:rsidR="00E05020" w:rsidRPr="009B1A37">
              <w:rPr>
                <w:color w:val="000000"/>
              </w:rPr>
              <w:t>v</w:t>
            </w:r>
            <w:r w:rsidR="001C0629" w:rsidRPr="009B1A37">
              <w:rPr>
                <w:color w:val="000000"/>
              </w:rPr>
              <w:t> </w:t>
            </w:r>
            <w:r w:rsidRPr="009B1A37">
              <w:rPr>
                <w:color w:val="000000"/>
              </w:rPr>
              <w:t>8 fra</w:t>
            </w:r>
            <w:r w:rsidR="00E05020" w:rsidRPr="009B1A37">
              <w:rPr>
                <w:color w:val="000000"/>
              </w:rPr>
              <w:t>kcích</w:t>
            </w:r>
            <w:r w:rsidRPr="009B1A37">
              <w:rPr>
                <w:color w:val="000000"/>
              </w:rPr>
              <w:t xml:space="preserve"> </w:t>
            </w:r>
            <w:r w:rsidR="00E05020" w:rsidRPr="009B1A37">
              <w:rPr>
                <w:color w:val="000000"/>
              </w:rPr>
              <w:t>pro všechny pacienty s</w:t>
            </w:r>
            <w:r w:rsidR="001C0629" w:rsidRPr="009B1A37">
              <w:rPr>
                <w:color w:val="000000"/>
              </w:rPr>
              <w:t> </w:t>
            </w:r>
            <w:r w:rsidRPr="009B1A37">
              <w:rPr>
                <w:color w:val="000000"/>
              </w:rPr>
              <w:t xml:space="preserve">CNS1 a CNS2 </w:t>
            </w:r>
            <w:r w:rsidR="00E05020" w:rsidRPr="009B1A37">
              <w:rPr>
                <w:color w:val="000000"/>
              </w:rPr>
              <w:t>v</w:t>
            </w:r>
            <w:r w:rsidR="001C0629" w:rsidRPr="009B1A37">
              <w:rPr>
                <w:color w:val="000000"/>
              </w:rPr>
              <w:t> </w:t>
            </w:r>
            <w:r w:rsidR="00E05020" w:rsidRPr="009B1A37">
              <w:rPr>
                <w:color w:val="000000"/>
              </w:rPr>
              <w:t>diagnóze</w:t>
            </w:r>
          </w:p>
          <w:p w14:paraId="7CA0252B" w14:textId="77777777" w:rsidR="00067F74" w:rsidRPr="009B1A37" w:rsidRDefault="00067F74" w:rsidP="00BE3D48">
            <w:pPr>
              <w:pStyle w:val="EndnoteText"/>
              <w:widowControl w:val="0"/>
              <w:rPr>
                <w:color w:val="000000"/>
              </w:rPr>
            </w:pPr>
            <w:r w:rsidRPr="009B1A37">
              <w:rPr>
                <w:color w:val="000000"/>
              </w:rPr>
              <w:t xml:space="preserve">18 Gy </w:t>
            </w:r>
            <w:r w:rsidR="00E05020" w:rsidRPr="009B1A37">
              <w:rPr>
                <w:color w:val="000000"/>
              </w:rPr>
              <w:t>v</w:t>
            </w:r>
            <w:r w:rsidR="001C0629" w:rsidRPr="009B1A37">
              <w:rPr>
                <w:color w:val="000000"/>
              </w:rPr>
              <w:t> </w:t>
            </w:r>
            <w:r w:rsidRPr="009B1A37">
              <w:rPr>
                <w:color w:val="000000"/>
              </w:rPr>
              <w:t>10 fra</w:t>
            </w:r>
            <w:r w:rsidR="00E05020" w:rsidRPr="009B1A37">
              <w:rPr>
                <w:color w:val="000000"/>
              </w:rPr>
              <w:t>kcích</w:t>
            </w:r>
            <w:r w:rsidRPr="009B1A37">
              <w:rPr>
                <w:color w:val="000000"/>
              </w:rPr>
              <w:t xml:space="preserve"> </w:t>
            </w:r>
            <w:r w:rsidR="00E05020" w:rsidRPr="009B1A37">
              <w:rPr>
                <w:color w:val="000000"/>
              </w:rPr>
              <w:t>pro pacienty s</w:t>
            </w:r>
            <w:r w:rsidR="001C0629" w:rsidRPr="009B1A37">
              <w:rPr>
                <w:color w:val="000000"/>
              </w:rPr>
              <w:t> </w:t>
            </w:r>
            <w:r w:rsidRPr="009B1A37">
              <w:rPr>
                <w:color w:val="000000"/>
              </w:rPr>
              <w:t xml:space="preserve">CNS3 </w:t>
            </w:r>
            <w:r w:rsidR="00E05020" w:rsidRPr="009B1A37">
              <w:rPr>
                <w:color w:val="000000"/>
              </w:rPr>
              <w:t>v</w:t>
            </w:r>
            <w:r w:rsidR="001C0629" w:rsidRPr="009B1A37">
              <w:rPr>
                <w:color w:val="000000"/>
              </w:rPr>
              <w:t> </w:t>
            </w:r>
            <w:r w:rsidR="00E05020" w:rsidRPr="009B1A37">
              <w:rPr>
                <w:color w:val="000000"/>
              </w:rPr>
              <w:t>d</w:t>
            </w:r>
            <w:r w:rsidR="00E5658B" w:rsidRPr="009B1A37">
              <w:rPr>
                <w:color w:val="000000"/>
              </w:rPr>
              <w:t>i</w:t>
            </w:r>
            <w:r w:rsidR="00E05020" w:rsidRPr="009B1A37">
              <w:rPr>
                <w:color w:val="000000"/>
              </w:rPr>
              <w:t>agnóze</w:t>
            </w:r>
          </w:p>
          <w:p w14:paraId="26BEE97F" w14:textId="77777777" w:rsidR="00067F74" w:rsidRPr="009B1A37" w:rsidRDefault="00067F74" w:rsidP="00BE3D48">
            <w:pPr>
              <w:pStyle w:val="EndnoteText"/>
              <w:widowControl w:val="0"/>
              <w:rPr>
                <w:color w:val="000000"/>
              </w:rPr>
            </w:pPr>
            <w:r w:rsidRPr="009B1A37">
              <w:rPr>
                <w:color w:val="000000"/>
              </w:rPr>
              <w:t>VCR (1</w:t>
            </w:r>
            <w:r w:rsidR="001C0629" w:rsidRPr="009B1A37">
              <w:rPr>
                <w:color w:val="000000"/>
              </w:rPr>
              <w:t>,</w:t>
            </w:r>
            <w:r w:rsidRPr="009B1A37">
              <w:rPr>
                <w:color w:val="000000"/>
              </w:rPr>
              <w:t>5 mg/m</w:t>
            </w:r>
            <w:r w:rsidRPr="009B1A37">
              <w:rPr>
                <w:color w:val="000000"/>
                <w:vertAlign w:val="superscript"/>
              </w:rPr>
              <w:t>2</w:t>
            </w:r>
            <w:r w:rsidRPr="009B1A37">
              <w:rPr>
                <w:color w:val="000000"/>
              </w:rPr>
              <w:t>/d</w:t>
            </w:r>
            <w:r w:rsidR="00E05020" w:rsidRPr="009B1A37">
              <w:rPr>
                <w:color w:val="000000"/>
              </w:rPr>
              <w:t>en</w:t>
            </w:r>
            <w:r w:rsidRPr="009B1A37">
              <w:rPr>
                <w:color w:val="000000"/>
              </w:rPr>
              <w:t xml:space="preserve">, </w:t>
            </w:r>
            <w:r w:rsidR="00F87E46" w:rsidRPr="009B1A37">
              <w:rPr>
                <w:color w:val="000000"/>
              </w:rPr>
              <w:t>i.v.</w:t>
            </w:r>
            <w:r w:rsidRPr="009B1A37">
              <w:rPr>
                <w:color w:val="000000"/>
              </w:rPr>
              <w:t>): d</w:t>
            </w:r>
            <w:r w:rsidR="00E05020" w:rsidRPr="009B1A37">
              <w:rPr>
                <w:color w:val="000000"/>
              </w:rPr>
              <w:t>ny</w:t>
            </w:r>
            <w:r w:rsidRPr="009B1A37">
              <w:rPr>
                <w:color w:val="000000"/>
              </w:rPr>
              <w:t> 1, 29</w:t>
            </w:r>
          </w:p>
          <w:p w14:paraId="05106A5B" w14:textId="77777777" w:rsidR="00067F74" w:rsidRPr="009B1A37" w:rsidRDefault="00067F74" w:rsidP="00BE3D48">
            <w:pPr>
              <w:pStyle w:val="EndnoteText"/>
              <w:widowControl w:val="0"/>
              <w:rPr>
                <w:color w:val="000000"/>
              </w:rPr>
            </w:pPr>
            <w:r w:rsidRPr="009B1A37">
              <w:rPr>
                <w:color w:val="000000"/>
              </w:rPr>
              <w:t>DEX (6</w:t>
            </w:r>
            <w:r w:rsidR="001C0629" w:rsidRPr="009B1A37">
              <w:rPr>
                <w:color w:val="000000"/>
              </w:rPr>
              <w:t> </w:t>
            </w:r>
            <w:r w:rsidRPr="009B1A37">
              <w:rPr>
                <w:color w:val="000000"/>
              </w:rPr>
              <w:t>mg/m</w:t>
            </w:r>
            <w:r w:rsidRPr="009B1A37">
              <w:rPr>
                <w:color w:val="000000"/>
                <w:vertAlign w:val="superscript"/>
              </w:rPr>
              <w:t>2</w:t>
            </w:r>
            <w:r w:rsidRPr="009B1A37">
              <w:rPr>
                <w:color w:val="000000"/>
              </w:rPr>
              <w:t xml:space="preserve">/den, </w:t>
            </w:r>
            <w:r w:rsidR="00F87E46" w:rsidRPr="009B1A37">
              <w:rPr>
                <w:color w:val="000000"/>
              </w:rPr>
              <w:t>p.o.</w:t>
            </w:r>
            <w:r w:rsidRPr="009B1A37">
              <w:rPr>
                <w:color w:val="000000"/>
              </w:rPr>
              <w:t>): dny</w:t>
            </w:r>
            <w:r w:rsidR="00E5658B" w:rsidRPr="009B1A37">
              <w:rPr>
                <w:color w:val="000000"/>
              </w:rPr>
              <w:t xml:space="preserve"> </w:t>
            </w:r>
            <w:r w:rsidRPr="009B1A37">
              <w:rPr>
                <w:color w:val="000000"/>
              </w:rPr>
              <w:t>1</w:t>
            </w:r>
            <w:r w:rsidRPr="009B1A37">
              <w:rPr>
                <w:color w:val="000000"/>
              </w:rPr>
              <w:noBreakHyphen/>
              <w:t>5; 29</w:t>
            </w:r>
            <w:r w:rsidRPr="009B1A37">
              <w:rPr>
                <w:color w:val="000000"/>
              </w:rPr>
              <w:noBreakHyphen/>
              <w:t>33</w:t>
            </w:r>
          </w:p>
          <w:p w14:paraId="61CCE7E5" w14:textId="77777777" w:rsidR="00067F74" w:rsidRPr="009B1A37" w:rsidRDefault="00067F74" w:rsidP="00BE3D48">
            <w:pPr>
              <w:pStyle w:val="EndnoteText"/>
              <w:widowControl w:val="0"/>
              <w:rPr>
                <w:color w:val="000000"/>
              </w:rPr>
            </w:pPr>
            <w:r w:rsidRPr="009B1A37">
              <w:rPr>
                <w:color w:val="000000"/>
              </w:rPr>
              <w:t>6-MP (75 mg/m</w:t>
            </w:r>
            <w:r w:rsidRPr="009B1A37">
              <w:rPr>
                <w:color w:val="000000"/>
                <w:vertAlign w:val="superscript"/>
              </w:rPr>
              <w:t>2</w:t>
            </w:r>
            <w:r w:rsidRPr="009B1A37">
              <w:rPr>
                <w:color w:val="000000"/>
              </w:rPr>
              <w:t>/d</w:t>
            </w:r>
            <w:r w:rsidR="001C0629" w:rsidRPr="009B1A37">
              <w:rPr>
                <w:color w:val="000000"/>
              </w:rPr>
              <w:t>en</w:t>
            </w:r>
            <w:r w:rsidRPr="009B1A37">
              <w:rPr>
                <w:color w:val="000000"/>
              </w:rPr>
              <w:t xml:space="preserve">, </w:t>
            </w:r>
            <w:r w:rsidR="00F87E46" w:rsidRPr="009B1A37">
              <w:rPr>
                <w:color w:val="000000"/>
              </w:rPr>
              <w:t>p.o.</w:t>
            </w:r>
            <w:r w:rsidRPr="009B1A37">
              <w:rPr>
                <w:color w:val="000000"/>
              </w:rPr>
              <w:t>): dny</w:t>
            </w:r>
            <w:r w:rsidR="00E5658B" w:rsidRPr="009B1A37">
              <w:rPr>
                <w:color w:val="000000"/>
              </w:rPr>
              <w:t xml:space="preserve"> </w:t>
            </w:r>
            <w:r w:rsidRPr="009B1A37">
              <w:rPr>
                <w:color w:val="000000"/>
              </w:rPr>
              <w:t>11</w:t>
            </w:r>
            <w:r w:rsidRPr="009B1A37">
              <w:rPr>
                <w:color w:val="000000"/>
              </w:rPr>
              <w:noBreakHyphen/>
              <w:t>56 (</w:t>
            </w:r>
            <w:r w:rsidR="00B03F79" w:rsidRPr="009B1A37">
              <w:rPr>
                <w:color w:val="000000"/>
              </w:rPr>
              <w:t>Vysazení</w:t>
            </w:r>
            <w:r w:rsidRPr="009B1A37">
              <w:rPr>
                <w:color w:val="000000"/>
              </w:rPr>
              <w:t xml:space="preserve"> 6-MP </w:t>
            </w:r>
            <w:r w:rsidR="0094327E" w:rsidRPr="009B1A37">
              <w:rPr>
                <w:color w:val="000000"/>
              </w:rPr>
              <w:t>během</w:t>
            </w:r>
            <w:r w:rsidRPr="009B1A37">
              <w:rPr>
                <w:color w:val="000000"/>
              </w:rPr>
              <w:t xml:space="preserve"> 6</w:t>
            </w:r>
            <w:r w:rsidRPr="009B1A37">
              <w:rPr>
                <w:color w:val="000000"/>
              </w:rPr>
              <w:noBreakHyphen/>
              <w:t>10</w:t>
            </w:r>
            <w:r w:rsidR="00CE680A" w:rsidRPr="009B1A37">
              <w:rPr>
                <w:color w:val="000000"/>
              </w:rPr>
              <w:t xml:space="preserve"> </w:t>
            </w:r>
            <w:r w:rsidRPr="009B1A37">
              <w:rPr>
                <w:color w:val="000000"/>
              </w:rPr>
              <w:t>d</w:t>
            </w:r>
            <w:r w:rsidR="001C0629" w:rsidRPr="009B1A37">
              <w:rPr>
                <w:color w:val="000000"/>
              </w:rPr>
              <w:t>n</w:t>
            </w:r>
            <w:r w:rsidR="00CE680A" w:rsidRPr="009B1A37">
              <w:rPr>
                <w:color w:val="000000"/>
              </w:rPr>
              <w:t>í</w:t>
            </w:r>
            <w:r w:rsidR="0094327E" w:rsidRPr="009B1A37">
              <w:rPr>
                <w:color w:val="000000"/>
              </w:rPr>
              <w:t xml:space="preserve"> ozařování krania</w:t>
            </w:r>
            <w:r w:rsidRPr="009B1A37">
              <w:rPr>
                <w:color w:val="000000"/>
              </w:rPr>
              <w:t xml:space="preserve"> </w:t>
            </w:r>
            <w:r w:rsidR="00DE1BE6" w:rsidRPr="009B1A37">
              <w:rPr>
                <w:color w:val="000000"/>
              </w:rPr>
              <w:t>poč</w:t>
            </w:r>
            <w:r w:rsidR="00CE680A" w:rsidRPr="009B1A37">
              <w:rPr>
                <w:color w:val="000000"/>
              </w:rPr>
              <w:t>í</w:t>
            </w:r>
            <w:r w:rsidR="00DE1BE6" w:rsidRPr="009B1A37">
              <w:rPr>
                <w:color w:val="000000"/>
              </w:rPr>
              <w:t xml:space="preserve">naje </w:t>
            </w:r>
            <w:r w:rsidR="00CE680A" w:rsidRPr="009B1A37">
              <w:rPr>
                <w:color w:val="000000"/>
              </w:rPr>
              <w:t>prvním</w:t>
            </w:r>
            <w:r w:rsidR="00DE1BE6" w:rsidRPr="009B1A37">
              <w:rPr>
                <w:color w:val="000000"/>
              </w:rPr>
              <w:t xml:space="preserve"> dnem</w:t>
            </w:r>
            <w:r w:rsidRPr="009B1A37">
              <w:rPr>
                <w:color w:val="000000"/>
              </w:rPr>
              <w:t xml:space="preserve"> </w:t>
            </w:r>
            <w:r w:rsidR="001C0629" w:rsidRPr="009B1A37">
              <w:rPr>
                <w:color w:val="000000"/>
              </w:rPr>
              <w:t>cyklu 5</w:t>
            </w:r>
            <w:r w:rsidRPr="009B1A37">
              <w:rPr>
                <w:color w:val="000000"/>
              </w:rPr>
              <w:t xml:space="preserve">. </w:t>
            </w:r>
            <w:r w:rsidR="00C531F5" w:rsidRPr="009B1A37">
              <w:rPr>
                <w:color w:val="000000"/>
              </w:rPr>
              <w:t>Započněte léčbu</w:t>
            </w:r>
            <w:r w:rsidRPr="009B1A37">
              <w:rPr>
                <w:color w:val="000000"/>
              </w:rPr>
              <w:t xml:space="preserve"> 6-MP </w:t>
            </w:r>
            <w:r w:rsidR="00C531F5" w:rsidRPr="009B1A37">
              <w:rPr>
                <w:color w:val="000000"/>
              </w:rPr>
              <w:t>první den po</w:t>
            </w:r>
            <w:r w:rsidRPr="009B1A37">
              <w:rPr>
                <w:color w:val="000000"/>
              </w:rPr>
              <w:t xml:space="preserve"> </w:t>
            </w:r>
            <w:r w:rsidR="001C0629" w:rsidRPr="009B1A37">
              <w:rPr>
                <w:color w:val="000000"/>
              </w:rPr>
              <w:t>dokončení ozařování krania</w:t>
            </w:r>
            <w:r w:rsidRPr="009B1A37">
              <w:rPr>
                <w:color w:val="000000"/>
              </w:rPr>
              <w:t>.)</w:t>
            </w:r>
          </w:p>
          <w:p w14:paraId="0CE916EF" w14:textId="77777777" w:rsidR="00067F74" w:rsidRPr="009B1A37" w:rsidRDefault="000B39C2" w:rsidP="00BE3D48">
            <w:pPr>
              <w:pStyle w:val="EndnoteText"/>
              <w:widowControl w:val="0"/>
              <w:rPr>
                <w:color w:val="000000"/>
              </w:rPr>
            </w:pPr>
            <w:r w:rsidRPr="009B1A37">
              <w:rPr>
                <w:color w:val="000000"/>
              </w:rPr>
              <w:t>m</w:t>
            </w:r>
            <w:r w:rsidR="00067F74" w:rsidRPr="009B1A37">
              <w:rPr>
                <w:color w:val="000000"/>
              </w:rPr>
              <w:t>et</w:t>
            </w:r>
            <w:r w:rsidR="00DE1BE6" w:rsidRPr="009B1A37">
              <w:rPr>
                <w:color w:val="000000"/>
              </w:rPr>
              <w:t>h</w:t>
            </w:r>
            <w:r w:rsidR="00067F74" w:rsidRPr="009B1A37">
              <w:rPr>
                <w:color w:val="000000"/>
              </w:rPr>
              <w:t>otrexát (20 mg/m</w:t>
            </w:r>
            <w:r w:rsidR="00067F74" w:rsidRPr="009B1A37">
              <w:rPr>
                <w:color w:val="000000"/>
                <w:vertAlign w:val="superscript"/>
              </w:rPr>
              <w:t>2</w:t>
            </w:r>
            <w:r w:rsidR="00067F74" w:rsidRPr="009B1A37">
              <w:rPr>
                <w:color w:val="000000"/>
              </w:rPr>
              <w:t xml:space="preserve">/týden, </w:t>
            </w:r>
            <w:r w:rsidR="00F87E46" w:rsidRPr="009B1A37">
              <w:rPr>
                <w:color w:val="000000"/>
              </w:rPr>
              <w:t>p.o.</w:t>
            </w:r>
            <w:r w:rsidR="00067F74" w:rsidRPr="009B1A37">
              <w:rPr>
                <w:color w:val="000000"/>
              </w:rPr>
              <w:t>): dny 8, 15, 22, 29, 36, 43, 50</w:t>
            </w:r>
          </w:p>
        </w:tc>
      </w:tr>
      <w:tr w:rsidR="00067F74" w:rsidRPr="009B1A37" w14:paraId="4FA86C49" w14:textId="77777777" w:rsidTr="00F75C2F">
        <w:trPr>
          <w:cantSplit/>
        </w:trPr>
        <w:tc>
          <w:tcPr>
            <w:tcW w:w="2358" w:type="dxa"/>
            <w:shd w:val="clear" w:color="auto" w:fill="auto"/>
          </w:tcPr>
          <w:p w14:paraId="515FB7D8" w14:textId="77777777" w:rsidR="00067F74" w:rsidRPr="009B1A37" w:rsidRDefault="00CE680A" w:rsidP="009F41EF">
            <w:pPr>
              <w:pStyle w:val="EndnoteText"/>
              <w:keepNext/>
              <w:widowControl w:val="0"/>
              <w:rPr>
                <w:color w:val="000000"/>
              </w:rPr>
            </w:pPr>
            <w:r w:rsidRPr="009B1A37">
              <w:rPr>
                <w:color w:val="000000"/>
              </w:rPr>
              <w:t>Udržovací terapie</w:t>
            </w:r>
          </w:p>
          <w:p w14:paraId="601CAC30" w14:textId="77777777" w:rsidR="00067F74" w:rsidRPr="009B1A37" w:rsidRDefault="00067F74" w:rsidP="009F41EF">
            <w:pPr>
              <w:pStyle w:val="EndnoteText"/>
              <w:keepNext/>
              <w:widowControl w:val="0"/>
              <w:rPr>
                <w:color w:val="000000"/>
              </w:rPr>
            </w:pPr>
            <w:r w:rsidRPr="009B1A37">
              <w:rPr>
                <w:color w:val="000000"/>
              </w:rPr>
              <w:t>(8týdenní cykly)</w:t>
            </w:r>
          </w:p>
          <w:p w14:paraId="47069BA8" w14:textId="77777777" w:rsidR="00067F74" w:rsidRPr="009B1A37" w:rsidRDefault="00067F74" w:rsidP="009F41EF">
            <w:pPr>
              <w:pStyle w:val="EndnoteText"/>
              <w:keepNext/>
              <w:widowControl w:val="0"/>
              <w:rPr>
                <w:color w:val="000000"/>
              </w:rPr>
            </w:pPr>
            <w:r w:rsidRPr="009B1A37">
              <w:rPr>
                <w:color w:val="000000"/>
              </w:rPr>
              <w:t>Cykly 6</w:t>
            </w:r>
            <w:r w:rsidRPr="009B1A37">
              <w:rPr>
                <w:color w:val="000000"/>
              </w:rPr>
              <w:noBreakHyphen/>
              <w:t>12</w:t>
            </w:r>
          </w:p>
        </w:tc>
        <w:tc>
          <w:tcPr>
            <w:tcW w:w="6929" w:type="dxa"/>
            <w:shd w:val="clear" w:color="auto" w:fill="auto"/>
          </w:tcPr>
          <w:p w14:paraId="638E5D49" w14:textId="77777777" w:rsidR="00067F74" w:rsidRPr="009B1A37" w:rsidRDefault="00067F74" w:rsidP="009F41EF">
            <w:pPr>
              <w:pStyle w:val="EndnoteText"/>
              <w:keepNext/>
              <w:widowControl w:val="0"/>
              <w:rPr>
                <w:color w:val="000000"/>
              </w:rPr>
            </w:pPr>
            <w:r w:rsidRPr="009B1A37">
              <w:rPr>
                <w:color w:val="000000"/>
              </w:rPr>
              <w:t>VCR (1,5 mg/m</w:t>
            </w:r>
            <w:r w:rsidRPr="009B1A37">
              <w:rPr>
                <w:color w:val="000000"/>
                <w:vertAlign w:val="superscript"/>
              </w:rPr>
              <w:t>2</w:t>
            </w:r>
            <w:r w:rsidRPr="009B1A37">
              <w:rPr>
                <w:color w:val="000000"/>
              </w:rPr>
              <w:t xml:space="preserve">/den, </w:t>
            </w:r>
            <w:r w:rsidR="00F87E46" w:rsidRPr="009B1A37">
              <w:rPr>
                <w:color w:val="000000"/>
              </w:rPr>
              <w:t>i.v.</w:t>
            </w:r>
            <w:r w:rsidRPr="009B1A37">
              <w:rPr>
                <w:color w:val="000000"/>
              </w:rPr>
              <w:t>): dny 1, 29</w:t>
            </w:r>
          </w:p>
          <w:p w14:paraId="679DB0E1" w14:textId="77777777" w:rsidR="00067F74" w:rsidRPr="009B1A37" w:rsidRDefault="00067F74" w:rsidP="009F41EF">
            <w:pPr>
              <w:pStyle w:val="EndnoteText"/>
              <w:keepNext/>
              <w:widowControl w:val="0"/>
              <w:rPr>
                <w:color w:val="000000"/>
              </w:rPr>
            </w:pPr>
            <w:r w:rsidRPr="009B1A37">
              <w:rPr>
                <w:color w:val="000000"/>
              </w:rPr>
              <w:t>DEX (6 mg/m</w:t>
            </w:r>
            <w:r w:rsidRPr="009B1A37">
              <w:rPr>
                <w:color w:val="000000"/>
                <w:vertAlign w:val="superscript"/>
              </w:rPr>
              <w:t>2</w:t>
            </w:r>
            <w:r w:rsidRPr="009B1A37">
              <w:rPr>
                <w:color w:val="000000"/>
              </w:rPr>
              <w:t xml:space="preserve">/den, </w:t>
            </w:r>
            <w:r w:rsidR="00F87E46" w:rsidRPr="009B1A37">
              <w:rPr>
                <w:color w:val="000000"/>
              </w:rPr>
              <w:t>p.o.</w:t>
            </w:r>
            <w:r w:rsidRPr="009B1A37">
              <w:rPr>
                <w:color w:val="000000"/>
              </w:rPr>
              <w:t>): dny 1</w:t>
            </w:r>
            <w:r w:rsidRPr="009B1A37">
              <w:rPr>
                <w:color w:val="000000"/>
              </w:rPr>
              <w:noBreakHyphen/>
              <w:t>5; 29</w:t>
            </w:r>
            <w:r w:rsidRPr="009B1A37">
              <w:rPr>
                <w:color w:val="000000"/>
              </w:rPr>
              <w:noBreakHyphen/>
              <w:t>33</w:t>
            </w:r>
          </w:p>
          <w:p w14:paraId="27978F24" w14:textId="77777777" w:rsidR="00067F74" w:rsidRPr="009B1A37" w:rsidRDefault="00067F74" w:rsidP="009F41EF">
            <w:pPr>
              <w:pStyle w:val="EndnoteText"/>
              <w:keepNext/>
              <w:widowControl w:val="0"/>
              <w:rPr>
                <w:color w:val="000000"/>
              </w:rPr>
            </w:pPr>
            <w:r w:rsidRPr="009B1A37">
              <w:rPr>
                <w:color w:val="000000"/>
              </w:rPr>
              <w:t>6-MP (75 mg/m</w:t>
            </w:r>
            <w:r w:rsidRPr="009B1A37">
              <w:rPr>
                <w:color w:val="000000"/>
                <w:vertAlign w:val="superscript"/>
              </w:rPr>
              <w:t>2</w:t>
            </w:r>
            <w:r w:rsidRPr="009B1A37">
              <w:rPr>
                <w:color w:val="000000"/>
              </w:rPr>
              <w:t xml:space="preserve">/den, </w:t>
            </w:r>
            <w:r w:rsidR="00F87E46" w:rsidRPr="009B1A37">
              <w:rPr>
                <w:color w:val="000000"/>
              </w:rPr>
              <w:t>p.o.</w:t>
            </w:r>
            <w:r w:rsidRPr="009B1A37">
              <w:rPr>
                <w:color w:val="000000"/>
              </w:rPr>
              <w:t>): dny 1</w:t>
            </w:r>
            <w:r w:rsidRPr="009B1A37">
              <w:rPr>
                <w:color w:val="000000"/>
              </w:rPr>
              <w:noBreakHyphen/>
              <w:t>56</w:t>
            </w:r>
          </w:p>
          <w:p w14:paraId="7C5B2507" w14:textId="77777777" w:rsidR="00067F74" w:rsidRPr="009B1A37" w:rsidRDefault="000B39C2" w:rsidP="009F41EF">
            <w:pPr>
              <w:pStyle w:val="EndnoteText"/>
              <w:keepNext/>
              <w:widowControl w:val="0"/>
              <w:rPr>
                <w:color w:val="000000"/>
              </w:rPr>
            </w:pPr>
            <w:r w:rsidRPr="009B1A37">
              <w:rPr>
                <w:color w:val="000000"/>
              </w:rPr>
              <w:t>m</w:t>
            </w:r>
            <w:r w:rsidR="00067F74" w:rsidRPr="009B1A37">
              <w:rPr>
                <w:color w:val="000000"/>
              </w:rPr>
              <w:t>et</w:t>
            </w:r>
            <w:r w:rsidR="00847308" w:rsidRPr="009B1A37">
              <w:rPr>
                <w:color w:val="000000"/>
              </w:rPr>
              <w:t>h</w:t>
            </w:r>
            <w:r w:rsidR="00067F74" w:rsidRPr="009B1A37">
              <w:rPr>
                <w:color w:val="000000"/>
              </w:rPr>
              <w:t>otrexát (20 mg/m</w:t>
            </w:r>
            <w:r w:rsidR="00067F74" w:rsidRPr="009B1A37">
              <w:rPr>
                <w:color w:val="000000"/>
                <w:vertAlign w:val="superscript"/>
              </w:rPr>
              <w:t>2</w:t>
            </w:r>
            <w:r w:rsidR="00067F74" w:rsidRPr="009B1A37">
              <w:rPr>
                <w:color w:val="000000"/>
              </w:rPr>
              <w:t xml:space="preserve">/týden, </w:t>
            </w:r>
            <w:r w:rsidR="00F87E46" w:rsidRPr="009B1A37">
              <w:rPr>
                <w:color w:val="000000"/>
              </w:rPr>
              <w:t>p.o.</w:t>
            </w:r>
            <w:r w:rsidR="00067F74" w:rsidRPr="009B1A37">
              <w:rPr>
                <w:color w:val="000000"/>
              </w:rPr>
              <w:t>): dny 1, 8, 15, 22, 29, 36, 43, 50</w:t>
            </w:r>
          </w:p>
        </w:tc>
      </w:tr>
    </w:tbl>
    <w:p w14:paraId="0B4F1858" w14:textId="77777777" w:rsidR="00067F74" w:rsidRPr="009B1A37" w:rsidRDefault="00067F74" w:rsidP="009F41EF">
      <w:pPr>
        <w:pStyle w:val="EndnoteText"/>
        <w:keepLines/>
        <w:widowControl w:val="0"/>
        <w:suppressAutoHyphens w:val="0"/>
        <w:rPr>
          <w:color w:val="000000"/>
        </w:rPr>
      </w:pPr>
      <w:r w:rsidRPr="009B1A37">
        <w:rPr>
          <w:color w:val="000000"/>
        </w:rPr>
        <w:t xml:space="preserve">G-CSF = </w:t>
      </w:r>
      <w:r w:rsidR="00F87E46" w:rsidRPr="009B1A37">
        <w:rPr>
          <w:color w:val="000000"/>
        </w:rPr>
        <w:t xml:space="preserve">stimulační faktor </w:t>
      </w:r>
      <w:r w:rsidR="0094327E" w:rsidRPr="009B1A37">
        <w:t>pro granulocytární řadu leukocytů</w:t>
      </w:r>
      <w:r w:rsidRPr="009B1A37">
        <w:rPr>
          <w:color w:val="000000"/>
        </w:rPr>
        <w:t>, VP-16 = etoposid, MTX = met</w:t>
      </w:r>
      <w:r w:rsidR="00DE1BE6" w:rsidRPr="009B1A37">
        <w:rPr>
          <w:color w:val="000000"/>
        </w:rPr>
        <w:t>h</w:t>
      </w:r>
      <w:r w:rsidRPr="009B1A37">
        <w:rPr>
          <w:color w:val="000000"/>
        </w:rPr>
        <w:t xml:space="preserve">otrexát, </w:t>
      </w:r>
      <w:r w:rsidR="00F87E46" w:rsidRPr="009B1A37">
        <w:rPr>
          <w:color w:val="000000"/>
        </w:rPr>
        <w:t>i.v.</w:t>
      </w:r>
      <w:r w:rsidRPr="009B1A37">
        <w:rPr>
          <w:color w:val="000000"/>
        </w:rPr>
        <w:t xml:space="preserve"> = intrav</w:t>
      </w:r>
      <w:r w:rsidR="001C0629" w:rsidRPr="009B1A37">
        <w:rPr>
          <w:color w:val="000000"/>
        </w:rPr>
        <w:t>enózní</w:t>
      </w:r>
      <w:r w:rsidRPr="009B1A37">
        <w:rPr>
          <w:color w:val="000000"/>
        </w:rPr>
        <w:t xml:space="preserve">, </w:t>
      </w:r>
      <w:r w:rsidR="00F87E46" w:rsidRPr="009B1A37">
        <w:rPr>
          <w:color w:val="000000"/>
        </w:rPr>
        <w:t>s.c.</w:t>
      </w:r>
      <w:r w:rsidRPr="009B1A37">
        <w:rPr>
          <w:color w:val="000000"/>
        </w:rPr>
        <w:t xml:space="preserve"> = sub</w:t>
      </w:r>
      <w:r w:rsidR="001C0629" w:rsidRPr="009B1A37">
        <w:rPr>
          <w:color w:val="000000"/>
        </w:rPr>
        <w:t>kutánní</w:t>
      </w:r>
      <w:r w:rsidRPr="009B1A37">
        <w:rPr>
          <w:color w:val="000000"/>
        </w:rPr>
        <w:t xml:space="preserve">, </w:t>
      </w:r>
      <w:r w:rsidR="00F87E46" w:rsidRPr="009B1A37">
        <w:rPr>
          <w:color w:val="000000"/>
        </w:rPr>
        <w:t>i.t.</w:t>
      </w:r>
      <w:r w:rsidRPr="009B1A37">
        <w:rPr>
          <w:color w:val="000000"/>
        </w:rPr>
        <w:t xml:space="preserve"> = intrate</w:t>
      </w:r>
      <w:r w:rsidR="0094327E" w:rsidRPr="009B1A37">
        <w:rPr>
          <w:color w:val="000000"/>
        </w:rPr>
        <w:t>kální</w:t>
      </w:r>
      <w:r w:rsidRPr="009B1A37">
        <w:rPr>
          <w:color w:val="000000"/>
        </w:rPr>
        <w:t xml:space="preserve">, </w:t>
      </w:r>
      <w:r w:rsidR="00F87E46" w:rsidRPr="009B1A37">
        <w:rPr>
          <w:color w:val="000000"/>
        </w:rPr>
        <w:t>p.o.</w:t>
      </w:r>
      <w:r w:rsidRPr="009B1A37">
        <w:rPr>
          <w:color w:val="000000"/>
        </w:rPr>
        <w:t xml:space="preserve"> = </w:t>
      </w:r>
      <w:r w:rsidR="0094327E" w:rsidRPr="009B1A37">
        <w:rPr>
          <w:color w:val="000000"/>
        </w:rPr>
        <w:t xml:space="preserve">perorální, </w:t>
      </w:r>
      <w:r w:rsidR="00F87E46" w:rsidRPr="009B1A37">
        <w:rPr>
          <w:color w:val="000000"/>
        </w:rPr>
        <w:t>i.m.</w:t>
      </w:r>
      <w:r w:rsidR="0094327E" w:rsidRPr="009B1A37">
        <w:rPr>
          <w:color w:val="000000"/>
        </w:rPr>
        <w:t xml:space="preserve"> = intramuskulární</w:t>
      </w:r>
      <w:r w:rsidRPr="009B1A37">
        <w:rPr>
          <w:color w:val="000000"/>
        </w:rPr>
        <w:t>, ARA-C = cytarabin, CPM = cy</w:t>
      </w:r>
      <w:r w:rsidR="0094327E" w:rsidRPr="009B1A37">
        <w:rPr>
          <w:color w:val="000000"/>
        </w:rPr>
        <w:t>k</w:t>
      </w:r>
      <w:r w:rsidRPr="009B1A37">
        <w:rPr>
          <w:color w:val="000000"/>
        </w:rPr>
        <w:t>lo</w:t>
      </w:r>
      <w:r w:rsidR="0094327E" w:rsidRPr="009B1A37">
        <w:rPr>
          <w:color w:val="000000"/>
        </w:rPr>
        <w:t>f</w:t>
      </w:r>
      <w:r w:rsidRPr="009B1A37">
        <w:rPr>
          <w:color w:val="000000"/>
        </w:rPr>
        <w:t>os</w:t>
      </w:r>
      <w:r w:rsidR="0094327E" w:rsidRPr="009B1A37">
        <w:rPr>
          <w:color w:val="000000"/>
        </w:rPr>
        <w:t>f</w:t>
      </w:r>
      <w:r w:rsidRPr="009B1A37">
        <w:rPr>
          <w:color w:val="000000"/>
        </w:rPr>
        <w:t>amid, VCR = vin</w:t>
      </w:r>
      <w:r w:rsidR="0094327E" w:rsidRPr="009B1A37">
        <w:rPr>
          <w:color w:val="000000"/>
        </w:rPr>
        <w:t>k</w:t>
      </w:r>
      <w:r w:rsidRPr="009B1A37">
        <w:rPr>
          <w:color w:val="000000"/>
        </w:rPr>
        <w:t>ristin, DEX = dexamet</w:t>
      </w:r>
      <w:r w:rsidR="00FA74CF" w:rsidRPr="009B1A37">
        <w:rPr>
          <w:color w:val="000000"/>
        </w:rPr>
        <w:t>h</w:t>
      </w:r>
      <w:r w:rsidRPr="009B1A37">
        <w:rPr>
          <w:color w:val="000000"/>
        </w:rPr>
        <w:t>a</w:t>
      </w:r>
      <w:r w:rsidR="00FA74CF" w:rsidRPr="009B1A37">
        <w:rPr>
          <w:color w:val="000000"/>
        </w:rPr>
        <w:t>s</w:t>
      </w:r>
      <w:r w:rsidR="0094327E" w:rsidRPr="009B1A37">
        <w:rPr>
          <w:color w:val="000000"/>
        </w:rPr>
        <w:t>on</w:t>
      </w:r>
      <w:r w:rsidRPr="009B1A37">
        <w:rPr>
          <w:color w:val="000000"/>
        </w:rPr>
        <w:t>, DAUN = daunorubicin, 6-MP = 6-mer</w:t>
      </w:r>
      <w:r w:rsidR="0094327E" w:rsidRPr="009B1A37">
        <w:rPr>
          <w:color w:val="000000"/>
        </w:rPr>
        <w:t>k</w:t>
      </w:r>
      <w:r w:rsidRPr="009B1A37">
        <w:rPr>
          <w:color w:val="000000"/>
        </w:rPr>
        <w:t>aptopurin, E.Coli L-ASP = L-asparagin</w:t>
      </w:r>
      <w:r w:rsidR="0094327E" w:rsidRPr="009B1A37">
        <w:rPr>
          <w:color w:val="000000"/>
        </w:rPr>
        <w:t>áza</w:t>
      </w:r>
      <w:r w:rsidRPr="009B1A37">
        <w:rPr>
          <w:color w:val="000000"/>
        </w:rPr>
        <w:t>, PEG-ASP = PEG asparagin</w:t>
      </w:r>
      <w:r w:rsidR="0094327E" w:rsidRPr="009B1A37">
        <w:rPr>
          <w:color w:val="000000"/>
        </w:rPr>
        <w:t>áza</w:t>
      </w:r>
      <w:r w:rsidRPr="009B1A37">
        <w:rPr>
          <w:color w:val="000000"/>
        </w:rPr>
        <w:t xml:space="preserve">, MESNA= </w:t>
      </w:r>
      <w:r w:rsidR="00000FD4" w:rsidRPr="009B1A37">
        <w:rPr>
          <w:color w:val="000000"/>
        </w:rPr>
        <w:t>natrium-</w:t>
      </w:r>
      <w:r w:rsidRPr="009B1A37">
        <w:rPr>
          <w:color w:val="000000"/>
        </w:rPr>
        <w:t>2-</w:t>
      </w:r>
      <w:r w:rsidR="00000FD4" w:rsidRPr="009B1A37">
        <w:rPr>
          <w:color w:val="000000"/>
        </w:rPr>
        <w:t>sulfanylethan -1-</w:t>
      </w:r>
      <w:r w:rsidRPr="009B1A37">
        <w:rPr>
          <w:color w:val="000000"/>
        </w:rPr>
        <w:t xml:space="preserve"> sulfon</w:t>
      </w:r>
      <w:r w:rsidR="0094327E" w:rsidRPr="009B1A37">
        <w:rPr>
          <w:color w:val="000000"/>
        </w:rPr>
        <w:t>á</w:t>
      </w:r>
      <w:r w:rsidRPr="009B1A37">
        <w:rPr>
          <w:color w:val="000000"/>
        </w:rPr>
        <w:t xml:space="preserve">t, iii= </w:t>
      </w:r>
      <w:r w:rsidR="0094327E" w:rsidRPr="009B1A37">
        <w:rPr>
          <w:color w:val="000000"/>
        </w:rPr>
        <w:t>nebo pokud je hladina</w:t>
      </w:r>
      <w:r w:rsidRPr="009B1A37">
        <w:rPr>
          <w:color w:val="000000"/>
        </w:rPr>
        <w:t xml:space="preserve"> MTX </w:t>
      </w:r>
      <w:r w:rsidR="0094327E" w:rsidRPr="009B1A37">
        <w:rPr>
          <w:color w:val="000000"/>
        </w:rPr>
        <w:t>do</w:t>
      </w:r>
      <w:r w:rsidRPr="009B1A37">
        <w:rPr>
          <w:color w:val="000000"/>
        </w:rPr>
        <w:t xml:space="preserve"> &lt; 0</w:t>
      </w:r>
      <w:r w:rsidR="00C531F5" w:rsidRPr="009B1A37">
        <w:rPr>
          <w:color w:val="000000"/>
        </w:rPr>
        <w:t>,</w:t>
      </w:r>
      <w:r w:rsidRPr="009B1A37">
        <w:rPr>
          <w:color w:val="000000"/>
        </w:rPr>
        <w:t xml:space="preserve">1 µM, q6h = </w:t>
      </w:r>
      <w:r w:rsidR="0094327E" w:rsidRPr="009B1A37">
        <w:rPr>
          <w:color w:val="000000"/>
        </w:rPr>
        <w:t>každých 6</w:t>
      </w:r>
      <w:r w:rsidR="008736D2" w:rsidRPr="009B1A37">
        <w:rPr>
          <w:color w:val="000000"/>
        </w:rPr>
        <w:t> </w:t>
      </w:r>
      <w:r w:rsidR="0094327E" w:rsidRPr="009B1A37">
        <w:rPr>
          <w:color w:val="000000"/>
        </w:rPr>
        <w:t>hodin</w:t>
      </w:r>
      <w:r w:rsidRPr="009B1A37">
        <w:rPr>
          <w:color w:val="000000"/>
        </w:rPr>
        <w:t>, Gy= Gray</w:t>
      </w:r>
    </w:p>
    <w:p w14:paraId="7465AA0D" w14:textId="77777777" w:rsidR="00067F74" w:rsidRPr="009B1A37" w:rsidRDefault="00067F74" w:rsidP="00BE3D48">
      <w:pPr>
        <w:pStyle w:val="EndnoteText"/>
        <w:widowControl w:val="0"/>
        <w:jc w:val="both"/>
        <w:rPr>
          <w:color w:val="000000"/>
          <w:sz w:val="20"/>
        </w:rPr>
      </w:pPr>
    </w:p>
    <w:p w14:paraId="7B39BCDD" w14:textId="77777777" w:rsidR="00067F74" w:rsidRPr="009B1A37" w:rsidRDefault="00067F74" w:rsidP="00BE3D48">
      <w:pPr>
        <w:pStyle w:val="EndnoteText"/>
        <w:widowControl w:val="0"/>
        <w:rPr>
          <w:color w:val="000000"/>
        </w:rPr>
      </w:pPr>
      <w:r w:rsidRPr="009B1A37">
        <w:rPr>
          <w:color w:val="000000"/>
        </w:rPr>
        <w:t>Stud</w:t>
      </w:r>
      <w:r w:rsidR="00C531F5" w:rsidRPr="009B1A37">
        <w:rPr>
          <w:color w:val="000000"/>
        </w:rPr>
        <w:t>ie</w:t>
      </w:r>
      <w:r w:rsidRPr="009B1A37">
        <w:rPr>
          <w:color w:val="000000"/>
        </w:rPr>
        <w:t xml:space="preserve"> AIT07 </w:t>
      </w:r>
      <w:r w:rsidR="00C531F5" w:rsidRPr="009B1A37">
        <w:rPr>
          <w:color w:val="000000"/>
        </w:rPr>
        <w:t xml:space="preserve">byla </w:t>
      </w:r>
      <w:r w:rsidRPr="009B1A37">
        <w:rPr>
          <w:color w:val="000000"/>
        </w:rPr>
        <w:t>multicentr</w:t>
      </w:r>
      <w:r w:rsidR="00C531F5" w:rsidRPr="009B1A37">
        <w:rPr>
          <w:color w:val="000000"/>
        </w:rPr>
        <w:t>ická</w:t>
      </w:r>
      <w:r w:rsidRPr="009B1A37">
        <w:rPr>
          <w:color w:val="000000"/>
        </w:rPr>
        <w:t xml:space="preserve">, </w:t>
      </w:r>
      <w:r w:rsidR="00C531F5" w:rsidRPr="009B1A37">
        <w:rPr>
          <w:color w:val="000000"/>
        </w:rPr>
        <w:t>otevřená</w:t>
      </w:r>
      <w:r w:rsidRPr="009B1A37">
        <w:rPr>
          <w:color w:val="000000"/>
        </w:rPr>
        <w:t>, randomi</w:t>
      </w:r>
      <w:r w:rsidR="00C531F5" w:rsidRPr="009B1A37">
        <w:rPr>
          <w:color w:val="000000"/>
        </w:rPr>
        <w:t>zovaná studie</w:t>
      </w:r>
      <w:r w:rsidRPr="009B1A37">
        <w:rPr>
          <w:color w:val="000000"/>
        </w:rPr>
        <w:t xml:space="preserve"> </w:t>
      </w:r>
      <w:r w:rsidR="00C531F5" w:rsidRPr="009B1A37">
        <w:rPr>
          <w:color w:val="000000"/>
        </w:rPr>
        <w:t>fáze</w:t>
      </w:r>
      <w:r w:rsidRPr="009B1A37">
        <w:rPr>
          <w:color w:val="000000"/>
        </w:rPr>
        <w:t xml:space="preserve"> II/III</w:t>
      </w:r>
      <w:r w:rsidR="00C531F5" w:rsidRPr="009B1A37">
        <w:rPr>
          <w:color w:val="000000"/>
        </w:rPr>
        <w:t>, do které bylo zahrnuto</w:t>
      </w:r>
      <w:r w:rsidRPr="009B1A37">
        <w:rPr>
          <w:color w:val="000000"/>
        </w:rPr>
        <w:t xml:space="preserve"> 128 pa</w:t>
      </w:r>
      <w:r w:rsidR="00C531F5" w:rsidRPr="009B1A37">
        <w:rPr>
          <w:color w:val="000000"/>
        </w:rPr>
        <w:t>cientů</w:t>
      </w:r>
      <w:r w:rsidRPr="009B1A37">
        <w:rPr>
          <w:color w:val="000000"/>
        </w:rPr>
        <w:t xml:space="preserve"> (1 </w:t>
      </w:r>
      <w:r w:rsidR="00DE1BE6" w:rsidRPr="009B1A37">
        <w:rPr>
          <w:color w:val="000000"/>
        </w:rPr>
        <w:t>mladší</w:t>
      </w:r>
      <w:r w:rsidRPr="009B1A37">
        <w:rPr>
          <w:color w:val="000000"/>
        </w:rPr>
        <w:t> 18 </w:t>
      </w:r>
      <w:r w:rsidR="00DE1BE6" w:rsidRPr="009B1A37">
        <w:rPr>
          <w:color w:val="000000"/>
        </w:rPr>
        <w:t>let věku</w:t>
      </w:r>
      <w:r w:rsidRPr="009B1A37">
        <w:rPr>
          <w:color w:val="000000"/>
        </w:rPr>
        <w:t xml:space="preserve">) </w:t>
      </w:r>
      <w:r w:rsidR="00C531F5" w:rsidRPr="009B1A37">
        <w:rPr>
          <w:color w:val="000000"/>
        </w:rPr>
        <w:t>léčených imatinibem</w:t>
      </w:r>
      <w:r w:rsidRPr="009B1A37">
        <w:rPr>
          <w:color w:val="000000"/>
        </w:rPr>
        <w:t xml:space="preserve"> </w:t>
      </w:r>
      <w:r w:rsidR="00C531F5" w:rsidRPr="009B1A37">
        <w:rPr>
          <w:color w:val="000000"/>
        </w:rPr>
        <w:t>v</w:t>
      </w:r>
      <w:r w:rsidR="00DE1BE6" w:rsidRPr="009B1A37">
        <w:rPr>
          <w:color w:val="000000"/>
        </w:rPr>
        <w:t> </w:t>
      </w:r>
      <w:r w:rsidR="00C531F5" w:rsidRPr="009B1A37">
        <w:rPr>
          <w:color w:val="000000"/>
        </w:rPr>
        <w:t>kombinaci</w:t>
      </w:r>
      <w:r w:rsidRPr="009B1A37">
        <w:rPr>
          <w:color w:val="000000"/>
        </w:rPr>
        <w:t xml:space="preserve"> </w:t>
      </w:r>
      <w:r w:rsidR="00C531F5" w:rsidRPr="009B1A37">
        <w:rPr>
          <w:color w:val="000000"/>
        </w:rPr>
        <w:t>s</w:t>
      </w:r>
      <w:r w:rsidR="00DE1BE6" w:rsidRPr="009B1A37">
        <w:rPr>
          <w:color w:val="000000"/>
        </w:rPr>
        <w:t> </w:t>
      </w:r>
      <w:r w:rsidRPr="009B1A37">
        <w:rPr>
          <w:color w:val="000000"/>
        </w:rPr>
        <w:t>chemoterap</w:t>
      </w:r>
      <w:r w:rsidR="00C531F5" w:rsidRPr="009B1A37">
        <w:rPr>
          <w:color w:val="000000"/>
        </w:rPr>
        <w:t>ií</w:t>
      </w:r>
      <w:r w:rsidRPr="009B1A37">
        <w:rPr>
          <w:color w:val="000000"/>
        </w:rPr>
        <w:t xml:space="preserve">. </w:t>
      </w:r>
      <w:r w:rsidR="00C531F5" w:rsidRPr="009B1A37">
        <w:rPr>
          <w:color w:val="000000"/>
        </w:rPr>
        <w:t>Bezpečnostní data z této studie</w:t>
      </w:r>
      <w:r w:rsidRPr="009B1A37">
        <w:rPr>
          <w:color w:val="000000"/>
        </w:rPr>
        <w:t xml:space="preserve"> </w:t>
      </w:r>
      <w:r w:rsidR="00545C4D" w:rsidRPr="009B1A37">
        <w:rPr>
          <w:color w:val="000000"/>
        </w:rPr>
        <w:t>se zdají být v souladu</w:t>
      </w:r>
      <w:r w:rsidR="00F85A21" w:rsidRPr="009B1A37">
        <w:rPr>
          <w:color w:val="000000"/>
        </w:rPr>
        <w:t xml:space="preserve"> s </w:t>
      </w:r>
      <w:r w:rsidR="00C531F5" w:rsidRPr="009B1A37">
        <w:rPr>
          <w:color w:val="000000"/>
        </w:rPr>
        <w:t>bezpečnostní</w:t>
      </w:r>
      <w:r w:rsidR="00F85A21" w:rsidRPr="009B1A37">
        <w:rPr>
          <w:color w:val="000000"/>
        </w:rPr>
        <w:t>m</w:t>
      </w:r>
      <w:r w:rsidR="00C531F5" w:rsidRPr="009B1A37">
        <w:rPr>
          <w:color w:val="000000"/>
        </w:rPr>
        <w:t xml:space="preserve"> profil</w:t>
      </w:r>
      <w:r w:rsidR="00F85A21" w:rsidRPr="009B1A37">
        <w:rPr>
          <w:color w:val="000000"/>
        </w:rPr>
        <w:t>em</w:t>
      </w:r>
      <w:r w:rsidR="00C531F5" w:rsidRPr="009B1A37">
        <w:rPr>
          <w:color w:val="000000"/>
        </w:rPr>
        <w:t xml:space="preserve"> imatinibu u</w:t>
      </w:r>
      <w:r w:rsidR="00DE1BE6" w:rsidRPr="009B1A37">
        <w:rPr>
          <w:color w:val="000000"/>
        </w:rPr>
        <w:t> </w:t>
      </w:r>
      <w:r w:rsidRPr="009B1A37">
        <w:rPr>
          <w:color w:val="000000"/>
        </w:rPr>
        <w:t>Ph+ ALL pa</w:t>
      </w:r>
      <w:r w:rsidR="00C531F5" w:rsidRPr="009B1A37">
        <w:rPr>
          <w:color w:val="000000"/>
        </w:rPr>
        <w:t>cientů</w:t>
      </w:r>
      <w:r w:rsidRPr="009B1A37">
        <w:rPr>
          <w:color w:val="000000"/>
        </w:rPr>
        <w:t>.</w:t>
      </w:r>
    </w:p>
    <w:p w14:paraId="710F6C22" w14:textId="77777777" w:rsidR="00D97A44" w:rsidRPr="009B1A37" w:rsidRDefault="00D97A44" w:rsidP="00BE3D48">
      <w:pPr>
        <w:pStyle w:val="EndnoteText"/>
        <w:widowControl w:val="0"/>
      </w:pPr>
    </w:p>
    <w:p w14:paraId="77B44C4F" w14:textId="77777777" w:rsidR="00D97A44" w:rsidRPr="009B1A37" w:rsidRDefault="00D97A44" w:rsidP="00BE3D48">
      <w:pPr>
        <w:pStyle w:val="Text"/>
        <w:widowControl w:val="0"/>
        <w:spacing w:before="0"/>
        <w:jc w:val="left"/>
        <w:rPr>
          <w:color w:val="000000"/>
          <w:sz w:val="22"/>
          <w:szCs w:val="22"/>
          <w:lang w:val="cs-CZ"/>
        </w:rPr>
      </w:pPr>
      <w:r w:rsidRPr="009B1A37">
        <w:rPr>
          <w:i/>
          <w:iCs/>
          <w:color w:val="000000"/>
          <w:sz w:val="22"/>
          <w:szCs w:val="22"/>
          <w:lang w:val="cs-CZ"/>
        </w:rPr>
        <w:t xml:space="preserve">Recidivující/refrakterní Ph+ </w:t>
      </w:r>
      <w:smartTag w:uri="urn:schemas-microsoft-com:office:smarttags" w:element="stockticker">
        <w:r w:rsidRPr="009B1A37">
          <w:rPr>
            <w:i/>
            <w:iCs/>
            <w:color w:val="000000"/>
            <w:sz w:val="22"/>
            <w:szCs w:val="22"/>
            <w:lang w:val="cs-CZ"/>
          </w:rPr>
          <w:t>ALL</w:t>
        </w:r>
      </w:smartTag>
      <w:r w:rsidRPr="009B1A37">
        <w:rPr>
          <w:color w:val="000000"/>
          <w:sz w:val="22"/>
          <w:szCs w:val="22"/>
          <w:lang w:val="cs-CZ"/>
        </w:rPr>
        <w:t xml:space="preserve">: Při podávání imatinibu v monoterapii pacientům s recidivující/refrakterní Ph+ </w:t>
      </w:r>
      <w:smartTag w:uri="urn:schemas-microsoft-com:office:smarttags" w:element="stockticker">
        <w:r w:rsidRPr="009B1A37">
          <w:rPr>
            <w:color w:val="000000"/>
            <w:sz w:val="22"/>
            <w:szCs w:val="22"/>
            <w:lang w:val="cs-CZ"/>
          </w:rPr>
          <w:t>ALL</w:t>
        </w:r>
      </w:smartTag>
      <w:r w:rsidRPr="009B1A37">
        <w:rPr>
          <w:color w:val="000000"/>
          <w:sz w:val="22"/>
          <w:szCs w:val="22"/>
          <w:lang w:val="cs-CZ"/>
        </w:rPr>
        <w:t>, bylo dosaženo ve skupině 53 hodnotitelných pacientů z celkového počtu 411 pacientů hematologické odpovědi ve 30</w:t>
      </w:r>
      <w:r w:rsidR="0067324A" w:rsidRPr="009B1A37">
        <w:rPr>
          <w:color w:val="000000"/>
          <w:sz w:val="22"/>
          <w:szCs w:val="22"/>
          <w:lang w:val="cs-CZ"/>
        </w:rPr>
        <w:t> </w:t>
      </w:r>
      <w:r w:rsidRPr="009B1A37">
        <w:rPr>
          <w:color w:val="000000"/>
          <w:sz w:val="22"/>
          <w:szCs w:val="22"/>
          <w:lang w:val="cs-CZ"/>
        </w:rPr>
        <w:t>% (v 9</w:t>
      </w:r>
      <w:r w:rsidR="0067324A" w:rsidRPr="009B1A37">
        <w:rPr>
          <w:color w:val="000000"/>
          <w:sz w:val="22"/>
          <w:szCs w:val="22"/>
          <w:lang w:val="cs-CZ"/>
        </w:rPr>
        <w:t> </w:t>
      </w:r>
      <w:r w:rsidRPr="009B1A37">
        <w:rPr>
          <w:color w:val="000000"/>
          <w:sz w:val="22"/>
          <w:szCs w:val="22"/>
          <w:lang w:val="cs-CZ"/>
        </w:rPr>
        <w:t>% kompletní) a velké cytogenetické odpovědi ve 23</w:t>
      </w:r>
      <w:r w:rsidR="0067324A" w:rsidRPr="009B1A37">
        <w:rPr>
          <w:color w:val="000000"/>
          <w:sz w:val="22"/>
          <w:szCs w:val="22"/>
          <w:lang w:val="cs-CZ"/>
        </w:rPr>
        <w:t> </w:t>
      </w:r>
      <w:r w:rsidRPr="009B1A37">
        <w:rPr>
          <w:color w:val="000000"/>
          <w:sz w:val="22"/>
          <w:szCs w:val="22"/>
          <w:lang w:val="cs-CZ"/>
        </w:rPr>
        <w:t>%. (Upozornění – z celkového počtu 411 pacientů bylo 353 pacientů léčeno v rámci programu rozšířeného přístupu k léčbě bez sběru dat primární odpovědi)</w:t>
      </w:r>
      <w:r w:rsidR="00F87E46" w:rsidRPr="009B1A37">
        <w:rPr>
          <w:color w:val="000000"/>
          <w:sz w:val="22"/>
          <w:szCs w:val="22"/>
          <w:lang w:val="cs-CZ"/>
        </w:rPr>
        <w:t>.</w:t>
      </w:r>
      <w:r w:rsidRPr="009B1A37">
        <w:rPr>
          <w:color w:val="000000"/>
          <w:sz w:val="22"/>
          <w:szCs w:val="22"/>
          <w:lang w:val="cs-CZ"/>
        </w:rPr>
        <w:t xml:space="preserve"> Medián trvání doby do progrese u celkové populace 411 pacientů s recidivující/refrakterní Ph+ </w:t>
      </w:r>
      <w:smartTag w:uri="urn:schemas-microsoft-com:office:smarttags" w:element="stockticker">
        <w:r w:rsidRPr="009B1A37">
          <w:rPr>
            <w:color w:val="000000"/>
            <w:sz w:val="22"/>
            <w:szCs w:val="22"/>
            <w:lang w:val="cs-CZ"/>
          </w:rPr>
          <w:t>ALL</w:t>
        </w:r>
      </w:smartTag>
      <w:r w:rsidRPr="009B1A37">
        <w:rPr>
          <w:color w:val="000000"/>
          <w:sz w:val="22"/>
          <w:szCs w:val="22"/>
          <w:lang w:val="cs-CZ"/>
        </w:rPr>
        <w:t xml:space="preserve"> byl v rozmezí mezi 2,6 až 3,1 měsíců, medián doby celkového přežití u 401 hodnotitelných pacientů byl v rozmezí od 4,9 do 9 měsíců. Údaje byly podobné, když byly znovu analyzovány po zahrnutí pouze pacientů ve věku 55 let a starších.</w:t>
      </w:r>
    </w:p>
    <w:p w14:paraId="5AE06B8F" w14:textId="77777777" w:rsidR="00D97A44" w:rsidRPr="009B1A37" w:rsidRDefault="00D97A44" w:rsidP="00BE3D48">
      <w:pPr>
        <w:pStyle w:val="EndnoteText"/>
        <w:widowControl w:val="0"/>
        <w:tabs>
          <w:tab w:val="clear" w:pos="567"/>
        </w:tabs>
        <w:rPr>
          <w:color w:val="000000"/>
        </w:rPr>
      </w:pPr>
    </w:p>
    <w:p w14:paraId="6E8B2656" w14:textId="77777777" w:rsidR="00D97A44" w:rsidRPr="009B1A37" w:rsidRDefault="00D97A44" w:rsidP="00BE3D48">
      <w:pPr>
        <w:pStyle w:val="EndnoteText"/>
        <w:keepNext/>
        <w:widowControl w:val="0"/>
        <w:rPr>
          <w:color w:val="000000"/>
        </w:rPr>
      </w:pPr>
      <w:r w:rsidRPr="009B1A37">
        <w:rPr>
          <w:color w:val="000000"/>
          <w:u w:val="single"/>
        </w:rPr>
        <w:t xml:space="preserve">Klinické studie u </w:t>
      </w:r>
      <w:smartTag w:uri="urn:schemas-microsoft-com:office:smarttags" w:element="stockticker">
        <w:r w:rsidRPr="009B1A37">
          <w:rPr>
            <w:color w:val="000000"/>
            <w:u w:val="single"/>
          </w:rPr>
          <w:t>MDS</w:t>
        </w:r>
      </w:smartTag>
      <w:r w:rsidRPr="009B1A37">
        <w:rPr>
          <w:color w:val="000000"/>
          <w:u w:val="single"/>
        </w:rPr>
        <w:t>/MPD</w:t>
      </w:r>
    </w:p>
    <w:p w14:paraId="6B4AA5D4" w14:textId="77777777" w:rsidR="00D21715" w:rsidRPr="009B1A37" w:rsidRDefault="00D97A44" w:rsidP="00BE3D48">
      <w:pPr>
        <w:pStyle w:val="EndnoteText"/>
        <w:widowControl w:val="0"/>
        <w:rPr>
          <w:color w:val="000000"/>
        </w:rPr>
      </w:pPr>
      <w:r w:rsidRPr="009B1A37">
        <w:rPr>
          <w:color w:val="000000"/>
        </w:rPr>
        <w:t xml:space="preserve">Zkušenosti s Glivecem v této indikaci jsou velmi omezené a jsou založené na míře hematologické a cytogenetické odpovědi. Neexistují žádné kontrolované studie, které by prokázaly klinický prospěch nebo zvýšené přežití. </w:t>
      </w:r>
      <w:r w:rsidRPr="009B1A37">
        <w:rPr>
          <w:rFonts w:eastAsia="MS Mincho"/>
          <w:color w:val="000000"/>
        </w:rPr>
        <w:t>V otevřené, multicentrické klinické studii fáze II (stud</w:t>
      </w:r>
      <w:r w:rsidR="00F87E46" w:rsidRPr="009B1A37">
        <w:rPr>
          <w:rFonts w:eastAsia="MS Mincho"/>
          <w:color w:val="000000"/>
        </w:rPr>
        <w:t>ie</w:t>
      </w:r>
      <w:r w:rsidRPr="009B1A37">
        <w:rPr>
          <w:rFonts w:eastAsia="MS Mincho"/>
          <w:color w:val="000000"/>
        </w:rPr>
        <w:t xml:space="preserve"> B2225) byl Glivec zkoušen u různých populací pacientů s život ohrožujícími onemocněními</w:t>
      </w:r>
      <w:r w:rsidR="00850525" w:rsidRPr="009B1A37">
        <w:rPr>
          <w:rFonts w:eastAsia="MS Mincho"/>
          <w:color w:val="000000"/>
        </w:rPr>
        <w:t xml:space="preserve"> spojenými </w:t>
      </w:r>
      <w:r w:rsidRPr="009B1A37">
        <w:rPr>
          <w:rFonts w:eastAsia="MS Mincho"/>
          <w:color w:val="000000"/>
        </w:rPr>
        <w:t>s</w:t>
      </w:r>
      <w:r w:rsidR="00822069" w:rsidRPr="009B1A37">
        <w:rPr>
          <w:color w:val="000000"/>
        </w:rPr>
        <w:t> </w:t>
      </w:r>
      <w:r w:rsidRPr="009B1A37">
        <w:rPr>
          <w:rFonts w:eastAsia="MS Mincho"/>
          <w:color w:val="000000"/>
        </w:rPr>
        <w:t>aktivitou Abl, Kit nebo PDGFR tyrosinkináz.</w:t>
      </w:r>
      <w:r w:rsidRPr="009B1A37">
        <w:rPr>
          <w:color w:val="000000"/>
        </w:rPr>
        <w:t xml:space="preserve"> Do této studie bylo zařazeno 7 pacientů s </w:t>
      </w:r>
      <w:smartTag w:uri="urn:schemas-microsoft-com:office:smarttags" w:element="stockticker">
        <w:r w:rsidRPr="009B1A37">
          <w:rPr>
            <w:color w:val="000000"/>
          </w:rPr>
          <w:t>MDS</w:t>
        </w:r>
      </w:smartTag>
      <w:r w:rsidRPr="009B1A37">
        <w:rPr>
          <w:color w:val="000000"/>
        </w:rPr>
        <w:t>/MPD, kteří byli léčeni Glivecem 400 mg denně. U tří pacientů byla přítomna kompletní hematologická odpověď (</w:t>
      </w:r>
      <w:smartTag w:uri="urn:schemas-microsoft-com:office:smarttags" w:element="stockticker">
        <w:r w:rsidRPr="009B1A37">
          <w:rPr>
            <w:color w:val="000000"/>
          </w:rPr>
          <w:t>CHR</w:t>
        </w:r>
      </w:smartTag>
      <w:r w:rsidRPr="009B1A37">
        <w:rPr>
          <w:color w:val="000000"/>
        </w:rPr>
        <w:t>) a jeden pacient dosáhl parciální hematologické odpovědi (</w:t>
      </w:r>
      <w:smartTag w:uri="urn:schemas-microsoft-com:office:smarttags" w:element="stockticker">
        <w:r w:rsidRPr="009B1A37">
          <w:rPr>
            <w:color w:val="000000"/>
          </w:rPr>
          <w:t>PHR</w:t>
        </w:r>
      </w:smartTag>
      <w:r w:rsidRPr="009B1A37">
        <w:rPr>
          <w:color w:val="000000"/>
        </w:rPr>
        <w:t>). V době původní analýzy tři ze čtyř pacientů s</w:t>
      </w:r>
      <w:r w:rsidR="00822069" w:rsidRPr="009B1A37">
        <w:rPr>
          <w:color w:val="000000"/>
        </w:rPr>
        <w:t> </w:t>
      </w:r>
      <w:r w:rsidRPr="009B1A37">
        <w:rPr>
          <w:color w:val="000000"/>
        </w:rPr>
        <w:t>detekovanými mutacemi genu PDGFR dosáhli hematologické odpovědi (2 </w:t>
      </w:r>
      <w:smartTag w:uri="urn:schemas-microsoft-com:office:smarttags" w:element="stockticker">
        <w:r w:rsidRPr="009B1A37">
          <w:rPr>
            <w:color w:val="000000"/>
          </w:rPr>
          <w:t>CHR</w:t>
        </w:r>
      </w:smartTag>
      <w:r w:rsidRPr="009B1A37">
        <w:rPr>
          <w:color w:val="000000"/>
        </w:rPr>
        <w:t xml:space="preserve"> a 1 </w:t>
      </w:r>
      <w:smartTag w:uri="urn:schemas-microsoft-com:office:smarttags" w:element="stockticker">
        <w:r w:rsidRPr="009B1A37">
          <w:rPr>
            <w:color w:val="000000"/>
          </w:rPr>
          <w:t>PHR</w:t>
        </w:r>
      </w:smartTag>
      <w:r w:rsidRPr="009B1A37">
        <w:rPr>
          <w:color w:val="000000"/>
        </w:rPr>
        <w:t>). Věk těchto pacientů byl v rozmezí od 20 do 72 let.</w:t>
      </w:r>
    </w:p>
    <w:p w14:paraId="29C8A822" w14:textId="77777777" w:rsidR="00D21715" w:rsidRPr="009B1A37" w:rsidRDefault="00D21715" w:rsidP="00BE3D48">
      <w:pPr>
        <w:pStyle w:val="EndnoteText"/>
        <w:widowControl w:val="0"/>
        <w:rPr>
          <w:color w:val="000000"/>
        </w:rPr>
      </w:pPr>
    </w:p>
    <w:p w14:paraId="11E6EC68" w14:textId="77777777" w:rsidR="00D21715" w:rsidRPr="009B1A37" w:rsidRDefault="006B0127" w:rsidP="00BE3D48">
      <w:pPr>
        <w:pStyle w:val="EndnoteText"/>
        <w:widowControl w:val="0"/>
      </w:pPr>
      <w:r w:rsidRPr="009B1A37">
        <w:rPr>
          <w:color w:val="000000"/>
        </w:rPr>
        <w:t>Observační registr (studie L2401) byl proveden</w:t>
      </w:r>
      <w:r w:rsidR="00D21715" w:rsidRPr="009B1A37">
        <w:rPr>
          <w:color w:val="000000"/>
        </w:rPr>
        <w:t xml:space="preserve"> s cílem shromáždit </w:t>
      </w:r>
      <w:r w:rsidRPr="009B1A37">
        <w:rPr>
          <w:color w:val="000000"/>
        </w:rPr>
        <w:t xml:space="preserve">data týkající se </w:t>
      </w:r>
      <w:r w:rsidR="00D21715" w:rsidRPr="009B1A37">
        <w:rPr>
          <w:color w:val="000000"/>
        </w:rPr>
        <w:t xml:space="preserve">dlouhodobé </w:t>
      </w:r>
      <w:r w:rsidRPr="009B1A37">
        <w:rPr>
          <w:color w:val="000000"/>
        </w:rPr>
        <w:t xml:space="preserve">bezpečnosti a účinnosti </w:t>
      </w:r>
      <w:r w:rsidR="005C41D1" w:rsidRPr="009B1A37">
        <w:rPr>
          <w:color w:val="000000"/>
        </w:rPr>
        <w:t xml:space="preserve">u pacientů trpících </w:t>
      </w:r>
      <w:r w:rsidR="00B948B9" w:rsidRPr="009B1A37">
        <w:rPr>
          <w:color w:val="000000"/>
        </w:rPr>
        <w:t>myeloproliferativní</w:t>
      </w:r>
      <w:r w:rsidR="005C41D1" w:rsidRPr="009B1A37">
        <w:rPr>
          <w:color w:val="000000"/>
        </w:rPr>
        <w:t>m</w:t>
      </w:r>
      <w:r w:rsidR="00B948B9" w:rsidRPr="009B1A37">
        <w:rPr>
          <w:color w:val="000000"/>
        </w:rPr>
        <w:t xml:space="preserve"> onemocnění</w:t>
      </w:r>
      <w:r w:rsidR="005C41D1" w:rsidRPr="009B1A37">
        <w:rPr>
          <w:color w:val="000000"/>
        </w:rPr>
        <w:t>m</w:t>
      </w:r>
      <w:r w:rsidR="00883701" w:rsidRPr="009B1A37">
        <w:rPr>
          <w:color w:val="000000"/>
        </w:rPr>
        <w:t xml:space="preserve"> s přestavbou </w:t>
      </w:r>
      <w:r w:rsidR="00B948B9" w:rsidRPr="009B1A37">
        <w:rPr>
          <w:color w:val="000000"/>
        </w:rPr>
        <w:t>PDGFR</w:t>
      </w:r>
      <w:r w:rsidR="005C41D1" w:rsidRPr="009B1A37">
        <w:rPr>
          <w:rFonts w:eastAsia="TimesNewRoman"/>
        </w:rPr>
        <w:t>- β</w:t>
      </w:r>
      <w:r w:rsidR="00883701" w:rsidRPr="009B1A37">
        <w:t xml:space="preserve">, </w:t>
      </w:r>
      <w:r w:rsidR="00D21715" w:rsidRPr="009B1A37">
        <w:t>kteří byli léčeni přípravkem Glivec. Všec</w:t>
      </w:r>
      <w:r w:rsidR="00033523" w:rsidRPr="009B1A37">
        <w:t>h 23</w:t>
      </w:r>
      <w:r w:rsidR="003C28EB" w:rsidRPr="009B1A37">
        <w:t> </w:t>
      </w:r>
      <w:r w:rsidR="00033523" w:rsidRPr="009B1A37">
        <w:t xml:space="preserve">pacientů zařazených do </w:t>
      </w:r>
      <w:r w:rsidR="00D21715" w:rsidRPr="009B1A37">
        <w:t xml:space="preserve">registru bylo léčeno </w:t>
      </w:r>
      <w:r w:rsidR="00B82A98" w:rsidRPr="009B1A37">
        <w:t>přípravkem Glivec s mediánem denní dávky 264</w:t>
      </w:r>
      <w:r w:rsidR="003C28EB" w:rsidRPr="009B1A37">
        <w:t> </w:t>
      </w:r>
      <w:r w:rsidR="00B82A98" w:rsidRPr="009B1A37">
        <w:t xml:space="preserve">mg (rozmezí: 100 až </w:t>
      </w:r>
      <w:r w:rsidR="00D21715" w:rsidRPr="009B1A37">
        <w:t>400</w:t>
      </w:r>
      <w:r w:rsidR="003C28EB" w:rsidRPr="009B1A37">
        <w:t> </w:t>
      </w:r>
      <w:r w:rsidR="00D21715" w:rsidRPr="009B1A37">
        <w:t xml:space="preserve">mg) </w:t>
      </w:r>
      <w:r w:rsidR="00033523" w:rsidRPr="009B1A37">
        <w:t xml:space="preserve">v </w:t>
      </w:r>
      <w:r w:rsidR="00D21715" w:rsidRPr="009B1A37">
        <w:t>průměru po dobu 7,2</w:t>
      </w:r>
      <w:r w:rsidR="003C28EB" w:rsidRPr="009B1A37">
        <w:t> </w:t>
      </w:r>
      <w:r w:rsidR="00D21715" w:rsidRPr="009B1A37">
        <w:t>let (rozmezí 0,1 až 12,7</w:t>
      </w:r>
      <w:r w:rsidR="003C28EB" w:rsidRPr="009B1A37">
        <w:t> </w:t>
      </w:r>
      <w:r w:rsidR="00D21715" w:rsidRPr="009B1A37">
        <w:t>let). Vzhledem k</w:t>
      </w:r>
      <w:r w:rsidR="00883701" w:rsidRPr="009B1A37">
        <w:t xml:space="preserve"> observační </w:t>
      </w:r>
      <w:r w:rsidR="00F66E98" w:rsidRPr="009B1A37">
        <w:t>povaze</w:t>
      </w:r>
      <w:r w:rsidR="00883701" w:rsidRPr="009B1A37">
        <w:t xml:space="preserve"> registru </w:t>
      </w:r>
      <w:r w:rsidR="00F66E98" w:rsidRPr="009B1A37">
        <w:t>byly k</w:t>
      </w:r>
      <w:r w:rsidR="00F1621D" w:rsidRPr="009B1A37">
        <w:t> </w:t>
      </w:r>
      <w:r w:rsidR="00F66E98" w:rsidRPr="009B1A37">
        <w:t>dispozici</w:t>
      </w:r>
      <w:r w:rsidR="00F1621D" w:rsidRPr="009B1A37">
        <w:t xml:space="preserve"> </w:t>
      </w:r>
      <w:r w:rsidR="00F66E98" w:rsidRPr="009B1A37">
        <w:t xml:space="preserve">hodnoty </w:t>
      </w:r>
      <w:r w:rsidR="00D21715" w:rsidRPr="009B1A37">
        <w:t>hematologické</w:t>
      </w:r>
      <w:r w:rsidR="00213F08" w:rsidRPr="009B1A37">
        <w:t xml:space="preserve"> získané od 22</w:t>
      </w:r>
      <w:r w:rsidR="00D21715" w:rsidRPr="009B1A37">
        <w:t>, cyto</w:t>
      </w:r>
      <w:r w:rsidR="00F66E98" w:rsidRPr="009B1A37">
        <w:t xml:space="preserve">genetické </w:t>
      </w:r>
      <w:r w:rsidR="00213F08" w:rsidRPr="009B1A37">
        <w:t xml:space="preserve">od 9 </w:t>
      </w:r>
      <w:r w:rsidR="00F66E98" w:rsidRPr="009B1A37">
        <w:t>a molekulární</w:t>
      </w:r>
      <w:r w:rsidR="00F1621D" w:rsidRPr="009B1A37">
        <w:t xml:space="preserve"> </w:t>
      </w:r>
      <w:r w:rsidR="00213F08" w:rsidRPr="009B1A37">
        <w:t xml:space="preserve">od </w:t>
      </w:r>
      <w:r w:rsidR="00F66E98" w:rsidRPr="009B1A37">
        <w:t>17</w:t>
      </w:r>
      <w:r w:rsidR="00883701" w:rsidRPr="009B1A37">
        <w:t xml:space="preserve"> z </w:t>
      </w:r>
      <w:r w:rsidR="00F66E98" w:rsidRPr="009B1A37">
        <w:t>23</w:t>
      </w:r>
      <w:r w:rsidR="003C28EB" w:rsidRPr="009B1A37">
        <w:t> </w:t>
      </w:r>
      <w:r w:rsidR="00F66E98" w:rsidRPr="009B1A37">
        <w:t>zařazených pacientů</w:t>
      </w:r>
      <w:r w:rsidR="008E0162" w:rsidRPr="009B1A37">
        <w:t xml:space="preserve">. </w:t>
      </w:r>
      <w:r w:rsidR="00F34361" w:rsidRPr="009B1A37">
        <w:t xml:space="preserve">Za </w:t>
      </w:r>
      <w:r w:rsidR="00883701" w:rsidRPr="009B1A37">
        <w:t xml:space="preserve">konzervativního </w:t>
      </w:r>
      <w:r w:rsidR="00F34361" w:rsidRPr="009B1A37">
        <w:t xml:space="preserve">předpokladu, </w:t>
      </w:r>
      <w:r w:rsidR="00D21715" w:rsidRPr="009B1A37">
        <w:t>že pacie</w:t>
      </w:r>
      <w:r w:rsidR="008E0162" w:rsidRPr="009B1A37">
        <w:t xml:space="preserve">nti s chybějícími údaji byli pacienti neodpovídající </w:t>
      </w:r>
      <w:r w:rsidR="00883701" w:rsidRPr="009B1A37">
        <w:t xml:space="preserve">na </w:t>
      </w:r>
      <w:r w:rsidR="008E0162" w:rsidRPr="009B1A37">
        <w:t>léčb</w:t>
      </w:r>
      <w:r w:rsidR="00883701" w:rsidRPr="009B1A37">
        <w:t>u</w:t>
      </w:r>
      <w:r w:rsidR="00D21715" w:rsidRPr="009B1A37">
        <w:t>, CHR byla pozorována u 20/23 (87</w:t>
      </w:r>
      <w:r w:rsidR="003C28EB" w:rsidRPr="009B1A37">
        <w:t> </w:t>
      </w:r>
      <w:r w:rsidR="0002343B" w:rsidRPr="009B1A37">
        <w:t>%) pacientů, CCyR u</w:t>
      </w:r>
      <w:r w:rsidR="00D21715" w:rsidRPr="009B1A37">
        <w:t xml:space="preserve"> 9/23 (39,1</w:t>
      </w:r>
      <w:r w:rsidR="003C28EB" w:rsidRPr="009B1A37">
        <w:t> </w:t>
      </w:r>
      <w:r w:rsidR="0002343B" w:rsidRPr="009B1A37">
        <w:t xml:space="preserve">%) pacientů a MR u </w:t>
      </w:r>
      <w:r w:rsidR="00D21715" w:rsidRPr="009B1A37">
        <w:t>11/23 (47,8</w:t>
      </w:r>
      <w:r w:rsidR="003C28EB" w:rsidRPr="009B1A37">
        <w:t> </w:t>
      </w:r>
      <w:r w:rsidR="00D21715" w:rsidRPr="009B1A37">
        <w:t>%</w:t>
      </w:r>
      <w:r w:rsidR="0002343B" w:rsidRPr="009B1A37">
        <w:t xml:space="preserve">) pacientů. </w:t>
      </w:r>
      <w:r w:rsidR="007125AA" w:rsidRPr="009B1A37">
        <w:t>Jel</w:t>
      </w:r>
      <w:r w:rsidR="00A757D0" w:rsidRPr="009B1A37">
        <w:t>i míra odpovědi vztažena na pacienty</w:t>
      </w:r>
      <w:r w:rsidR="00D21715" w:rsidRPr="009B1A37">
        <w:t xml:space="preserve"> s a</w:t>
      </w:r>
      <w:r w:rsidR="007125AA" w:rsidRPr="009B1A37">
        <w:t xml:space="preserve">lespoň jedním platným </w:t>
      </w:r>
      <w:r w:rsidR="00A757D0" w:rsidRPr="009B1A37">
        <w:t>údajem</w:t>
      </w:r>
      <w:r w:rsidR="00D21715" w:rsidRPr="009B1A37">
        <w:t>, če</w:t>
      </w:r>
      <w:r w:rsidR="007125AA" w:rsidRPr="009B1A37">
        <w:t>tnost odpovědí</w:t>
      </w:r>
      <w:r w:rsidR="00A757D0" w:rsidRPr="009B1A37">
        <w:t xml:space="preserve"> pro CHR</w:t>
      </w:r>
      <w:r w:rsidR="00213F08" w:rsidRPr="009B1A37">
        <w:t xml:space="preserve"> je 20/22 (90,9 %)</w:t>
      </w:r>
      <w:r w:rsidR="00A757D0" w:rsidRPr="009B1A37">
        <w:t xml:space="preserve">, </w:t>
      </w:r>
      <w:r w:rsidR="00213F08" w:rsidRPr="009B1A37">
        <w:t xml:space="preserve">pro </w:t>
      </w:r>
      <w:r w:rsidR="00A757D0" w:rsidRPr="009B1A37">
        <w:t xml:space="preserve">CCyR </w:t>
      </w:r>
      <w:r w:rsidR="00213F08" w:rsidRPr="009B1A37">
        <w:t xml:space="preserve">9/9 (100 %) </w:t>
      </w:r>
      <w:r w:rsidR="00A757D0" w:rsidRPr="009B1A37">
        <w:t xml:space="preserve">a </w:t>
      </w:r>
      <w:r w:rsidR="00213F08" w:rsidRPr="009B1A37">
        <w:t xml:space="preserve">pro </w:t>
      </w:r>
      <w:r w:rsidR="00A757D0" w:rsidRPr="009B1A37">
        <w:t xml:space="preserve">MR </w:t>
      </w:r>
      <w:r w:rsidR="00D21715" w:rsidRPr="009B1A37">
        <w:t>11/17 (64,7</w:t>
      </w:r>
      <w:r w:rsidR="003C28EB" w:rsidRPr="009B1A37">
        <w:t> </w:t>
      </w:r>
      <w:r w:rsidR="007125AA" w:rsidRPr="009B1A37">
        <w:t>%).</w:t>
      </w:r>
    </w:p>
    <w:p w14:paraId="63081344" w14:textId="77777777" w:rsidR="00D21715" w:rsidRPr="009B1A37" w:rsidRDefault="00D21715" w:rsidP="00BE3D48">
      <w:pPr>
        <w:pStyle w:val="EndnoteText"/>
        <w:widowControl w:val="0"/>
      </w:pPr>
    </w:p>
    <w:p w14:paraId="47D80E77" w14:textId="77777777" w:rsidR="00D97A44" w:rsidRPr="009B1A37" w:rsidRDefault="00D97A44" w:rsidP="00BE3D48">
      <w:pPr>
        <w:pStyle w:val="EndnoteText"/>
        <w:widowControl w:val="0"/>
        <w:rPr>
          <w:color w:val="000000"/>
          <w:u w:val="single"/>
        </w:rPr>
      </w:pPr>
      <w:r w:rsidRPr="009B1A37">
        <w:t>Ve 13 publikacích bylo hlášeno dalších 24 pacientů s </w:t>
      </w:r>
      <w:smartTag w:uri="urn:schemas-microsoft-com:office:smarttags" w:element="stockticker">
        <w:r w:rsidRPr="009B1A37">
          <w:t>MDS</w:t>
        </w:r>
      </w:smartTag>
      <w:r w:rsidRPr="009B1A37">
        <w:t>/MPD. 21 pacientů bylo léčeno Glivecem 400 mg denně, zatímco další 3 pacienti byli léčeni nižšími</w:t>
      </w:r>
      <w:r w:rsidRPr="009B1A37">
        <w:rPr>
          <w:color w:val="000000"/>
        </w:rPr>
        <w:t xml:space="preserve"> dávkami. U 11 pacientů byla zjištěna změna genu PDGFR, 9 z nich dosáhlo </w:t>
      </w:r>
      <w:smartTag w:uri="urn:schemas-microsoft-com:office:smarttags" w:element="stockticker">
        <w:r w:rsidRPr="009B1A37">
          <w:rPr>
            <w:color w:val="000000"/>
          </w:rPr>
          <w:t>CHR</w:t>
        </w:r>
      </w:smartTag>
      <w:r w:rsidRPr="009B1A37">
        <w:rPr>
          <w:color w:val="000000"/>
        </w:rPr>
        <w:t xml:space="preserve"> a 1 </w:t>
      </w:r>
      <w:smartTag w:uri="urn:schemas-microsoft-com:office:smarttags" w:element="stockticker">
        <w:r w:rsidRPr="009B1A37">
          <w:rPr>
            <w:color w:val="000000"/>
          </w:rPr>
          <w:t>PHR</w:t>
        </w:r>
      </w:smartTag>
      <w:r w:rsidRPr="009B1A37">
        <w:rPr>
          <w:color w:val="000000"/>
        </w:rPr>
        <w:t>. Věk těchto pacientů byl v rozmezí od 2 do 79 let. V poslední uveřejněné aktualizované informaci bylo uvedeno, že 6 z těchto 11 pacientů zůstalo v cytogenetické remisi (v rozmezí 32</w:t>
      </w:r>
      <w:r w:rsidRPr="009B1A37">
        <w:rPr>
          <w:color w:val="000000"/>
        </w:rPr>
        <w:noBreakHyphen/>
        <w:t>38 měsíců). Ve stejné publikaci byly uvedeny údaje dlouhodobého sledování 12 pacientů s </w:t>
      </w:r>
      <w:smartTag w:uri="urn:schemas-microsoft-com:office:smarttags" w:element="stockticker">
        <w:r w:rsidRPr="009B1A37">
          <w:rPr>
            <w:color w:val="000000"/>
          </w:rPr>
          <w:t>MDS</w:t>
        </w:r>
      </w:smartTag>
      <w:r w:rsidRPr="009B1A37">
        <w:rPr>
          <w:color w:val="000000"/>
        </w:rPr>
        <w:t>/MPD s</w:t>
      </w:r>
      <w:r w:rsidR="00822069" w:rsidRPr="009B1A37">
        <w:rPr>
          <w:color w:val="000000"/>
        </w:rPr>
        <w:t> </w:t>
      </w:r>
      <w:r w:rsidRPr="009B1A37">
        <w:rPr>
          <w:color w:val="000000"/>
        </w:rPr>
        <w:t xml:space="preserve">mutací genu PDGFR (5 pacientů ze studie B2225). Tito pacienti byli léčeni Glivecem v mediánu 47 měsíců (v rozmezí 24 dnů – 60 měsíců). U 6 pacientů přesáhlo nyní sledování 4 roky. Jedenáct pacientů dosáhlo rychlé </w:t>
      </w:r>
      <w:smartTag w:uri="urn:schemas-microsoft-com:office:smarttags" w:element="stockticker">
        <w:r w:rsidRPr="009B1A37">
          <w:rPr>
            <w:color w:val="000000"/>
          </w:rPr>
          <w:t>CHR</w:t>
        </w:r>
      </w:smartTag>
      <w:r w:rsidRPr="009B1A37">
        <w:rPr>
          <w:color w:val="000000"/>
        </w:rPr>
        <w:t xml:space="preserve">; deset dosáhlo kompletního </w:t>
      </w:r>
      <w:r w:rsidR="0070634B" w:rsidRPr="009B1A37">
        <w:rPr>
          <w:color w:val="000000"/>
        </w:rPr>
        <w:t>vymizení</w:t>
      </w:r>
      <w:r w:rsidRPr="009B1A37">
        <w:rPr>
          <w:color w:val="000000"/>
        </w:rPr>
        <w:t xml:space="preserve"> cytogenetických abnormalit a dle měření RT-</w:t>
      </w:r>
      <w:smartTag w:uri="urn:schemas-microsoft-com:office:smarttags" w:element="stockticker">
        <w:r w:rsidRPr="009B1A37">
          <w:rPr>
            <w:color w:val="000000"/>
          </w:rPr>
          <w:t>PCR</w:t>
        </w:r>
      </w:smartTag>
      <w:r w:rsidRPr="009B1A37">
        <w:rPr>
          <w:color w:val="000000"/>
        </w:rPr>
        <w:t xml:space="preserve"> snížení nebo vymizení fúzních transkriptů. Hematologické odpovědi byly zachovány v mediánu 49 měsíců (v rozmezí 19</w:t>
      </w:r>
      <w:r w:rsidRPr="009B1A37">
        <w:rPr>
          <w:color w:val="000000"/>
        </w:rPr>
        <w:noBreakHyphen/>
        <w:t>60) a cytogenetické odpovědi v</w:t>
      </w:r>
      <w:r w:rsidR="00AA261A" w:rsidRPr="009B1A37">
        <w:rPr>
          <w:color w:val="000000"/>
        </w:rPr>
        <w:t> </w:t>
      </w:r>
      <w:r w:rsidRPr="009B1A37">
        <w:rPr>
          <w:color w:val="000000"/>
        </w:rPr>
        <w:t>mediánu 47 měsíců (v rozmezí 16</w:t>
      </w:r>
      <w:r w:rsidRPr="009B1A37">
        <w:rPr>
          <w:color w:val="000000"/>
        </w:rPr>
        <w:noBreakHyphen/>
        <w:t>59). Celkové přežití bylo 65 měsíců od stanovení diagnózy (v rozmezí 25</w:t>
      </w:r>
      <w:r w:rsidRPr="009B1A37">
        <w:rPr>
          <w:color w:val="000000"/>
        </w:rPr>
        <w:noBreakHyphen/>
        <w:t>234). Podávání Glivecu pacientům bez genetické translokace obecně nevede k žádnému zlepšení.</w:t>
      </w:r>
    </w:p>
    <w:p w14:paraId="46AFC140" w14:textId="77777777" w:rsidR="005B1B32" w:rsidRPr="009B1A37" w:rsidRDefault="005B1B32" w:rsidP="00BE3D48">
      <w:pPr>
        <w:pStyle w:val="EndnoteText"/>
        <w:widowControl w:val="0"/>
        <w:tabs>
          <w:tab w:val="clear" w:pos="567"/>
        </w:tabs>
        <w:rPr>
          <w:color w:val="000000"/>
        </w:rPr>
      </w:pPr>
    </w:p>
    <w:p w14:paraId="5F957BCE" w14:textId="77777777" w:rsidR="005B1B32" w:rsidRPr="009B1A37" w:rsidRDefault="005E6D29" w:rsidP="00BE3D48">
      <w:pPr>
        <w:pStyle w:val="EndnoteText"/>
        <w:widowControl w:val="0"/>
        <w:tabs>
          <w:tab w:val="clear" w:pos="567"/>
        </w:tabs>
        <w:rPr>
          <w:color w:val="000000"/>
        </w:rPr>
      </w:pPr>
      <w:r w:rsidRPr="009B1A37">
        <w:rPr>
          <w:color w:val="000000"/>
        </w:rPr>
        <w:t>U pediatrických pacientů s MDS/MPD nebyly proveden</w:t>
      </w:r>
      <w:r w:rsidR="001A3FBE" w:rsidRPr="009B1A37">
        <w:rPr>
          <w:color w:val="000000"/>
        </w:rPr>
        <w:t>y</w:t>
      </w:r>
      <w:r w:rsidRPr="009B1A37">
        <w:rPr>
          <w:color w:val="000000"/>
        </w:rPr>
        <w:t xml:space="preserve"> kontrolované</w:t>
      </w:r>
      <w:r w:rsidR="005B1B32" w:rsidRPr="009B1A37">
        <w:rPr>
          <w:color w:val="000000"/>
        </w:rPr>
        <w:t xml:space="preserve"> </w:t>
      </w:r>
      <w:r w:rsidRPr="009B1A37">
        <w:rPr>
          <w:color w:val="000000"/>
        </w:rPr>
        <w:t>klinické studie</w:t>
      </w:r>
      <w:r w:rsidR="005B1B32" w:rsidRPr="009B1A37">
        <w:rPr>
          <w:color w:val="000000"/>
        </w:rPr>
        <w:t xml:space="preserve">. </w:t>
      </w:r>
      <w:r w:rsidRPr="009B1A37">
        <w:rPr>
          <w:color w:val="000000"/>
        </w:rPr>
        <w:t>Ve 4</w:t>
      </w:r>
      <w:r w:rsidR="00612B40" w:rsidRPr="009B1A37">
        <w:rPr>
          <w:color w:val="000000"/>
        </w:rPr>
        <w:t> </w:t>
      </w:r>
      <w:r w:rsidRPr="009B1A37">
        <w:rPr>
          <w:color w:val="000000"/>
        </w:rPr>
        <w:t xml:space="preserve">publikacích bylo hlášeno </w:t>
      </w:r>
      <w:r w:rsidR="00745BDF" w:rsidRPr="009B1A37">
        <w:rPr>
          <w:color w:val="000000"/>
        </w:rPr>
        <w:t>pět (</w:t>
      </w:r>
      <w:r w:rsidR="005B1B32" w:rsidRPr="009B1A37">
        <w:rPr>
          <w:color w:val="000000"/>
        </w:rPr>
        <w:t>5</w:t>
      </w:r>
      <w:r w:rsidR="00745BDF" w:rsidRPr="009B1A37">
        <w:rPr>
          <w:color w:val="000000"/>
        </w:rPr>
        <w:t xml:space="preserve">) </w:t>
      </w:r>
      <w:r w:rsidR="0044561A" w:rsidRPr="009B1A37">
        <w:rPr>
          <w:color w:val="000000"/>
        </w:rPr>
        <w:t>pacientů</w:t>
      </w:r>
      <w:r w:rsidR="005B1B32" w:rsidRPr="009B1A37">
        <w:rPr>
          <w:color w:val="000000"/>
        </w:rPr>
        <w:t xml:space="preserve"> </w:t>
      </w:r>
      <w:r w:rsidR="0044561A" w:rsidRPr="009B1A37">
        <w:rPr>
          <w:color w:val="000000"/>
        </w:rPr>
        <w:t>s </w:t>
      </w:r>
      <w:r w:rsidR="005B1B32" w:rsidRPr="009B1A37">
        <w:rPr>
          <w:color w:val="000000"/>
        </w:rPr>
        <w:t xml:space="preserve">MDS/MPD </w:t>
      </w:r>
      <w:r w:rsidR="0044561A" w:rsidRPr="009B1A37">
        <w:rPr>
          <w:color w:val="000000"/>
        </w:rPr>
        <w:t>spojený</w:t>
      </w:r>
      <w:r w:rsidR="00F226E7" w:rsidRPr="009B1A37">
        <w:rPr>
          <w:color w:val="000000"/>
        </w:rPr>
        <w:t>m</w:t>
      </w:r>
      <w:r w:rsidR="001A3FBE" w:rsidRPr="009B1A37">
        <w:rPr>
          <w:color w:val="000000"/>
        </w:rPr>
        <w:t>i</w:t>
      </w:r>
      <w:r w:rsidR="0044561A" w:rsidRPr="009B1A37">
        <w:rPr>
          <w:color w:val="000000"/>
        </w:rPr>
        <w:t xml:space="preserve"> </w:t>
      </w:r>
      <w:r w:rsidRPr="009B1A37">
        <w:rPr>
          <w:color w:val="000000"/>
        </w:rPr>
        <w:t>s</w:t>
      </w:r>
      <w:r w:rsidR="001A3FBE" w:rsidRPr="009B1A37">
        <w:rPr>
          <w:color w:val="000000"/>
        </w:rPr>
        <w:t> přestavbou</w:t>
      </w:r>
      <w:r w:rsidRPr="009B1A37">
        <w:rPr>
          <w:color w:val="000000"/>
        </w:rPr>
        <w:t xml:space="preserve"> genu </w:t>
      </w:r>
      <w:r w:rsidR="005B1B32" w:rsidRPr="009B1A37">
        <w:rPr>
          <w:color w:val="000000"/>
        </w:rPr>
        <w:t>PDGFR. Věk těchto pacientů se pohyboval v</w:t>
      </w:r>
      <w:r w:rsidR="0044561A" w:rsidRPr="009B1A37">
        <w:rPr>
          <w:color w:val="000000"/>
        </w:rPr>
        <w:t> </w:t>
      </w:r>
      <w:r w:rsidR="005B1B32" w:rsidRPr="009B1A37">
        <w:rPr>
          <w:color w:val="000000"/>
        </w:rPr>
        <w:t>rozmezí 3</w:t>
      </w:r>
      <w:r w:rsidR="00612B40" w:rsidRPr="009B1A37">
        <w:rPr>
          <w:color w:val="000000"/>
        </w:rPr>
        <w:t> </w:t>
      </w:r>
      <w:r w:rsidR="005B1B32" w:rsidRPr="009B1A37">
        <w:rPr>
          <w:color w:val="000000"/>
        </w:rPr>
        <w:t>měsíce až 4</w:t>
      </w:r>
      <w:r w:rsidR="00612B40" w:rsidRPr="009B1A37">
        <w:rPr>
          <w:color w:val="000000"/>
        </w:rPr>
        <w:t> </w:t>
      </w:r>
      <w:r w:rsidR="005B1B32" w:rsidRPr="009B1A37">
        <w:rPr>
          <w:color w:val="000000"/>
        </w:rPr>
        <w:t>roky a imatinib byl podáván v dáv</w:t>
      </w:r>
      <w:r w:rsidR="00745BDF" w:rsidRPr="009B1A37">
        <w:rPr>
          <w:color w:val="000000"/>
        </w:rPr>
        <w:t>ce</w:t>
      </w:r>
      <w:r w:rsidR="005B1B32" w:rsidRPr="009B1A37">
        <w:rPr>
          <w:color w:val="000000"/>
        </w:rPr>
        <w:t xml:space="preserve"> </w:t>
      </w:r>
      <w:r w:rsidR="00745BDF" w:rsidRPr="009B1A37">
        <w:rPr>
          <w:color w:val="000000"/>
        </w:rPr>
        <w:t>50 mg denně nebo v dávkách v</w:t>
      </w:r>
      <w:r w:rsidR="005B1B32" w:rsidRPr="009B1A37">
        <w:rPr>
          <w:color w:val="000000"/>
        </w:rPr>
        <w:t> rozmezí 92,5 až 340 mg/m</w:t>
      </w:r>
      <w:r w:rsidR="005B1B32" w:rsidRPr="009B1A37">
        <w:rPr>
          <w:color w:val="000000"/>
          <w:vertAlign w:val="superscript"/>
        </w:rPr>
        <w:t>2</w:t>
      </w:r>
      <w:r w:rsidR="005B1B32" w:rsidRPr="009B1A37">
        <w:rPr>
          <w:color w:val="000000"/>
        </w:rPr>
        <w:t xml:space="preserve"> denně. Všichni pacienti dosáhli kompletní hematologické </w:t>
      </w:r>
      <w:r w:rsidR="001A3FBE" w:rsidRPr="009B1A37">
        <w:rPr>
          <w:color w:val="000000"/>
        </w:rPr>
        <w:t>odpovědi</w:t>
      </w:r>
      <w:r w:rsidR="005B1B32" w:rsidRPr="009B1A37">
        <w:rPr>
          <w:color w:val="000000"/>
        </w:rPr>
        <w:t>, cytogenetické od</w:t>
      </w:r>
      <w:r w:rsidR="001A3FBE" w:rsidRPr="009B1A37">
        <w:rPr>
          <w:color w:val="000000"/>
        </w:rPr>
        <w:t>povědi</w:t>
      </w:r>
      <w:r w:rsidR="005B1B32" w:rsidRPr="009B1A37">
        <w:rPr>
          <w:color w:val="000000"/>
        </w:rPr>
        <w:t xml:space="preserve"> a/nebo klinické od</w:t>
      </w:r>
      <w:r w:rsidR="001A3FBE" w:rsidRPr="009B1A37">
        <w:rPr>
          <w:color w:val="000000"/>
        </w:rPr>
        <w:t>povědi</w:t>
      </w:r>
      <w:r w:rsidR="005B1B32" w:rsidRPr="009B1A37">
        <w:rPr>
          <w:color w:val="000000"/>
        </w:rPr>
        <w:t>.</w:t>
      </w:r>
    </w:p>
    <w:p w14:paraId="04BB7996" w14:textId="77777777" w:rsidR="00D97A44" w:rsidRPr="009B1A37" w:rsidRDefault="00D97A44" w:rsidP="00BE3D48">
      <w:pPr>
        <w:pStyle w:val="EndnoteText"/>
        <w:widowControl w:val="0"/>
        <w:rPr>
          <w:color w:val="000000"/>
          <w:u w:val="single"/>
        </w:rPr>
      </w:pPr>
    </w:p>
    <w:p w14:paraId="27342A9D" w14:textId="77777777" w:rsidR="00D97A44" w:rsidRPr="009B1A37" w:rsidRDefault="00D97A44" w:rsidP="00BE3D48">
      <w:pPr>
        <w:pStyle w:val="EndnoteText"/>
        <w:keepNext/>
        <w:widowControl w:val="0"/>
        <w:tabs>
          <w:tab w:val="clear" w:pos="567"/>
        </w:tabs>
        <w:rPr>
          <w:color w:val="000000"/>
          <w:u w:val="single"/>
        </w:rPr>
      </w:pPr>
      <w:r w:rsidRPr="009B1A37">
        <w:rPr>
          <w:color w:val="000000"/>
          <w:u w:val="single"/>
        </w:rPr>
        <w:t>Klinické studie u HES/</w:t>
      </w:r>
      <w:smartTag w:uri="urn:schemas-microsoft-com:office:smarttags" w:element="stockticker">
        <w:r w:rsidRPr="009B1A37">
          <w:rPr>
            <w:color w:val="000000"/>
            <w:u w:val="single"/>
          </w:rPr>
          <w:t>CEL</w:t>
        </w:r>
      </w:smartTag>
    </w:p>
    <w:p w14:paraId="17538894" w14:textId="77777777" w:rsidR="00D97A44" w:rsidRPr="009B1A37" w:rsidRDefault="00D97A44" w:rsidP="00BE3D48">
      <w:pPr>
        <w:pStyle w:val="Text"/>
        <w:widowControl w:val="0"/>
        <w:spacing w:before="0"/>
        <w:jc w:val="left"/>
        <w:rPr>
          <w:color w:val="000000"/>
          <w:sz w:val="22"/>
          <w:szCs w:val="22"/>
          <w:lang w:val="cs-CZ"/>
        </w:rPr>
      </w:pPr>
      <w:r w:rsidRPr="009B1A37">
        <w:rPr>
          <w:rFonts w:eastAsia="MS Mincho"/>
          <w:color w:val="000000"/>
          <w:sz w:val="22"/>
          <w:szCs w:val="22"/>
          <w:lang w:val="cs-CZ"/>
        </w:rPr>
        <w:t>V otevřené, multicentrické klinické studii fáze II (studie B2225) byl Glivec zkoušen u různých populací pacientů s život ohrožujícími onemocněními spojenými s</w:t>
      </w:r>
      <w:r w:rsidR="00AA261A" w:rsidRPr="009B1A37">
        <w:rPr>
          <w:color w:val="000000"/>
          <w:lang w:val="cs-CZ"/>
        </w:rPr>
        <w:t> </w:t>
      </w:r>
      <w:r w:rsidRPr="009B1A37">
        <w:rPr>
          <w:rFonts w:eastAsia="MS Mincho"/>
          <w:color w:val="000000"/>
          <w:sz w:val="22"/>
          <w:szCs w:val="22"/>
          <w:lang w:val="cs-CZ"/>
        </w:rPr>
        <w:t>aktivitou Abl, Kit nebo PDGFR tyrosinkináz. V této studii 14 pacientů s HES/</w:t>
      </w:r>
      <w:smartTag w:uri="urn:schemas-microsoft-com:office:smarttags" w:element="stockticker">
        <w:r w:rsidRPr="009B1A37">
          <w:rPr>
            <w:rFonts w:eastAsia="MS Mincho"/>
            <w:color w:val="000000"/>
            <w:sz w:val="22"/>
            <w:szCs w:val="22"/>
            <w:lang w:val="cs-CZ"/>
          </w:rPr>
          <w:t>CEL</w:t>
        </w:r>
      </w:smartTag>
      <w:r w:rsidRPr="009B1A37">
        <w:rPr>
          <w:rFonts w:eastAsia="MS Mincho"/>
          <w:color w:val="000000"/>
          <w:sz w:val="22"/>
          <w:szCs w:val="22"/>
          <w:lang w:val="cs-CZ"/>
        </w:rPr>
        <w:t xml:space="preserve"> bylo léčeno Glivecem 100 mg až 1 000 mg denně. Dalších 162 pacientů s HES/</w:t>
      </w:r>
      <w:smartTag w:uri="urn:schemas-microsoft-com:office:smarttags" w:element="stockticker">
        <w:r w:rsidRPr="009B1A37">
          <w:rPr>
            <w:rFonts w:eastAsia="MS Mincho"/>
            <w:color w:val="000000"/>
            <w:sz w:val="22"/>
            <w:szCs w:val="22"/>
            <w:lang w:val="cs-CZ"/>
          </w:rPr>
          <w:t>CEL</w:t>
        </w:r>
      </w:smartTag>
      <w:r w:rsidRPr="009B1A37">
        <w:rPr>
          <w:rFonts w:eastAsia="MS Mincho"/>
          <w:color w:val="000000"/>
          <w:sz w:val="22"/>
          <w:szCs w:val="22"/>
          <w:lang w:val="cs-CZ"/>
        </w:rPr>
        <w:t xml:space="preserve"> uvedených ve </w:t>
      </w:r>
      <w:r w:rsidRPr="009B1A37">
        <w:rPr>
          <w:color w:val="000000"/>
          <w:sz w:val="22"/>
          <w:szCs w:val="22"/>
          <w:lang w:val="cs-CZ"/>
        </w:rPr>
        <w:t xml:space="preserve">35 zveřejněných kazuistikách bylo léčeno Glivecem v dávkách 75 mg až 800 mg denně. Cytogenetické abnormality byly hodnoceny u 117 z celkové populace 176 pacientů. U 61 pacientů z těchto 117 byla zjištěna fúzní kináza FIP1L1-PDGFRα. Ve třech dalších publikovaných kazuistikách byli uvedeni čtyři pacienti s HES s pozitivní fúzní kinázou FIP1L1-PDGFRα. Všech 65 pacientů s pozitivní fúzní kinázou FIP1L1-PDGFRα dosáhlo </w:t>
      </w:r>
      <w:smartTag w:uri="urn:schemas-microsoft-com:office:smarttags" w:element="stockticker">
        <w:r w:rsidRPr="009B1A37">
          <w:rPr>
            <w:color w:val="000000"/>
            <w:sz w:val="22"/>
            <w:szCs w:val="22"/>
            <w:lang w:val="cs-CZ"/>
          </w:rPr>
          <w:t>CHR</w:t>
        </w:r>
      </w:smartTag>
      <w:r w:rsidRPr="009B1A37">
        <w:rPr>
          <w:color w:val="000000"/>
          <w:sz w:val="22"/>
          <w:szCs w:val="22"/>
          <w:lang w:val="cs-CZ"/>
        </w:rPr>
        <w:t>, která se udržela po dobu několika měsíců (v rozmezí 1+ až 44+ měsíců, cenzorováno v</w:t>
      </w:r>
      <w:r w:rsidRPr="009B1A37">
        <w:rPr>
          <w:color w:val="000000"/>
          <w:lang w:val="cs-CZ"/>
        </w:rPr>
        <w:t> </w:t>
      </w:r>
      <w:r w:rsidRPr="009B1A37">
        <w:rPr>
          <w:color w:val="000000"/>
          <w:sz w:val="22"/>
          <w:szCs w:val="22"/>
          <w:lang w:val="cs-CZ"/>
        </w:rPr>
        <w:t>době hlášení). Podle posledních publikovaných hlášení 21 z těchto 65 pacientů také dosáhlo kompletní molekulární remise s mediánem délky sledování 28</w:t>
      </w:r>
      <w:r w:rsidR="00D7075C" w:rsidRPr="009B1A37">
        <w:rPr>
          <w:color w:val="000000"/>
          <w:lang w:val="cs-CZ"/>
        </w:rPr>
        <w:t> </w:t>
      </w:r>
      <w:r w:rsidRPr="009B1A37">
        <w:rPr>
          <w:color w:val="000000"/>
          <w:sz w:val="22"/>
          <w:szCs w:val="22"/>
          <w:lang w:val="cs-CZ"/>
        </w:rPr>
        <w:t>měsíců (v rozmezí 13</w:t>
      </w:r>
      <w:r w:rsidRPr="009B1A37">
        <w:rPr>
          <w:color w:val="000000"/>
          <w:sz w:val="22"/>
          <w:szCs w:val="22"/>
          <w:lang w:val="cs-CZ"/>
        </w:rPr>
        <w:noBreakHyphen/>
        <w:t>67 měsíců). Věk těchto pacientů byl v rozmezí od 25 do 72 let.</w:t>
      </w:r>
      <w:r w:rsidR="00F87E46" w:rsidRPr="009B1A37">
        <w:rPr>
          <w:color w:val="000000"/>
          <w:sz w:val="22"/>
          <w:szCs w:val="22"/>
          <w:lang w:val="cs-CZ"/>
        </w:rPr>
        <w:t xml:space="preserve"> </w:t>
      </w:r>
      <w:r w:rsidR="0070634B" w:rsidRPr="009B1A37">
        <w:rPr>
          <w:color w:val="000000"/>
          <w:sz w:val="22"/>
          <w:szCs w:val="22"/>
          <w:lang w:val="cs-CZ"/>
        </w:rPr>
        <w:t>Dodatečně bylo</w:t>
      </w:r>
      <w:r w:rsidRPr="009B1A37">
        <w:rPr>
          <w:color w:val="000000"/>
          <w:sz w:val="22"/>
          <w:szCs w:val="22"/>
          <w:lang w:val="cs-CZ"/>
        </w:rPr>
        <w:t xml:space="preserve"> </w:t>
      </w:r>
      <w:r w:rsidR="00F87E46" w:rsidRPr="009B1A37">
        <w:rPr>
          <w:color w:val="000000"/>
          <w:sz w:val="22"/>
          <w:szCs w:val="22"/>
          <w:lang w:val="cs-CZ"/>
        </w:rPr>
        <w:t>zkoušejícími</w:t>
      </w:r>
      <w:r w:rsidRPr="009B1A37">
        <w:rPr>
          <w:color w:val="000000"/>
          <w:sz w:val="22"/>
          <w:szCs w:val="22"/>
          <w:lang w:val="cs-CZ"/>
        </w:rPr>
        <w:t xml:space="preserve"> hlášen</w:t>
      </w:r>
      <w:r w:rsidR="0070634B" w:rsidRPr="009B1A37">
        <w:rPr>
          <w:color w:val="000000"/>
          <w:sz w:val="22"/>
          <w:szCs w:val="22"/>
          <w:lang w:val="cs-CZ"/>
        </w:rPr>
        <w:t>o</w:t>
      </w:r>
      <w:r w:rsidRPr="009B1A37">
        <w:rPr>
          <w:color w:val="000000"/>
          <w:sz w:val="22"/>
          <w:szCs w:val="22"/>
          <w:lang w:val="cs-CZ"/>
        </w:rPr>
        <w:t xml:space="preserve"> </w:t>
      </w:r>
      <w:r w:rsidR="0070634B" w:rsidRPr="009B1A37">
        <w:rPr>
          <w:color w:val="000000"/>
          <w:sz w:val="22"/>
          <w:szCs w:val="22"/>
          <w:lang w:val="cs-CZ"/>
        </w:rPr>
        <w:t>v</w:t>
      </w:r>
      <w:r w:rsidR="007348FF" w:rsidRPr="009B1A37">
        <w:rPr>
          <w:color w:val="000000"/>
          <w:sz w:val="22"/>
          <w:szCs w:val="22"/>
          <w:lang w:val="cs-CZ"/>
        </w:rPr>
        <w:t> </w:t>
      </w:r>
      <w:r w:rsidR="0070634B" w:rsidRPr="009B1A37">
        <w:rPr>
          <w:color w:val="000000"/>
          <w:sz w:val="22"/>
          <w:szCs w:val="22"/>
          <w:lang w:val="cs-CZ"/>
        </w:rPr>
        <w:t xml:space="preserve">kazuistikách </w:t>
      </w:r>
      <w:r w:rsidRPr="009B1A37">
        <w:rPr>
          <w:color w:val="000000"/>
          <w:sz w:val="22"/>
          <w:szCs w:val="22"/>
          <w:lang w:val="cs-CZ"/>
        </w:rPr>
        <w:t>symptomatologické zlepšení a zlepšení dysfunkcí dalších orgánů. Zlepšení byla hlášena u poruch funkce srdeční, nervové, kožní/podkožní, respirační/hrudní/mediastinální, muskuloskeletální/pojivové/vaskulární a gastrointestinální orgánové soustavy.</w:t>
      </w:r>
    </w:p>
    <w:p w14:paraId="7AAB4A70" w14:textId="77777777" w:rsidR="005E6D29" w:rsidRPr="009B1A37" w:rsidRDefault="005E6D29" w:rsidP="00BE3D48">
      <w:pPr>
        <w:pStyle w:val="EndnoteText"/>
        <w:widowControl w:val="0"/>
        <w:tabs>
          <w:tab w:val="clear" w:pos="567"/>
        </w:tabs>
        <w:rPr>
          <w:color w:val="000000"/>
        </w:rPr>
      </w:pPr>
    </w:p>
    <w:p w14:paraId="18539F21" w14:textId="77777777" w:rsidR="005E6D29" w:rsidRPr="009B1A37" w:rsidRDefault="005E6D29" w:rsidP="00BE3D48">
      <w:pPr>
        <w:pStyle w:val="EndnoteText"/>
        <w:widowControl w:val="0"/>
        <w:tabs>
          <w:tab w:val="clear" w:pos="567"/>
        </w:tabs>
        <w:rPr>
          <w:color w:val="000000"/>
        </w:rPr>
      </w:pPr>
      <w:r w:rsidRPr="009B1A37">
        <w:rPr>
          <w:color w:val="000000"/>
        </w:rPr>
        <w:t>U pediatrických pacientů s HES/CEL nebyly proveden</w:t>
      </w:r>
      <w:r w:rsidR="001A3FBE" w:rsidRPr="009B1A37">
        <w:rPr>
          <w:color w:val="000000"/>
        </w:rPr>
        <w:t>y</w:t>
      </w:r>
      <w:r w:rsidRPr="009B1A37">
        <w:rPr>
          <w:color w:val="000000"/>
        </w:rPr>
        <w:t xml:space="preserve"> kontrolované klinické studie. Ve 3</w:t>
      </w:r>
      <w:r w:rsidR="00612B40" w:rsidRPr="009B1A37">
        <w:rPr>
          <w:color w:val="000000"/>
        </w:rPr>
        <w:t> </w:t>
      </w:r>
      <w:r w:rsidRPr="009B1A37">
        <w:rPr>
          <w:color w:val="000000"/>
        </w:rPr>
        <w:t xml:space="preserve">publikacích byli hlášeni </w:t>
      </w:r>
      <w:r w:rsidR="00B32D9E" w:rsidRPr="009B1A37">
        <w:rPr>
          <w:color w:val="000000"/>
        </w:rPr>
        <w:t>tři (</w:t>
      </w:r>
      <w:r w:rsidRPr="009B1A37">
        <w:rPr>
          <w:color w:val="000000"/>
        </w:rPr>
        <w:t>3</w:t>
      </w:r>
      <w:r w:rsidR="00B32D9E" w:rsidRPr="009B1A37">
        <w:rPr>
          <w:color w:val="000000"/>
        </w:rPr>
        <w:t xml:space="preserve">) </w:t>
      </w:r>
      <w:r w:rsidRPr="009B1A37">
        <w:rPr>
          <w:color w:val="000000"/>
        </w:rPr>
        <w:t>pacienti s HES/CEL spojen</w:t>
      </w:r>
      <w:r w:rsidR="001A3FBE" w:rsidRPr="009B1A37">
        <w:rPr>
          <w:color w:val="000000"/>
        </w:rPr>
        <w:t>ý</w:t>
      </w:r>
      <w:r w:rsidR="00F226E7" w:rsidRPr="009B1A37">
        <w:rPr>
          <w:color w:val="000000"/>
        </w:rPr>
        <w:t>m</w:t>
      </w:r>
      <w:r w:rsidR="001A3FBE" w:rsidRPr="009B1A37">
        <w:rPr>
          <w:color w:val="000000"/>
        </w:rPr>
        <w:t>i</w:t>
      </w:r>
      <w:r w:rsidRPr="009B1A37">
        <w:rPr>
          <w:color w:val="000000"/>
        </w:rPr>
        <w:t xml:space="preserve"> s </w:t>
      </w:r>
      <w:r w:rsidR="001A3FBE" w:rsidRPr="009B1A37">
        <w:rPr>
          <w:color w:val="000000"/>
        </w:rPr>
        <w:t>přestavbou</w:t>
      </w:r>
      <w:r w:rsidRPr="009B1A37">
        <w:rPr>
          <w:color w:val="000000"/>
        </w:rPr>
        <w:t xml:space="preserve"> genu PDGFR. Věk těchto pacientů se pohyboval v rozmezí 2 až </w:t>
      </w:r>
      <w:r w:rsidR="0089750E" w:rsidRPr="009B1A37">
        <w:rPr>
          <w:color w:val="000000"/>
        </w:rPr>
        <w:t>16</w:t>
      </w:r>
      <w:r w:rsidRPr="009B1A37">
        <w:rPr>
          <w:color w:val="000000"/>
        </w:rPr>
        <w:t> </w:t>
      </w:r>
      <w:r w:rsidR="0089750E" w:rsidRPr="009B1A37">
        <w:rPr>
          <w:color w:val="000000"/>
        </w:rPr>
        <w:t>let</w:t>
      </w:r>
      <w:r w:rsidRPr="009B1A37">
        <w:rPr>
          <w:color w:val="000000"/>
        </w:rPr>
        <w:t xml:space="preserve"> a imatinib byl podáván v dáv</w:t>
      </w:r>
      <w:r w:rsidR="00B32D9E" w:rsidRPr="009B1A37">
        <w:rPr>
          <w:color w:val="000000"/>
        </w:rPr>
        <w:t>ce</w:t>
      </w:r>
      <w:r w:rsidRPr="009B1A37">
        <w:rPr>
          <w:color w:val="000000"/>
        </w:rPr>
        <w:t xml:space="preserve"> </w:t>
      </w:r>
      <w:r w:rsidR="00B32D9E" w:rsidRPr="009B1A37">
        <w:rPr>
          <w:color w:val="000000"/>
        </w:rPr>
        <w:t>300 mg/m</w:t>
      </w:r>
      <w:r w:rsidR="00B32D9E" w:rsidRPr="009B1A37">
        <w:rPr>
          <w:color w:val="000000"/>
          <w:vertAlign w:val="superscript"/>
        </w:rPr>
        <w:t>2</w:t>
      </w:r>
      <w:r w:rsidR="00B32D9E" w:rsidRPr="009B1A37">
        <w:rPr>
          <w:color w:val="000000"/>
        </w:rPr>
        <w:t xml:space="preserve"> denně anebo v dávkách </w:t>
      </w:r>
      <w:r w:rsidRPr="009B1A37">
        <w:rPr>
          <w:color w:val="000000"/>
        </w:rPr>
        <w:t xml:space="preserve">v rozmezí </w:t>
      </w:r>
      <w:r w:rsidR="0089750E" w:rsidRPr="009B1A37">
        <w:rPr>
          <w:color w:val="000000"/>
        </w:rPr>
        <w:t>200</w:t>
      </w:r>
      <w:r w:rsidRPr="009B1A37">
        <w:rPr>
          <w:color w:val="000000"/>
        </w:rPr>
        <w:t xml:space="preserve"> až 4</w:t>
      </w:r>
      <w:r w:rsidR="0089750E" w:rsidRPr="009B1A37">
        <w:rPr>
          <w:color w:val="000000"/>
        </w:rPr>
        <w:t>0</w:t>
      </w:r>
      <w:r w:rsidRPr="009B1A37">
        <w:rPr>
          <w:color w:val="000000"/>
        </w:rPr>
        <w:t>0 mg denn</w:t>
      </w:r>
      <w:r w:rsidR="00B32D9E" w:rsidRPr="009B1A37">
        <w:rPr>
          <w:color w:val="000000"/>
        </w:rPr>
        <w:t>ě</w:t>
      </w:r>
      <w:r w:rsidRPr="009B1A37">
        <w:rPr>
          <w:color w:val="000000"/>
        </w:rPr>
        <w:t>. Všichni pacienti dosáhli kompletní hematologické od</w:t>
      </w:r>
      <w:r w:rsidR="001A3FBE" w:rsidRPr="009B1A37">
        <w:rPr>
          <w:color w:val="000000"/>
        </w:rPr>
        <w:t>povědi</w:t>
      </w:r>
      <w:r w:rsidRPr="009B1A37">
        <w:rPr>
          <w:color w:val="000000"/>
        </w:rPr>
        <w:t xml:space="preserve">, </w:t>
      </w:r>
      <w:r w:rsidR="00F226E7" w:rsidRPr="009B1A37">
        <w:rPr>
          <w:color w:val="000000"/>
        </w:rPr>
        <w:t xml:space="preserve">kompletní </w:t>
      </w:r>
      <w:r w:rsidRPr="009B1A37">
        <w:rPr>
          <w:color w:val="000000"/>
        </w:rPr>
        <w:t>cytogenetické od</w:t>
      </w:r>
      <w:r w:rsidR="001A3FBE" w:rsidRPr="009B1A37">
        <w:rPr>
          <w:color w:val="000000"/>
        </w:rPr>
        <w:t>povědi</w:t>
      </w:r>
      <w:r w:rsidRPr="009B1A37">
        <w:rPr>
          <w:color w:val="000000"/>
        </w:rPr>
        <w:t xml:space="preserve"> a/nebo </w:t>
      </w:r>
      <w:r w:rsidR="00F226E7" w:rsidRPr="009B1A37">
        <w:rPr>
          <w:color w:val="000000"/>
        </w:rPr>
        <w:t xml:space="preserve">kompletní </w:t>
      </w:r>
      <w:r w:rsidRPr="009B1A37">
        <w:rPr>
          <w:color w:val="000000"/>
        </w:rPr>
        <w:t>klinické od</w:t>
      </w:r>
      <w:r w:rsidR="001A3FBE" w:rsidRPr="009B1A37">
        <w:rPr>
          <w:color w:val="000000"/>
        </w:rPr>
        <w:t>povědi</w:t>
      </w:r>
      <w:r w:rsidRPr="009B1A37">
        <w:rPr>
          <w:color w:val="000000"/>
        </w:rPr>
        <w:t>.</w:t>
      </w:r>
    </w:p>
    <w:p w14:paraId="5B0C72F4" w14:textId="77777777" w:rsidR="00D97A44" w:rsidRPr="009B1A37" w:rsidRDefault="00D97A44" w:rsidP="00BE3D48">
      <w:pPr>
        <w:pStyle w:val="EndnoteText"/>
        <w:widowControl w:val="0"/>
        <w:rPr>
          <w:color w:val="000000"/>
          <w:u w:val="single"/>
        </w:rPr>
      </w:pPr>
    </w:p>
    <w:p w14:paraId="07A2DCCD" w14:textId="77777777" w:rsidR="00D97A44" w:rsidRPr="009B1A37" w:rsidRDefault="00D97A44" w:rsidP="00BE3D48">
      <w:pPr>
        <w:pStyle w:val="EndnoteText"/>
        <w:keepNext/>
        <w:widowControl w:val="0"/>
        <w:tabs>
          <w:tab w:val="clear" w:pos="567"/>
        </w:tabs>
        <w:rPr>
          <w:color w:val="000000"/>
          <w:u w:val="single"/>
        </w:rPr>
      </w:pPr>
      <w:r w:rsidRPr="009B1A37">
        <w:rPr>
          <w:color w:val="000000"/>
          <w:u w:val="single"/>
        </w:rPr>
        <w:t>Klinické studie u pacientů s inoperabilním a/nebo metastatickým GIST</w:t>
      </w:r>
    </w:p>
    <w:p w14:paraId="0DFD5601" w14:textId="77777777" w:rsidR="00D97A44" w:rsidRPr="009B1A37" w:rsidRDefault="00D97A44" w:rsidP="00BE3D48">
      <w:pPr>
        <w:pStyle w:val="EndnoteText"/>
        <w:widowControl w:val="0"/>
        <w:tabs>
          <w:tab w:val="clear" w:pos="567"/>
        </w:tabs>
        <w:rPr>
          <w:color w:val="000000"/>
        </w:rPr>
      </w:pPr>
      <w:r w:rsidRPr="009B1A37">
        <w:rPr>
          <w:color w:val="000000"/>
        </w:rPr>
        <w:t>Jedna otevřená, randomizovaná nekontrolovaná mezinárodní studie fáze II byla provedena u pacientů s inoperabilním nebo metastatickým maligním gastrointestinálním stromálním nádorem (GIST). Do studie bylo zařazeno 147 pacientů a randomizováno užívat buď 400 mg nebo 600 mg jednou denně perorálně po dobu až 36 měsíců. Tito pacienti byli ve věku od 18 až 83 let a byla u nich stanovena diagnóza Kit-pozitivní maligní GIST, který byl inoperabilní a/nebo metastazující. Rutinně bylo prováděno imunohistochemické vyšetření pomocí Kit protilátek (A-4502, králičí polyklonální antisérum, 1:100; DAKO Corporation, Carpinteria, CA) metodou nalezení antigenu podle analýzy avidin-biotin-peroxidázového komplexu.</w:t>
      </w:r>
    </w:p>
    <w:p w14:paraId="4AD91A50" w14:textId="77777777" w:rsidR="00D97A44" w:rsidRPr="009B1A37" w:rsidRDefault="00D97A44" w:rsidP="00BE3D48">
      <w:pPr>
        <w:pStyle w:val="EndnoteText"/>
        <w:widowControl w:val="0"/>
        <w:tabs>
          <w:tab w:val="clear" w:pos="567"/>
        </w:tabs>
        <w:rPr>
          <w:color w:val="000000"/>
        </w:rPr>
      </w:pPr>
    </w:p>
    <w:p w14:paraId="05D34083" w14:textId="77777777" w:rsidR="00D97A44" w:rsidRPr="009B1A37" w:rsidRDefault="00D97A44" w:rsidP="00BE3D48">
      <w:pPr>
        <w:pStyle w:val="EndnoteText"/>
        <w:widowControl w:val="0"/>
        <w:tabs>
          <w:tab w:val="clear" w:pos="567"/>
        </w:tabs>
        <w:rPr>
          <w:color w:val="000000"/>
        </w:rPr>
      </w:pPr>
      <w:r w:rsidRPr="009B1A37">
        <w:rPr>
          <w:color w:val="000000"/>
        </w:rPr>
        <w:t>Primární průkaz účinnosti byl založen na míře objektivní odpovědi. U nádorů byla vyžadována měřitelnost v alespoň jednom ložisku onemocnění a charakter odpovědi byl založen na kriteriích Southwestern Oncology Group (SWOG). Výsledky jsou uvedeny v </w:t>
      </w:r>
      <w:r w:rsidR="000B39C2" w:rsidRPr="009B1A37">
        <w:rPr>
          <w:color w:val="000000"/>
        </w:rPr>
        <w:t>t</w:t>
      </w:r>
      <w:r w:rsidRPr="009B1A37">
        <w:rPr>
          <w:color w:val="000000"/>
        </w:rPr>
        <w:t>abulce </w:t>
      </w:r>
      <w:r w:rsidR="00B20788" w:rsidRPr="009B1A37">
        <w:rPr>
          <w:color w:val="000000"/>
        </w:rPr>
        <w:t>6</w:t>
      </w:r>
      <w:r w:rsidRPr="009B1A37">
        <w:rPr>
          <w:color w:val="000000"/>
        </w:rPr>
        <w:t>.</w:t>
      </w:r>
    </w:p>
    <w:p w14:paraId="145EA614" w14:textId="77777777" w:rsidR="00D97A44" w:rsidRPr="009B1A37" w:rsidRDefault="00D97A44" w:rsidP="00BE3D48">
      <w:pPr>
        <w:pStyle w:val="EndnoteText"/>
        <w:widowControl w:val="0"/>
        <w:tabs>
          <w:tab w:val="clear" w:pos="567"/>
        </w:tabs>
        <w:rPr>
          <w:color w:val="000000"/>
        </w:rPr>
      </w:pPr>
    </w:p>
    <w:p w14:paraId="0E16017E" w14:textId="77777777" w:rsidR="00D97A44" w:rsidRPr="009B1A37" w:rsidRDefault="00D97A44" w:rsidP="00BE3D48">
      <w:pPr>
        <w:pStyle w:val="EndnoteText"/>
        <w:keepNext/>
        <w:keepLines/>
        <w:widowControl w:val="0"/>
        <w:tabs>
          <w:tab w:val="clear" w:pos="567"/>
          <w:tab w:val="left" w:pos="1134"/>
        </w:tabs>
        <w:rPr>
          <w:b/>
          <w:bCs/>
          <w:color w:val="000000"/>
        </w:rPr>
      </w:pPr>
      <w:r w:rsidRPr="009B1A37">
        <w:rPr>
          <w:b/>
          <w:bCs/>
          <w:color w:val="000000"/>
        </w:rPr>
        <w:t>Tabulka </w:t>
      </w:r>
      <w:r w:rsidR="00B20788" w:rsidRPr="009B1A37">
        <w:rPr>
          <w:b/>
          <w:bCs/>
          <w:color w:val="000000"/>
        </w:rPr>
        <w:t>6</w:t>
      </w:r>
      <w:r w:rsidRPr="009B1A37">
        <w:rPr>
          <w:b/>
          <w:bCs/>
          <w:color w:val="000000"/>
        </w:rPr>
        <w:tab/>
        <w:t>Nejlepší odpovědi nádoru ve studii STIB2222 (GIST)</w:t>
      </w:r>
    </w:p>
    <w:p w14:paraId="7D440966" w14:textId="77777777" w:rsidR="00D97A44" w:rsidRPr="009B1A37" w:rsidRDefault="00D97A44" w:rsidP="00BE3D48">
      <w:pPr>
        <w:pStyle w:val="EndnoteText"/>
        <w:keepNext/>
        <w:keepLines/>
        <w:widowControl w:val="0"/>
        <w:tabs>
          <w:tab w:val="clear" w:pos="567"/>
        </w:tabs>
        <w:rPr>
          <w:color w:val="000000"/>
        </w:rPr>
      </w:pPr>
    </w:p>
    <w:tbl>
      <w:tblPr>
        <w:tblW w:w="0" w:type="auto"/>
        <w:tblLayout w:type="fixed"/>
        <w:tblLook w:val="0000" w:firstRow="0" w:lastRow="0" w:firstColumn="0" w:lastColumn="0" w:noHBand="0" w:noVBand="0"/>
      </w:tblPr>
      <w:tblGrid>
        <w:gridCol w:w="4643"/>
        <w:gridCol w:w="4643"/>
      </w:tblGrid>
      <w:tr w:rsidR="00D97A44" w:rsidRPr="009B1A37" w14:paraId="2D0B9F91" w14:textId="77777777">
        <w:tc>
          <w:tcPr>
            <w:tcW w:w="4643" w:type="dxa"/>
            <w:tcBorders>
              <w:top w:val="single" w:sz="4" w:space="0" w:color="000000"/>
              <w:bottom w:val="single" w:sz="4" w:space="0" w:color="000000"/>
            </w:tcBorders>
          </w:tcPr>
          <w:p w14:paraId="36298AF6" w14:textId="77777777" w:rsidR="00D97A44" w:rsidRPr="009B1A37" w:rsidRDefault="00D97A44" w:rsidP="009F41EF">
            <w:pPr>
              <w:pStyle w:val="EndnoteText"/>
              <w:keepNext/>
              <w:widowControl w:val="0"/>
              <w:tabs>
                <w:tab w:val="clear" w:pos="567"/>
              </w:tabs>
              <w:snapToGrid w:val="0"/>
              <w:rPr>
                <w:color w:val="000000"/>
              </w:rPr>
            </w:pPr>
          </w:p>
          <w:p w14:paraId="72C4D169" w14:textId="77777777" w:rsidR="00D97A44" w:rsidRPr="009B1A37" w:rsidRDefault="00D97A44" w:rsidP="009F41EF">
            <w:pPr>
              <w:pStyle w:val="EndnoteText"/>
              <w:keepNext/>
              <w:widowControl w:val="0"/>
              <w:tabs>
                <w:tab w:val="clear" w:pos="567"/>
              </w:tabs>
              <w:rPr>
                <w:color w:val="000000"/>
              </w:rPr>
            </w:pPr>
          </w:p>
          <w:p w14:paraId="03A2A561" w14:textId="77777777" w:rsidR="00D97A44" w:rsidRPr="009B1A37" w:rsidRDefault="00D97A44" w:rsidP="009F41EF">
            <w:pPr>
              <w:pStyle w:val="EndnoteText"/>
              <w:keepNext/>
              <w:widowControl w:val="0"/>
              <w:tabs>
                <w:tab w:val="clear" w:pos="567"/>
              </w:tabs>
              <w:rPr>
                <w:color w:val="000000"/>
              </w:rPr>
            </w:pPr>
          </w:p>
          <w:p w14:paraId="11AF3403" w14:textId="77777777" w:rsidR="00D97A44" w:rsidRPr="009B1A37" w:rsidRDefault="00D97A44" w:rsidP="009F41EF">
            <w:pPr>
              <w:pStyle w:val="EndnoteText"/>
              <w:keepNext/>
              <w:widowControl w:val="0"/>
              <w:tabs>
                <w:tab w:val="clear" w:pos="567"/>
              </w:tabs>
              <w:rPr>
                <w:color w:val="000000"/>
              </w:rPr>
            </w:pPr>
            <w:r w:rsidRPr="009B1A37">
              <w:rPr>
                <w:color w:val="000000"/>
              </w:rPr>
              <w:t>Nejlepší odpověď</w:t>
            </w:r>
          </w:p>
        </w:tc>
        <w:tc>
          <w:tcPr>
            <w:tcW w:w="4643" w:type="dxa"/>
            <w:tcBorders>
              <w:top w:val="single" w:sz="4" w:space="0" w:color="000000"/>
              <w:bottom w:val="single" w:sz="4" w:space="0" w:color="000000"/>
            </w:tcBorders>
          </w:tcPr>
          <w:p w14:paraId="096B0C4B" w14:textId="77777777" w:rsidR="00D97A44" w:rsidRPr="009B1A37" w:rsidRDefault="00D97A44" w:rsidP="009F41EF">
            <w:pPr>
              <w:pStyle w:val="EndnoteText"/>
              <w:keepNext/>
              <w:widowControl w:val="0"/>
              <w:tabs>
                <w:tab w:val="clear" w:pos="567"/>
              </w:tabs>
              <w:snapToGrid w:val="0"/>
              <w:jc w:val="center"/>
              <w:rPr>
                <w:color w:val="000000"/>
              </w:rPr>
            </w:pPr>
            <w:r w:rsidRPr="009B1A37">
              <w:rPr>
                <w:color w:val="000000"/>
              </w:rPr>
              <w:t>Všechny dávky (n=147)</w:t>
            </w:r>
          </w:p>
          <w:p w14:paraId="6AC34B5F" w14:textId="77777777" w:rsidR="00D97A44" w:rsidRPr="009B1A37" w:rsidRDefault="00D97A44" w:rsidP="009F41EF">
            <w:pPr>
              <w:pStyle w:val="EndnoteText"/>
              <w:keepNext/>
              <w:widowControl w:val="0"/>
              <w:tabs>
                <w:tab w:val="clear" w:pos="567"/>
              </w:tabs>
              <w:jc w:val="center"/>
              <w:rPr>
                <w:color w:val="000000"/>
              </w:rPr>
            </w:pPr>
            <w:r w:rsidRPr="009B1A37">
              <w:rPr>
                <w:color w:val="000000"/>
              </w:rPr>
              <w:t>400 mg (n=73)</w:t>
            </w:r>
          </w:p>
          <w:p w14:paraId="612F6934" w14:textId="77777777" w:rsidR="00D97A44" w:rsidRPr="009B1A37" w:rsidRDefault="00D97A44" w:rsidP="009F41EF">
            <w:pPr>
              <w:pStyle w:val="EndnoteText"/>
              <w:keepNext/>
              <w:widowControl w:val="0"/>
              <w:tabs>
                <w:tab w:val="clear" w:pos="567"/>
              </w:tabs>
              <w:jc w:val="center"/>
              <w:rPr>
                <w:color w:val="000000"/>
              </w:rPr>
            </w:pPr>
            <w:r w:rsidRPr="009B1A37">
              <w:rPr>
                <w:color w:val="000000"/>
              </w:rPr>
              <w:t>600 mg (n=74)</w:t>
            </w:r>
          </w:p>
          <w:p w14:paraId="72E3ED18" w14:textId="77777777" w:rsidR="00D97A44" w:rsidRPr="009B1A37" w:rsidRDefault="00D97A44" w:rsidP="009F41EF">
            <w:pPr>
              <w:pStyle w:val="EndnoteText"/>
              <w:keepNext/>
              <w:widowControl w:val="0"/>
              <w:tabs>
                <w:tab w:val="clear" w:pos="567"/>
              </w:tabs>
              <w:jc w:val="center"/>
              <w:rPr>
                <w:color w:val="000000"/>
              </w:rPr>
            </w:pPr>
            <w:r w:rsidRPr="009B1A37">
              <w:rPr>
                <w:color w:val="000000"/>
              </w:rPr>
              <w:t>n (%)</w:t>
            </w:r>
          </w:p>
        </w:tc>
      </w:tr>
      <w:tr w:rsidR="00D97A44" w:rsidRPr="009B1A37" w14:paraId="44702750" w14:textId="77777777">
        <w:tc>
          <w:tcPr>
            <w:tcW w:w="4643" w:type="dxa"/>
          </w:tcPr>
          <w:p w14:paraId="31F53C3E" w14:textId="77777777" w:rsidR="00D97A44" w:rsidRPr="009B1A37" w:rsidRDefault="00D97A44" w:rsidP="009F41EF">
            <w:pPr>
              <w:pStyle w:val="EndnoteText"/>
              <w:keepNext/>
              <w:widowControl w:val="0"/>
              <w:tabs>
                <w:tab w:val="clear" w:pos="567"/>
              </w:tabs>
              <w:snapToGrid w:val="0"/>
              <w:rPr>
                <w:color w:val="000000"/>
              </w:rPr>
            </w:pPr>
            <w:r w:rsidRPr="009B1A37">
              <w:rPr>
                <w:color w:val="000000"/>
              </w:rPr>
              <w:t>Kompletní odpověď</w:t>
            </w:r>
          </w:p>
        </w:tc>
        <w:tc>
          <w:tcPr>
            <w:tcW w:w="4643" w:type="dxa"/>
          </w:tcPr>
          <w:p w14:paraId="2814E3B4" w14:textId="77777777" w:rsidR="00D97A44" w:rsidRPr="009B1A37" w:rsidRDefault="00D97A44" w:rsidP="009F41EF">
            <w:pPr>
              <w:pStyle w:val="EndnoteText"/>
              <w:keepNext/>
              <w:widowControl w:val="0"/>
              <w:tabs>
                <w:tab w:val="clear" w:pos="567"/>
              </w:tabs>
              <w:snapToGrid w:val="0"/>
              <w:jc w:val="center"/>
              <w:rPr>
                <w:color w:val="000000"/>
              </w:rPr>
            </w:pPr>
            <w:r w:rsidRPr="009B1A37">
              <w:rPr>
                <w:color w:val="000000"/>
              </w:rPr>
              <w:t>1 (0,7)</w:t>
            </w:r>
          </w:p>
        </w:tc>
      </w:tr>
      <w:tr w:rsidR="00D97A44" w:rsidRPr="009B1A37" w14:paraId="5813C843" w14:textId="77777777">
        <w:tc>
          <w:tcPr>
            <w:tcW w:w="4643" w:type="dxa"/>
          </w:tcPr>
          <w:p w14:paraId="1DA10760" w14:textId="77777777" w:rsidR="00D97A44" w:rsidRPr="009B1A37" w:rsidRDefault="00D97A44" w:rsidP="009F41EF">
            <w:pPr>
              <w:pStyle w:val="EndnoteText"/>
              <w:keepNext/>
              <w:widowControl w:val="0"/>
              <w:tabs>
                <w:tab w:val="clear" w:pos="567"/>
              </w:tabs>
              <w:snapToGrid w:val="0"/>
              <w:rPr>
                <w:color w:val="000000"/>
              </w:rPr>
            </w:pPr>
            <w:r w:rsidRPr="009B1A37">
              <w:rPr>
                <w:color w:val="000000"/>
              </w:rPr>
              <w:t>Parciální odpověď</w:t>
            </w:r>
          </w:p>
        </w:tc>
        <w:tc>
          <w:tcPr>
            <w:tcW w:w="4643" w:type="dxa"/>
          </w:tcPr>
          <w:p w14:paraId="45A4A326" w14:textId="77777777" w:rsidR="00D97A44" w:rsidRPr="009B1A37" w:rsidRDefault="00D97A44" w:rsidP="009F41EF">
            <w:pPr>
              <w:pStyle w:val="EndnoteText"/>
              <w:keepNext/>
              <w:widowControl w:val="0"/>
              <w:tabs>
                <w:tab w:val="clear" w:pos="567"/>
              </w:tabs>
              <w:snapToGrid w:val="0"/>
              <w:jc w:val="center"/>
              <w:rPr>
                <w:color w:val="000000"/>
              </w:rPr>
            </w:pPr>
            <w:r w:rsidRPr="009B1A37">
              <w:rPr>
                <w:color w:val="000000"/>
              </w:rPr>
              <w:t>98 (66,7)</w:t>
            </w:r>
          </w:p>
        </w:tc>
      </w:tr>
      <w:tr w:rsidR="00D97A44" w:rsidRPr="009B1A37" w14:paraId="1FFB7008" w14:textId="77777777">
        <w:tc>
          <w:tcPr>
            <w:tcW w:w="4643" w:type="dxa"/>
          </w:tcPr>
          <w:p w14:paraId="09F69BEB" w14:textId="77777777" w:rsidR="00D97A44" w:rsidRPr="009B1A37" w:rsidRDefault="00D97A44" w:rsidP="009F41EF">
            <w:pPr>
              <w:pStyle w:val="EndnoteText"/>
              <w:keepNext/>
              <w:widowControl w:val="0"/>
              <w:tabs>
                <w:tab w:val="clear" w:pos="567"/>
              </w:tabs>
              <w:snapToGrid w:val="0"/>
              <w:rPr>
                <w:color w:val="000000"/>
              </w:rPr>
            </w:pPr>
            <w:r w:rsidRPr="009B1A37">
              <w:rPr>
                <w:color w:val="000000"/>
              </w:rPr>
              <w:t>Stabilní onemocnění</w:t>
            </w:r>
          </w:p>
        </w:tc>
        <w:tc>
          <w:tcPr>
            <w:tcW w:w="4643" w:type="dxa"/>
          </w:tcPr>
          <w:p w14:paraId="54C83739" w14:textId="77777777" w:rsidR="00D97A44" w:rsidRPr="009B1A37" w:rsidRDefault="00D97A44" w:rsidP="009F41EF">
            <w:pPr>
              <w:pStyle w:val="EndnoteText"/>
              <w:keepNext/>
              <w:widowControl w:val="0"/>
              <w:tabs>
                <w:tab w:val="clear" w:pos="567"/>
              </w:tabs>
              <w:snapToGrid w:val="0"/>
              <w:jc w:val="center"/>
              <w:rPr>
                <w:color w:val="000000"/>
              </w:rPr>
            </w:pPr>
            <w:r w:rsidRPr="009B1A37">
              <w:rPr>
                <w:color w:val="000000"/>
              </w:rPr>
              <w:t>23 (15,6)</w:t>
            </w:r>
          </w:p>
        </w:tc>
      </w:tr>
      <w:tr w:rsidR="00D97A44" w:rsidRPr="009B1A37" w14:paraId="7EB465F1" w14:textId="77777777">
        <w:tc>
          <w:tcPr>
            <w:tcW w:w="4643" w:type="dxa"/>
          </w:tcPr>
          <w:p w14:paraId="0C05B315" w14:textId="77777777" w:rsidR="00D97A44" w:rsidRPr="009B1A37" w:rsidRDefault="00D97A44" w:rsidP="009F41EF">
            <w:pPr>
              <w:pStyle w:val="EndnoteText"/>
              <w:keepNext/>
              <w:widowControl w:val="0"/>
              <w:tabs>
                <w:tab w:val="clear" w:pos="567"/>
              </w:tabs>
              <w:snapToGrid w:val="0"/>
              <w:rPr>
                <w:color w:val="000000"/>
              </w:rPr>
            </w:pPr>
            <w:r w:rsidRPr="009B1A37">
              <w:rPr>
                <w:color w:val="000000"/>
              </w:rPr>
              <w:t>Progresivní onemocnění</w:t>
            </w:r>
          </w:p>
        </w:tc>
        <w:tc>
          <w:tcPr>
            <w:tcW w:w="4643" w:type="dxa"/>
          </w:tcPr>
          <w:p w14:paraId="51B3EDBE" w14:textId="77777777" w:rsidR="00D97A44" w:rsidRPr="009B1A37" w:rsidRDefault="00D97A44" w:rsidP="009F41EF">
            <w:pPr>
              <w:pStyle w:val="EndnoteText"/>
              <w:keepNext/>
              <w:widowControl w:val="0"/>
              <w:tabs>
                <w:tab w:val="clear" w:pos="567"/>
              </w:tabs>
              <w:snapToGrid w:val="0"/>
              <w:jc w:val="center"/>
              <w:rPr>
                <w:color w:val="000000"/>
              </w:rPr>
            </w:pPr>
            <w:r w:rsidRPr="009B1A37">
              <w:rPr>
                <w:color w:val="000000"/>
              </w:rPr>
              <w:t>18 (12,2)</w:t>
            </w:r>
          </w:p>
        </w:tc>
      </w:tr>
      <w:tr w:rsidR="00D97A44" w:rsidRPr="009B1A37" w14:paraId="02951EC6" w14:textId="77777777">
        <w:tc>
          <w:tcPr>
            <w:tcW w:w="4643" w:type="dxa"/>
          </w:tcPr>
          <w:p w14:paraId="69B7B92C" w14:textId="77777777" w:rsidR="00D97A44" w:rsidRPr="009B1A37" w:rsidRDefault="00526CF9" w:rsidP="009F41EF">
            <w:pPr>
              <w:pStyle w:val="EndnoteText"/>
              <w:keepNext/>
              <w:widowControl w:val="0"/>
              <w:tabs>
                <w:tab w:val="clear" w:pos="567"/>
              </w:tabs>
              <w:snapToGrid w:val="0"/>
              <w:rPr>
                <w:color w:val="000000"/>
              </w:rPr>
            </w:pPr>
            <w:r w:rsidRPr="009B1A37">
              <w:rPr>
                <w:color w:val="000000"/>
              </w:rPr>
              <w:t>Nehodnotitelé</w:t>
            </w:r>
          </w:p>
        </w:tc>
        <w:tc>
          <w:tcPr>
            <w:tcW w:w="4643" w:type="dxa"/>
          </w:tcPr>
          <w:p w14:paraId="4847B91B" w14:textId="77777777" w:rsidR="00D97A44" w:rsidRPr="009B1A37" w:rsidRDefault="00D97A44" w:rsidP="009F41EF">
            <w:pPr>
              <w:pStyle w:val="EndnoteText"/>
              <w:keepNext/>
              <w:widowControl w:val="0"/>
              <w:tabs>
                <w:tab w:val="clear" w:pos="567"/>
              </w:tabs>
              <w:snapToGrid w:val="0"/>
              <w:jc w:val="center"/>
              <w:rPr>
                <w:color w:val="000000"/>
              </w:rPr>
            </w:pPr>
            <w:r w:rsidRPr="009B1A37">
              <w:rPr>
                <w:color w:val="000000"/>
              </w:rPr>
              <w:t>5 (3,4)</w:t>
            </w:r>
          </w:p>
        </w:tc>
      </w:tr>
      <w:tr w:rsidR="00D97A44" w:rsidRPr="009B1A37" w14:paraId="541FC2FF" w14:textId="77777777">
        <w:tc>
          <w:tcPr>
            <w:tcW w:w="4643" w:type="dxa"/>
            <w:tcBorders>
              <w:bottom w:val="single" w:sz="4" w:space="0" w:color="000000"/>
            </w:tcBorders>
          </w:tcPr>
          <w:p w14:paraId="2DCA3CDD" w14:textId="77777777" w:rsidR="00D97A44" w:rsidRPr="009B1A37" w:rsidRDefault="00D97A44" w:rsidP="009F41EF">
            <w:pPr>
              <w:pStyle w:val="EndnoteText"/>
              <w:widowControl w:val="0"/>
              <w:tabs>
                <w:tab w:val="clear" w:pos="567"/>
              </w:tabs>
              <w:snapToGrid w:val="0"/>
              <w:rPr>
                <w:color w:val="000000"/>
              </w:rPr>
            </w:pPr>
            <w:r w:rsidRPr="009B1A37">
              <w:rPr>
                <w:color w:val="000000"/>
              </w:rPr>
              <w:t>Neznámo</w:t>
            </w:r>
          </w:p>
        </w:tc>
        <w:tc>
          <w:tcPr>
            <w:tcW w:w="4643" w:type="dxa"/>
            <w:tcBorders>
              <w:bottom w:val="single" w:sz="4" w:space="0" w:color="000000"/>
            </w:tcBorders>
          </w:tcPr>
          <w:p w14:paraId="428DC733" w14:textId="77777777" w:rsidR="00D97A44" w:rsidRPr="009B1A37" w:rsidRDefault="00D97A44" w:rsidP="009F41EF">
            <w:pPr>
              <w:pStyle w:val="EndnoteText"/>
              <w:widowControl w:val="0"/>
              <w:tabs>
                <w:tab w:val="clear" w:pos="567"/>
              </w:tabs>
              <w:snapToGrid w:val="0"/>
              <w:jc w:val="center"/>
              <w:rPr>
                <w:color w:val="000000"/>
              </w:rPr>
            </w:pPr>
            <w:r w:rsidRPr="009B1A37">
              <w:rPr>
                <w:color w:val="000000"/>
              </w:rPr>
              <w:t>2 (1,4)</w:t>
            </w:r>
          </w:p>
        </w:tc>
      </w:tr>
    </w:tbl>
    <w:p w14:paraId="618897D0" w14:textId="77777777" w:rsidR="00D97A44" w:rsidRPr="009B1A37" w:rsidRDefault="00D97A44" w:rsidP="00BE3D48">
      <w:pPr>
        <w:pStyle w:val="EndnoteText"/>
        <w:widowControl w:val="0"/>
        <w:tabs>
          <w:tab w:val="clear" w:pos="567"/>
        </w:tabs>
      </w:pPr>
    </w:p>
    <w:p w14:paraId="5034E4F9" w14:textId="77777777" w:rsidR="00D97A44" w:rsidRPr="009B1A37" w:rsidRDefault="00D97A44" w:rsidP="00BE3D48">
      <w:pPr>
        <w:pStyle w:val="EndnoteText"/>
        <w:widowControl w:val="0"/>
        <w:tabs>
          <w:tab w:val="clear" w:pos="567"/>
        </w:tabs>
        <w:rPr>
          <w:color w:val="000000"/>
        </w:rPr>
      </w:pPr>
      <w:r w:rsidRPr="009B1A37">
        <w:rPr>
          <w:color w:val="000000"/>
        </w:rPr>
        <w:t xml:space="preserve">Nebyly nalezeny rozdíly v míře odpovědí mezi dvěma skupinami s rozdílným dávkováním. Významný počet pacientů, kteří měli stabilní onemocnění v době interim analýzy, dosáhl částečné odpovědi při delší léčbě (medián doby sledování 31 měsíců). Medián času do odpovědi byl 13 týdnů (95% CI 12–23). Medián času do selhání léčby u pacientů s odpovědí byl 122 týdnů (95% CI 106–147), zatímco v celé studijní populaci to byly 84 týdny (95% CI 71–109). Medián celkového přežití nebyl dosažen. Odhad pro přežití po 36 měsících sledování podle Kaplan-Meiera </w:t>
      </w:r>
      <w:r w:rsidR="00164F65" w:rsidRPr="009B1A37">
        <w:rPr>
          <w:color w:val="000000"/>
        </w:rPr>
        <w:t xml:space="preserve">je </w:t>
      </w:r>
      <w:r w:rsidRPr="009B1A37">
        <w:rPr>
          <w:color w:val="000000"/>
        </w:rPr>
        <w:t>68</w:t>
      </w:r>
      <w:r w:rsidR="00E93CBA" w:rsidRPr="009B1A37">
        <w:rPr>
          <w:color w:val="000000"/>
        </w:rPr>
        <w:t> </w:t>
      </w:r>
      <w:r w:rsidRPr="009B1A37">
        <w:rPr>
          <w:color w:val="000000"/>
        </w:rPr>
        <w:t>%.</w:t>
      </w:r>
    </w:p>
    <w:p w14:paraId="1840F934" w14:textId="77777777" w:rsidR="00D97A44" w:rsidRPr="009B1A37" w:rsidRDefault="00D97A44" w:rsidP="00BE3D48">
      <w:pPr>
        <w:pStyle w:val="EndnoteText"/>
        <w:widowControl w:val="0"/>
        <w:tabs>
          <w:tab w:val="clear" w:pos="567"/>
        </w:tabs>
        <w:rPr>
          <w:color w:val="000000"/>
        </w:rPr>
      </w:pPr>
    </w:p>
    <w:p w14:paraId="0FA50414" w14:textId="77777777" w:rsidR="00D97A44" w:rsidRPr="009B1A37" w:rsidRDefault="00D97A44" w:rsidP="00BE3D48">
      <w:pPr>
        <w:pStyle w:val="EndnoteText"/>
        <w:widowControl w:val="0"/>
        <w:tabs>
          <w:tab w:val="clear" w:pos="567"/>
        </w:tabs>
        <w:rPr>
          <w:color w:val="000000"/>
        </w:rPr>
      </w:pPr>
      <w:r w:rsidRPr="009B1A37">
        <w:rPr>
          <w:color w:val="000000"/>
        </w:rPr>
        <w:t xml:space="preserve">Ve dvou klinických studiích (studie B2222 a studie S0033) byla denní dávka Glivecu zvyšována na 800 mg u pacientů, </w:t>
      </w:r>
      <w:r w:rsidR="007348FF" w:rsidRPr="009B1A37">
        <w:rPr>
          <w:color w:val="000000"/>
        </w:rPr>
        <w:t>u kterých onemocnění progredovalo</w:t>
      </w:r>
      <w:r w:rsidRPr="009B1A37">
        <w:rPr>
          <w:color w:val="000000"/>
        </w:rPr>
        <w:t xml:space="preserve"> při nižších denních dávkách 400 nebo 600 mg. Denní dávka byla zvýšena na 800 mg u celkově 103 pacientů; 6 pacientů dosáhlo po zvýšení dávky částečné odpovědi a u</w:t>
      </w:r>
      <w:r w:rsidR="00BB69AE" w:rsidRPr="009B1A37">
        <w:rPr>
          <w:color w:val="000000"/>
        </w:rPr>
        <w:t> </w:t>
      </w:r>
      <w:r w:rsidRPr="009B1A37">
        <w:rPr>
          <w:color w:val="000000"/>
        </w:rPr>
        <w:t>21 pacientů došlo ke stabilizaci onemocnění, což představuje klinický prospěch 26</w:t>
      </w:r>
      <w:r w:rsidR="00F62619" w:rsidRPr="009B1A37">
        <w:rPr>
          <w:color w:val="000000"/>
        </w:rPr>
        <w:t> </w:t>
      </w:r>
      <w:r w:rsidRPr="009B1A37">
        <w:rPr>
          <w:color w:val="000000"/>
        </w:rPr>
        <w:t xml:space="preserve">%. Z dostupných bezpečnostních dat nevyplývá, že by zvýšení dávky na 800 mg denně u pacientů </w:t>
      </w:r>
      <w:r w:rsidR="007348FF" w:rsidRPr="009B1A37">
        <w:rPr>
          <w:color w:val="000000"/>
        </w:rPr>
        <w:t>s progresí onemocnění</w:t>
      </w:r>
      <w:r w:rsidRPr="009B1A37">
        <w:rPr>
          <w:color w:val="000000"/>
        </w:rPr>
        <w:t xml:space="preserve"> při nižších dávkách 400 mg nebo 600 mg denně mělo vliv na bezpečnostní profil Glivecu.</w:t>
      </w:r>
    </w:p>
    <w:p w14:paraId="489A31FB" w14:textId="77777777" w:rsidR="00D97A44" w:rsidRPr="009B1A37" w:rsidRDefault="00D97A44" w:rsidP="00BE3D48">
      <w:pPr>
        <w:pStyle w:val="EndnoteText"/>
        <w:widowControl w:val="0"/>
        <w:tabs>
          <w:tab w:val="clear" w:pos="567"/>
        </w:tabs>
        <w:rPr>
          <w:rFonts w:eastAsia="MS Mincho"/>
          <w:color w:val="000000"/>
          <w:u w:val="single"/>
        </w:rPr>
      </w:pPr>
    </w:p>
    <w:p w14:paraId="5E7C454B" w14:textId="77777777" w:rsidR="00D97A44" w:rsidRPr="009B1A37" w:rsidRDefault="00D97A44" w:rsidP="00BE3D48">
      <w:pPr>
        <w:pStyle w:val="EndnoteText"/>
        <w:keepNext/>
        <w:widowControl w:val="0"/>
        <w:tabs>
          <w:tab w:val="clear" w:pos="567"/>
        </w:tabs>
      </w:pPr>
      <w:r w:rsidRPr="009B1A37">
        <w:rPr>
          <w:rFonts w:eastAsia="MS Mincho"/>
          <w:color w:val="000000"/>
          <w:u w:val="single"/>
        </w:rPr>
        <w:t>Klinick</w:t>
      </w:r>
      <w:r w:rsidR="00CE680A" w:rsidRPr="009B1A37">
        <w:rPr>
          <w:rFonts w:eastAsia="MS Mincho"/>
          <w:color w:val="000000"/>
          <w:u w:val="single"/>
        </w:rPr>
        <w:t>é</w:t>
      </w:r>
      <w:r w:rsidRPr="009B1A37">
        <w:rPr>
          <w:rFonts w:eastAsia="MS Mincho"/>
          <w:color w:val="000000"/>
          <w:u w:val="single"/>
        </w:rPr>
        <w:t xml:space="preserve"> studie u adjuvantní léčby GIST</w:t>
      </w:r>
    </w:p>
    <w:p w14:paraId="607B49A7" w14:textId="77777777" w:rsidR="00D97A44" w:rsidRPr="009B1A37" w:rsidRDefault="00164F65" w:rsidP="00BE3D48">
      <w:pPr>
        <w:pStyle w:val="EndnoteText"/>
        <w:widowControl w:val="0"/>
        <w:tabs>
          <w:tab w:val="clear" w:pos="567"/>
        </w:tabs>
        <w:rPr>
          <w:rFonts w:eastAsia="MS Mincho"/>
          <w:color w:val="000000"/>
        </w:rPr>
      </w:pPr>
      <w:r w:rsidRPr="009B1A37">
        <w:rPr>
          <w:rFonts w:eastAsia="MS Mincho"/>
          <w:color w:val="000000"/>
        </w:rPr>
        <w:t xml:space="preserve">Glivec byl studován v </w:t>
      </w:r>
      <w:r w:rsidR="00D97A44" w:rsidRPr="009B1A37">
        <w:rPr>
          <w:rFonts w:eastAsia="MS Mincho"/>
          <w:color w:val="000000"/>
        </w:rPr>
        <w:t>adjuvantní léčb</w:t>
      </w:r>
      <w:r w:rsidRPr="009B1A37">
        <w:rPr>
          <w:rFonts w:eastAsia="MS Mincho"/>
          <w:color w:val="000000"/>
        </w:rPr>
        <w:t>ě</w:t>
      </w:r>
      <w:r w:rsidR="00D97A44" w:rsidRPr="009B1A37">
        <w:rPr>
          <w:rFonts w:eastAsia="MS Mincho"/>
          <w:color w:val="000000"/>
        </w:rPr>
        <w:t xml:space="preserve"> v multicentrické, dvojitě slepé, prospektivní, placebem kontrolované studii fáze </w:t>
      </w:r>
      <w:smartTag w:uri="urn:schemas-microsoft-com:office:smarttags" w:element="stockticker">
        <w:r w:rsidR="00D97A44" w:rsidRPr="009B1A37">
          <w:rPr>
            <w:rFonts w:eastAsia="MS Mincho"/>
            <w:color w:val="000000"/>
          </w:rPr>
          <w:t>III</w:t>
        </w:r>
      </w:smartTag>
      <w:r w:rsidR="00D97A44" w:rsidRPr="009B1A37">
        <w:rPr>
          <w:rFonts w:eastAsia="MS Mincho"/>
          <w:color w:val="000000"/>
        </w:rPr>
        <w:t xml:space="preserve"> (Z9001), která zahrnovala 773 pacientů. Věkové rozmezí pacientů bylo 18 až 91 let. Byli zařazeni pacienti s histologickou diagnózou primárního GIST s imunochemicky potvrzenou expresí Kit proteinu a velikostí nádoru ≥ 3 cm v maximálním rozměru, s úplnou makroskopickou resekcí primárního GIST během 14</w:t>
      </w:r>
      <w:r w:rsidR="00D97A44" w:rsidRPr="009B1A37">
        <w:rPr>
          <w:rFonts w:eastAsia="MS Mincho"/>
          <w:color w:val="000000"/>
        </w:rPr>
        <w:noBreakHyphen/>
        <w:t>70 dnů před zařazením do studie. Po resekci primárního GIST byli pacienti randomizováni do jednoho ze dvou ramen: Glivec podávaný v dávkách 400 mg/den nebo odpovídající placebo po dobu jednoho roku.</w:t>
      </w:r>
    </w:p>
    <w:p w14:paraId="74C56BB9" w14:textId="77777777" w:rsidR="00D97A44" w:rsidRPr="009B1A37" w:rsidRDefault="00D97A44" w:rsidP="00BE3D48">
      <w:pPr>
        <w:pStyle w:val="EndnoteText"/>
        <w:widowControl w:val="0"/>
        <w:tabs>
          <w:tab w:val="clear" w:pos="567"/>
        </w:tabs>
        <w:rPr>
          <w:rFonts w:eastAsia="MS Mincho"/>
          <w:color w:val="000000"/>
        </w:rPr>
      </w:pPr>
    </w:p>
    <w:p w14:paraId="54C2932A" w14:textId="77777777" w:rsidR="00D97A44" w:rsidRPr="009B1A37" w:rsidRDefault="00D97A44" w:rsidP="00BE3D48">
      <w:pPr>
        <w:pStyle w:val="EndnoteText"/>
        <w:widowControl w:val="0"/>
        <w:tabs>
          <w:tab w:val="clear" w:pos="567"/>
        </w:tabs>
        <w:rPr>
          <w:rFonts w:eastAsia="MS Mincho"/>
          <w:color w:val="000000"/>
        </w:rPr>
      </w:pPr>
      <w:r w:rsidRPr="009B1A37">
        <w:rPr>
          <w:rFonts w:eastAsia="MS Mincho"/>
          <w:color w:val="000000"/>
        </w:rPr>
        <w:t xml:space="preserve">Primárním cílovým parametrem studie bylo přežití bez </w:t>
      </w:r>
      <w:r w:rsidR="00BB3090" w:rsidRPr="009B1A37">
        <w:rPr>
          <w:rFonts w:eastAsia="MS Mincho"/>
          <w:color w:val="000000"/>
        </w:rPr>
        <w:t>návratu</w:t>
      </w:r>
      <w:r w:rsidRPr="009B1A37">
        <w:rPr>
          <w:rFonts w:eastAsia="MS Mincho"/>
          <w:color w:val="000000"/>
        </w:rPr>
        <w:t xml:space="preserve"> onemocnění (</w:t>
      </w:r>
      <w:smartTag w:uri="urn:schemas-microsoft-com:office:smarttags" w:element="stockticker">
        <w:r w:rsidRPr="009B1A37">
          <w:rPr>
            <w:rFonts w:eastAsia="MS Mincho"/>
            <w:color w:val="000000"/>
          </w:rPr>
          <w:t>RFS</w:t>
        </w:r>
      </w:smartTag>
      <w:r w:rsidRPr="009B1A37">
        <w:rPr>
          <w:rFonts w:eastAsia="MS Mincho"/>
          <w:color w:val="000000"/>
        </w:rPr>
        <w:t xml:space="preserve">) definované jako doba od data randomizace do data </w:t>
      </w:r>
      <w:r w:rsidR="00BB3090" w:rsidRPr="009B1A37">
        <w:rPr>
          <w:rFonts w:eastAsia="MS Mincho"/>
          <w:color w:val="000000"/>
        </w:rPr>
        <w:t>návratu</w:t>
      </w:r>
      <w:r w:rsidRPr="009B1A37">
        <w:rPr>
          <w:rFonts w:eastAsia="MS Mincho"/>
          <w:color w:val="000000"/>
        </w:rPr>
        <w:t xml:space="preserve"> onemocnění nebo smrti z jakékoli příčiny.</w:t>
      </w:r>
    </w:p>
    <w:p w14:paraId="47948EF2" w14:textId="77777777" w:rsidR="00D97A44" w:rsidRPr="009B1A37" w:rsidRDefault="00D97A44" w:rsidP="00BE3D48">
      <w:pPr>
        <w:pStyle w:val="EndnoteText"/>
        <w:widowControl w:val="0"/>
        <w:tabs>
          <w:tab w:val="clear" w:pos="567"/>
        </w:tabs>
        <w:rPr>
          <w:rFonts w:eastAsia="MS Mincho"/>
          <w:color w:val="000000"/>
        </w:rPr>
      </w:pPr>
    </w:p>
    <w:p w14:paraId="293CA7D7" w14:textId="77777777" w:rsidR="00D97A44" w:rsidRPr="009B1A37" w:rsidRDefault="00D97A44" w:rsidP="00BE3D48">
      <w:pPr>
        <w:pStyle w:val="EndnoteText"/>
        <w:widowControl w:val="0"/>
        <w:tabs>
          <w:tab w:val="clear" w:pos="567"/>
        </w:tabs>
        <w:rPr>
          <w:rFonts w:eastAsia="MS Mincho"/>
          <w:color w:val="000000"/>
          <w:u w:val="single"/>
        </w:rPr>
      </w:pPr>
      <w:r w:rsidRPr="009B1A37">
        <w:rPr>
          <w:rFonts w:eastAsia="MS Mincho"/>
          <w:color w:val="000000"/>
        </w:rPr>
        <w:t xml:space="preserve">Glivec významně prodloužil </w:t>
      </w:r>
      <w:smartTag w:uri="urn:schemas-microsoft-com:office:smarttags" w:element="stockticker">
        <w:r w:rsidRPr="009B1A37">
          <w:rPr>
            <w:rFonts w:eastAsia="MS Mincho"/>
            <w:color w:val="000000"/>
          </w:rPr>
          <w:t>RFS</w:t>
        </w:r>
      </w:smartTag>
      <w:r w:rsidRPr="009B1A37">
        <w:rPr>
          <w:rFonts w:eastAsia="MS Mincho"/>
          <w:color w:val="000000"/>
        </w:rPr>
        <w:t xml:space="preserve">, ve skupině s Glivecem bylo po dobu 38 měsíců bez </w:t>
      </w:r>
      <w:r w:rsidR="00BB3090" w:rsidRPr="009B1A37">
        <w:rPr>
          <w:rFonts w:eastAsia="MS Mincho"/>
          <w:color w:val="000000"/>
        </w:rPr>
        <w:t>návratu</w:t>
      </w:r>
      <w:r w:rsidRPr="009B1A37">
        <w:rPr>
          <w:rFonts w:eastAsia="MS Mincho"/>
          <w:color w:val="000000"/>
        </w:rPr>
        <w:t xml:space="preserve"> onemocnění 75</w:t>
      </w:r>
      <w:r w:rsidR="0067324A" w:rsidRPr="009B1A37">
        <w:rPr>
          <w:rFonts w:eastAsia="MS Mincho"/>
          <w:color w:val="000000"/>
        </w:rPr>
        <w:t> </w:t>
      </w:r>
      <w:r w:rsidRPr="009B1A37">
        <w:rPr>
          <w:rFonts w:eastAsia="MS Mincho"/>
          <w:color w:val="000000"/>
        </w:rPr>
        <w:t xml:space="preserve">% pacientů, oproti 20 měsícům u pacientů ve skupině s placebem (95% CI, [30-nelze určit]; respektive[14-nelze určit]); (relativní riziko = 0,398 [0,259 – 0,610], p&lt; 0,0001). Po jednom roce byl celkový </w:t>
      </w:r>
      <w:smartTag w:uri="urn:schemas-microsoft-com:office:smarttags" w:element="stockticker">
        <w:r w:rsidRPr="009B1A37">
          <w:rPr>
            <w:rFonts w:eastAsia="MS Mincho"/>
            <w:color w:val="000000"/>
          </w:rPr>
          <w:t>RFS</w:t>
        </w:r>
      </w:smartTag>
      <w:r w:rsidRPr="009B1A37">
        <w:rPr>
          <w:rFonts w:eastAsia="MS Mincho"/>
          <w:color w:val="000000"/>
        </w:rPr>
        <w:t xml:space="preserve"> významně lepší pro Glivec (97,7</w:t>
      </w:r>
      <w:r w:rsidR="0067324A" w:rsidRPr="009B1A37">
        <w:rPr>
          <w:rFonts w:eastAsia="MS Mincho"/>
          <w:color w:val="000000"/>
        </w:rPr>
        <w:t> </w:t>
      </w:r>
      <w:r w:rsidRPr="009B1A37">
        <w:rPr>
          <w:rFonts w:eastAsia="MS Mincho"/>
          <w:color w:val="000000"/>
        </w:rPr>
        <w:t>%) oproti placebu (82,3</w:t>
      </w:r>
      <w:r w:rsidR="0067324A" w:rsidRPr="009B1A37">
        <w:rPr>
          <w:rFonts w:eastAsia="MS Mincho"/>
          <w:color w:val="000000"/>
        </w:rPr>
        <w:t> </w:t>
      </w:r>
      <w:r w:rsidRPr="009B1A37">
        <w:rPr>
          <w:rFonts w:eastAsia="MS Mincho"/>
          <w:color w:val="000000"/>
        </w:rPr>
        <w:t>%), (p&lt; 0,0001). Riziko recidivy onemocnění tak bylo sníženo o přibližně 89</w:t>
      </w:r>
      <w:r w:rsidR="0067324A" w:rsidRPr="009B1A37">
        <w:rPr>
          <w:rFonts w:eastAsia="MS Mincho"/>
          <w:color w:val="000000"/>
        </w:rPr>
        <w:t> </w:t>
      </w:r>
      <w:r w:rsidRPr="009B1A37">
        <w:rPr>
          <w:rFonts w:eastAsia="MS Mincho"/>
          <w:color w:val="000000"/>
        </w:rPr>
        <w:t>% v porovnání s placebem (relativní riziko = 0,113 [0,049 – 0,264]).</w:t>
      </w:r>
    </w:p>
    <w:p w14:paraId="16FFB95A" w14:textId="77777777" w:rsidR="00D97A44" w:rsidRPr="009B1A37" w:rsidRDefault="00D97A44" w:rsidP="00BE3D48">
      <w:pPr>
        <w:pStyle w:val="EndnoteText"/>
        <w:widowControl w:val="0"/>
        <w:tabs>
          <w:tab w:val="clear" w:pos="567"/>
        </w:tabs>
        <w:rPr>
          <w:rFonts w:eastAsia="MS Mincho"/>
          <w:color w:val="000000"/>
          <w:u w:val="single"/>
        </w:rPr>
      </w:pPr>
    </w:p>
    <w:p w14:paraId="6B7667CB" w14:textId="77777777" w:rsidR="00D97A44" w:rsidRPr="009B1A37" w:rsidRDefault="00D97A44" w:rsidP="00BE3D48">
      <w:pPr>
        <w:pStyle w:val="EndnoteText"/>
        <w:widowControl w:val="0"/>
        <w:tabs>
          <w:tab w:val="clear" w:pos="567"/>
        </w:tabs>
        <w:rPr>
          <w:rFonts w:eastAsia="MS Mincho"/>
          <w:color w:val="000000"/>
          <w:u w:val="single"/>
        </w:rPr>
      </w:pPr>
      <w:r w:rsidRPr="009B1A37">
        <w:rPr>
          <w:rFonts w:eastAsia="MS Mincho"/>
          <w:color w:val="000000"/>
        </w:rPr>
        <w:t xml:space="preserve">Riziko recidivy u pacientů po operaci primárního GIST nádoru bylo retrospektivně vyhodnoceno na základě těchto prognostických faktorů: velikost nádoru, mitotický index, umístění nádoru. Hodnoty mitotického indexu byly dostupné pro 556 ze </w:t>
      </w:r>
      <w:r w:rsidR="00DA6035" w:rsidRPr="009B1A37">
        <w:rPr>
          <w:rFonts w:eastAsia="MS Mincho"/>
          <w:color w:val="000000"/>
        </w:rPr>
        <w:t>713</w:t>
      </w:r>
      <w:r w:rsidRPr="009B1A37">
        <w:rPr>
          <w:rFonts w:eastAsia="MS Mincho"/>
          <w:color w:val="000000"/>
        </w:rPr>
        <w:t> pacientů intention-to-treat (</w:t>
      </w:r>
      <w:smartTag w:uri="urn:schemas-microsoft-com:office:smarttags" w:element="stockticker">
        <w:r w:rsidRPr="009B1A37">
          <w:rPr>
            <w:rFonts w:eastAsia="MS Mincho"/>
            <w:color w:val="000000"/>
          </w:rPr>
          <w:t>ITT</w:t>
        </w:r>
      </w:smartTag>
      <w:r w:rsidRPr="009B1A37">
        <w:rPr>
          <w:rFonts w:eastAsia="MS Mincho"/>
          <w:color w:val="000000"/>
        </w:rPr>
        <w:t>) populace. Výsledky analýzy podskupin podle klasifikace rizika Národního ústavu zdraví USA (NIH) a Ústavu patologie ozbrojených sil USA (AFIP) jsou shrnuty v </w:t>
      </w:r>
      <w:r w:rsidR="000B39C2" w:rsidRPr="009B1A37">
        <w:rPr>
          <w:rFonts w:eastAsia="MS Mincho"/>
          <w:color w:val="000000"/>
        </w:rPr>
        <w:t>t</w:t>
      </w:r>
      <w:r w:rsidRPr="009B1A37">
        <w:rPr>
          <w:rFonts w:eastAsia="MS Mincho"/>
          <w:color w:val="000000"/>
        </w:rPr>
        <w:t>abulce </w:t>
      </w:r>
      <w:r w:rsidR="00B20788" w:rsidRPr="009B1A37">
        <w:rPr>
          <w:rFonts w:eastAsia="MS Mincho"/>
          <w:color w:val="000000"/>
        </w:rPr>
        <w:t>7</w:t>
      </w:r>
      <w:r w:rsidRPr="009B1A37">
        <w:rPr>
          <w:rFonts w:eastAsia="MS Mincho"/>
          <w:color w:val="000000"/>
        </w:rPr>
        <w:t>. Nebyl pozorován přínos ve skupině s nízkým a velmi nízkým rizikem. Nebyl pozorován přínos pro celkové přežití.</w:t>
      </w:r>
    </w:p>
    <w:p w14:paraId="3878B621" w14:textId="77777777" w:rsidR="00D97A44" w:rsidRPr="009B1A37" w:rsidRDefault="00D97A44" w:rsidP="00BE3D48">
      <w:pPr>
        <w:pStyle w:val="EndnoteText"/>
        <w:widowControl w:val="0"/>
        <w:tabs>
          <w:tab w:val="clear" w:pos="567"/>
        </w:tabs>
        <w:rPr>
          <w:rFonts w:eastAsia="MS Mincho"/>
          <w:color w:val="000000"/>
          <w:u w:val="single"/>
        </w:rPr>
      </w:pPr>
    </w:p>
    <w:p w14:paraId="09EFF2AC" w14:textId="77777777" w:rsidR="00D97A44" w:rsidRPr="009B1A37" w:rsidRDefault="00D97A44" w:rsidP="00BE3D48">
      <w:pPr>
        <w:pStyle w:val="Heading6"/>
        <w:keepLines/>
        <w:widowControl w:val="0"/>
        <w:numPr>
          <w:ilvl w:val="0"/>
          <w:numId w:val="0"/>
        </w:numPr>
        <w:tabs>
          <w:tab w:val="clear" w:pos="-720"/>
          <w:tab w:val="clear" w:pos="567"/>
          <w:tab w:val="clear" w:pos="4536"/>
          <w:tab w:val="left" w:pos="1584"/>
          <w:tab w:val="left" w:pos="2736"/>
          <w:tab w:val="left" w:pos="4590"/>
        </w:tabs>
        <w:spacing w:line="240" w:lineRule="auto"/>
        <w:ind w:left="1134" w:hanging="1134"/>
        <w:rPr>
          <w:rFonts w:eastAsia="MS Mincho"/>
        </w:rPr>
      </w:pPr>
      <w:r w:rsidRPr="009B1A37">
        <w:rPr>
          <w:rFonts w:eastAsia="MS Mincho"/>
          <w:b/>
          <w:i w:val="0"/>
          <w:color w:val="000000"/>
        </w:rPr>
        <w:t>Tabulka </w:t>
      </w:r>
      <w:r w:rsidR="00B20788" w:rsidRPr="009B1A37">
        <w:rPr>
          <w:rFonts w:eastAsia="MS Mincho"/>
          <w:b/>
          <w:i w:val="0"/>
          <w:color w:val="000000"/>
        </w:rPr>
        <w:t>7</w:t>
      </w:r>
      <w:r w:rsidRPr="009B1A37">
        <w:rPr>
          <w:rFonts w:eastAsia="MS Mincho"/>
          <w:b/>
          <w:i w:val="0"/>
          <w:color w:val="000000"/>
        </w:rPr>
        <w:tab/>
        <w:t xml:space="preserve">Souhrn analýz </w:t>
      </w:r>
      <w:smartTag w:uri="urn:schemas-microsoft-com:office:smarttags" w:element="stockticker">
        <w:r w:rsidRPr="009B1A37">
          <w:rPr>
            <w:rFonts w:eastAsia="MS Mincho"/>
            <w:b/>
            <w:i w:val="0"/>
            <w:color w:val="000000"/>
          </w:rPr>
          <w:t>RFS</w:t>
        </w:r>
      </w:smartTag>
      <w:r w:rsidRPr="009B1A37">
        <w:rPr>
          <w:rFonts w:eastAsia="MS Mincho"/>
          <w:b/>
          <w:i w:val="0"/>
          <w:color w:val="000000"/>
        </w:rPr>
        <w:t xml:space="preserve"> studie Z9001podle klasifikace rizika NIH and AFIP</w:t>
      </w:r>
    </w:p>
    <w:p w14:paraId="553D6C6D" w14:textId="77777777" w:rsidR="00D97A44" w:rsidRPr="009B1A37" w:rsidRDefault="00D97A44" w:rsidP="00BE3D48">
      <w:pPr>
        <w:keepNext/>
        <w:keepLines/>
        <w:widowControl w:val="0"/>
        <w:spacing w:line="240" w:lineRule="auto"/>
        <w:rPr>
          <w:rFonts w:eastAsia="MS Mincho"/>
        </w:rPr>
      </w:pPr>
    </w:p>
    <w:tbl>
      <w:tblPr>
        <w:tblW w:w="10060" w:type="dxa"/>
        <w:tblInd w:w="-20" w:type="dxa"/>
        <w:tblLayout w:type="fixed"/>
        <w:tblLook w:val="0000" w:firstRow="0" w:lastRow="0" w:firstColumn="0" w:lastColumn="0" w:noHBand="0" w:noVBand="0"/>
      </w:tblPr>
      <w:tblGrid>
        <w:gridCol w:w="1023"/>
        <w:gridCol w:w="1328"/>
        <w:gridCol w:w="1047"/>
        <w:gridCol w:w="2022"/>
        <w:gridCol w:w="1800"/>
        <w:gridCol w:w="1440"/>
        <w:gridCol w:w="1400"/>
      </w:tblGrid>
      <w:tr w:rsidR="00D97A44" w:rsidRPr="009B1A37" w14:paraId="2185A14B" w14:textId="77777777" w:rsidTr="009F41EF">
        <w:trPr>
          <w:cantSplit/>
        </w:trPr>
        <w:tc>
          <w:tcPr>
            <w:tcW w:w="1023" w:type="dxa"/>
            <w:vMerge w:val="restart"/>
            <w:tcBorders>
              <w:top w:val="single" w:sz="4" w:space="0" w:color="000000"/>
              <w:left w:val="single" w:sz="4" w:space="0" w:color="000000"/>
              <w:bottom w:val="single" w:sz="4" w:space="0" w:color="000000"/>
            </w:tcBorders>
          </w:tcPr>
          <w:p w14:paraId="3075776D" w14:textId="77777777" w:rsidR="00D97A44" w:rsidRPr="009B1A37" w:rsidRDefault="00D97A44" w:rsidP="00BE3D48">
            <w:pPr>
              <w:keepNext/>
              <w:keepLines/>
              <w:widowControl w:val="0"/>
              <w:snapToGrid w:val="0"/>
              <w:spacing w:line="240" w:lineRule="auto"/>
              <w:jc w:val="center"/>
              <w:rPr>
                <w:b/>
              </w:rPr>
            </w:pPr>
            <w:r w:rsidRPr="009B1A37">
              <w:rPr>
                <w:b/>
              </w:rPr>
              <w:t>Kritéria rizika</w:t>
            </w:r>
          </w:p>
        </w:tc>
        <w:tc>
          <w:tcPr>
            <w:tcW w:w="1328" w:type="dxa"/>
            <w:vMerge w:val="restart"/>
            <w:tcBorders>
              <w:top w:val="single" w:sz="4" w:space="0" w:color="000000"/>
              <w:left w:val="single" w:sz="4" w:space="0" w:color="000000"/>
              <w:bottom w:val="single" w:sz="4" w:space="0" w:color="000000"/>
            </w:tcBorders>
          </w:tcPr>
          <w:p w14:paraId="257364AB" w14:textId="77777777" w:rsidR="00D97A44" w:rsidRPr="009B1A37" w:rsidRDefault="00D97A44" w:rsidP="009F41EF">
            <w:pPr>
              <w:keepNext/>
              <w:keepLines/>
              <w:widowControl w:val="0"/>
              <w:snapToGrid w:val="0"/>
              <w:spacing w:line="240" w:lineRule="auto"/>
              <w:rPr>
                <w:b/>
              </w:rPr>
            </w:pPr>
            <w:r w:rsidRPr="009B1A37">
              <w:rPr>
                <w:b/>
              </w:rPr>
              <w:t>Stupeň rizika</w:t>
            </w:r>
          </w:p>
        </w:tc>
        <w:tc>
          <w:tcPr>
            <w:tcW w:w="1047" w:type="dxa"/>
            <w:vMerge w:val="restart"/>
            <w:tcBorders>
              <w:top w:val="single" w:sz="4" w:space="0" w:color="000000"/>
              <w:left w:val="single" w:sz="4" w:space="0" w:color="000000"/>
              <w:bottom w:val="single" w:sz="4" w:space="0" w:color="000000"/>
            </w:tcBorders>
          </w:tcPr>
          <w:p w14:paraId="56E9C651" w14:textId="77777777" w:rsidR="00D97A44" w:rsidRPr="009B1A37" w:rsidRDefault="00D97A44" w:rsidP="00BE3D48">
            <w:pPr>
              <w:keepNext/>
              <w:keepLines/>
              <w:widowControl w:val="0"/>
              <w:snapToGrid w:val="0"/>
              <w:spacing w:line="240" w:lineRule="auto"/>
              <w:jc w:val="center"/>
              <w:rPr>
                <w:b/>
              </w:rPr>
            </w:pPr>
            <w:r w:rsidRPr="009B1A37">
              <w:rPr>
                <w:b/>
              </w:rPr>
              <w:t>% pacientů</w:t>
            </w:r>
          </w:p>
        </w:tc>
        <w:tc>
          <w:tcPr>
            <w:tcW w:w="2022" w:type="dxa"/>
            <w:vMerge w:val="restart"/>
            <w:tcBorders>
              <w:top w:val="single" w:sz="4" w:space="0" w:color="000000"/>
              <w:left w:val="single" w:sz="4" w:space="0" w:color="000000"/>
              <w:bottom w:val="single" w:sz="4" w:space="0" w:color="000000"/>
            </w:tcBorders>
          </w:tcPr>
          <w:p w14:paraId="6169F53B" w14:textId="77777777" w:rsidR="00D97A44" w:rsidRPr="009B1A37" w:rsidRDefault="00D97A44" w:rsidP="00BE3D48">
            <w:pPr>
              <w:keepNext/>
              <w:keepLines/>
              <w:widowControl w:val="0"/>
              <w:snapToGrid w:val="0"/>
              <w:spacing w:line="240" w:lineRule="auto"/>
              <w:jc w:val="center"/>
              <w:rPr>
                <w:b/>
              </w:rPr>
            </w:pPr>
            <w:r w:rsidRPr="009B1A37">
              <w:rPr>
                <w:b/>
              </w:rPr>
              <w:t>Počet příhod /</w:t>
            </w:r>
          </w:p>
          <w:p w14:paraId="38F1B02D" w14:textId="77777777" w:rsidR="00D97A44" w:rsidRPr="009B1A37" w:rsidRDefault="00D97A44" w:rsidP="00BE3D48">
            <w:pPr>
              <w:keepNext/>
              <w:keepLines/>
              <w:widowControl w:val="0"/>
              <w:spacing w:line="240" w:lineRule="auto"/>
              <w:jc w:val="center"/>
              <w:rPr>
                <w:b/>
              </w:rPr>
            </w:pPr>
            <w:r w:rsidRPr="009B1A37">
              <w:rPr>
                <w:b/>
              </w:rPr>
              <w:t>Počet pacientů</w:t>
            </w:r>
          </w:p>
        </w:tc>
        <w:tc>
          <w:tcPr>
            <w:tcW w:w="1800" w:type="dxa"/>
            <w:vMerge w:val="restart"/>
            <w:tcBorders>
              <w:top w:val="single" w:sz="4" w:space="0" w:color="000000"/>
              <w:left w:val="single" w:sz="4" w:space="0" w:color="000000"/>
              <w:bottom w:val="single" w:sz="4" w:space="0" w:color="000000"/>
            </w:tcBorders>
          </w:tcPr>
          <w:p w14:paraId="2B007CB9" w14:textId="77777777" w:rsidR="00D97A44" w:rsidRPr="009B1A37" w:rsidRDefault="00D97A44" w:rsidP="00BE3D48">
            <w:pPr>
              <w:keepNext/>
              <w:keepLines/>
              <w:widowControl w:val="0"/>
              <w:snapToGrid w:val="0"/>
              <w:spacing w:line="240" w:lineRule="auto"/>
              <w:jc w:val="center"/>
              <w:rPr>
                <w:b/>
              </w:rPr>
            </w:pPr>
            <w:r w:rsidRPr="009B1A37">
              <w:rPr>
                <w:b/>
              </w:rPr>
              <w:t>Celkové relativní riziko (95 %CI)*</w:t>
            </w:r>
          </w:p>
        </w:tc>
        <w:tc>
          <w:tcPr>
            <w:tcW w:w="2840" w:type="dxa"/>
            <w:gridSpan w:val="2"/>
            <w:tcBorders>
              <w:top w:val="single" w:sz="4" w:space="0" w:color="000000"/>
              <w:left w:val="single" w:sz="4" w:space="0" w:color="000000"/>
              <w:bottom w:val="single" w:sz="4" w:space="0" w:color="000000"/>
              <w:right w:val="single" w:sz="4" w:space="0" w:color="000000"/>
            </w:tcBorders>
          </w:tcPr>
          <w:p w14:paraId="4CBD9EE5" w14:textId="77777777" w:rsidR="00D97A44" w:rsidRPr="009B1A37" w:rsidRDefault="00D97A44" w:rsidP="00BE3D48">
            <w:pPr>
              <w:keepNext/>
              <w:keepLines/>
              <w:widowControl w:val="0"/>
              <w:snapToGrid w:val="0"/>
              <w:spacing w:line="240" w:lineRule="auto"/>
              <w:jc w:val="center"/>
            </w:pPr>
            <w:r w:rsidRPr="009B1A37">
              <w:rPr>
                <w:b/>
              </w:rPr>
              <w:t xml:space="preserve">Míra </w:t>
            </w:r>
            <w:smartTag w:uri="urn:schemas-microsoft-com:office:smarttags" w:element="stockticker">
              <w:r w:rsidRPr="009B1A37">
                <w:rPr>
                  <w:b/>
                </w:rPr>
                <w:t>RFS</w:t>
              </w:r>
            </w:smartTag>
            <w:r w:rsidRPr="009B1A37">
              <w:rPr>
                <w:b/>
              </w:rPr>
              <w:t xml:space="preserve"> (%)</w:t>
            </w:r>
          </w:p>
        </w:tc>
      </w:tr>
      <w:tr w:rsidR="00D97A44" w:rsidRPr="009B1A37" w14:paraId="3FF64453" w14:textId="77777777" w:rsidTr="009F41EF">
        <w:trPr>
          <w:cantSplit/>
        </w:trPr>
        <w:tc>
          <w:tcPr>
            <w:tcW w:w="1023" w:type="dxa"/>
            <w:vMerge/>
            <w:tcBorders>
              <w:top w:val="single" w:sz="4" w:space="0" w:color="000000"/>
              <w:left w:val="single" w:sz="4" w:space="0" w:color="000000"/>
              <w:bottom w:val="single" w:sz="4" w:space="0" w:color="000000"/>
            </w:tcBorders>
          </w:tcPr>
          <w:p w14:paraId="1E897584" w14:textId="77777777" w:rsidR="00D97A44" w:rsidRPr="009B1A37" w:rsidRDefault="00D97A44" w:rsidP="00BE3D48">
            <w:pPr>
              <w:keepNext/>
              <w:keepLines/>
              <w:widowControl w:val="0"/>
              <w:spacing w:line="240" w:lineRule="auto"/>
            </w:pPr>
          </w:p>
        </w:tc>
        <w:tc>
          <w:tcPr>
            <w:tcW w:w="1328" w:type="dxa"/>
            <w:vMerge/>
            <w:tcBorders>
              <w:top w:val="single" w:sz="4" w:space="0" w:color="000000"/>
              <w:left w:val="single" w:sz="4" w:space="0" w:color="000000"/>
              <w:bottom w:val="single" w:sz="4" w:space="0" w:color="000000"/>
            </w:tcBorders>
          </w:tcPr>
          <w:p w14:paraId="1A6E166E" w14:textId="77777777" w:rsidR="00D97A44" w:rsidRPr="009B1A37" w:rsidRDefault="00D97A44" w:rsidP="00BE3D48">
            <w:pPr>
              <w:keepNext/>
              <w:keepLines/>
              <w:widowControl w:val="0"/>
              <w:spacing w:line="240" w:lineRule="auto"/>
            </w:pPr>
          </w:p>
        </w:tc>
        <w:tc>
          <w:tcPr>
            <w:tcW w:w="1047" w:type="dxa"/>
            <w:vMerge/>
            <w:tcBorders>
              <w:top w:val="single" w:sz="4" w:space="0" w:color="000000"/>
              <w:left w:val="single" w:sz="4" w:space="0" w:color="000000"/>
              <w:bottom w:val="single" w:sz="4" w:space="0" w:color="000000"/>
            </w:tcBorders>
          </w:tcPr>
          <w:p w14:paraId="0C5F4CC3" w14:textId="77777777" w:rsidR="00D97A44" w:rsidRPr="009B1A37" w:rsidRDefault="00D97A44" w:rsidP="00BE3D48">
            <w:pPr>
              <w:keepNext/>
              <w:keepLines/>
              <w:widowControl w:val="0"/>
              <w:spacing w:line="240" w:lineRule="auto"/>
            </w:pPr>
          </w:p>
        </w:tc>
        <w:tc>
          <w:tcPr>
            <w:tcW w:w="2022" w:type="dxa"/>
            <w:vMerge/>
            <w:tcBorders>
              <w:top w:val="single" w:sz="4" w:space="0" w:color="000000"/>
              <w:left w:val="single" w:sz="4" w:space="0" w:color="000000"/>
              <w:bottom w:val="single" w:sz="4" w:space="0" w:color="000000"/>
            </w:tcBorders>
          </w:tcPr>
          <w:p w14:paraId="3F107D4D" w14:textId="77777777" w:rsidR="00D97A44" w:rsidRPr="009B1A37" w:rsidRDefault="00D97A44" w:rsidP="00BE3D48">
            <w:pPr>
              <w:keepNext/>
              <w:keepLines/>
              <w:widowControl w:val="0"/>
              <w:spacing w:line="240" w:lineRule="auto"/>
            </w:pPr>
          </w:p>
        </w:tc>
        <w:tc>
          <w:tcPr>
            <w:tcW w:w="1800" w:type="dxa"/>
            <w:vMerge/>
            <w:tcBorders>
              <w:top w:val="single" w:sz="4" w:space="0" w:color="000000"/>
              <w:left w:val="single" w:sz="4" w:space="0" w:color="000000"/>
              <w:bottom w:val="single" w:sz="4" w:space="0" w:color="000000"/>
            </w:tcBorders>
          </w:tcPr>
          <w:p w14:paraId="76A3D01B" w14:textId="77777777" w:rsidR="00D97A44" w:rsidRPr="009B1A37" w:rsidRDefault="00D97A44" w:rsidP="00BE3D48">
            <w:pPr>
              <w:keepNext/>
              <w:keepLines/>
              <w:widowControl w:val="0"/>
              <w:spacing w:line="240" w:lineRule="auto"/>
            </w:pPr>
          </w:p>
        </w:tc>
        <w:tc>
          <w:tcPr>
            <w:tcW w:w="1440" w:type="dxa"/>
            <w:tcBorders>
              <w:top w:val="single" w:sz="4" w:space="0" w:color="000000"/>
              <w:left w:val="single" w:sz="4" w:space="0" w:color="000000"/>
              <w:bottom w:val="single" w:sz="4" w:space="0" w:color="000000"/>
            </w:tcBorders>
          </w:tcPr>
          <w:p w14:paraId="0573938C" w14:textId="77777777" w:rsidR="00D97A44" w:rsidRPr="009B1A37" w:rsidRDefault="00D97A44" w:rsidP="00BE3D48">
            <w:pPr>
              <w:keepNext/>
              <w:keepLines/>
              <w:widowControl w:val="0"/>
              <w:snapToGrid w:val="0"/>
              <w:spacing w:line="240" w:lineRule="auto"/>
              <w:jc w:val="center"/>
              <w:rPr>
                <w:b/>
              </w:rPr>
            </w:pPr>
            <w:r w:rsidRPr="009B1A37">
              <w:rPr>
                <w:b/>
              </w:rPr>
              <w:t>12 měsíců</w:t>
            </w:r>
          </w:p>
        </w:tc>
        <w:tc>
          <w:tcPr>
            <w:tcW w:w="1400" w:type="dxa"/>
            <w:tcBorders>
              <w:top w:val="single" w:sz="4" w:space="0" w:color="000000"/>
              <w:left w:val="single" w:sz="4" w:space="0" w:color="000000"/>
              <w:bottom w:val="single" w:sz="4" w:space="0" w:color="000000"/>
              <w:right w:val="single" w:sz="4" w:space="0" w:color="000000"/>
            </w:tcBorders>
          </w:tcPr>
          <w:p w14:paraId="3DF01F87" w14:textId="77777777" w:rsidR="00D97A44" w:rsidRPr="009B1A37" w:rsidRDefault="00D97A44" w:rsidP="00BE3D48">
            <w:pPr>
              <w:keepNext/>
              <w:keepLines/>
              <w:widowControl w:val="0"/>
              <w:snapToGrid w:val="0"/>
              <w:spacing w:line="240" w:lineRule="auto"/>
              <w:jc w:val="center"/>
            </w:pPr>
            <w:r w:rsidRPr="009B1A37">
              <w:rPr>
                <w:b/>
              </w:rPr>
              <w:t>24 měsíců</w:t>
            </w:r>
          </w:p>
        </w:tc>
      </w:tr>
      <w:tr w:rsidR="00D97A44" w:rsidRPr="009B1A37" w14:paraId="1D9B47B2" w14:textId="77777777" w:rsidTr="009F41EF">
        <w:trPr>
          <w:cantSplit/>
        </w:trPr>
        <w:tc>
          <w:tcPr>
            <w:tcW w:w="1023" w:type="dxa"/>
            <w:vMerge/>
            <w:tcBorders>
              <w:top w:val="single" w:sz="4" w:space="0" w:color="000000"/>
              <w:left w:val="single" w:sz="4" w:space="0" w:color="000000"/>
              <w:bottom w:val="single" w:sz="4" w:space="0" w:color="000000"/>
            </w:tcBorders>
          </w:tcPr>
          <w:p w14:paraId="65A80C87" w14:textId="77777777" w:rsidR="00D97A44" w:rsidRPr="009B1A37" w:rsidRDefault="00D97A44" w:rsidP="00BE3D48">
            <w:pPr>
              <w:keepNext/>
              <w:keepLines/>
              <w:widowControl w:val="0"/>
              <w:spacing w:line="240" w:lineRule="auto"/>
            </w:pPr>
          </w:p>
        </w:tc>
        <w:tc>
          <w:tcPr>
            <w:tcW w:w="1328" w:type="dxa"/>
            <w:vMerge/>
            <w:tcBorders>
              <w:top w:val="single" w:sz="4" w:space="0" w:color="000000"/>
              <w:left w:val="single" w:sz="4" w:space="0" w:color="000000"/>
              <w:bottom w:val="single" w:sz="4" w:space="0" w:color="000000"/>
            </w:tcBorders>
          </w:tcPr>
          <w:p w14:paraId="7AF571DA" w14:textId="77777777" w:rsidR="00D97A44" w:rsidRPr="009B1A37" w:rsidRDefault="00D97A44" w:rsidP="00BE3D48">
            <w:pPr>
              <w:keepNext/>
              <w:keepLines/>
              <w:widowControl w:val="0"/>
              <w:spacing w:line="240" w:lineRule="auto"/>
            </w:pPr>
          </w:p>
        </w:tc>
        <w:tc>
          <w:tcPr>
            <w:tcW w:w="1047" w:type="dxa"/>
            <w:vMerge/>
            <w:tcBorders>
              <w:top w:val="single" w:sz="4" w:space="0" w:color="000000"/>
              <w:left w:val="single" w:sz="4" w:space="0" w:color="000000"/>
              <w:bottom w:val="single" w:sz="4" w:space="0" w:color="000000"/>
            </w:tcBorders>
          </w:tcPr>
          <w:p w14:paraId="351DBE18" w14:textId="77777777" w:rsidR="00D97A44" w:rsidRPr="009B1A37" w:rsidRDefault="00D97A44" w:rsidP="00BE3D48">
            <w:pPr>
              <w:keepNext/>
              <w:keepLines/>
              <w:widowControl w:val="0"/>
              <w:spacing w:line="240" w:lineRule="auto"/>
            </w:pPr>
          </w:p>
        </w:tc>
        <w:tc>
          <w:tcPr>
            <w:tcW w:w="2022" w:type="dxa"/>
            <w:tcBorders>
              <w:top w:val="single" w:sz="4" w:space="0" w:color="000000"/>
              <w:left w:val="single" w:sz="4" w:space="0" w:color="000000"/>
              <w:bottom w:val="single" w:sz="4" w:space="0" w:color="000000"/>
            </w:tcBorders>
          </w:tcPr>
          <w:p w14:paraId="511268F9" w14:textId="77777777" w:rsidR="00D97A44" w:rsidRPr="009B1A37" w:rsidRDefault="00D97A44" w:rsidP="00BE3D48">
            <w:pPr>
              <w:keepNext/>
              <w:keepLines/>
              <w:widowControl w:val="0"/>
              <w:snapToGrid w:val="0"/>
              <w:spacing w:line="240" w:lineRule="auto"/>
              <w:jc w:val="center"/>
            </w:pPr>
            <w:r w:rsidRPr="009B1A37">
              <w:rPr>
                <w:b/>
              </w:rPr>
              <w:t>Glivec vs placebo</w:t>
            </w:r>
          </w:p>
        </w:tc>
        <w:tc>
          <w:tcPr>
            <w:tcW w:w="1800" w:type="dxa"/>
            <w:vMerge/>
            <w:tcBorders>
              <w:top w:val="single" w:sz="4" w:space="0" w:color="000000"/>
              <w:left w:val="single" w:sz="4" w:space="0" w:color="000000"/>
              <w:bottom w:val="single" w:sz="4" w:space="0" w:color="000000"/>
            </w:tcBorders>
          </w:tcPr>
          <w:p w14:paraId="4A51F285" w14:textId="77777777" w:rsidR="00D97A44" w:rsidRPr="009B1A37" w:rsidRDefault="00D97A44" w:rsidP="00BE3D48">
            <w:pPr>
              <w:keepNext/>
              <w:keepLines/>
              <w:widowControl w:val="0"/>
              <w:spacing w:line="240" w:lineRule="auto"/>
            </w:pPr>
          </w:p>
        </w:tc>
        <w:tc>
          <w:tcPr>
            <w:tcW w:w="1440" w:type="dxa"/>
            <w:tcBorders>
              <w:top w:val="single" w:sz="4" w:space="0" w:color="000000"/>
              <w:left w:val="single" w:sz="4" w:space="0" w:color="000000"/>
              <w:bottom w:val="single" w:sz="4" w:space="0" w:color="000000"/>
            </w:tcBorders>
          </w:tcPr>
          <w:p w14:paraId="44D1BEE5" w14:textId="77777777" w:rsidR="00D97A44" w:rsidRPr="009B1A37" w:rsidRDefault="00D97A44" w:rsidP="00BE3D48">
            <w:pPr>
              <w:keepNext/>
              <w:keepLines/>
              <w:widowControl w:val="0"/>
              <w:snapToGrid w:val="0"/>
              <w:spacing w:line="240" w:lineRule="auto"/>
              <w:jc w:val="center"/>
              <w:rPr>
                <w:b/>
              </w:rPr>
            </w:pPr>
            <w:r w:rsidRPr="009B1A37">
              <w:rPr>
                <w:b/>
              </w:rPr>
              <w:t>Glivec vs placebo</w:t>
            </w:r>
          </w:p>
        </w:tc>
        <w:tc>
          <w:tcPr>
            <w:tcW w:w="1400" w:type="dxa"/>
            <w:tcBorders>
              <w:top w:val="single" w:sz="4" w:space="0" w:color="000000"/>
              <w:left w:val="single" w:sz="4" w:space="0" w:color="000000"/>
              <w:bottom w:val="single" w:sz="4" w:space="0" w:color="000000"/>
              <w:right w:val="single" w:sz="4" w:space="0" w:color="000000"/>
            </w:tcBorders>
          </w:tcPr>
          <w:p w14:paraId="3D952438" w14:textId="77777777" w:rsidR="00D97A44" w:rsidRPr="009B1A37" w:rsidRDefault="00D97A44" w:rsidP="00BE3D48">
            <w:pPr>
              <w:keepNext/>
              <w:keepLines/>
              <w:widowControl w:val="0"/>
              <w:snapToGrid w:val="0"/>
              <w:spacing w:line="240" w:lineRule="auto"/>
              <w:jc w:val="center"/>
            </w:pPr>
            <w:r w:rsidRPr="009B1A37">
              <w:rPr>
                <w:b/>
              </w:rPr>
              <w:t>Glivec vs placebo</w:t>
            </w:r>
          </w:p>
        </w:tc>
      </w:tr>
      <w:tr w:rsidR="00D97A44" w:rsidRPr="009B1A37" w14:paraId="67274411" w14:textId="77777777" w:rsidTr="009F41EF">
        <w:trPr>
          <w:cantSplit/>
        </w:trPr>
        <w:tc>
          <w:tcPr>
            <w:tcW w:w="1023" w:type="dxa"/>
            <w:vMerge w:val="restart"/>
            <w:tcBorders>
              <w:top w:val="single" w:sz="4" w:space="0" w:color="000000"/>
              <w:left w:val="single" w:sz="4" w:space="0" w:color="000000"/>
              <w:bottom w:val="single" w:sz="4" w:space="0" w:color="000000"/>
            </w:tcBorders>
          </w:tcPr>
          <w:p w14:paraId="691A38D9" w14:textId="77777777" w:rsidR="00D97A44" w:rsidRPr="009B1A37" w:rsidRDefault="00D97A44" w:rsidP="009F41EF">
            <w:pPr>
              <w:keepNext/>
              <w:keepLines/>
              <w:widowControl w:val="0"/>
              <w:snapToGrid w:val="0"/>
              <w:spacing w:line="240" w:lineRule="auto"/>
            </w:pPr>
            <w:r w:rsidRPr="009B1A37">
              <w:t>NIH</w:t>
            </w:r>
          </w:p>
        </w:tc>
        <w:tc>
          <w:tcPr>
            <w:tcW w:w="1328" w:type="dxa"/>
            <w:tcBorders>
              <w:top w:val="single" w:sz="4" w:space="0" w:color="000000"/>
              <w:left w:val="single" w:sz="4" w:space="0" w:color="000000"/>
            </w:tcBorders>
            <w:vAlign w:val="bottom"/>
          </w:tcPr>
          <w:p w14:paraId="2E03DE16" w14:textId="77777777" w:rsidR="00D97A44" w:rsidRPr="009B1A37" w:rsidRDefault="00D97A44" w:rsidP="00BE3D48">
            <w:pPr>
              <w:keepNext/>
              <w:keepLines/>
              <w:widowControl w:val="0"/>
              <w:snapToGrid w:val="0"/>
              <w:spacing w:line="240" w:lineRule="auto"/>
              <w:ind w:left="57" w:hanging="57"/>
            </w:pPr>
            <w:r w:rsidRPr="009B1A37">
              <w:t>Nízké</w:t>
            </w:r>
          </w:p>
        </w:tc>
        <w:tc>
          <w:tcPr>
            <w:tcW w:w="1047" w:type="dxa"/>
            <w:tcBorders>
              <w:top w:val="single" w:sz="4" w:space="0" w:color="000000"/>
              <w:left w:val="single" w:sz="4" w:space="0" w:color="000000"/>
            </w:tcBorders>
            <w:vAlign w:val="bottom"/>
          </w:tcPr>
          <w:p w14:paraId="656BB221" w14:textId="77777777" w:rsidR="00D97A44" w:rsidRPr="009B1A37" w:rsidRDefault="00D97A44" w:rsidP="00BE3D48">
            <w:pPr>
              <w:keepNext/>
              <w:keepLines/>
              <w:widowControl w:val="0"/>
              <w:snapToGrid w:val="0"/>
              <w:spacing w:line="240" w:lineRule="auto"/>
              <w:ind w:left="57" w:hanging="57"/>
              <w:jc w:val="center"/>
            </w:pPr>
            <w:r w:rsidRPr="009B1A37">
              <w:t>29,5</w:t>
            </w:r>
          </w:p>
        </w:tc>
        <w:tc>
          <w:tcPr>
            <w:tcW w:w="2022" w:type="dxa"/>
            <w:tcBorders>
              <w:top w:val="single" w:sz="4" w:space="0" w:color="000000"/>
              <w:left w:val="single" w:sz="4" w:space="0" w:color="000000"/>
            </w:tcBorders>
            <w:vAlign w:val="bottom"/>
          </w:tcPr>
          <w:p w14:paraId="6F9D8868" w14:textId="77777777" w:rsidR="00D97A44" w:rsidRPr="009B1A37" w:rsidRDefault="00D97A44" w:rsidP="00BE3D48">
            <w:pPr>
              <w:keepNext/>
              <w:keepLines/>
              <w:widowControl w:val="0"/>
              <w:snapToGrid w:val="0"/>
              <w:spacing w:line="240" w:lineRule="auto"/>
              <w:ind w:left="57" w:hanging="57"/>
            </w:pPr>
            <w:r w:rsidRPr="009B1A37">
              <w:t>0/86 vs. 2/90</w:t>
            </w:r>
          </w:p>
        </w:tc>
        <w:tc>
          <w:tcPr>
            <w:tcW w:w="1800" w:type="dxa"/>
            <w:tcBorders>
              <w:top w:val="single" w:sz="4" w:space="0" w:color="000000"/>
              <w:left w:val="single" w:sz="4" w:space="0" w:color="000000"/>
            </w:tcBorders>
            <w:vAlign w:val="bottom"/>
          </w:tcPr>
          <w:p w14:paraId="0986F79E" w14:textId="77777777" w:rsidR="00D97A44" w:rsidRPr="009B1A37" w:rsidRDefault="00D97A44" w:rsidP="00BE3D48">
            <w:pPr>
              <w:keepNext/>
              <w:keepLines/>
              <w:widowControl w:val="0"/>
              <w:snapToGrid w:val="0"/>
              <w:spacing w:line="240" w:lineRule="auto"/>
              <w:ind w:left="57" w:hanging="57"/>
            </w:pPr>
            <w:r w:rsidRPr="009B1A37">
              <w:t>N.E.</w:t>
            </w:r>
          </w:p>
        </w:tc>
        <w:tc>
          <w:tcPr>
            <w:tcW w:w="1440" w:type="dxa"/>
            <w:tcBorders>
              <w:top w:val="single" w:sz="4" w:space="0" w:color="000000"/>
              <w:left w:val="single" w:sz="4" w:space="0" w:color="000000"/>
            </w:tcBorders>
            <w:vAlign w:val="bottom"/>
          </w:tcPr>
          <w:p w14:paraId="19D6295D" w14:textId="77777777" w:rsidR="00D97A44" w:rsidRPr="009B1A37" w:rsidRDefault="00D97A44" w:rsidP="00BE3D48">
            <w:pPr>
              <w:keepNext/>
              <w:keepLines/>
              <w:widowControl w:val="0"/>
              <w:snapToGrid w:val="0"/>
              <w:spacing w:line="240" w:lineRule="auto"/>
              <w:ind w:left="57" w:hanging="57"/>
            </w:pPr>
            <w:r w:rsidRPr="009B1A37">
              <w:t>100 vs. 98,7</w:t>
            </w:r>
          </w:p>
        </w:tc>
        <w:tc>
          <w:tcPr>
            <w:tcW w:w="1400" w:type="dxa"/>
            <w:tcBorders>
              <w:top w:val="single" w:sz="4" w:space="0" w:color="000000"/>
              <w:left w:val="single" w:sz="4" w:space="0" w:color="000000"/>
              <w:right w:val="single" w:sz="4" w:space="0" w:color="000000"/>
            </w:tcBorders>
            <w:vAlign w:val="bottom"/>
          </w:tcPr>
          <w:p w14:paraId="47FD9AC5" w14:textId="77777777" w:rsidR="00D97A44" w:rsidRPr="009B1A37" w:rsidRDefault="00D97A44" w:rsidP="00BE3D48">
            <w:pPr>
              <w:keepNext/>
              <w:keepLines/>
              <w:widowControl w:val="0"/>
              <w:snapToGrid w:val="0"/>
              <w:spacing w:line="240" w:lineRule="auto"/>
              <w:ind w:left="57" w:hanging="57"/>
            </w:pPr>
            <w:r w:rsidRPr="009B1A37">
              <w:t>100 vs. 95,5</w:t>
            </w:r>
          </w:p>
        </w:tc>
      </w:tr>
      <w:tr w:rsidR="00D97A44" w:rsidRPr="009B1A37" w14:paraId="7C469D8D" w14:textId="77777777" w:rsidTr="009F41EF">
        <w:trPr>
          <w:cantSplit/>
        </w:trPr>
        <w:tc>
          <w:tcPr>
            <w:tcW w:w="1023" w:type="dxa"/>
            <w:vMerge/>
            <w:tcBorders>
              <w:top w:val="single" w:sz="4" w:space="0" w:color="000000"/>
              <w:left w:val="single" w:sz="4" w:space="0" w:color="000000"/>
              <w:bottom w:val="single" w:sz="4" w:space="0" w:color="000000"/>
            </w:tcBorders>
          </w:tcPr>
          <w:p w14:paraId="686B2B79" w14:textId="77777777" w:rsidR="00D97A44" w:rsidRPr="009B1A37" w:rsidRDefault="00D97A44" w:rsidP="00BE3D48">
            <w:pPr>
              <w:keepNext/>
              <w:keepLines/>
              <w:widowControl w:val="0"/>
              <w:spacing w:line="240" w:lineRule="auto"/>
            </w:pPr>
          </w:p>
        </w:tc>
        <w:tc>
          <w:tcPr>
            <w:tcW w:w="1328" w:type="dxa"/>
            <w:tcBorders>
              <w:left w:val="single" w:sz="4" w:space="0" w:color="000000"/>
            </w:tcBorders>
            <w:vAlign w:val="bottom"/>
          </w:tcPr>
          <w:p w14:paraId="726F9EFD" w14:textId="77777777" w:rsidR="00D97A44" w:rsidRPr="009B1A37" w:rsidRDefault="00D97A44" w:rsidP="00BE3D48">
            <w:pPr>
              <w:keepNext/>
              <w:keepLines/>
              <w:widowControl w:val="0"/>
              <w:snapToGrid w:val="0"/>
              <w:spacing w:line="240" w:lineRule="auto"/>
            </w:pPr>
            <w:r w:rsidRPr="009B1A37">
              <w:t>Střední</w:t>
            </w:r>
          </w:p>
        </w:tc>
        <w:tc>
          <w:tcPr>
            <w:tcW w:w="1047" w:type="dxa"/>
            <w:tcBorders>
              <w:left w:val="single" w:sz="4" w:space="0" w:color="000000"/>
            </w:tcBorders>
            <w:vAlign w:val="bottom"/>
          </w:tcPr>
          <w:p w14:paraId="3F334E8A" w14:textId="77777777" w:rsidR="00D97A44" w:rsidRPr="009B1A37" w:rsidRDefault="00D97A44" w:rsidP="00BE3D48">
            <w:pPr>
              <w:keepNext/>
              <w:keepLines/>
              <w:widowControl w:val="0"/>
              <w:snapToGrid w:val="0"/>
              <w:spacing w:line="240" w:lineRule="auto"/>
              <w:jc w:val="center"/>
            </w:pPr>
            <w:r w:rsidRPr="009B1A37">
              <w:t>25,7</w:t>
            </w:r>
          </w:p>
        </w:tc>
        <w:tc>
          <w:tcPr>
            <w:tcW w:w="2022" w:type="dxa"/>
            <w:tcBorders>
              <w:left w:val="single" w:sz="4" w:space="0" w:color="000000"/>
            </w:tcBorders>
            <w:vAlign w:val="bottom"/>
          </w:tcPr>
          <w:p w14:paraId="2E58DD13" w14:textId="77777777" w:rsidR="00D97A44" w:rsidRPr="009B1A37" w:rsidRDefault="00D97A44" w:rsidP="00BE3D48">
            <w:pPr>
              <w:keepNext/>
              <w:keepLines/>
              <w:widowControl w:val="0"/>
              <w:snapToGrid w:val="0"/>
              <w:spacing w:line="240" w:lineRule="auto"/>
            </w:pPr>
            <w:r w:rsidRPr="009B1A37">
              <w:t>4/75 vs. 6/78</w:t>
            </w:r>
          </w:p>
        </w:tc>
        <w:tc>
          <w:tcPr>
            <w:tcW w:w="1800" w:type="dxa"/>
            <w:tcBorders>
              <w:left w:val="single" w:sz="4" w:space="0" w:color="000000"/>
            </w:tcBorders>
            <w:vAlign w:val="bottom"/>
          </w:tcPr>
          <w:p w14:paraId="2225ECAF" w14:textId="77777777" w:rsidR="00D97A44" w:rsidRPr="009B1A37" w:rsidRDefault="00D97A44" w:rsidP="00BE3D48">
            <w:pPr>
              <w:keepNext/>
              <w:keepLines/>
              <w:widowControl w:val="0"/>
              <w:snapToGrid w:val="0"/>
              <w:spacing w:line="240" w:lineRule="auto"/>
            </w:pPr>
            <w:r w:rsidRPr="009B1A37">
              <w:t>0,59 (0,17; 2,10)</w:t>
            </w:r>
          </w:p>
        </w:tc>
        <w:tc>
          <w:tcPr>
            <w:tcW w:w="1440" w:type="dxa"/>
            <w:tcBorders>
              <w:left w:val="single" w:sz="4" w:space="0" w:color="000000"/>
            </w:tcBorders>
            <w:vAlign w:val="bottom"/>
          </w:tcPr>
          <w:p w14:paraId="23F5B3B1" w14:textId="77777777" w:rsidR="00D97A44" w:rsidRPr="009B1A37" w:rsidRDefault="00D97A44" w:rsidP="00BE3D48">
            <w:pPr>
              <w:keepNext/>
              <w:keepLines/>
              <w:widowControl w:val="0"/>
              <w:snapToGrid w:val="0"/>
              <w:spacing w:line="240" w:lineRule="auto"/>
            </w:pPr>
            <w:r w:rsidRPr="009B1A37">
              <w:t>100 vs. 94,8</w:t>
            </w:r>
          </w:p>
        </w:tc>
        <w:tc>
          <w:tcPr>
            <w:tcW w:w="1400" w:type="dxa"/>
            <w:tcBorders>
              <w:left w:val="single" w:sz="4" w:space="0" w:color="000000"/>
              <w:right w:val="single" w:sz="4" w:space="0" w:color="000000"/>
            </w:tcBorders>
            <w:vAlign w:val="bottom"/>
          </w:tcPr>
          <w:p w14:paraId="23FB5708" w14:textId="77777777" w:rsidR="00D97A44" w:rsidRPr="009B1A37" w:rsidRDefault="00D97A44" w:rsidP="00BE3D48">
            <w:pPr>
              <w:keepNext/>
              <w:keepLines/>
              <w:widowControl w:val="0"/>
              <w:snapToGrid w:val="0"/>
              <w:spacing w:line="240" w:lineRule="auto"/>
            </w:pPr>
            <w:r w:rsidRPr="009B1A37">
              <w:t>97,8 vs. 89,5</w:t>
            </w:r>
          </w:p>
        </w:tc>
      </w:tr>
      <w:tr w:rsidR="00D97A44" w:rsidRPr="009B1A37" w14:paraId="2E86278E" w14:textId="77777777" w:rsidTr="009F41EF">
        <w:trPr>
          <w:cantSplit/>
        </w:trPr>
        <w:tc>
          <w:tcPr>
            <w:tcW w:w="1023" w:type="dxa"/>
            <w:vMerge/>
            <w:tcBorders>
              <w:top w:val="single" w:sz="4" w:space="0" w:color="000000"/>
              <w:left w:val="single" w:sz="4" w:space="0" w:color="000000"/>
              <w:bottom w:val="single" w:sz="4" w:space="0" w:color="000000"/>
            </w:tcBorders>
          </w:tcPr>
          <w:p w14:paraId="3C172DA6" w14:textId="77777777" w:rsidR="00D97A44" w:rsidRPr="009B1A37" w:rsidRDefault="00D97A44" w:rsidP="00BE3D48">
            <w:pPr>
              <w:keepNext/>
              <w:keepLines/>
              <w:widowControl w:val="0"/>
              <w:spacing w:line="240" w:lineRule="auto"/>
            </w:pPr>
          </w:p>
        </w:tc>
        <w:tc>
          <w:tcPr>
            <w:tcW w:w="1328" w:type="dxa"/>
            <w:tcBorders>
              <w:left w:val="single" w:sz="4" w:space="0" w:color="000000"/>
              <w:bottom w:val="single" w:sz="4" w:space="0" w:color="000000"/>
            </w:tcBorders>
            <w:vAlign w:val="bottom"/>
          </w:tcPr>
          <w:p w14:paraId="603F03DB" w14:textId="77777777" w:rsidR="00D97A44" w:rsidRPr="009B1A37" w:rsidRDefault="00D97A44" w:rsidP="00BE3D48">
            <w:pPr>
              <w:keepNext/>
              <w:keepLines/>
              <w:widowControl w:val="0"/>
              <w:snapToGrid w:val="0"/>
              <w:spacing w:line="240" w:lineRule="auto"/>
            </w:pPr>
            <w:r w:rsidRPr="009B1A37">
              <w:t>Vysoké</w:t>
            </w:r>
          </w:p>
        </w:tc>
        <w:tc>
          <w:tcPr>
            <w:tcW w:w="1047" w:type="dxa"/>
            <w:tcBorders>
              <w:left w:val="single" w:sz="4" w:space="0" w:color="000000"/>
              <w:bottom w:val="single" w:sz="4" w:space="0" w:color="000000"/>
            </w:tcBorders>
            <w:vAlign w:val="bottom"/>
          </w:tcPr>
          <w:p w14:paraId="6C83DE7E" w14:textId="77777777" w:rsidR="00D97A44" w:rsidRPr="009B1A37" w:rsidRDefault="00D97A44" w:rsidP="00BE3D48">
            <w:pPr>
              <w:keepNext/>
              <w:keepLines/>
              <w:widowControl w:val="0"/>
              <w:snapToGrid w:val="0"/>
              <w:spacing w:line="240" w:lineRule="auto"/>
              <w:jc w:val="center"/>
            </w:pPr>
            <w:r w:rsidRPr="009B1A37">
              <w:t>44,8</w:t>
            </w:r>
          </w:p>
        </w:tc>
        <w:tc>
          <w:tcPr>
            <w:tcW w:w="2022" w:type="dxa"/>
            <w:tcBorders>
              <w:left w:val="single" w:sz="4" w:space="0" w:color="000000"/>
              <w:bottom w:val="single" w:sz="4" w:space="0" w:color="000000"/>
            </w:tcBorders>
            <w:vAlign w:val="bottom"/>
          </w:tcPr>
          <w:p w14:paraId="19FB843B" w14:textId="77777777" w:rsidR="00D97A44" w:rsidRPr="009B1A37" w:rsidRDefault="00D97A44" w:rsidP="00BE3D48">
            <w:pPr>
              <w:keepNext/>
              <w:keepLines/>
              <w:widowControl w:val="0"/>
              <w:snapToGrid w:val="0"/>
              <w:spacing w:line="240" w:lineRule="auto"/>
            </w:pPr>
            <w:r w:rsidRPr="009B1A37">
              <w:t>21/140 vs. 51/127</w:t>
            </w:r>
          </w:p>
        </w:tc>
        <w:tc>
          <w:tcPr>
            <w:tcW w:w="1800" w:type="dxa"/>
            <w:tcBorders>
              <w:left w:val="single" w:sz="4" w:space="0" w:color="000000"/>
              <w:bottom w:val="single" w:sz="4" w:space="0" w:color="000000"/>
            </w:tcBorders>
            <w:vAlign w:val="bottom"/>
          </w:tcPr>
          <w:p w14:paraId="610C9A08" w14:textId="77777777" w:rsidR="00D97A44" w:rsidRPr="009B1A37" w:rsidRDefault="00D97A44" w:rsidP="00BE3D48">
            <w:pPr>
              <w:keepNext/>
              <w:keepLines/>
              <w:widowControl w:val="0"/>
              <w:snapToGrid w:val="0"/>
              <w:spacing w:line="240" w:lineRule="auto"/>
            </w:pPr>
            <w:r w:rsidRPr="009B1A37">
              <w:t>0,29 (0,18; 0,49)</w:t>
            </w:r>
          </w:p>
        </w:tc>
        <w:tc>
          <w:tcPr>
            <w:tcW w:w="1440" w:type="dxa"/>
            <w:tcBorders>
              <w:left w:val="single" w:sz="4" w:space="0" w:color="000000"/>
              <w:bottom w:val="single" w:sz="4" w:space="0" w:color="000000"/>
            </w:tcBorders>
            <w:vAlign w:val="bottom"/>
          </w:tcPr>
          <w:p w14:paraId="3B7E1380" w14:textId="77777777" w:rsidR="00D97A44" w:rsidRPr="009B1A37" w:rsidRDefault="00D97A44" w:rsidP="00BE3D48">
            <w:pPr>
              <w:keepNext/>
              <w:keepLines/>
              <w:widowControl w:val="0"/>
              <w:snapToGrid w:val="0"/>
              <w:spacing w:line="240" w:lineRule="auto"/>
            </w:pPr>
            <w:r w:rsidRPr="009B1A37">
              <w:t>94,8 vs. 64,0</w:t>
            </w:r>
          </w:p>
        </w:tc>
        <w:tc>
          <w:tcPr>
            <w:tcW w:w="1400" w:type="dxa"/>
            <w:tcBorders>
              <w:left w:val="single" w:sz="4" w:space="0" w:color="000000"/>
              <w:bottom w:val="single" w:sz="4" w:space="0" w:color="000000"/>
              <w:right w:val="single" w:sz="4" w:space="0" w:color="000000"/>
            </w:tcBorders>
            <w:vAlign w:val="bottom"/>
          </w:tcPr>
          <w:p w14:paraId="6EBEF33C" w14:textId="77777777" w:rsidR="00D97A44" w:rsidRPr="009B1A37" w:rsidRDefault="00D97A44" w:rsidP="00BE3D48">
            <w:pPr>
              <w:keepNext/>
              <w:keepLines/>
              <w:widowControl w:val="0"/>
              <w:snapToGrid w:val="0"/>
              <w:spacing w:line="240" w:lineRule="auto"/>
            </w:pPr>
            <w:r w:rsidRPr="009B1A37">
              <w:t>80,7 vs. 46,6</w:t>
            </w:r>
          </w:p>
        </w:tc>
      </w:tr>
      <w:tr w:rsidR="00D97A44" w:rsidRPr="009B1A37" w14:paraId="3803428A" w14:textId="77777777" w:rsidTr="009F41EF">
        <w:trPr>
          <w:cantSplit/>
        </w:trPr>
        <w:tc>
          <w:tcPr>
            <w:tcW w:w="1023" w:type="dxa"/>
            <w:vMerge w:val="restart"/>
            <w:tcBorders>
              <w:top w:val="single" w:sz="4" w:space="0" w:color="000000"/>
              <w:left w:val="single" w:sz="4" w:space="0" w:color="000000"/>
              <w:bottom w:val="single" w:sz="4" w:space="0" w:color="000000"/>
            </w:tcBorders>
          </w:tcPr>
          <w:p w14:paraId="6BA835A5" w14:textId="77777777" w:rsidR="00D97A44" w:rsidRPr="009B1A37" w:rsidRDefault="00D97A44" w:rsidP="009F41EF">
            <w:pPr>
              <w:keepNext/>
              <w:keepLines/>
              <w:widowControl w:val="0"/>
              <w:snapToGrid w:val="0"/>
              <w:spacing w:line="240" w:lineRule="auto"/>
            </w:pPr>
            <w:r w:rsidRPr="009B1A37">
              <w:t>AFIP</w:t>
            </w:r>
          </w:p>
        </w:tc>
        <w:tc>
          <w:tcPr>
            <w:tcW w:w="1328" w:type="dxa"/>
            <w:tcBorders>
              <w:top w:val="single" w:sz="4" w:space="0" w:color="000000"/>
              <w:left w:val="single" w:sz="4" w:space="0" w:color="000000"/>
            </w:tcBorders>
            <w:vAlign w:val="bottom"/>
          </w:tcPr>
          <w:p w14:paraId="2F1EEA96" w14:textId="77777777" w:rsidR="00D97A44" w:rsidRPr="009B1A37" w:rsidRDefault="00D97A44" w:rsidP="00BE3D48">
            <w:pPr>
              <w:keepNext/>
              <w:keepLines/>
              <w:widowControl w:val="0"/>
              <w:snapToGrid w:val="0"/>
              <w:spacing w:line="240" w:lineRule="auto"/>
            </w:pPr>
            <w:r w:rsidRPr="009B1A37">
              <w:t>Velmi nízké</w:t>
            </w:r>
          </w:p>
        </w:tc>
        <w:tc>
          <w:tcPr>
            <w:tcW w:w="1047" w:type="dxa"/>
            <w:tcBorders>
              <w:top w:val="single" w:sz="4" w:space="0" w:color="000000"/>
              <w:left w:val="single" w:sz="4" w:space="0" w:color="000000"/>
            </w:tcBorders>
            <w:vAlign w:val="bottom"/>
          </w:tcPr>
          <w:p w14:paraId="501A48D8" w14:textId="77777777" w:rsidR="00D97A44" w:rsidRPr="009B1A37" w:rsidRDefault="00D97A44" w:rsidP="00BE3D48">
            <w:pPr>
              <w:keepNext/>
              <w:keepLines/>
              <w:widowControl w:val="0"/>
              <w:snapToGrid w:val="0"/>
              <w:spacing w:line="240" w:lineRule="auto"/>
              <w:jc w:val="center"/>
            </w:pPr>
            <w:r w:rsidRPr="009B1A37">
              <w:t>20,7</w:t>
            </w:r>
          </w:p>
        </w:tc>
        <w:tc>
          <w:tcPr>
            <w:tcW w:w="2022" w:type="dxa"/>
            <w:tcBorders>
              <w:top w:val="single" w:sz="4" w:space="0" w:color="000000"/>
              <w:left w:val="single" w:sz="4" w:space="0" w:color="000000"/>
            </w:tcBorders>
            <w:vAlign w:val="bottom"/>
          </w:tcPr>
          <w:p w14:paraId="1B6963D5" w14:textId="77777777" w:rsidR="00D97A44" w:rsidRPr="009B1A37" w:rsidRDefault="00D97A44" w:rsidP="00BE3D48">
            <w:pPr>
              <w:keepNext/>
              <w:keepLines/>
              <w:widowControl w:val="0"/>
              <w:snapToGrid w:val="0"/>
              <w:spacing w:line="240" w:lineRule="auto"/>
            </w:pPr>
            <w:r w:rsidRPr="009B1A37">
              <w:t>0/52 vs. 2/63</w:t>
            </w:r>
          </w:p>
        </w:tc>
        <w:tc>
          <w:tcPr>
            <w:tcW w:w="1800" w:type="dxa"/>
            <w:tcBorders>
              <w:top w:val="single" w:sz="4" w:space="0" w:color="000000"/>
              <w:left w:val="single" w:sz="4" w:space="0" w:color="000000"/>
            </w:tcBorders>
            <w:vAlign w:val="bottom"/>
          </w:tcPr>
          <w:p w14:paraId="3527A24B" w14:textId="77777777" w:rsidR="00D97A44" w:rsidRPr="009B1A37" w:rsidRDefault="00D97A44" w:rsidP="00BE3D48">
            <w:pPr>
              <w:keepNext/>
              <w:keepLines/>
              <w:widowControl w:val="0"/>
              <w:snapToGrid w:val="0"/>
              <w:spacing w:line="240" w:lineRule="auto"/>
            </w:pPr>
            <w:r w:rsidRPr="009B1A37">
              <w:t>N.E.</w:t>
            </w:r>
          </w:p>
        </w:tc>
        <w:tc>
          <w:tcPr>
            <w:tcW w:w="1440" w:type="dxa"/>
            <w:tcBorders>
              <w:top w:val="single" w:sz="4" w:space="0" w:color="000000"/>
              <w:left w:val="single" w:sz="4" w:space="0" w:color="000000"/>
            </w:tcBorders>
            <w:vAlign w:val="bottom"/>
          </w:tcPr>
          <w:p w14:paraId="4C89EEC3" w14:textId="77777777" w:rsidR="00D97A44" w:rsidRPr="009B1A37" w:rsidRDefault="00D97A44" w:rsidP="00BE3D48">
            <w:pPr>
              <w:keepNext/>
              <w:keepLines/>
              <w:widowControl w:val="0"/>
              <w:snapToGrid w:val="0"/>
              <w:spacing w:line="240" w:lineRule="auto"/>
            </w:pPr>
            <w:r w:rsidRPr="009B1A37">
              <w:t>100 vs. 98,1</w:t>
            </w:r>
          </w:p>
        </w:tc>
        <w:tc>
          <w:tcPr>
            <w:tcW w:w="1400" w:type="dxa"/>
            <w:tcBorders>
              <w:top w:val="single" w:sz="4" w:space="0" w:color="000000"/>
              <w:left w:val="single" w:sz="4" w:space="0" w:color="000000"/>
              <w:right w:val="single" w:sz="4" w:space="0" w:color="000000"/>
            </w:tcBorders>
            <w:vAlign w:val="bottom"/>
          </w:tcPr>
          <w:p w14:paraId="62998EAC" w14:textId="77777777" w:rsidR="00D97A44" w:rsidRPr="009B1A37" w:rsidRDefault="00D97A44" w:rsidP="00BE3D48">
            <w:pPr>
              <w:keepNext/>
              <w:keepLines/>
              <w:widowControl w:val="0"/>
              <w:snapToGrid w:val="0"/>
              <w:spacing w:line="240" w:lineRule="auto"/>
            </w:pPr>
            <w:r w:rsidRPr="009B1A37">
              <w:t>100 vs. 93,0</w:t>
            </w:r>
          </w:p>
        </w:tc>
      </w:tr>
      <w:tr w:rsidR="00D97A44" w:rsidRPr="009B1A37" w14:paraId="50E747BE" w14:textId="77777777" w:rsidTr="009F41EF">
        <w:trPr>
          <w:cantSplit/>
        </w:trPr>
        <w:tc>
          <w:tcPr>
            <w:tcW w:w="1023" w:type="dxa"/>
            <w:vMerge/>
            <w:tcBorders>
              <w:top w:val="single" w:sz="4" w:space="0" w:color="000000"/>
              <w:left w:val="single" w:sz="4" w:space="0" w:color="000000"/>
              <w:bottom w:val="single" w:sz="4" w:space="0" w:color="000000"/>
            </w:tcBorders>
          </w:tcPr>
          <w:p w14:paraId="701C6ABE" w14:textId="77777777" w:rsidR="00D97A44" w:rsidRPr="009B1A37" w:rsidRDefault="00D97A44" w:rsidP="00BE3D48">
            <w:pPr>
              <w:keepNext/>
              <w:keepLines/>
              <w:widowControl w:val="0"/>
              <w:spacing w:line="240" w:lineRule="auto"/>
            </w:pPr>
          </w:p>
        </w:tc>
        <w:tc>
          <w:tcPr>
            <w:tcW w:w="1328" w:type="dxa"/>
            <w:tcBorders>
              <w:left w:val="single" w:sz="4" w:space="0" w:color="000000"/>
            </w:tcBorders>
            <w:vAlign w:val="bottom"/>
          </w:tcPr>
          <w:p w14:paraId="0D37E739" w14:textId="77777777" w:rsidR="00D97A44" w:rsidRPr="009B1A37" w:rsidRDefault="00D97A44" w:rsidP="00BE3D48">
            <w:pPr>
              <w:keepNext/>
              <w:keepLines/>
              <w:widowControl w:val="0"/>
              <w:snapToGrid w:val="0"/>
              <w:spacing w:line="240" w:lineRule="auto"/>
            </w:pPr>
            <w:r w:rsidRPr="009B1A37">
              <w:t>Nízké</w:t>
            </w:r>
          </w:p>
        </w:tc>
        <w:tc>
          <w:tcPr>
            <w:tcW w:w="1047" w:type="dxa"/>
            <w:tcBorders>
              <w:left w:val="single" w:sz="4" w:space="0" w:color="000000"/>
            </w:tcBorders>
            <w:vAlign w:val="bottom"/>
          </w:tcPr>
          <w:p w14:paraId="34AE3446" w14:textId="77777777" w:rsidR="00D97A44" w:rsidRPr="009B1A37" w:rsidRDefault="00D97A44" w:rsidP="00BE3D48">
            <w:pPr>
              <w:keepNext/>
              <w:keepLines/>
              <w:widowControl w:val="0"/>
              <w:snapToGrid w:val="0"/>
              <w:spacing w:line="240" w:lineRule="auto"/>
              <w:jc w:val="center"/>
            </w:pPr>
            <w:r w:rsidRPr="009B1A37">
              <w:t>25,0</w:t>
            </w:r>
          </w:p>
        </w:tc>
        <w:tc>
          <w:tcPr>
            <w:tcW w:w="2022" w:type="dxa"/>
            <w:tcBorders>
              <w:left w:val="single" w:sz="4" w:space="0" w:color="000000"/>
            </w:tcBorders>
            <w:vAlign w:val="bottom"/>
          </w:tcPr>
          <w:p w14:paraId="1A182E9C" w14:textId="77777777" w:rsidR="00D97A44" w:rsidRPr="009B1A37" w:rsidRDefault="00D97A44" w:rsidP="00BE3D48">
            <w:pPr>
              <w:keepNext/>
              <w:keepLines/>
              <w:widowControl w:val="0"/>
              <w:snapToGrid w:val="0"/>
              <w:spacing w:line="240" w:lineRule="auto"/>
            </w:pPr>
            <w:r w:rsidRPr="009B1A37">
              <w:t>2/70 vs. 0/69</w:t>
            </w:r>
          </w:p>
        </w:tc>
        <w:tc>
          <w:tcPr>
            <w:tcW w:w="1800" w:type="dxa"/>
            <w:tcBorders>
              <w:left w:val="single" w:sz="4" w:space="0" w:color="000000"/>
            </w:tcBorders>
            <w:vAlign w:val="bottom"/>
          </w:tcPr>
          <w:p w14:paraId="2CC0CD99" w14:textId="77777777" w:rsidR="00D97A44" w:rsidRPr="009B1A37" w:rsidRDefault="00D97A44" w:rsidP="00BE3D48">
            <w:pPr>
              <w:keepNext/>
              <w:keepLines/>
              <w:widowControl w:val="0"/>
              <w:snapToGrid w:val="0"/>
              <w:spacing w:line="240" w:lineRule="auto"/>
            </w:pPr>
            <w:r w:rsidRPr="009B1A37">
              <w:t>N.E.</w:t>
            </w:r>
          </w:p>
        </w:tc>
        <w:tc>
          <w:tcPr>
            <w:tcW w:w="1440" w:type="dxa"/>
            <w:tcBorders>
              <w:left w:val="single" w:sz="4" w:space="0" w:color="000000"/>
            </w:tcBorders>
            <w:vAlign w:val="bottom"/>
          </w:tcPr>
          <w:p w14:paraId="7B9C1F86" w14:textId="77777777" w:rsidR="00D97A44" w:rsidRPr="009B1A37" w:rsidRDefault="00D97A44" w:rsidP="00BE3D48">
            <w:pPr>
              <w:keepNext/>
              <w:keepLines/>
              <w:widowControl w:val="0"/>
              <w:snapToGrid w:val="0"/>
              <w:spacing w:line="240" w:lineRule="auto"/>
            </w:pPr>
            <w:r w:rsidRPr="009B1A37">
              <w:t>100 vs. 100</w:t>
            </w:r>
          </w:p>
        </w:tc>
        <w:tc>
          <w:tcPr>
            <w:tcW w:w="1400" w:type="dxa"/>
            <w:tcBorders>
              <w:left w:val="single" w:sz="4" w:space="0" w:color="000000"/>
              <w:right w:val="single" w:sz="4" w:space="0" w:color="000000"/>
            </w:tcBorders>
            <w:vAlign w:val="bottom"/>
          </w:tcPr>
          <w:p w14:paraId="2F7259AE" w14:textId="77777777" w:rsidR="00D97A44" w:rsidRPr="009B1A37" w:rsidRDefault="00D97A44" w:rsidP="00BE3D48">
            <w:pPr>
              <w:keepNext/>
              <w:keepLines/>
              <w:widowControl w:val="0"/>
              <w:snapToGrid w:val="0"/>
              <w:spacing w:line="240" w:lineRule="auto"/>
            </w:pPr>
            <w:r w:rsidRPr="009B1A37">
              <w:t>97,8 vs. 100</w:t>
            </w:r>
          </w:p>
        </w:tc>
      </w:tr>
      <w:tr w:rsidR="00D97A44" w:rsidRPr="009B1A37" w14:paraId="344F7F3C" w14:textId="77777777" w:rsidTr="009F41EF">
        <w:trPr>
          <w:cantSplit/>
        </w:trPr>
        <w:tc>
          <w:tcPr>
            <w:tcW w:w="1023" w:type="dxa"/>
            <w:vMerge/>
            <w:tcBorders>
              <w:top w:val="single" w:sz="4" w:space="0" w:color="000000"/>
              <w:left w:val="single" w:sz="4" w:space="0" w:color="000000"/>
              <w:bottom w:val="single" w:sz="4" w:space="0" w:color="000000"/>
            </w:tcBorders>
          </w:tcPr>
          <w:p w14:paraId="53B83491" w14:textId="77777777" w:rsidR="00D97A44" w:rsidRPr="009B1A37" w:rsidRDefault="00D97A44" w:rsidP="00BE3D48">
            <w:pPr>
              <w:keepNext/>
              <w:keepLines/>
              <w:widowControl w:val="0"/>
              <w:spacing w:line="240" w:lineRule="auto"/>
            </w:pPr>
          </w:p>
        </w:tc>
        <w:tc>
          <w:tcPr>
            <w:tcW w:w="1328" w:type="dxa"/>
            <w:tcBorders>
              <w:left w:val="single" w:sz="4" w:space="0" w:color="000000"/>
            </w:tcBorders>
            <w:vAlign w:val="bottom"/>
          </w:tcPr>
          <w:p w14:paraId="5CC571C5" w14:textId="77777777" w:rsidR="00D97A44" w:rsidRPr="009B1A37" w:rsidRDefault="00D97A44" w:rsidP="00BE3D48">
            <w:pPr>
              <w:keepNext/>
              <w:keepLines/>
              <w:widowControl w:val="0"/>
              <w:snapToGrid w:val="0"/>
              <w:spacing w:line="240" w:lineRule="auto"/>
            </w:pPr>
            <w:r w:rsidRPr="009B1A37">
              <w:t>Střední</w:t>
            </w:r>
          </w:p>
        </w:tc>
        <w:tc>
          <w:tcPr>
            <w:tcW w:w="1047" w:type="dxa"/>
            <w:tcBorders>
              <w:left w:val="single" w:sz="4" w:space="0" w:color="000000"/>
            </w:tcBorders>
            <w:vAlign w:val="bottom"/>
          </w:tcPr>
          <w:p w14:paraId="1DAA7D44" w14:textId="77777777" w:rsidR="00D97A44" w:rsidRPr="009B1A37" w:rsidRDefault="00D97A44" w:rsidP="00BE3D48">
            <w:pPr>
              <w:keepNext/>
              <w:keepLines/>
              <w:widowControl w:val="0"/>
              <w:snapToGrid w:val="0"/>
              <w:spacing w:line="240" w:lineRule="auto"/>
              <w:jc w:val="center"/>
            </w:pPr>
            <w:r w:rsidRPr="009B1A37">
              <w:t>24,6</w:t>
            </w:r>
          </w:p>
        </w:tc>
        <w:tc>
          <w:tcPr>
            <w:tcW w:w="2022" w:type="dxa"/>
            <w:tcBorders>
              <w:left w:val="single" w:sz="4" w:space="0" w:color="000000"/>
            </w:tcBorders>
            <w:vAlign w:val="bottom"/>
          </w:tcPr>
          <w:p w14:paraId="3094665B" w14:textId="77777777" w:rsidR="00D97A44" w:rsidRPr="009B1A37" w:rsidRDefault="00D97A44" w:rsidP="00BE3D48">
            <w:pPr>
              <w:keepNext/>
              <w:keepLines/>
              <w:widowControl w:val="0"/>
              <w:snapToGrid w:val="0"/>
              <w:spacing w:line="240" w:lineRule="auto"/>
            </w:pPr>
            <w:r w:rsidRPr="009B1A37">
              <w:t>2/70 vs. 11/67</w:t>
            </w:r>
          </w:p>
        </w:tc>
        <w:tc>
          <w:tcPr>
            <w:tcW w:w="1800" w:type="dxa"/>
            <w:tcBorders>
              <w:left w:val="single" w:sz="4" w:space="0" w:color="000000"/>
            </w:tcBorders>
            <w:vAlign w:val="bottom"/>
          </w:tcPr>
          <w:p w14:paraId="482783EE" w14:textId="77777777" w:rsidR="00D97A44" w:rsidRPr="009B1A37" w:rsidRDefault="00D97A44" w:rsidP="00BE3D48">
            <w:pPr>
              <w:keepNext/>
              <w:keepLines/>
              <w:widowControl w:val="0"/>
              <w:snapToGrid w:val="0"/>
              <w:spacing w:line="240" w:lineRule="auto"/>
            </w:pPr>
            <w:r w:rsidRPr="009B1A37">
              <w:t>0,16 (0,03; 0,70)</w:t>
            </w:r>
          </w:p>
        </w:tc>
        <w:tc>
          <w:tcPr>
            <w:tcW w:w="1440" w:type="dxa"/>
            <w:tcBorders>
              <w:left w:val="single" w:sz="4" w:space="0" w:color="000000"/>
            </w:tcBorders>
            <w:vAlign w:val="bottom"/>
          </w:tcPr>
          <w:p w14:paraId="2EFD1741" w14:textId="77777777" w:rsidR="00D97A44" w:rsidRPr="009B1A37" w:rsidRDefault="00D97A44" w:rsidP="00BE3D48">
            <w:pPr>
              <w:keepNext/>
              <w:keepLines/>
              <w:widowControl w:val="0"/>
              <w:snapToGrid w:val="0"/>
              <w:spacing w:line="240" w:lineRule="auto"/>
            </w:pPr>
            <w:r w:rsidRPr="009B1A37">
              <w:t>97,9 vs. 90,8</w:t>
            </w:r>
          </w:p>
        </w:tc>
        <w:tc>
          <w:tcPr>
            <w:tcW w:w="1400" w:type="dxa"/>
            <w:tcBorders>
              <w:left w:val="single" w:sz="4" w:space="0" w:color="000000"/>
              <w:right w:val="single" w:sz="4" w:space="0" w:color="000000"/>
            </w:tcBorders>
            <w:vAlign w:val="bottom"/>
          </w:tcPr>
          <w:p w14:paraId="3E71F1A1" w14:textId="77777777" w:rsidR="00D97A44" w:rsidRPr="009B1A37" w:rsidRDefault="00D97A44" w:rsidP="00BE3D48">
            <w:pPr>
              <w:keepNext/>
              <w:keepLines/>
              <w:widowControl w:val="0"/>
              <w:snapToGrid w:val="0"/>
              <w:spacing w:line="240" w:lineRule="auto"/>
            </w:pPr>
            <w:r w:rsidRPr="009B1A37">
              <w:t>97,9 vs. 73,3</w:t>
            </w:r>
          </w:p>
        </w:tc>
      </w:tr>
      <w:tr w:rsidR="00D97A44" w:rsidRPr="009B1A37" w14:paraId="3BD081BD" w14:textId="77777777" w:rsidTr="009F41EF">
        <w:trPr>
          <w:cantSplit/>
        </w:trPr>
        <w:tc>
          <w:tcPr>
            <w:tcW w:w="1023" w:type="dxa"/>
            <w:vMerge/>
            <w:tcBorders>
              <w:top w:val="single" w:sz="4" w:space="0" w:color="000000"/>
              <w:left w:val="single" w:sz="4" w:space="0" w:color="000000"/>
              <w:bottom w:val="single" w:sz="4" w:space="0" w:color="000000"/>
            </w:tcBorders>
          </w:tcPr>
          <w:p w14:paraId="68D10127" w14:textId="77777777" w:rsidR="00D97A44" w:rsidRPr="009B1A37" w:rsidRDefault="00D97A44" w:rsidP="00BE3D48">
            <w:pPr>
              <w:keepNext/>
              <w:keepLines/>
              <w:widowControl w:val="0"/>
              <w:spacing w:line="240" w:lineRule="auto"/>
            </w:pPr>
          </w:p>
        </w:tc>
        <w:tc>
          <w:tcPr>
            <w:tcW w:w="1328" w:type="dxa"/>
            <w:tcBorders>
              <w:left w:val="single" w:sz="4" w:space="0" w:color="000000"/>
              <w:bottom w:val="single" w:sz="4" w:space="0" w:color="000000"/>
            </w:tcBorders>
            <w:vAlign w:val="bottom"/>
          </w:tcPr>
          <w:p w14:paraId="352625A3" w14:textId="77777777" w:rsidR="00D97A44" w:rsidRPr="009B1A37" w:rsidRDefault="00D97A44" w:rsidP="00BE3D48">
            <w:pPr>
              <w:keepNext/>
              <w:keepLines/>
              <w:widowControl w:val="0"/>
              <w:snapToGrid w:val="0"/>
              <w:spacing w:line="240" w:lineRule="auto"/>
            </w:pPr>
            <w:r w:rsidRPr="009B1A37">
              <w:t>Vysoké</w:t>
            </w:r>
          </w:p>
        </w:tc>
        <w:tc>
          <w:tcPr>
            <w:tcW w:w="1047" w:type="dxa"/>
            <w:tcBorders>
              <w:left w:val="single" w:sz="4" w:space="0" w:color="000000"/>
              <w:bottom w:val="single" w:sz="4" w:space="0" w:color="000000"/>
            </w:tcBorders>
            <w:vAlign w:val="bottom"/>
          </w:tcPr>
          <w:p w14:paraId="137EAA58" w14:textId="77777777" w:rsidR="00D97A44" w:rsidRPr="009B1A37" w:rsidRDefault="00D97A44" w:rsidP="00BE3D48">
            <w:pPr>
              <w:keepNext/>
              <w:keepLines/>
              <w:widowControl w:val="0"/>
              <w:snapToGrid w:val="0"/>
              <w:spacing w:line="240" w:lineRule="auto"/>
              <w:ind w:right="-3"/>
              <w:jc w:val="center"/>
            </w:pPr>
            <w:r w:rsidRPr="009B1A37">
              <w:t>29,7</w:t>
            </w:r>
          </w:p>
        </w:tc>
        <w:tc>
          <w:tcPr>
            <w:tcW w:w="2022" w:type="dxa"/>
            <w:tcBorders>
              <w:left w:val="single" w:sz="4" w:space="0" w:color="000000"/>
              <w:bottom w:val="single" w:sz="4" w:space="0" w:color="000000"/>
            </w:tcBorders>
            <w:vAlign w:val="bottom"/>
          </w:tcPr>
          <w:p w14:paraId="7D59BA6C" w14:textId="77777777" w:rsidR="00D97A44" w:rsidRPr="009B1A37" w:rsidRDefault="00D97A44" w:rsidP="00BE3D48">
            <w:pPr>
              <w:keepNext/>
              <w:keepLines/>
              <w:widowControl w:val="0"/>
              <w:snapToGrid w:val="0"/>
              <w:spacing w:line="240" w:lineRule="auto"/>
            </w:pPr>
            <w:r w:rsidRPr="009B1A37">
              <w:t>16/84 vs. 39/81</w:t>
            </w:r>
          </w:p>
        </w:tc>
        <w:tc>
          <w:tcPr>
            <w:tcW w:w="1800" w:type="dxa"/>
            <w:tcBorders>
              <w:left w:val="single" w:sz="4" w:space="0" w:color="000000"/>
              <w:bottom w:val="single" w:sz="4" w:space="0" w:color="000000"/>
            </w:tcBorders>
            <w:vAlign w:val="bottom"/>
          </w:tcPr>
          <w:p w14:paraId="7651B3DF" w14:textId="77777777" w:rsidR="00D97A44" w:rsidRPr="009B1A37" w:rsidRDefault="00D97A44" w:rsidP="00BE3D48">
            <w:pPr>
              <w:keepNext/>
              <w:keepLines/>
              <w:widowControl w:val="0"/>
              <w:snapToGrid w:val="0"/>
              <w:spacing w:line="240" w:lineRule="auto"/>
            </w:pPr>
            <w:r w:rsidRPr="009B1A37">
              <w:t>0,27 (0,15; 0,48)</w:t>
            </w:r>
          </w:p>
        </w:tc>
        <w:tc>
          <w:tcPr>
            <w:tcW w:w="1440" w:type="dxa"/>
            <w:tcBorders>
              <w:left w:val="single" w:sz="4" w:space="0" w:color="000000"/>
              <w:bottom w:val="single" w:sz="4" w:space="0" w:color="000000"/>
            </w:tcBorders>
            <w:vAlign w:val="bottom"/>
          </w:tcPr>
          <w:p w14:paraId="376E6EEB" w14:textId="77777777" w:rsidR="00D97A44" w:rsidRPr="009B1A37" w:rsidRDefault="00D97A44" w:rsidP="00BE3D48">
            <w:pPr>
              <w:keepNext/>
              <w:keepLines/>
              <w:widowControl w:val="0"/>
              <w:snapToGrid w:val="0"/>
              <w:spacing w:line="240" w:lineRule="auto"/>
            </w:pPr>
            <w:r w:rsidRPr="009B1A37">
              <w:t>98,7 vs. 56,1</w:t>
            </w:r>
          </w:p>
        </w:tc>
        <w:tc>
          <w:tcPr>
            <w:tcW w:w="1400" w:type="dxa"/>
            <w:tcBorders>
              <w:left w:val="single" w:sz="4" w:space="0" w:color="000000"/>
              <w:bottom w:val="single" w:sz="4" w:space="0" w:color="000000"/>
              <w:right w:val="single" w:sz="4" w:space="0" w:color="000000"/>
            </w:tcBorders>
            <w:vAlign w:val="bottom"/>
          </w:tcPr>
          <w:p w14:paraId="22A1FF6B" w14:textId="77777777" w:rsidR="00D97A44" w:rsidRPr="009B1A37" w:rsidRDefault="00D97A44" w:rsidP="00BE3D48">
            <w:pPr>
              <w:keepNext/>
              <w:keepLines/>
              <w:widowControl w:val="0"/>
              <w:snapToGrid w:val="0"/>
              <w:spacing w:line="240" w:lineRule="auto"/>
            </w:pPr>
            <w:r w:rsidRPr="009B1A37">
              <w:t>79,9 vs. 41,5</w:t>
            </w:r>
          </w:p>
        </w:tc>
      </w:tr>
    </w:tbl>
    <w:p w14:paraId="490E0FA5" w14:textId="77777777" w:rsidR="00D97A44" w:rsidRPr="009B1A37" w:rsidRDefault="00D97A44" w:rsidP="009F41EF">
      <w:pPr>
        <w:pStyle w:val="Text"/>
        <w:widowControl w:val="0"/>
        <w:spacing w:before="0"/>
        <w:rPr>
          <w:rFonts w:eastAsia="MS Mincho"/>
          <w:color w:val="000000"/>
          <w:lang w:val="cs-CZ"/>
        </w:rPr>
      </w:pPr>
      <w:r w:rsidRPr="009B1A37">
        <w:rPr>
          <w:sz w:val="22"/>
          <w:szCs w:val="22"/>
          <w:lang w:val="cs-CZ"/>
        </w:rPr>
        <w:t>* včetně follow-up periody; NE – nelze určit</w:t>
      </w:r>
    </w:p>
    <w:p w14:paraId="3B7AFA91" w14:textId="77777777" w:rsidR="006367E4" w:rsidRPr="009B1A37" w:rsidRDefault="006367E4" w:rsidP="00BE3D48">
      <w:pPr>
        <w:widowControl w:val="0"/>
        <w:tabs>
          <w:tab w:val="clear" w:pos="567"/>
        </w:tabs>
        <w:spacing w:line="240" w:lineRule="auto"/>
        <w:rPr>
          <w:rFonts w:eastAsia="MS Mincho"/>
          <w:lang w:eastAsia="ja-JP"/>
        </w:rPr>
      </w:pPr>
    </w:p>
    <w:p w14:paraId="77EB6D68" w14:textId="77777777" w:rsidR="006367E4" w:rsidRPr="009B1A37" w:rsidRDefault="006367E4" w:rsidP="00BE3D48">
      <w:pPr>
        <w:widowControl w:val="0"/>
        <w:tabs>
          <w:tab w:val="clear" w:pos="567"/>
        </w:tabs>
        <w:spacing w:line="240" w:lineRule="auto"/>
        <w:rPr>
          <w:rFonts w:eastAsia="MS Mincho"/>
          <w:iCs/>
          <w:lang w:eastAsia="ja-JP"/>
        </w:rPr>
      </w:pPr>
      <w:r w:rsidRPr="009B1A37">
        <w:rPr>
          <w:rFonts w:eastAsia="MS Mincho"/>
          <w:lang w:eastAsia="ja-JP"/>
        </w:rPr>
        <w:t>Druhá multicentrická otevřená studie fáze III (SSG XVIII/AIO) porovnávala výsledky léčby Glivecem v dávce 400 mg/den po dobu 12 měsíců oproti 36 měsícům u pacientů po chirurgické resekci GIST a s jedním z následujících parametrů: průměr tumoru</w:t>
      </w:r>
      <w:r w:rsidRPr="009B1A37">
        <w:rPr>
          <w:rFonts w:eastAsia="MS Mincho"/>
          <w:iCs/>
          <w:lang w:eastAsia="ja-JP"/>
        </w:rPr>
        <w:t xml:space="preserve"> &gt; 5</w:t>
      </w:r>
      <w:r w:rsidRPr="009B1A37">
        <w:rPr>
          <w:rFonts w:eastAsia="MS Mincho"/>
          <w:lang w:eastAsia="ja-JP"/>
        </w:rPr>
        <w:t> </w:t>
      </w:r>
      <w:r w:rsidRPr="009B1A37">
        <w:rPr>
          <w:rFonts w:eastAsia="MS Mincho"/>
          <w:iCs/>
          <w:lang w:eastAsia="ja-JP"/>
        </w:rPr>
        <w:t>cm a počet mitóz &gt; 5/50 zorných polí ve velkém zvětšení (high power fields, HPF) nebo průměr tumoru &gt; 10</w:t>
      </w:r>
      <w:r w:rsidRPr="009B1A37">
        <w:rPr>
          <w:rFonts w:eastAsia="MS Mincho"/>
          <w:lang w:eastAsia="ja-JP"/>
        </w:rPr>
        <w:t> </w:t>
      </w:r>
      <w:r w:rsidRPr="009B1A37">
        <w:rPr>
          <w:rFonts w:eastAsia="MS Mincho"/>
          <w:iCs/>
          <w:lang w:eastAsia="ja-JP"/>
        </w:rPr>
        <w:t>cm a jakýkoli počet mitóz nebo tumor jakékoli velikosti s počtem mitóz &gt; 10/50 HPF nebo tumory s rupturou do peritonální dutiny. Ve studii bylo randomizováno a informovaný souhlas podepsalo celkem 397</w:t>
      </w:r>
      <w:r w:rsidRPr="009B1A37">
        <w:rPr>
          <w:rFonts w:eastAsia="MS Mincho"/>
          <w:lang w:eastAsia="ja-JP"/>
        </w:rPr>
        <w:t> </w:t>
      </w:r>
      <w:r w:rsidRPr="009B1A37">
        <w:rPr>
          <w:rFonts w:eastAsia="MS Mincho"/>
          <w:iCs/>
          <w:lang w:eastAsia="ja-JP"/>
        </w:rPr>
        <w:t>pacientů (199</w:t>
      </w:r>
      <w:r w:rsidRPr="009B1A37">
        <w:rPr>
          <w:rFonts w:eastAsia="MS Mincho"/>
          <w:lang w:eastAsia="ja-JP"/>
        </w:rPr>
        <w:t> </w:t>
      </w:r>
      <w:r w:rsidRPr="009B1A37">
        <w:rPr>
          <w:rFonts w:eastAsia="MS Mincho"/>
          <w:iCs/>
          <w:lang w:eastAsia="ja-JP"/>
        </w:rPr>
        <w:t>pacientů v</w:t>
      </w:r>
      <w:r w:rsidRPr="009B1A37">
        <w:rPr>
          <w:rFonts w:eastAsia="MS Mincho"/>
          <w:lang w:eastAsia="ja-JP"/>
        </w:rPr>
        <w:t> </w:t>
      </w:r>
      <w:r w:rsidRPr="009B1A37">
        <w:rPr>
          <w:rFonts w:eastAsia="MS Mincho"/>
          <w:iCs/>
          <w:lang w:eastAsia="ja-JP"/>
        </w:rPr>
        <w:t>rameni s</w:t>
      </w:r>
      <w:r w:rsidRPr="009B1A37">
        <w:rPr>
          <w:rFonts w:eastAsia="MS Mincho"/>
          <w:lang w:eastAsia="ja-JP"/>
        </w:rPr>
        <w:t> </w:t>
      </w:r>
      <w:r w:rsidRPr="009B1A37">
        <w:rPr>
          <w:rFonts w:eastAsia="MS Mincho"/>
          <w:iCs/>
          <w:lang w:eastAsia="ja-JP"/>
        </w:rPr>
        <w:t>12měsíční léčbou a 198</w:t>
      </w:r>
      <w:r w:rsidRPr="009B1A37">
        <w:rPr>
          <w:rFonts w:eastAsia="MS Mincho"/>
          <w:lang w:eastAsia="ja-JP"/>
        </w:rPr>
        <w:t> pacientů v rameni s 36měsíční léčbou</w:t>
      </w:r>
      <w:r w:rsidRPr="009B1A37">
        <w:rPr>
          <w:rFonts w:eastAsia="MS Mincho"/>
          <w:iCs/>
          <w:lang w:eastAsia="ja-JP"/>
        </w:rPr>
        <w:t xml:space="preserve">), jejichž průměrný věk byl </w:t>
      </w:r>
      <w:r w:rsidRPr="009B1A37">
        <w:rPr>
          <w:rFonts w:eastAsia="MS Mincho"/>
          <w:bCs/>
          <w:iCs/>
          <w:lang w:eastAsia="ja-JP"/>
        </w:rPr>
        <w:t>61</w:t>
      </w:r>
      <w:r w:rsidRPr="009B1A37">
        <w:rPr>
          <w:rFonts w:eastAsia="MS Mincho"/>
          <w:lang w:eastAsia="ja-JP"/>
        </w:rPr>
        <w:t> let</w:t>
      </w:r>
      <w:r w:rsidRPr="009B1A37">
        <w:rPr>
          <w:rFonts w:eastAsia="MS Mincho"/>
          <w:iCs/>
          <w:lang w:eastAsia="ja-JP"/>
        </w:rPr>
        <w:t xml:space="preserve"> (rozmezí 22 až 84</w:t>
      </w:r>
      <w:r w:rsidRPr="009B1A37">
        <w:rPr>
          <w:rFonts w:eastAsia="MS Mincho"/>
          <w:lang w:eastAsia="ja-JP"/>
        </w:rPr>
        <w:t> let</w:t>
      </w:r>
      <w:r w:rsidRPr="009B1A37">
        <w:rPr>
          <w:rFonts w:eastAsia="MS Mincho"/>
          <w:iCs/>
          <w:lang w:eastAsia="ja-JP"/>
        </w:rPr>
        <w:t>). Medián doby sledování byl 54</w:t>
      </w:r>
      <w:r w:rsidRPr="009B1A37">
        <w:rPr>
          <w:rFonts w:eastAsia="MS Mincho"/>
          <w:lang w:eastAsia="ja-JP"/>
        </w:rPr>
        <w:t> měsíců</w:t>
      </w:r>
      <w:r w:rsidRPr="009B1A37">
        <w:rPr>
          <w:rFonts w:eastAsia="MS Mincho"/>
          <w:iCs/>
          <w:lang w:eastAsia="ja-JP"/>
        </w:rPr>
        <w:t xml:space="preserve"> (od data randomizace do data ukončení), s</w:t>
      </w:r>
      <w:r w:rsidRPr="009B1A37">
        <w:rPr>
          <w:rFonts w:eastAsia="MS Mincho"/>
          <w:lang w:eastAsia="ja-JP"/>
        </w:rPr>
        <w:t> </w:t>
      </w:r>
      <w:r w:rsidRPr="009B1A37">
        <w:rPr>
          <w:rFonts w:eastAsia="MS Mincho"/>
          <w:iCs/>
          <w:lang w:eastAsia="ja-JP"/>
        </w:rPr>
        <w:t>celkovou dobou 83</w:t>
      </w:r>
      <w:r w:rsidRPr="009B1A37">
        <w:rPr>
          <w:rFonts w:eastAsia="MS Mincho"/>
          <w:lang w:eastAsia="ja-JP"/>
        </w:rPr>
        <w:t xml:space="preserve"> měsíců </w:t>
      </w:r>
      <w:r w:rsidRPr="009B1A37">
        <w:rPr>
          <w:rFonts w:eastAsia="MS Mincho"/>
          <w:iCs/>
          <w:lang w:eastAsia="ja-JP"/>
        </w:rPr>
        <w:t>mezi prvním randomizovaným pacientem a ukončením studie.</w:t>
      </w:r>
    </w:p>
    <w:p w14:paraId="1DD11BBB" w14:textId="77777777" w:rsidR="006367E4" w:rsidRPr="009B1A37" w:rsidRDefault="006367E4" w:rsidP="00BE3D48">
      <w:pPr>
        <w:pStyle w:val="EndnoteText"/>
        <w:widowControl w:val="0"/>
        <w:tabs>
          <w:tab w:val="clear" w:pos="567"/>
        </w:tabs>
        <w:rPr>
          <w:rFonts w:eastAsia="MS Mincho"/>
          <w:color w:val="000000"/>
        </w:rPr>
      </w:pPr>
    </w:p>
    <w:p w14:paraId="7A218C9A" w14:textId="77777777" w:rsidR="006367E4" w:rsidRPr="009B1A37" w:rsidRDefault="006367E4" w:rsidP="00BE3D48">
      <w:pPr>
        <w:pStyle w:val="EndnoteText"/>
        <w:widowControl w:val="0"/>
        <w:tabs>
          <w:tab w:val="clear" w:pos="567"/>
        </w:tabs>
        <w:rPr>
          <w:rFonts w:eastAsia="MS Mincho"/>
          <w:color w:val="000000"/>
        </w:rPr>
      </w:pPr>
      <w:r w:rsidRPr="009B1A37">
        <w:rPr>
          <w:rFonts w:eastAsia="MS Mincho"/>
          <w:color w:val="000000"/>
        </w:rPr>
        <w:t xml:space="preserve">Primárním cílovým parametrem </w:t>
      </w:r>
      <w:r w:rsidR="00CE64B9" w:rsidRPr="009B1A37">
        <w:rPr>
          <w:rFonts w:eastAsia="MS Mincho"/>
          <w:color w:val="000000"/>
        </w:rPr>
        <w:t xml:space="preserve">účinnosti </w:t>
      </w:r>
      <w:r w:rsidRPr="009B1A37">
        <w:rPr>
          <w:rFonts w:eastAsia="MS Mincho"/>
          <w:color w:val="000000"/>
        </w:rPr>
        <w:t>studie bylo přežití bez návratu onemocnění (</w:t>
      </w:r>
      <w:smartTag w:uri="urn:schemas-microsoft-com:office:smarttags" w:element="stockticker">
        <w:r w:rsidRPr="009B1A37">
          <w:rPr>
            <w:rFonts w:eastAsia="MS Mincho"/>
            <w:color w:val="000000"/>
          </w:rPr>
          <w:t>RFS</w:t>
        </w:r>
      </w:smartTag>
      <w:r w:rsidRPr="009B1A37">
        <w:rPr>
          <w:rFonts w:eastAsia="MS Mincho"/>
          <w:color w:val="000000"/>
        </w:rPr>
        <w:t>) definované jako doba od data randomizace do data návratu onemocnění nebo smrti z jakékoli příčiny.</w:t>
      </w:r>
    </w:p>
    <w:p w14:paraId="741BEE92" w14:textId="77777777" w:rsidR="006367E4" w:rsidRPr="009B1A37" w:rsidRDefault="006367E4" w:rsidP="00BE3D48">
      <w:pPr>
        <w:widowControl w:val="0"/>
        <w:tabs>
          <w:tab w:val="clear" w:pos="567"/>
        </w:tabs>
        <w:spacing w:line="240" w:lineRule="auto"/>
        <w:rPr>
          <w:rFonts w:eastAsia="MS Mincho"/>
          <w:iCs/>
          <w:lang w:eastAsia="ja-JP"/>
        </w:rPr>
      </w:pPr>
    </w:p>
    <w:p w14:paraId="6E9C5657" w14:textId="77777777" w:rsidR="006367E4" w:rsidRPr="009B1A37" w:rsidRDefault="006367E4" w:rsidP="00BE3D48">
      <w:pPr>
        <w:widowControl w:val="0"/>
        <w:tabs>
          <w:tab w:val="clear" w:pos="567"/>
        </w:tabs>
        <w:spacing w:line="240" w:lineRule="auto"/>
        <w:rPr>
          <w:rFonts w:eastAsia="MS Mincho"/>
          <w:iCs/>
          <w:color w:val="000000"/>
          <w:lang w:eastAsia="ja-JP"/>
        </w:rPr>
      </w:pPr>
      <w:r w:rsidRPr="009B1A37">
        <w:rPr>
          <w:rFonts w:eastAsia="MS Mincho"/>
          <w:iCs/>
          <w:lang w:eastAsia="ja-JP"/>
        </w:rPr>
        <w:t>36měsíční léčba Glivecem významně prodlužila RFS oproti 12</w:t>
      </w:r>
      <w:r w:rsidRPr="009B1A37">
        <w:rPr>
          <w:rFonts w:eastAsia="MS Mincho"/>
          <w:lang w:eastAsia="ja-JP"/>
        </w:rPr>
        <w:t xml:space="preserve">měsíční léčbě </w:t>
      </w:r>
      <w:r w:rsidRPr="009B1A37">
        <w:rPr>
          <w:rFonts w:eastAsia="MS Mincho"/>
          <w:iCs/>
          <w:lang w:eastAsia="ja-JP"/>
        </w:rPr>
        <w:t>Glivecem</w:t>
      </w:r>
      <w:r w:rsidRPr="009B1A37">
        <w:rPr>
          <w:rFonts w:eastAsia="MS Mincho"/>
          <w:iCs/>
          <w:color w:val="000000"/>
          <w:lang w:eastAsia="ja-JP"/>
        </w:rPr>
        <w:t xml:space="preserve"> (s</w:t>
      </w:r>
      <w:r w:rsidRPr="009B1A37">
        <w:rPr>
          <w:rFonts w:eastAsia="MS Mincho"/>
          <w:lang w:eastAsia="ja-JP"/>
        </w:rPr>
        <w:t> </w:t>
      </w:r>
      <w:r w:rsidRPr="009B1A37">
        <w:rPr>
          <w:rFonts w:eastAsia="MS Mincho"/>
          <w:iCs/>
          <w:color w:val="000000"/>
          <w:lang w:eastAsia="ja-JP"/>
        </w:rPr>
        <w:t>celkovým poměrem rizik (HR) = 0,46 [0,32, 0,65], p&lt;0,0001</w:t>
      </w:r>
      <w:r w:rsidR="00604924" w:rsidRPr="009B1A37">
        <w:rPr>
          <w:rFonts w:eastAsia="MS Mincho"/>
          <w:iCs/>
          <w:color w:val="000000"/>
          <w:lang w:eastAsia="ja-JP"/>
        </w:rPr>
        <w:t>)</w:t>
      </w:r>
      <w:r w:rsidRPr="009B1A37">
        <w:rPr>
          <w:rFonts w:eastAsia="MS Mincho"/>
          <w:iCs/>
          <w:color w:val="000000"/>
          <w:lang w:eastAsia="ja-JP"/>
        </w:rPr>
        <w:t xml:space="preserve"> </w:t>
      </w:r>
      <w:r w:rsidR="000E5517" w:rsidRPr="009B1A37">
        <w:rPr>
          <w:rFonts w:eastAsia="MS Mincho"/>
          <w:iCs/>
          <w:color w:val="000000"/>
          <w:lang w:eastAsia="ja-JP"/>
        </w:rPr>
        <w:t>(</w:t>
      </w:r>
      <w:r w:rsidR="0008276E" w:rsidRPr="009B1A37">
        <w:rPr>
          <w:rFonts w:eastAsia="MS Mincho"/>
          <w:iCs/>
          <w:color w:val="000000"/>
          <w:lang w:eastAsia="ja-JP"/>
        </w:rPr>
        <w:t>t</w:t>
      </w:r>
      <w:r w:rsidR="000E5517" w:rsidRPr="009B1A37">
        <w:rPr>
          <w:rFonts w:eastAsia="MS Mincho"/>
          <w:iCs/>
          <w:color w:val="000000"/>
          <w:lang w:eastAsia="ja-JP"/>
        </w:rPr>
        <w:t>abulka</w:t>
      </w:r>
      <w:r w:rsidR="00341327" w:rsidRPr="009B1A37">
        <w:rPr>
          <w:rFonts w:eastAsia="MS Mincho"/>
          <w:iCs/>
          <w:color w:val="000000"/>
          <w:lang w:eastAsia="ja-JP"/>
        </w:rPr>
        <w:t> </w:t>
      </w:r>
      <w:r w:rsidR="00B20788" w:rsidRPr="009B1A37">
        <w:rPr>
          <w:rFonts w:eastAsia="MS Mincho"/>
          <w:iCs/>
          <w:color w:val="000000"/>
          <w:lang w:eastAsia="ja-JP"/>
        </w:rPr>
        <w:t>8</w:t>
      </w:r>
      <w:r w:rsidR="000E5517" w:rsidRPr="009B1A37">
        <w:rPr>
          <w:rFonts w:eastAsia="MS Mincho"/>
          <w:iCs/>
          <w:color w:val="000000"/>
          <w:lang w:eastAsia="ja-JP"/>
        </w:rPr>
        <w:t xml:space="preserve">, </w:t>
      </w:r>
      <w:r w:rsidR="0008276E" w:rsidRPr="009B1A37">
        <w:rPr>
          <w:rFonts w:eastAsia="MS Mincho"/>
          <w:iCs/>
          <w:color w:val="000000"/>
          <w:lang w:eastAsia="ja-JP"/>
        </w:rPr>
        <w:t>o</w:t>
      </w:r>
      <w:r w:rsidR="000E5517" w:rsidRPr="009B1A37">
        <w:rPr>
          <w:rFonts w:eastAsia="MS Mincho"/>
          <w:iCs/>
          <w:color w:val="000000"/>
          <w:lang w:eastAsia="ja-JP"/>
        </w:rPr>
        <w:t>brázek</w:t>
      </w:r>
      <w:r w:rsidR="00341327" w:rsidRPr="009B1A37">
        <w:rPr>
          <w:rFonts w:eastAsia="MS Mincho"/>
          <w:iCs/>
          <w:color w:val="000000"/>
          <w:lang w:eastAsia="ja-JP"/>
        </w:rPr>
        <w:t> </w:t>
      </w:r>
      <w:r w:rsidR="000E5517" w:rsidRPr="009B1A37">
        <w:rPr>
          <w:rFonts w:eastAsia="MS Mincho"/>
          <w:iCs/>
          <w:color w:val="000000"/>
          <w:lang w:eastAsia="ja-JP"/>
        </w:rPr>
        <w:t>1).</w:t>
      </w:r>
    </w:p>
    <w:p w14:paraId="7EA938D2" w14:textId="77777777" w:rsidR="000E5517" w:rsidRPr="009B1A37" w:rsidRDefault="000E5517" w:rsidP="00BE3D48">
      <w:pPr>
        <w:widowControl w:val="0"/>
        <w:tabs>
          <w:tab w:val="clear" w:pos="567"/>
        </w:tabs>
        <w:spacing w:line="240" w:lineRule="auto"/>
        <w:rPr>
          <w:rFonts w:eastAsia="MS Mincho"/>
          <w:iCs/>
          <w:color w:val="000000"/>
          <w:lang w:eastAsia="ja-JP"/>
        </w:rPr>
      </w:pPr>
    </w:p>
    <w:p w14:paraId="3CF5BBD0" w14:textId="77777777" w:rsidR="000E5517" w:rsidRPr="009B1A37" w:rsidRDefault="006367E4" w:rsidP="00BE3D48">
      <w:pPr>
        <w:widowControl w:val="0"/>
        <w:tabs>
          <w:tab w:val="clear" w:pos="567"/>
        </w:tabs>
        <w:spacing w:line="240" w:lineRule="auto"/>
        <w:rPr>
          <w:rFonts w:eastAsia="MS Mincho"/>
          <w:iCs/>
          <w:color w:val="000000"/>
          <w:lang w:eastAsia="ja-JP"/>
        </w:rPr>
      </w:pPr>
      <w:r w:rsidRPr="009B1A37">
        <w:rPr>
          <w:rFonts w:eastAsia="MS Mincho"/>
          <w:iCs/>
          <w:color w:val="000000"/>
          <w:lang w:eastAsia="ja-JP"/>
        </w:rPr>
        <w:t>Třicet šest měsíců léčby Glivecem významně prodloužilo celkové přežití (OS) v</w:t>
      </w:r>
      <w:r w:rsidRPr="009B1A37">
        <w:rPr>
          <w:rFonts w:eastAsia="MS Mincho"/>
          <w:lang w:eastAsia="ja-JP"/>
        </w:rPr>
        <w:t> </w:t>
      </w:r>
      <w:r w:rsidRPr="009B1A37">
        <w:rPr>
          <w:rFonts w:eastAsia="MS Mincho"/>
          <w:iCs/>
          <w:color w:val="000000"/>
          <w:lang w:eastAsia="ja-JP"/>
        </w:rPr>
        <w:t>porovnání s</w:t>
      </w:r>
      <w:r w:rsidRPr="009B1A37">
        <w:rPr>
          <w:rFonts w:eastAsia="MS Mincho"/>
          <w:lang w:eastAsia="ja-JP"/>
        </w:rPr>
        <w:t> </w:t>
      </w:r>
      <w:r w:rsidRPr="009B1A37">
        <w:rPr>
          <w:rFonts w:eastAsia="MS Mincho"/>
          <w:iCs/>
          <w:color w:val="000000"/>
          <w:lang w:eastAsia="ja-JP"/>
        </w:rPr>
        <w:t>12</w:t>
      </w:r>
      <w:r w:rsidRPr="009B1A37">
        <w:rPr>
          <w:rFonts w:eastAsia="MS Mincho"/>
          <w:color w:val="000000"/>
          <w:lang w:eastAsia="ja-JP"/>
        </w:rPr>
        <w:t> měsíci</w:t>
      </w:r>
      <w:r w:rsidRPr="009B1A37">
        <w:rPr>
          <w:rFonts w:eastAsia="MS Mincho"/>
          <w:iCs/>
          <w:color w:val="000000"/>
          <w:lang w:eastAsia="ja-JP"/>
        </w:rPr>
        <w:t xml:space="preserve"> léčby Glivecem (HR = 0,45 [0,22; 0,89], p=0,0187) (</w:t>
      </w:r>
      <w:r w:rsidR="0008276E" w:rsidRPr="009B1A37">
        <w:rPr>
          <w:rFonts w:eastAsia="MS Mincho"/>
          <w:iCs/>
          <w:color w:val="000000"/>
          <w:lang w:eastAsia="ja-JP"/>
        </w:rPr>
        <w:t>t</w:t>
      </w:r>
      <w:r w:rsidRPr="009B1A37">
        <w:rPr>
          <w:rFonts w:eastAsia="MS Mincho"/>
          <w:iCs/>
          <w:color w:val="000000"/>
          <w:lang w:eastAsia="ja-JP"/>
        </w:rPr>
        <w:t>abulka</w:t>
      </w:r>
      <w:r w:rsidRPr="009B1A37">
        <w:rPr>
          <w:rFonts w:eastAsia="MS Mincho"/>
          <w:color w:val="000000"/>
          <w:lang w:eastAsia="ja-JP"/>
        </w:rPr>
        <w:t> </w:t>
      </w:r>
      <w:r w:rsidR="00B20788" w:rsidRPr="009B1A37">
        <w:rPr>
          <w:rFonts w:eastAsia="MS Mincho"/>
          <w:color w:val="000000"/>
          <w:lang w:eastAsia="ja-JP"/>
        </w:rPr>
        <w:t>8</w:t>
      </w:r>
      <w:r w:rsidRPr="009B1A37">
        <w:rPr>
          <w:rFonts w:eastAsia="MS Mincho"/>
          <w:iCs/>
          <w:color w:val="000000"/>
          <w:lang w:eastAsia="ja-JP"/>
        </w:rPr>
        <w:t xml:space="preserve">, </w:t>
      </w:r>
      <w:r w:rsidR="0008276E" w:rsidRPr="009B1A37">
        <w:rPr>
          <w:rFonts w:eastAsia="MS Mincho"/>
          <w:iCs/>
          <w:color w:val="000000"/>
          <w:lang w:eastAsia="ja-JP"/>
        </w:rPr>
        <w:t>o</w:t>
      </w:r>
      <w:r w:rsidRPr="009B1A37">
        <w:rPr>
          <w:rFonts w:eastAsia="MS Mincho"/>
          <w:iCs/>
          <w:color w:val="000000"/>
          <w:lang w:eastAsia="ja-JP"/>
        </w:rPr>
        <w:t>brázek 2)</w:t>
      </w:r>
      <w:r w:rsidR="000E5517" w:rsidRPr="009B1A37">
        <w:rPr>
          <w:rFonts w:eastAsia="MS Mincho"/>
          <w:iCs/>
          <w:color w:val="000000"/>
          <w:lang w:eastAsia="ja-JP"/>
        </w:rPr>
        <w:t>.</w:t>
      </w:r>
    </w:p>
    <w:p w14:paraId="3A32E737" w14:textId="77777777" w:rsidR="000E5517" w:rsidRPr="009B1A37" w:rsidRDefault="000E5517" w:rsidP="00BE3D48">
      <w:pPr>
        <w:widowControl w:val="0"/>
        <w:tabs>
          <w:tab w:val="clear" w:pos="567"/>
        </w:tabs>
        <w:spacing w:line="240" w:lineRule="auto"/>
        <w:rPr>
          <w:rFonts w:eastAsia="MS Mincho"/>
          <w:iCs/>
          <w:color w:val="000000"/>
          <w:lang w:eastAsia="ja-JP"/>
        </w:rPr>
      </w:pPr>
    </w:p>
    <w:p w14:paraId="4DDCFBDA" w14:textId="77777777" w:rsidR="000E5517" w:rsidRPr="009B1A37" w:rsidRDefault="001D54EE" w:rsidP="00BE3D48">
      <w:pPr>
        <w:widowControl w:val="0"/>
        <w:spacing w:line="240" w:lineRule="auto"/>
        <w:rPr>
          <w:rFonts w:eastAsia="MS Mincho"/>
          <w:lang w:eastAsia="ja-JP"/>
        </w:rPr>
      </w:pPr>
      <w:r w:rsidRPr="009B1A37">
        <w:rPr>
          <w:rFonts w:eastAsia="MS Mincho"/>
          <w:lang w:eastAsia="ja-JP"/>
        </w:rPr>
        <w:t xml:space="preserve">Déletrvající </w:t>
      </w:r>
      <w:r w:rsidR="00757702" w:rsidRPr="009B1A37">
        <w:rPr>
          <w:rFonts w:eastAsia="MS Mincho"/>
          <w:lang w:eastAsia="ja-JP"/>
        </w:rPr>
        <w:t>léčb</w:t>
      </w:r>
      <w:r w:rsidRPr="009B1A37">
        <w:rPr>
          <w:rFonts w:eastAsia="MS Mincho"/>
          <w:lang w:eastAsia="ja-JP"/>
        </w:rPr>
        <w:t>a</w:t>
      </w:r>
      <w:r w:rsidR="000E5517" w:rsidRPr="009B1A37">
        <w:rPr>
          <w:rFonts w:eastAsia="MS Mincho"/>
          <w:lang w:eastAsia="ja-JP"/>
        </w:rPr>
        <w:t xml:space="preserve"> (&gt; 36 měsíců) </w:t>
      </w:r>
      <w:r w:rsidR="00757702" w:rsidRPr="009B1A37">
        <w:rPr>
          <w:rFonts w:eastAsia="MS Mincho"/>
          <w:lang w:eastAsia="ja-JP"/>
        </w:rPr>
        <w:t xml:space="preserve">může prodloužit dobu do výskytu dalších </w:t>
      </w:r>
      <w:r w:rsidR="005E3BF6" w:rsidRPr="009B1A37">
        <w:rPr>
          <w:rFonts w:eastAsia="MS Mincho"/>
          <w:lang w:eastAsia="ja-JP"/>
        </w:rPr>
        <w:t>recidiv</w:t>
      </w:r>
      <w:r w:rsidR="000E5517" w:rsidRPr="009B1A37">
        <w:rPr>
          <w:rFonts w:eastAsia="MS Mincho"/>
          <w:lang w:eastAsia="ja-JP"/>
        </w:rPr>
        <w:t xml:space="preserve">; </w:t>
      </w:r>
      <w:r w:rsidR="00757702" w:rsidRPr="009B1A37">
        <w:rPr>
          <w:rFonts w:eastAsia="MS Mincho"/>
          <w:lang w:eastAsia="ja-JP"/>
        </w:rPr>
        <w:t>vliv těchto zjištění na celkové přežití</w:t>
      </w:r>
      <w:r w:rsidR="000E5517" w:rsidRPr="009B1A37">
        <w:rPr>
          <w:rFonts w:eastAsia="MS Mincho"/>
          <w:lang w:eastAsia="ja-JP"/>
        </w:rPr>
        <w:t xml:space="preserve"> </w:t>
      </w:r>
      <w:r w:rsidRPr="009B1A37">
        <w:rPr>
          <w:rFonts w:eastAsia="MS Mincho"/>
          <w:lang w:eastAsia="ja-JP"/>
        </w:rPr>
        <w:t xml:space="preserve">nicméně </w:t>
      </w:r>
      <w:r w:rsidR="00757702" w:rsidRPr="009B1A37">
        <w:rPr>
          <w:rFonts w:eastAsia="MS Mincho"/>
          <w:lang w:eastAsia="ja-JP"/>
        </w:rPr>
        <w:t>zůstává neznámý</w:t>
      </w:r>
      <w:r w:rsidR="000E5517" w:rsidRPr="009B1A37">
        <w:rPr>
          <w:rFonts w:eastAsia="MS Mincho"/>
          <w:lang w:eastAsia="ja-JP"/>
        </w:rPr>
        <w:t>.</w:t>
      </w:r>
    </w:p>
    <w:p w14:paraId="31B6AFFD" w14:textId="77777777" w:rsidR="000E5517" w:rsidRPr="009B1A37" w:rsidRDefault="000E5517" w:rsidP="00BE3D48">
      <w:pPr>
        <w:widowControl w:val="0"/>
        <w:tabs>
          <w:tab w:val="clear" w:pos="567"/>
        </w:tabs>
        <w:spacing w:line="240" w:lineRule="auto"/>
        <w:rPr>
          <w:rFonts w:eastAsia="MS Mincho"/>
          <w:iCs/>
          <w:color w:val="000000"/>
          <w:lang w:eastAsia="ja-JP"/>
        </w:rPr>
      </w:pPr>
    </w:p>
    <w:p w14:paraId="488A55ED" w14:textId="77777777" w:rsidR="006367E4" w:rsidRPr="009B1A37" w:rsidRDefault="006367E4" w:rsidP="00BE3D48">
      <w:pPr>
        <w:widowControl w:val="0"/>
        <w:tabs>
          <w:tab w:val="clear" w:pos="567"/>
        </w:tabs>
        <w:spacing w:line="240" w:lineRule="auto"/>
        <w:rPr>
          <w:rFonts w:eastAsia="MS Mincho"/>
          <w:iCs/>
          <w:color w:val="000000"/>
          <w:lang w:eastAsia="ja-JP"/>
        </w:rPr>
      </w:pPr>
      <w:r w:rsidRPr="009B1A37">
        <w:rPr>
          <w:rFonts w:eastAsia="MS Mincho"/>
          <w:iCs/>
          <w:color w:val="000000"/>
          <w:lang w:eastAsia="ja-JP"/>
        </w:rPr>
        <w:t>Celkový počet úmrtí byl 25 v</w:t>
      </w:r>
      <w:r w:rsidRPr="009B1A37">
        <w:rPr>
          <w:rFonts w:eastAsia="MS Mincho"/>
          <w:lang w:eastAsia="ja-JP"/>
        </w:rPr>
        <w:t> </w:t>
      </w:r>
      <w:r w:rsidRPr="009B1A37">
        <w:rPr>
          <w:rFonts w:eastAsia="MS Mincho"/>
          <w:iCs/>
          <w:color w:val="000000"/>
          <w:lang w:eastAsia="ja-JP"/>
        </w:rPr>
        <w:t>rameni s</w:t>
      </w:r>
      <w:r w:rsidR="00CE64B9" w:rsidRPr="009B1A37">
        <w:rPr>
          <w:rFonts w:eastAsia="MS Mincho"/>
          <w:lang w:eastAsia="ja-JP"/>
        </w:rPr>
        <w:t> </w:t>
      </w:r>
      <w:r w:rsidRPr="009B1A37">
        <w:rPr>
          <w:rFonts w:eastAsia="MS Mincho"/>
          <w:iCs/>
          <w:color w:val="000000"/>
          <w:lang w:eastAsia="ja-JP"/>
        </w:rPr>
        <w:t>12měsíční léčbou a 12 v</w:t>
      </w:r>
      <w:r w:rsidRPr="009B1A37">
        <w:rPr>
          <w:rFonts w:eastAsia="MS Mincho"/>
          <w:lang w:eastAsia="ja-JP"/>
        </w:rPr>
        <w:t> </w:t>
      </w:r>
      <w:r w:rsidRPr="009B1A37">
        <w:rPr>
          <w:rFonts w:eastAsia="MS Mincho"/>
          <w:iCs/>
          <w:color w:val="000000"/>
          <w:lang w:eastAsia="ja-JP"/>
        </w:rPr>
        <w:t>rameni s</w:t>
      </w:r>
      <w:r w:rsidR="00CE64B9" w:rsidRPr="009B1A37">
        <w:rPr>
          <w:rFonts w:eastAsia="MS Mincho"/>
          <w:lang w:eastAsia="ja-JP"/>
        </w:rPr>
        <w:t> </w:t>
      </w:r>
      <w:r w:rsidRPr="009B1A37">
        <w:rPr>
          <w:rFonts w:eastAsia="MS Mincho"/>
          <w:iCs/>
          <w:color w:val="000000"/>
          <w:lang w:eastAsia="ja-JP"/>
        </w:rPr>
        <w:t>36měsíční léčbou.</w:t>
      </w:r>
    </w:p>
    <w:p w14:paraId="7E0F36D7" w14:textId="77777777" w:rsidR="000E5517" w:rsidRPr="009B1A37" w:rsidRDefault="000E5517" w:rsidP="00BE3D48">
      <w:pPr>
        <w:widowControl w:val="0"/>
        <w:tabs>
          <w:tab w:val="clear" w:pos="567"/>
        </w:tabs>
        <w:spacing w:line="240" w:lineRule="auto"/>
        <w:rPr>
          <w:rFonts w:eastAsia="MS Mincho"/>
          <w:iCs/>
          <w:lang w:eastAsia="ja-JP"/>
        </w:rPr>
      </w:pPr>
    </w:p>
    <w:p w14:paraId="28B7DCD4" w14:textId="77777777" w:rsidR="000E5517" w:rsidRPr="009B1A37" w:rsidRDefault="005E3BF6" w:rsidP="00BE3D48">
      <w:pPr>
        <w:widowControl w:val="0"/>
        <w:tabs>
          <w:tab w:val="clear" w:pos="567"/>
        </w:tabs>
        <w:spacing w:line="240" w:lineRule="auto"/>
        <w:rPr>
          <w:rFonts w:eastAsia="MS Mincho"/>
          <w:iCs/>
          <w:lang w:eastAsia="ja-JP"/>
        </w:rPr>
      </w:pPr>
      <w:r w:rsidRPr="009B1A37">
        <w:rPr>
          <w:rFonts w:eastAsia="MS Mincho"/>
          <w:iCs/>
          <w:lang w:eastAsia="ja-JP"/>
        </w:rPr>
        <w:t>36měsíční léčb</w:t>
      </w:r>
      <w:r w:rsidR="001D54EE" w:rsidRPr="009B1A37">
        <w:rPr>
          <w:rFonts w:eastAsia="MS Mincho"/>
          <w:iCs/>
          <w:lang w:eastAsia="ja-JP"/>
        </w:rPr>
        <w:t>ou</w:t>
      </w:r>
      <w:r w:rsidR="000E5517" w:rsidRPr="009B1A37">
        <w:rPr>
          <w:rFonts w:eastAsia="MS Mincho"/>
          <w:iCs/>
          <w:lang w:eastAsia="ja-JP"/>
        </w:rPr>
        <w:t xml:space="preserve"> imatinibem </w:t>
      </w:r>
      <w:r w:rsidRPr="009B1A37">
        <w:rPr>
          <w:rFonts w:eastAsia="MS Mincho"/>
          <w:iCs/>
          <w:lang w:eastAsia="ja-JP"/>
        </w:rPr>
        <w:t>byl</w:t>
      </w:r>
      <w:r w:rsidR="001D54EE" w:rsidRPr="009B1A37">
        <w:rPr>
          <w:rFonts w:eastAsia="MS Mincho"/>
          <w:iCs/>
          <w:lang w:eastAsia="ja-JP"/>
        </w:rPr>
        <w:t>o</w:t>
      </w:r>
      <w:r w:rsidRPr="009B1A37">
        <w:rPr>
          <w:rFonts w:eastAsia="MS Mincho"/>
          <w:iCs/>
          <w:lang w:eastAsia="ja-JP"/>
        </w:rPr>
        <w:t xml:space="preserve"> </w:t>
      </w:r>
      <w:r w:rsidR="001D54EE" w:rsidRPr="009B1A37">
        <w:rPr>
          <w:rFonts w:eastAsia="MS Mincho"/>
          <w:iCs/>
          <w:lang w:eastAsia="ja-JP"/>
        </w:rPr>
        <w:t>dosaženo lepších výsledků oproti</w:t>
      </w:r>
      <w:r w:rsidR="000E5517" w:rsidRPr="009B1A37">
        <w:rPr>
          <w:rFonts w:eastAsia="MS Mincho"/>
          <w:iCs/>
          <w:lang w:eastAsia="ja-JP"/>
        </w:rPr>
        <w:t xml:space="preserve"> </w:t>
      </w:r>
      <w:r w:rsidR="00757702" w:rsidRPr="009B1A37">
        <w:rPr>
          <w:rFonts w:eastAsia="MS Mincho"/>
          <w:iCs/>
          <w:lang w:eastAsia="ja-JP"/>
        </w:rPr>
        <w:t>12měsíční léčb</w:t>
      </w:r>
      <w:r w:rsidRPr="009B1A37">
        <w:rPr>
          <w:rFonts w:eastAsia="MS Mincho"/>
          <w:iCs/>
          <w:lang w:eastAsia="ja-JP"/>
        </w:rPr>
        <w:t xml:space="preserve">ě </w:t>
      </w:r>
      <w:r w:rsidR="00757702" w:rsidRPr="009B1A37">
        <w:rPr>
          <w:rFonts w:eastAsia="MS Mincho"/>
          <w:iCs/>
          <w:lang w:eastAsia="ja-JP"/>
        </w:rPr>
        <w:t>v</w:t>
      </w:r>
      <w:r w:rsidRPr="009B1A37">
        <w:rPr>
          <w:rFonts w:eastAsia="MS Mincho"/>
          <w:lang w:eastAsia="ja-JP"/>
        </w:rPr>
        <w:t> </w:t>
      </w:r>
      <w:r w:rsidR="000E5517" w:rsidRPr="009B1A37">
        <w:rPr>
          <w:rFonts w:eastAsia="MS Mincho"/>
          <w:iCs/>
          <w:lang w:eastAsia="ja-JP"/>
        </w:rPr>
        <w:t>ITT anal</w:t>
      </w:r>
      <w:r w:rsidR="00757702" w:rsidRPr="009B1A37">
        <w:rPr>
          <w:rFonts w:eastAsia="MS Mincho"/>
          <w:iCs/>
          <w:lang w:eastAsia="ja-JP"/>
        </w:rPr>
        <w:t>ýze</w:t>
      </w:r>
      <w:r w:rsidR="000E5517" w:rsidRPr="009B1A37">
        <w:rPr>
          <w:rFonts w:eastAsia="MS Mincho"/>
          <w:iCs/>
          <w:lang w:eastAsia="ja-JP"/>
        </w:rPr>
        <w:t xml:space="preserve">, </w:t>
      </w:r>
      <w:r w:rsidRPr="009B1A37">
        <w:rPr>
          <w:rFonts w:eastAsia="MS Mincho"/>
          <w:iCs/>
          <w:lang w:eastAsia="ja-JP"/>
        </w:rPr>
        <w:t>t</w:t>
      </w:r>
      <w:r w:rsidR="000E5517" w:rsidRPr="009B1A37">
        <w:rPr>
          <w:rFonts w:eastAsia="MS Mincho"/>
          <w:iCs/>
          <w:lang w:eastAsia="ja-JP"/>
        </w:rPr>
        <w:t>.</w:t>
      </w:r>
      <w:r w:rsidRPr="009B1A37">
        <w:rPr>
          <w:rFonts w:eastAsia="MS Mincho"/>
          <w:iCs/>
          <w:lang w:eastAsia="ja-JP"/>
        </w:rPr>
        <w:t>j</w:t>
      </w:r>
      <w:r w:rsidR="000E5517" w:rsidRPr="009B1A37">
        <w:rPr>
          <w:rFonts w:eastAsia="MS Mincho"/>
          <w:iCs/>
          <w:lang w:eastAsia="ja-JP"/>
        </w:rPr>
        <w:t xml:space="preserve">. </w:t>
      </w:r>
      <w:r w:rsidRPr="009B1A37">
        <w:rPr>
          <w:rFonts w:eastAsia="MS Mincho"/>
          <w:iCs/>
          <w:lang w:eastAsia="ja-JP"/>
        </w:rPr>
        <w:t>zahrn</w:t>
      </w:r>
      <w:r w:rsidR="001D54EE" w:rsidRPr="009B1A37">
        <w:rPr>
          <w:rFonts w:eastAsia="MS Mincho"/>
          <w:iCs/>
          <w:lang w:eastAsia="ja-JP"/>
        </w:rPr>
        <w:t>ující</w:t>
      </w:r>
      <w:r w:rsidRPr="009B1A37">
        <w:rPr>
          <w:rFonts w:eastAsia="MS Mincho"/>
          <w:iCs/>
          <w:lang w:eastAsia="ja-JP"/>
        </w:rPr>
        <w:t xml:space="preserve"> celou studijní populaci</w:t>
      </w:r>
      <w:r w:rsidR="000E5517" w:rsidRPr="009B1A37">
        <w:rPr>
          <w:rFonts w:eastAsia="MS Mincho"/>
          <w:iCs/>
          <w:lang w:eastAsia="ja-JP"/>
        </w:rPr>
        <w:t xml:space="preserve">. </w:t>
      </w:r>
      <w:r w:rsidR="00757702" w:rsidRPr="009B1A37">
        <w:rPr>
          <w:rFonts w:eastAsia="MS Mincho"/>
          <w:iCs/>
          <w:lang w:eastAsia="ja-JP"/>
        </w:rPr>
        <w:t>V</w:t>
      </w:r>
      <w:r w:rsidRPr="009B1A37">
        <w:rPr>
          <w:rFonts w:eastAsia="MS Mincho"/>
          <w:lang w:eastAsia="ja-JP"/>
        </w:rPr>
        <w:t> </w:t>
      </w:r>
      <w:r w:rsidR="00757702" w:rsidRPr="009B1A37">
        <w:rPr>
          <w:rFonts w:eastAsia="MS Mincho"/>
          <w:iCs/>
          <w:lang w:eastAsia="ja-JP"/>
        </w:rPr>
        <w:t>plánované</w:t>
      </w:r>
      <w:r w:rsidR="000E5517" w:rsidRPr="009B1A37">
        <w:rPr>
          <w:rFonts w:eastAsia="MS Mincho"/>
          <w:iCs/>
          <w:lang w:eastAsia="ja-JP"/>
        </w:rPr>
        <w:t xml:space="preserve"> </w:t>
      </w:r>
      <w:r w:rsidRPr="009B1A37">
        <w:rPr>
          <w:rFonts w:eastAsia="MS Mincho"/>
          <w:iCs/>
          <w:lang w:eastAsia="ja-JP"/>
        </w:rPr>
        <w:t>an</w:t>
      </w:r>
      <w:r w:rsidR="009E7BFF" w:rsidRPr="009B1A37">
        <w:rPr>
          <w:rFonts w:eastAsia="MS Mincho"/>
          <w:iCs/>
          <w:lang w:eastAsia="ja-JP"/>
        </w:rPr>
        <w:t>a</w:t>
      </w:r>
      <w:r w:rsidRPr="009B1A37">
        <w:rPr>
          <w:rFonts w:eastAsia="MS Mincho"/>
          <w:iCs/>
          <w:lang w:eastAsia="ja-JP"/>
        </w:rPr>
        <w:t>lý</w:t>
      </w:r>
      <w:r w:rsidR="009E7BFF" w:rsidRPr="009B1A37">
        <w:rPr>
          <w:rFonts w:eastAsia="MS Mincho"/>
          <w:iCs/>
          <w:lang w:eastAsia="ja-JP"/>
        </w:rPr>
        <w:t>z</w:t>
      </w:r>
      <w:r w:rsidRPr="009B1A37">
        <w:rPr>
          <w:rFonts w:eastAsia="MS Mincho"/>
          <w:iCs/>
          <w:lang w:eastAsia="ja-JP"/>
        </w:rPr>
        <w:t>e podskupin</w:t>
      </w:r>
      <w:r w:rsidR="009E7BFF" w:rsidRPr="009B1A37">
        <w:rPr>
          <w:rFonts w:eastAsia="MS Mincho"/>
          <w:iCs/>
          <w:lang w:eastAsia="ja-JP"/>
        </w:rPr>
        <w:t xml:space="preserve"> podle</w:t>
      </w:r>
      <w:r w:rsidR="000E5517" w:rsidRPr="009B1A37">
        <w:rPr>
          <w:rFonts w:eastAsia="MS Mincho"/>
          <w:iCs/>
          <w:lang w:eastAsia="ja-JP"/>
        </w:rPr>
        <w:t xml:space="preserve"> </w:t>
      </w:r>
      <w:r w:rsidR="009E7BFF" w:rsidRPr="009B1A37">
        <w:rPr>
          <w:rFonts w:eastAsia="MS Mincho"/>
          <w:iCs/>
          <w:lang w:eastAsia="ja-JP"/>
        </w:rPr>
        <w:t xml:space="preserve">typu </w:t>
      </w:r>
      <w:r w:rsidR="000E5517" w:rsidRPr="009B1A37">
        <w:rPr>
          <w:rFonts w:eastAsia="MS Mincho"/>
          <w:iCs/>
          <w:lang w:eastAsia="ja-JP"/>
        </w:rPr>
        <w:t>muta</w:t>
      </w:r>
      <w:r w:rsidR="009E7BFF" w:rsidRPr="009B1A37">
        <w:rPr>
          <w:rFonts w:eastAsia="MS Mincho"/>
          <w:iCs/>
          <w:lang w:eastAsia="ja-JP"/>
        </w:rPr>
        <w:t>ce</w:t>
      </w:r>
      <w:r w:rsidR="000E5517" w:rsidRPr="009B1A37">
        <w:rPr>
          <w:rFonts w:eastAsia="MS Mincho"/>
          <w:iCs/>
          <w:lang w:eastAsia="ja-JP"/>
        </w:rPr>
        <w:t xml:space="preserve"> </w:t>
      </w:r>
      <w:r w:rsidRPr="009B1A37">
        <w:rPr>
          <w:rFonts w:eastAsia="MS Mincho"/>
          <w:iCs/>
          <w:lang w:eastAsia="ja-JP"/>
        </w:rPr>
        <w:t xml:space="preserve">byl </w:t>
      </w:r>
      <w:r w:rsidR="001D54EE" w:rsidRPr="009B1A37">
        <w:rPr>
          <w:rFonts w:eastAsia="MS Mincho"/>
          <w:iCs/>
          <w:lang w:eastAsia="ja-JP"/>
        </w:rPr>
        <w:t>poměr rizika přežití bez rekurence</w:t>
      </w:r>
      <w:r w:rsidR="000E5517" w:rsidRPr="009B1A37">
        <w:rPr>
          <w:rFonts w:eastAsia="MS Mincho"/>
          <w:iCs/>
          <w:lang w:eastAsia="ja-JP"/>
        </w:rPr>
        <w:t xml:space="preserve"> </w:t>
      </w:r>
      <w:r w:rsidRPr="009B1A37">
        <w:rPr>
          <w:rFonts w:eastAsia="MS Mincho"/>
          <w:iCs/>
          <w:lang w:eastAsia="ja-JP"/>
        </w:rPr>
        <w:t xml:space="preserve">pro </w:t>
      </w:r>
      <w:r w:rsidR="000E5517" w:rsidRPr="009B1A37">
        <w:rPr>
          <w:rFonts w:eastAsia="MS Mincho"/>
          <w:iCs/>
          <w:lang w:eastAsia="ja-JP"/>
        </w:rPr>
        <w:t>36</w:t>
      </w:r>
      <w:r w:rsidRPr="009B1A37">
        <w:rPr>
          <w:rFonts w:eastAsia="MS Mincho"/>
          <w:iCs/>
          <w:lang w:eastAsia="ja-JP"/>
        </w:rPr>
        <w:t>měsíční léčbu</w:t>
      </w:r>
      <w:r w:rsidR="000E5517" w:rsidRPr="009B1A37">
        <w:rPr>
          <w:rFonts w:eastAsia="MS Mincho"/>
          <w:iCs/>
          <w:lang w:eastAsia="ja-JP"/>
        </w:rPr>
        <w:t xml:space="preserve"> pa</w:t>
      </w:r>
      <w:r w:rsidRPr="009B1A37">
        <w:rPr>
          <w:rFonts w:eastAsia="MS Mincho"/>
          <w:iCs/>
          <w:lang w:eastAsia="ja-JP"/>
        </w:rPr>
        <w:t>cientů s</w:t>
      </w:r>
      <w:r w:rsidRPr="009B1A37">
        <w:rPr>
          <w:rFonts w:eastAsia="MS Mincho"/>
          <w:lang w:eastAsia="ja-JP"/>
        </w:rPr>
        <w:t> </w:t>
      </w:r>
      <w:r w:rsidR="000E5517" w:rsidRPr="009B1A37">
        <w:rPr>
          <w:rFonts w:eastAsia="MS Mincho"/>
          <w:iCs/>
          <w:lang w:eastAsia="ja-JP"/>
        </w:rPr>
        <w:t>muta</w:t>
      </w:r>
      <w:r w:rsidR="00757702" w:rsidRPr="009B1A37">
        <w:rPr>
          <w:rFonts w:eastAsia="MS Mincho"/>
          <w:iCs/>
          <w:lang w:eastAsia="ja-JP"/>
        </w:rPr>
        <w:t>cí</w:t>
      </w:r>
      <w:r w:rsidR="000E5517" w:rsidRPr="009B1A37">
        <w:rPr>
          <w:rFonts w:eastAsia="MS Mincho"/>
          <w:iCs/>
          <w:lang w:eastAsia="ja-JP"/>
        </w:rPr>
        <w:t xml:space="preserve"> exon</w:t>
      </w:r>
      <w:r w:rsidR="00757702" w:rsidRPr="009B1A37">
        <w:rPr>
          <w:rFonts w:eastAsia="MS Mincho"/>
          <w:iCs/>
          <w:lang w:eastAsia="ja-JP"/>
        </w:rPr>
        <w:t>u</w:t>
      </w:r>
      <w:r w:rsidR="000E5517" w:rsidRPr="009B1A37">
        <w:rPr>
          <w:rFonts w:eastAsia="MS Mincho"/>
          <w:iCs/>
          <w:lang w:eastAsia="ja-JP"/>
        </w:rPr>
        <w:t xml:space="preserve"> 11 0</w:t>
      </w:r>
      <w:r w:rsidR="00757702" w:rsidRPr="009B1A37">
        <w:rPr>
          <w:rFonts w:eastAsia="MS Mincho"/>
          <w:iCs/>
          <w:lang w:eastAsia="ja-JP"/>
        </w:rPr>
        <w:t>,</w:t>
      </w:r>
      <w:r w:rsidR="000E5517" w:rsidRPr="009B1A37">
        <w:rPr>
          <w:rFonts w:eastAsia="MS Mincho"/>
          <w:iCs/>
          <w:lang w:eastAsia="ja-JP"/>
        </w:rPr>
        <w:t>35 [95% CI: 0</w:t>
      </w:r>
      <w:r w:rsidRPr="009B1A37">
        <w:rPr>
          <w:rFonts w:eastAsia="MS Mincho"/>
          <w:iCs/>
          <w:lang w:eastAsia="ja-JP"/>
        </w:rPr>
        <w:t>,</w:t>
      </w:r>
      <w:r w:rsidR="000E5517" w:rsidRPr="009B1A37">
        <w:rPr>
          <w:rFonts w:eastAsia="MS Mincho"/>
          <w:iCs/>
          <w:lang w:eastAsia="ja-JP"/>
        </w:rPr>
        <w:t>22, 0</w:t>
      </w:r>
      <w:r w:rsidRPr="009B1A37">
        <w:rPr>
          <w:rFonts w:eastAsia="MS Mincho"/>
          <w:iCs/>
          <w:lang w:eastAsia="ja-JP"/>
        </w:rPr>
        <w:t>,</w:t>
      </w:r>
      <w:r w:rsidR="000E5517" w:rsidRPr="009B1A37">
        <w:rPr>
          <w:rFonts w:eastAsia="MS Mincho"/>
          <w:iCs/>
          <w:lang w:eastAsia="ja-JP"/>
        </w:rPr>
        <w:t xml:space="preserve">56]. </w:t>
      </w:r>
      <w:r w:rsidRPr="009B1A37">
        <w:rPr>
          <w:rFonts w:eastAsia="MS Mincho"/>
          <w:iCs/>
          <w:lang w:eastAsia="ja-JP"/>
        </w:rPr>
        <w:t>Pro</w:t>
      </w:r>
      <w:r w:rsidR="000E5517" w:rsidRPr="009B1A37">
        <w:rPr>
          <w:rFonts w:eastAsia="MS Mincho"/>
          <w:iCs/>
          <w:lang w:eastAsia="ja-JP"/>
        </w:rPr>
        <w:t xml:space="preserve"> </w:t>
      </w:r>
      <w:r w:rsidR="00757702" w:rsidRPr="009B1A37">
        <w:rPr>
          <w:rFonts w:eastAsia="MS Mincho"/>
          <w:iCs/>
          <w:lang w:eastAsia="ja-JP"/>
        </w:rPr>
        <w:t>jiné</w:t>
      </w:r>
      <w:r w:rsidR="000E5517" w:rsidRPr="009B1A37">
        <w:rPr>
          <w:rFonts w:eastAsia="MS Mincho"/>
          <w:iCs/>
          <w:lang w:eastAsia="ja-JP"/>
        </w:rPr>
        <w:t xml:space="preserve"> </w:t>
      </w:r>
      <w:r w:rsidR="00757702" w:rsidRPr="009B1A37">
        <w:rPr>
          <w:rFonts w:eastAsia="MS Mincho"/>
          <w:iCs/>
          <w:lang w:eastAsia="ja-JP"/>
        </w:rPr>
        <w:t>podskupiny s</w:t>
      </w:r>
      <w:r w:rsidR="009E7BFF" w:rsidRPr="009B1A37">
        <w:rPr>
          <w:rFonts w:eastAsia="MS Mincho"/>
          <w:lang w:eastAsia="ja-JP"/>
        </w:rPr>
        <w:t> </w:t>
      </w:r>
      <w:r w:rsidR="00757702" w:rsidRPr="009B1A37">
        <w:rPr>
          <w:rFonts w:eastAsia="MS Mincho"/>
          <w:iCs/>
          <w:lang w:eastAsia="ja-JP"/>
        </w:rPr>
        <w:t>méně častými</w:t>
      </w:r>
      <w:r w:rsidR="000E5517" w:rsidRPr="009B1A37">
        <w:rPr>
          <w:rFonts w:eastAsia="MS Mincho"/>
          <w:iCs/>
          <w:lang w:eastAsia="ja-JP"/>
        </w:rPr>
        <w:t xml:space="preserve"> </w:t>
      </w:r>
      <w:r w:rsidR="00757702" w:rsidRPr="009B1A37">
        <w:rPr>
          <w:rFonts w:eastAsia="MS Mincho"/>
          <w:iCs/>
          <w:lang w:eastAsia="ja-JP"/>
        </w:rPr>
        <w:t>mutacemi</w:t>
      </w:r>
      <w:r w:rsidR="000E5517" w:rsidRPr="009B1A37">
        <w:rPr>
          <w:rFonts w:eastAsia="MS Mincho"/>
          <w:iCs/>
          <w:lang w:eastAsia="ja-JP"/>
        </w:rPr>
        <w:t xml:space="preserve"> </w:t>
      </w:r>
      <w:r w:rsidR="009E7BFF" w:rsidRPr="009B1A37">
        <w:rPr>
          <w:rFonts w:eastAsia="MS Mincho"/>
          <w:iCs/>
          <w:lang w:eastAsia="ja-JP"/>
        </w:rPr>
        <w:t>nelze z</w:t>
      </w:r>
      <w:r w:rsidR="009E7BFF" w:rsidRPr="009B1A37">
        <w:rPr>
          <w:rFonts w:eastAsia="MS Mincho"/>
          <w:lang w:eastAsia="ja-JP"/>
        </w:rPr>
        <w:t> </w:t>
      </w:r>
      <w:r w:rsidRPr="009B1A37">
        <w:rPr>
          <w:rFonts w:eastAsia="MS Mincho"/>
          <w:iCs/>
          <w:lang w:eastAsia="ja-JP"/>
        </w:rPr>
        <w:t xml:space="preserve">důvodu nízkého počtu </w:t>
      </w:r>
      <w:r w:rsidR="001D54EE" w:rsidRPr="009B1A37">
        <w:rPr>
          <w:rFonts w:eastAsia="MS Mincho"/>
          <w:iCs/>
          <w:lang w:eastAsia="ja-JP"/>
        </w:rPr>
        <w:t>sledovaných případů</w:t>
      </w:r>
      <w:r w:rsidRPr="009B1A37">
        <w:rPr>
          <w:rFonts w:eastAsia="MS Mincho"/>
          <w:iCs/>
          <w:lang w:eastAsia="ja-JP"/>
        </w:rPr>
        <w:t xml:space="preserve"> </w:t>
      </w:r>
      <w:r w:rsidR="009E7BFF" w:rsidRPr="009B1A37">
        <w:rPr>
          <w:rFonts w:eastAsia="MS Mincho"/>
          <w:iCs/>
          <w:lang w:eastAsia="ja-JP"/>
        </w:rPr>
        <w:t>vyvodit žádné závěry</w:t>
      </w:r>
      <w:r w:rsidR="000E5517" w:rsidRPr="009B1A37">
        <w:rPr>
          <w:rFonts w:eastAsia="MS Mincho"/>
          <w:iCs/>
          <w:lang w:eastAsia="ja-JP"/>
        </w:rPr>
        <w:t>.</w:t>
      </w:r>
    </w:p>
    <w:p w14:paraId="309F7B45" w14:textId="77777777" w:rsidR="006367E4" w:rsidRPr="009B1A37" w:rsidRDefault="006367E4" w:rsidP="00BE3D48">
      <w:pPr>
        <w:widowControl w:val="0"/>
        <w:tabs>
          <w:tab w:val="clear" w:pos="567"/>
        </w:tabs>
        <w:spacing w:line="240" w:lineRule="auto"/>
        <w:rPr>
          <w:rFonts w:eastAsia="MS Mincho"/>
          <w:iCs/>
          <w:lang w:eastAsia="ja-JP"/>
        </w:rPr>
      </w:pPr>
    </w:p>
    <w:p w14:paraId="7148E021" w14:textId="77777777" w:rsidR="006367E4" w:rsidRPr="009B1A37" w:rsidRDefault="006367E4" w:rsidP="009F41EF">
      <w:pPr>
        <w:keepNext/>
        <w:widowControl w:val="0"/>
        <w:tabs>
          <w:tab w:val="clear" w:pos="567"/>
        </w:tabs>
        <w:spacing w:line="240" w:lineRule="auto"/>
        <w:ind w:left="1134" w:hanging="1134"/>
        <w:rPr>
          <w:rFonts w:eastAsia="MS Mincho"/>
          <w:b/>
          <w:lang w:eastAsia="ja-JP"/>
        </w:rPr>
      </w:pPr>
      <w:r w:rsidRPr="009B1A37">
        <w:rPr>
          <w:rFonts w:eastAsia="MS Mincho"/>
          <w:b/>
        </w:rPr>
        <w:t>Tabulka </w:t>
      </w:r>
      <w:r w:rsidR="00B20788" w:rsidRPr="009B1A37">
        <w:rPr>
          <w:rFonts w:eastAsia="MS Mincho"/>
          <w:b/>
        </w:rPr>
        <w:t>8</w:t>
      </w:r>
      <w:r w:rsidRPr="009B1A37">
        <w:rPr>
          <w:rFonts w:eastAsia="MS Mincho"/>
        </w:rPr>
        <w:tab/>
      </w:r>
      <w:r w:rsidRPr="009B1A37">
        <w:rPr>
          <w:rFonts w:eastAsia="MS Mincho"/>
          <w:b/>
          <w:lang w:eastAsia="ja-JP"/>
        </w:rPr>
        <w:t>12měsíční a 36měsíční léčba Glivecem (studie SSGXVIII/AIO)</w:t>
      </w:r>
    </w:p>
    <w:p w14:paraId="13CB3891" w14:textId="77777777" w:rsidR="006367E4" w:rsidRPr="009B1A37" w:rsidRDefault="006367E4" w:rsidP="009F41EF">
      <w:pPr>
        <w:keepNext/>
        <w:widowControl w:val="0"/>
        <w:tabs>
          <w:tab w:val="clear" w:pos="567"/>
        </w:tabs>
        <w:spacing w:line="240" w:lineRule="auto"/>
        <w:rPr>
          <w:rFonts w:eastAsia="MS Mincho"/>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6367E4" w:rsidRPr="009B1A37" w14:paraId="3670B7C9" w14:textId="77777777" w:rsidTr="009F41EF">
        <w:trPr>
          <w:cantSplit/>
        </w:trPr>
        <w:tc>
          <w:tcPr>
            <w:tcW w:w="3099" w:type="dxa"/>
            <w:tcBorders>
              <w:top w:val="single" w:sz="4" w:space="0" w:color="auto"/>
              <w:bottom w:val="nil"/>
            </w:tcBorders>
            <w:shd w:val="clear" w:color="auto" w:fill="auto"/>
          </w:tcPr>
          <w:p w14:paraId="7645DFC6" w14:textId="77777777" w:rsidR="006367E4" w:rsidRPr="009B1A37" w:rsidRDefault="006367E4" w:rsidP="009F41EF">
            <w:pPr>
              <w:keepNext/>
              <w:widowControl w:val="0"/>
              <w:tabs>
                <w:tab w:val="clear" w:pos="567"/>
                <w:tab w:val="left" w:pos="284"/>
              </w:tabs>
              <w:spacing w:line="240" w:lineRule="auto"/>
              <w:rPr>
                <w:rFonts w:eastAsia="MS Mincho"/>
              </w:rPr>
            </w:pPr>
          </w:p>
        </w:tc>
        <w:tc>
          <w:tcPr>
            <w:tcW w:w="3100" w:type="dxa"/>
            <w:tcBorders>
              <w:top w:val="single" w:sz="4" w:space="0" w:color="auto"/>
              <w:bottom w:val="nil"/>
            </w:tcBorders>
            <w:shd w:val="clear" w:color="auto" w:fill="auto"/>
          </w:tcPr>
          <w:p w14:paraId="71A6AB9C" w14:textId="77777777" w:rsidR="006367E4" w:rsidRPr="009B1A37" w:rsidRDefault="006367E4" w:rsidP="009F41EF">
            <w:pPr>
              <w:keepNext/>
              <w:widowControl w:val="0"/>
              <w:tabs>
                <w:tab w:val="clear" w:pos="567"/>
                <w:tab w:val="left" w:pos="284"/>
              </w:tabs>
              <w:spacing w:line="240" w:lineRule="auto"/>
              <w:rPr>
                <w:rFonts w:eastAsia="MS Mincho"/>
                <w:b/>
              </w:rPr>
            </w:pPr>
            <w:r w:rsidRPr="009B1A37">
              <w:rPr>
                <w:rFonts w:eastAsia="MS Mincho"/>
                <w:b/>
              </w:rPr>
              <w:t>rameno s</w:t>
            </w:r>
            <w:r w:rsidRPr="009B1A37">
              <w:rPr>
                <w:rFonts w:eastAsia="MS Mincho"/>
                <w:lang w:eastAsia="ja-JP"/>
              </w:rPr>
              <w:t> </w:t>
            </w:r>
            <w:r w:rsidRPr="009B1A37">
              <w:rPr>
                <w:rFonts w:eastAsia="MS Mincho"/>
                <w:b/>
              </w:rPr>
              <w:t>12měsíční léčbou</w:t>
            </w:r>
          </w:p>
        </w:tc>
        <w:tc>
          <w:tcPr>
            <w:tcW w:w="3100" w:type="dxa"/>
            <w:tcBorders>
              <w:top w:val="single" w:sz="4" w:space="0" w:color="auto"/>
              <w:bottom w:val="nil"/>
            </w:tcBorders>
            <w:shd w:val="clear" w:color="auto" w:fill="auto"/>
          </w:tcPr>
          <w:p w14:paraId="2212631B" w14:textId="77777777" w:rsidR="006367E4" w:rsidRPr="009B1A37" w:rsidRDefault="006367E4" w:rsidP="009F41EF">
            <w:pPr>
              <w:keepNext/>
              <w:widowControl w:val="0"/>
              <w:tabs>
                <w:tab w:val="clear" w:pos="567"/>
                <w:tab w:val="left" w:pos="284"/>
              </w:tabs>
              <w:spacing w:line="240" w:lineRule="auto"/>
              <w:rPr>
                <w:rFonts w:eastAsia="MS Mincho"/>
                <w:b/>
              </w:rPr>
            </w:pPr>
            <w:r w:rsidRPr="009B1A37">
              <w:rPr>
                <w:rFonts w:eastAsia="MS Mincho"/>
                <w:b/>
              </w:rPr>
              <w:t>rameno s</w:t>
            </w:r>
            <w:r w:rsidRPr="009B1A37">
              <w:rPr>
                <w:rFonts w:eastAsia="MS Mincho"/>
                <w:lang w:eastAsia="ja-JP"/>
              </w:rPr>
              <w:t> </w:t>
            </w:r>
            <w:r w:rsidRPr="009B1A37">
              <w:rPr>
                <w:rFonts w:eastAsia="MS Mincho"/>
                <w:b/>
              </w:rPr>
              <w:t>36měsíční léčbou</w:t>
            </w:r>
          </w:p>
        </w:tc>
      </w:tr>
      <w:tr w:rsidR="006367E4" w:rsidRPr="009B1A37" w14:paraId="35E152AD" w14:textId="77777777" w:rsidTr="009F41EF">
        <w:trPr>
          <w:cantSplit/>
        </w:trPr>
        <w:tc>
          <w:tcPr>
            <w:tcW w:w="3099" w:type="dxa"/>
            <w:tcBorders>
              <w:top w:val="nil"/>
            </w:tcBorders>
            <w:shd w:val="clear" w:color="auto" w:fill="auto"/>
          </w:tcPr>
          <w:p w14:paraId="1D475D9B" w14:textId="77777777" w:rsidR="006367E4" w:rsidRPr="009B1A37" w:rsidRDefault="006367E4" w:rsidP="009F41EF">
            <w:pPr>
              <w:keepNext/>
              <w:widowControl w:val="0"/>
              <w:tabs>
                <w:tab w:val="clear" w:pos="567"/>
                <w:tab w:val="left" w:pos="284"/>
              </w:tabs>
              <w:spacing w:line="240" w:lineRule="auto"/>
              <w:rPr>
                <w:rFonts w:eastAsia="MS Mincho"/>
                <w:b/>
              </w:rPr>
            </w:pPr>
            <w:r w:rsidRPr="009B1A37">
              <w:rPr>
                <w:rFonts w:eastAsia="MS Mincho"/>
                <w:b/>
              </w:rPr>
              <w:t>RFS</w:t>
            </w:r>
          </w:p>
        </w:tc>
        <w:tc>
          <w:tcPr>
            <w:tcW w:w="3100" w:type="dxa"/>
            <w:tcBorders>
              <w:top w:val="nil"/>
            </w:tcBorders>
            <w:shd w:val="clear" w:color="auto" w:fill="auto"/>
          </w:tcPr>
          <w:p w14:paraId="55DED701" w14:textId="77777777" w:rsidR="006367E4" w:rsidRPr="009B1A37" w:rsidRDefault="006367E4" w:rsidP="009F41EF">
            <w:pPr>
              <w:keepNext/>
              <w:widowControl w:val="0"/>
              <w:tabs>
                <w:tab w:val="clear" w:pos="567"/>
                <w:tab w:val="left" w:pos="284"/>
              </w:tabs>
              <w:spacing w:line="240" w:lineRule="auto"/>
              <w:rPr>
                <w:rFonts w:eastAsia="MS Mincho"/>
                <w:b/>
              </w:rPr>
            </w:pPr>
            <w:r w:rsidRPr="009B1A37">
              <w:rPr>
                <w:rFonts w:eastAsia="MS Mincho"/>
                <w:b/>
              </w:rPr>
              <w:t>%(CI)</w:t>
            </w:r>
          </w:p>
        </w:tc>
        <w:tc>
          <w:tcPr>
            <w:tcW w:w="3100" w:type="dxa"/>
            <w:tcBorders>
              <w:top w:val="nil"/>
            </w:tcBorders>
            <w:shd w:val="clear" w:color="auto" w:fill="auto"/>
          </w:tcPr>
          <w:p w14:paraId="60EB1714" w14:textId="77777777" w:rsidR="006367E4" w:rsidRPr="009B1A37" w:rsidRDefault="006367E4" w:rsidP="009F41EF">
            <w:pPr>
              <w:keepNext/>
              <w:widowControl w:val="0"/>
              <w:tabs>
                <w:tab w:val="clear" w:pos="567"/>
                <w:tab w:val="left" w:pos="284"/>
              </w:tabs>
              <w:spacing w:line="240" w:lineRule="auto"/>
              <w:rPr>
                <w:rFonts w:eastAsia="MS Mincho"/>
                <w:b/>
              </w:rPr>
            </w:pPr>
            <w:r w:rsidRPr="009B1A37">
              <w:rPr>
                <w:rFonts w:eastAsia="MS Mincho"/>
                <w:b/>
              </w:rPr>
              <w:t>%(CI)</w:t>
            </w:r>
          </w:p>
        </w:tc>
      </w:tr>
      <w:tr w:rsidR="006367E4" w:rsidRPr="009B1A37" w14:paraId="625DF44A" w14:textId="77777777" w:rsidTr="009F41EF">
        <w:trPr>
          <w:cantSplit/>
        </w:trPr>
        <w:tc>
          <w:tcPr>
            <w:tcW w:w="3099" w:type="dxa"/>
            <w:shd w:val="clear" w:color="auto" w:fill="auto"/>
          </w:tcPr>
          <w:p w14:paraId="202D8CB8" w14:textId="77777777" w:rsidR="006367E4" w:rsidRPr="009B1A37" w:rsidRDefault="006367E4" w:rsidP="009F41EF">
            <w:pPr>
              <w:keepNext/>
              <w:widowControl w:val="0"/>
              <w:tabs>
                <w:tab w:val="clear" w:pos="567"/>
              </w:tabs>
              <w:spacing w:line="240" w:lineRule="auto"/>
              <w:ind w:left="284"/>
              <w:rPr>
                <w:rFonts w:eastAsia="MS Mincho"/>
              </w:rPr>
            </w:pPr>
            <w:r w:rsidRPr="009B1A37">
              <w:rPr>
                <w:rFonts w:eastAsia="MS Mincho"/>
              </w:rPr>
              <w:t>12</w:t>
            </w:r>
            <w:r w:rsidRPr="009B1A37">
              <w:rPr>
                <w:rFonts w:eastAsia="MS Mincho"/>
                <w:lang w:eastAsia="ja-JP"/>
              </w:rPr>
              <w:t> měsíců</w:t>
            </w:r>
          </w:p>
        </w:tc>
        <w:tc>
          <w:tcPr>
            <w:tcW w:w="3100" w:type="dxa"/>
            <w:shd w:val="clear" w:color="auto" w:fill="auto"/>
          </w:tcPr>
          <w:p w14:paraId="0E7C2878" w14:textId="77777777" w:rsidR="006367E4" w:rsidRPr="009B1A37" w:rsidRDefault="006367E4" w:rsidP="009F41EF">
            <w:pPr>
              <w:keepNext/>
              <w:widowControl w:val="0"/>
              <w:tabs>
                <w:tab w:val="clear" w:pos="567"/>
                <w:tab w:val="left" w:pos="284"/>
              </w:tabs>
              <w:spacing w:line="240" w:lineRule="auto"/>
              <w:rPr>
                <w:rFonts w:eastAsia="MS Mincho"/>
              </w:rPr>
            </w:pPr>
            <w:r w:rsidRPr="009B1A37">
              <w:rPr>
                <w:rFonts w:eastAsia="MS Mincho"/>
              </w:rPr>
              <w:t>93,7 (89,2</w:t>
            </w:r>
            <w:r w:rsidRPr="009B1A37">
              <w:rPr>
                <w:rFonts w:eastAsia="MS Mincho"/>
              </w:rPr>
              <w:noBreakHyphen/>
              <w:t>96,4)</w:t>
            </w:r>
          </w:p>
        </w:tc>
        <w:tc>
          <w:tcPr>
            <w:tcW w:w="3100" w:type="dxa"/>
            <w:shd w:val="clear" w:color="auto" w:fill="auto"/>
          </w:tcPr>
          <w:p w14:paraId="4C292ADB" w14:textId="77777777" w:rsidR="006367E4" w:rsidRPr="009B1A37" w:rsidRDefault="006367E4" w:rsidP="009F41EF">
            <w:pPr>
              <w:keepNext/>
              <w:widowControl w:val="0"/>
              <w:tabs>
                <w:tab w:val="clear" w:pos="567"/>
                <w:tab w:val="left" w:pos="284"/>
              </w:tabs>
              <w:spacing w:line="240" w:lineRule="auto"/>
              <w:rPr>
                <w:rFonts w:eastAsia="MS Mincho"/>
              </w:rPr>
            </w:pPr>
            <w:r w:rsidRPr="009B1A37">
              <w:rPr>
                <w:rFonts w:eastAsia="MS Mincho"/>
              </w:rPr>
              <w:t>95,9 (91,9</w:t>
            </w:r>
            <w:r w:rsidRPr="009B1A37">
              <w:rPr>
                <w:rFonts w:eastAsia="MS Mincho"/>
              </w:rPr>
              <w:noBreakHyphen/>
              <w:t>97,9)</w:t>
            </w:r>
          </w:p>
        </w:tc>
      </w:tr>
      <w:tr w:rsidR="006367E4" w:rsidRPr="009B1A37" w14:paraId="0B148EEC" w14:textId="77777777" w:rsidTr="009F41EF">
        <w:trPr>
          <w:cantSplit/>
        </w:trPr>
        <w:tc>
          <w:tcPr>
            <w:tcW w:w="3099" w:type="dxa"/>
            <w:shd w:val="clear" w:color="auto" w:fill="auto"/>
          </w:tcPr>
          <w:p w14:paraId="4971A7D4" w14:textId="77777777" w:rsidR="006367E4" w:rsidRPr="009B1A37" w:rsidRDefault="006367E4" w:rsidP="009F41EF">
            <w:pPr>
              <w:keepNext/>
              <w:widowControl w:val="0"/>
              <w:tabs>
                <w:tab w:val="clear" w:pos="567"/>
              </w:tabs>
              <w:spacing w:line="240" w:lineRule="auto"/>
              <w:ind w:left="284"/>
              <w:rPr>
                <w:rFonts w:eastAsia="MS Mincho"/>
              </w:rPr>
            </w:pPr>
            <w:r w:rsidRPr="009B1A37">
              <w:rPr>
                <w:rFonts w:eastAsia="MS Mincho"/>
              </w:rPr>
              <w:t>24</w:t>
            </w:r>
            <w:r w:rsidRPr="009B1A37">
              <w:rPr>
                <w:rFonts w:eastAsia="MS Mincho"/>
                <w:lang w:eastAsia="ja-JP"/>
              </w:rPr>
              <w:t> </w:t>
            </w:r>
            <w:r w:rsidRPr="009B1A37">
              <w:rPr>
                <w:rFonts w:eastAsia="MS Mincho"/>
              </w:rPr>
              <w:t>měsíců</w:t>
            </w:r>
          </w:p>
        </w:tc>
        <w:tc>
          <w:tcPr>
            <w:tcW w:w="3100" w:type="dxa"/>
            <w:shd w:val="clear" w:color="auto" w:fill="auto"/>
          </w:tcPr>
          <w:p w14:paraId="28404DE7" w14:textId="77777777" w:rsidR="006367E4" w:rsidRPr="009B1A37" w:rsidRDefault="006367E4" w:rsidP="009F41EF">
            <w:pPr>
              <w:keepNext/>
              <w:widowControl w:val="0"/>
              <w:tabs>
                <w:tab w:val="clear" w:pos="567"/>
                <w:tab w:val="left" w:pos="284"/>
              </w:tabs>
              <w:spacing w:line="240" w:lineRule="auto"/>
              <w:rPr>
                <w:rFonts w:eastAsia="MS Mincho"/>
              </w:rPr>
            </w:pPr>
            <w:r w:rsidRPr="009B1A37">
              <w:rPr>
                <w:rFonts w:eastAsia="MS Mincho"/>
              </w:rPr>
              <w:t>75,4 (68,6</w:t>
            </w:r>
            <w:r w:rsidRPr="009B1A37">
              <w:rPr>
                <w:rFonts w:eastAsia="MS Mincho"/>
              </w:rPr>
              <w:noBreakHyphen/>
              <w:t>81,0)</w:t>
            </w:r>
          </w:p>
        </w:tc>
        <w:tc>
          <w:tcPr>
            <w:tcW w:w="3100" w:type="dxa"/>
            <w:shd w:val="clear" w:color="auto" w:fill="auto"/>
          </w:tcPr>
          <w:p w14:paraId="45F9613F" w14:textId="77777777" w:rsidR="006367E4" w:rsidRPr="009B1A37" w:rsidRDefault="006367E4" w:rsidP="009F41EF">
            <w:pPr>
              <w:keepNext/>
              <w:widowControl w:val="0"/>
              <w:tabs>
                <w:tab w:val="clear" w:pos="567"/>
                <w:tab w:val="left" w:pos="284"/>
              </w:tabs>
              <w:spacing w:line="240" w:lineRule="auto"/>
              <w:rPr>
                <w:rFonts w:eastAsia="MS Mincho"/>
              </w:rPr>
            </w:pPr>
            <w:r w:rsidRPr="009B1A37">
              <w:rPr>
                <w:rFonts w:eastAsia="MS Mincho"/>
              </w:rPr>
              <w:t>90,7 (85,6</w:t>
            </w:r>
            <w:r w:rsidRPr="009B1A37">
              <w:rPr>
                <w:rFonts w:eastAsia="MS Mincho"/>
              </w:rPr>
              <w:noBreakHyphen/>
              <w:t>94</w:t>
            </w:r>
            <w:r w:rsidR="000E5517" w:rsidRPr="009B1A37">
              <w:rPr>
                <w:rFonts w:eastAsia="MS Mincho"/>
              </w:rPr>
              <w:t>,0</w:t>
            </w:r>
            <w:r w:rsidRPr="009B1A37">
              <w:rPr>
                <w:rFonts w:eastAsia="MS Mincho"/>
              </w:rPr>
              <w:t>)</w:t>
            </w:r>
          </w:p>
        </w:tc>
      </w:tr>
      <w:tr w:rsidR="006367E4" w:rsidRPr="009B1A37" w14:paraId="2F43B6F9" w14:textId="77777777" w:rsidTr="009F41EF">
        <w:trPr>
          <w:cantSplit/>
        </w:trPr>
        <w:tc>
          <w:tcPr>
            <w:tcW w:w="3099" w:type="dxa"/>
            <w:shd w:val="clear" w:color="auto" w:fill="auto"/>
          </w:tcPr>
          <w:p w14:paraId="2EBBAFD4" w14:textId="77777777" w:rsidR="006367E4" w:rsidRPr="009B1A37" w:rsidRDefault="006367E4" w:rsidP="009F41EF">
            <w:pPr>
              <w:keepNext/>
              <w:widowControl w:val="0"/>
              <w:tabs>
                <w:tab w:val="clear" w:pos="567"/>
              </w:tabs>
              <w:spacing w:line="240" w:lineRule="auto"/>
              <w:ind w:left="284"/>
              <w:rPr>
                <w:rFonts w:eastAsia="MS Mincho"/>
              </w:rPr>
            </w:pPr>
            <w:r w:rsidRPr="009B1A37">
              <w:rPr>
                <w:rFonts w:eastAsia="MS Mincho"/>
              </w:rPr>
              <w:t>36</w:t>
            </w:r>
            <w:r w:rsidRPr="009B1A37">
              <w:rPr>
                <w:rFonts w:eastAsia="MS Mincho"/>
                <w:lang w:eastAsia="ja-JP"/>
              </w:rPr>
              <w:t> </w:t>
            </w:r>
            <w:r w:rsidRPr="009B1A37">
              <w:rPr>
                <w:rFonts w:eastAsia="MS Mincho"/>
              </w:rPr>
              <w:t>měsíců</w:t>
            </w:r>
          </w:p>
        </w:tc>
        <w:tc>
          <w:tcPr>
            <w:tcW w:w="3100" w:type="dxa"/>
            <w:shd w:val="clear" w:color="auto" w:fill="auto"/>
          </w:tcPr>
          <w:p w14:paraId="7155256A" w14:textId="77777777" w:rsidR="006367E4" w:rsidRPr="009B1A37" w:rsidRDefault="006367E4" w:rsidP="009F41EF">
            <w:pPr>
              <w:keepNext/>
              <w:widowControl w:val="0"/>
              <w:tabs>
                <w:tab w:val="clear" w:pos="567"/>
                <w:tab w:val="left" w:pos="284"/>
              </w:tabs>
              <w:spacing w:line="240" w:lineRule="auto"/>
              <w:rPr>
                <w:rFonts w:eastAsia="MS Mincho"/>
              </w:rPr>
            </w:pPr>
            <w:r w:rsidRPr="009B1A37">
              <w:rPr>
                <w:rFonts w:eastAsia="MS Mincho"/>
              </w:rPr>
              <w:t>60,1 (52,5</w:t>
            </w:r>
            <w:r w:rsidRPr="009B1A37">
              <w:rPr>
                <w:rFonts w:eastAsia="MS Mincho"/>
              </w:rPr>
              <w:noBreakHyphen/>
              <w:t>66,9)</w:t>
            </w:r>
          </w:p>
        </w:tc>
        <w:tc>
          <w:tcPr>
            <w:tcW w:w="3100" w:type="dxa"/>
            <w:shd w:val="clear" w:color="auto" w:fill="auto"/>
          </w:tcPr>
          <w:p w14:paraId="6A8945B2" w14:textId="77777777" w:rsidR="006367E4" w:rsidRPr="009B1A37" w:rsidRDefault="006367E4" w:rsidP="009F41EF">
            <w:pPr>
              <w:keepNext/>
              <w:widowControl w:val="0"/>
              <w:tabs>
                <w:tab w:val="clear" w:pos="567"/>
                <w:tab w:val="left" w:pos="284"/>
              </w:tabs>
              <w:spacing w:line="240" w:lineRule="auto"/>
              <w:rPr>
                <w:rFonts w:eastAsia="MS Mincho"/>
              </w:rPr>
            </w:pPr>
            <w:r w:rsidRPr="009B1A37">
              <w:rPr>
                <w:rFonts w:eastAsia="MS Mincho"/>
              </w:rPr>
              <w:t>86,6 (80,8</w:t>
            </w:r>
            <w:r w:rsidRPr="009B1A37">
              <w:rPr>
                <w:rFonts w:eastAsia="MS Mincho"/>
              </w:rPr>
              <w:noBreakHyphen/>
              <w:t>90,8)</w:t>
            </w:r>
          </w:p>
        </w:tc>
      </w:tr>
      <w:tr w:rsidR="006367E4" w:rsidRPr="009B1A37" w14:paraId="10F93CFF" w14:textId="77777777" w:rsidTr="009F41EF">
        <w:trPr>
          <w:cantSplit/>
        </w:trPr>
        <w:tc>
          <w:tcPr>
            <w:tcW w:w="3099" w:type="dxa"/>
            <w:shd w:val="clear" w:color="auto" w:fill="auto"/>
          </w:tcPr>
          <w:p w14:paraId="53CF4B38" w14:textId="77777777" w:rsidR="006367E4" w:rsidRPr="009B1A37" w:rsidRDefault="006367E4" w:rsidP="009F41EF">
            <w:pPr>
              <w:keepNext/>
              <w:widowControl w:val="0"/>
              <w:tabs>
                <w:tab w:val="clear" w:pos="567"/>
              </w:tabs>
              <w:spacing w:line="240" w:lineRule="auto"/>
              <w:ind w:left="284"/>
              <w:rPr>
                <w:rFonts w:eastAsia="MS Mincho"/>
              </w:rPr>
            </w:pPr>
            <w:r w:rsidRPr="009B1A37">
              <w:rPr>
                <w:rFonts w:eastAsia="MS Mincho"/>
              </w:rPr>
              <w:t>48</w:t>
            </w:r>
            <w:r w:rsidRPr="009B1A37">
              <w:rPr>
                <w:rFonts w:eastAsia="MS Mincho"/>
                <w:lang w:eastAsia="ja-JP"/>
              </w:rPr>
              <w:t> </w:t>
            </w:r>
            <w:r w:rsidRPr="009B1A37">
              <w:rPr>
                <w:rFonts w:eastAsia="MS Mincho"/>
              </w:rPr>
              <w:t>měsíců</w:t>
            </w:r>
          </w:p>
        </w:tc>
        <w:tc>
          <w:tcPr>
            <w:tcW w:w="3100" w:type="dxa"/>
            <w:shd w:val="clear" w:color="auto" w:fill="auto"/>
          </w:tcPr>
          <w:p w14:paraId="5285783D" w14:textId="77777777" w:rsidR="006367E4" w:rsidRPr="009B1A37" w:rsidRDefault="006367E4" w:rsidP="009F41EF">
            <w:pPr>
              <w:keepNext/>
              <w:widowControl w:val="0"/>
              <w:tabs>
                <w:tab w:val="clear" w:pos="567"/>
                <w:tab w:val="left" w:pos="284"/>
              </w:tabs>
              <w:spacing w:line="240" w:lineRule="auto"/>
              <w:rPr>
                <w:rFonts w:eastAsia="MS Mincho"/>
              </w:rPr>
            </w:pPr>
            <w:r w:rsidRPr="009B1A37">
              <w:rPr>
                <w:rFonts w:eastAsia="MS Mincho"/>
              </w:rPr>
              <w:t>52,3 (44,0</w:t>
            </w:r>
            <w:r w:rsidRPr="009B1A37">
              <w:rPr>
                <w:rFonts w:eastAsia="MS Mincho"/>
              </w:rPr>
              <w:noBreakHyphen/>
              <w:t>59,8)</w:t>
            </w:r>
          </w:p>
        </w:tc>
        <w:tc>
          <w:tcPr>
            <w:tcW w:w="3100" w:type="dxa"/>
            <w:shd w:val="clear" w:color="auto" w:fill="auto"/>
          </w:tcPr>
          <w:p w14:paraId="65628E48" w14:textId="77777777" w:rsidR="006367E4" w:rsidRPr="009B1A37" w:rsidRDefault="006367E4" w:rsidP="009F41EF">
            <w:pPr>
              <w:keepNext/>
              <w:widowControl w:val="0"/>
              <w:tabs>
                <w:tab w:val="clear" w:pos="567"/>
                <w:tab w:val="left" w:pos="284"/>
              </w:tabs>
              <w:spacing w:line="240" w:lineRule="auto"/>
              <w:rPr>
                <w:rFonts w:eastAsia="MS Mincho"/>
              </w:rPr>
            </w:pPr>
            <w:r w:rsidRPr="009B1A37">
              <w:rPr>
                <w:rFonts w:eastAsia="MS Mincho"/>
              </w:rPr>
              <w:t>78,3 (70,8</w:t>
            </w:r>
            <w:r w:rsidRPr="009B1A37">
              <w:rPr>
                <w:rFonts w:eastAsia="MS Mincho"/>
              </w:rPr>
              <w:noBreakHyphen/>
              <w:t>84,1)</w:t>
            </w:r>
          </w:p>
        </w:tc>
      </w:tr>
      <w:tr w:rsidR="006367E4" w:rsidRPr="009B1A37" w14:paraId="72A3E7A3" w14:textId="77777777" w:rsidTr="009F41EF">
        <w:trPr>
          <w:cantSplit/>
        </w:trPr>
        <w:tc>
          <w:tcPr>
            <w:tcW w:w="3099" w:type="dxa"/>
            <w:shd w:val="clear" w:color="auto" w:fill="auto"/>
          </w:tcPr>
          <w:p w14:paraId="44A5B823" w14:textId="77777777" w:rsidR="006367E4" w:rsidRPr="009B1A37" w:rsidRDefault="006367E4" w:rsidP="009F41EF">
            <w:pPr>
              <w:keepNext/>
              <w:widowControl w:val="0"/>
              <w:tabs>
                <w:tab w:val="clear" w:pos="567"/>
              </w:tabs>
              <w:spacing w:line="240" w:lineRule="auto"/>
              <w:ind w:left="284"/>
              <w:rPr>
                <w:rFonts w:eastAsia="MS Mincho"/>
              </w:rPr>
            </w:pPr>
            <w:r w:rsidRPr="009B1A37">
              <w:rPr>
                <w:rFonts w:eastAsia="MS Mincho"/>
              </w:rPr>
              <w:t>60</w:t>
            </w:r>
            <w:r w:rsidRPr="009B1A37">
              <w:rPr>
                <w:rFonts w:eastAsia="MS Mincho"/>
                <w:lang w:eastAsia="ja-JP"/>
              </w:rPr>
              <w:t> </w:t>
            </w:r>
            <w:r w:rsidRPr="009B1A37">
              <w:rPr>
                <w:rFonts w:eastAsia="MS Mincho"/>
              </w:rPr>
              <w:t>měsíců</w:t>
            </w:r>
          </w:p>
        </w:tc>
        <w:tc>
          <w:tcPr>
            <w:tcW w:w="3100" w:type="dxa"/>
            <w:shd w:val="clear" w:color="auto" w:fill="auto"/>
          </w:tcPr>
          <w:p w14:paraId="2495E4B8" w14:textId="77777777" w:rsidR="006367E4" w:rsidRPr="009B1A37" w:rsidRDefault="006367E4" w:rsidP="009F41EF">
            <w:pPr>
              <w:keepNext/>
              <w:widowControl w:val="0"/>
              <w:tabs>
                <w:tab w:val="clear" w:pos="567"/>
                <w:tab w:val="left" w:pos="284"/>
              </w:tabs>
              <w:spacing w:line="240" w:lineRule="auto"/>
              <w:rPr>
                <w:rFonts w:eastAsia="MS Mincho"/>
              </w:rPr>
            </w:pPr>
            <w:r w:rsidRPr="009B1A37">
              <w:rPr>
                <w:rFonts w:eastAsia="MS Mincho"/>
              </w:rPr>
              <w:t>47,9 (39,0</w:t>
            </w:r>
            <w:r w:rsidRPr="009B1A37">
              <w:rPr>
                <w:rFonts w:eastAsia="MS Mincho"/>
              </w:rPr>
              <w:noBreakHyphen/>
              <w:t>56,3)</w:t>
            </w:r>
          </w:p>
        </w:tc>
        <w:tc>
          <w:tcPr>
            <w:tcW w:w="3100" w:type="dxa"/>
            <w:shd w:val="clear" w:color="auto" w:fill="auto"/>
          </w:tcPr>
          <w:p w14:paraId="25741DB1" w14:textId="77777777" w:rsidR="006367E4" w:rsidRPr="009B1A37" w:rsidRDefault="006367E4" w:rsidP="009F41EF">
            <w:pPr>
              <w:keepNext/>
              <w:widowControl w:val="0"/>
              <w:tabs>
                <w:tab w:val="clear" w:pos="567"/>
                <w:tab w:val="left" w:pos="284"/>
              </w:tabs>
              <w:spacing w:line="240" w:lineRule="auto"/>
              <w:rPr>
                <w:rFonts w:eastAsia="MS Mincho"/>
              </w:rPr>
            </w:pPr>
            <w:r w:rsidRPr="009B1A37">
              <w:rPr>
                <w:rFonts w:eastAsia="MS Mincho"/>
              </w:rPr>
              <w:t>65,6 (56,1</w:t>
            </w:r>
            <w:r w:rsidRPr="009B1A37">
              <w:rPr>
                <w:rFonts w:eastAsia="MS Mincho"/>
              </w:rPr>
              <w:noBreakHyphen/>
              <w:t>73,4)</w:t>
            </w:r>
          </w:p>
        </w:tc>
      </w:tr>
      <w:tr w:rsidR="006367E4" w:rsidRPr="009B1A37" w14:paraId="196F217E" w14:textId="77777777" w:rsidTr="009F41EF">
        <w:trPr>
          <w:cantSplit/>
        </w:trPr>
        <w:tc>
          <w:tcPr>
            <w:tcW w:w="3099" w:type="dxa"/>
            <w:shd w:val="clear" w:color="auto" w:fill="auto"/>
          </w:tcPr>
          <w:p w14:paraId="14FA5E57" w14:textId="77777777" w:rsidR="006367E4" w:rsidRPr="009B1A37" w:rsidRDefault="006367E4" w:rsidP="009F41EF">
            <w:pPr>
              <w:keepNext/>
              <w:widowControl w:val="0"/>
              <w:tabs>
                <w:tab w:val="clear" w:pos="567"/>
                <w:tab w:val="left" w:pos="284"/>
              </w:tabs>
              <w:spacing w:line="240" w:lineRule="auto"/>
              <w:rPr>
                <w:rFonts w:eastAsia="MS Mincho"/>
                <w:b/>
              </w:rPr>
            </w:pPr>
            <w:r w:rsidRPr="009B1A37">
              <w:rPr>
                <w:rFonts w:eastAsia="MS Mincho"/>
                <w:b/>
              </w:rPr>
              <w:t>Přežití</w:t>
            </w:r>
          </w:p>
        </w:tc>
        <w:tc>
          <w:tcPr>
            <w:tcW w:w="3100" w:type="dxa"/>
            <w:shd w:val="clear" w:color="auto" w:fill="auto"/>
          </w:tcPr>
          <w:p w14:paraId="6401E879" w14:textId="77777777" w:rsidR="006367E4" w:rsidRPr="009B1A37" w:rsidRDefault="006367E4" w:rsidP="009F41EF">
            <w:pPr>
              <w:keepNext/>
              <w:widowControl w:val="0"/>
              <w:tabs>
                <w:tab w:val="clear" w:pos="567"/>
                <w:tab w:val="left" w:pos="284"/>
              </w:tabs>
              <w:spacing w:line="240" w:lineRule="auto"/>
              <w:rPr>
                <w:rFonts w:eastAsia="MS Mincho"/>
              </w:rPr>
            </w:pPr>
          </w:p>
        </w:tc>
        <w:tc>
          <w:tcPr>
            <w:tcW w:w="3100" w:type="dxa"/>
            <w:shd w:val="clear" w:color="auto" w:fill="auto"/>
          </w:tcPr>
          <w:p w14:paraId="384064FD" w14:textId="77777777" w:rsidR="006367E4" w:rsidRPr="009B1A37" w:rsidRDefault="006367E4" w:rsidP="009F41EF">
            <w:pPr>
              <w:keepNext/>
              <w:widowControl w:val="0"/>
              <w:tabs>
                <w:tab w:val="clear" w:pos="567"/>
                <w:tab w:val="left" w:pos="284"/>
              </w:tabs>
              <w:spacing w:line="240" w:lineRule="auto"/>
              <w:rPr>
                <w:rFonts w:eastAsia="MS Mincho"/>
              </w:rPr>
            </w:pPr>
          </w:p>
        </w:tc>
      </w:tr>
      <w:tr w:rsidR="006367E4" w:rsidRPr="009B1A37" w14:paraId="4C42506B" w14:textId="77777777" w:rsidTr="009F41EF">
        <w:trPr>
          <w:cantSplit/>
        </w:trPr>
        <w:tc>
          <w:tcPr>
            <w:tcW w:w="3099" w:type="dxa"/>
            <w:shd w:val="clear" w:color="auto" w:fill="auto"/>
          </w:tcPr>
          <w:p w14:paraId="5764A19C" w14:textId="77777777" w:rsidR="006367E4" w:rsidRPr="009B1A37" w:rsidRDefault="006367E4" w:rsidP="009F41EF">
            <w:pPr>
              <w:keepNext/>
              <w:widowControl w:val="0"/>
              <w:tabs>
                <w:tab w:val="clear" w:pos="567"/>
              </w:tabs>
              <w:spacing w:line="240" w:lineRule="auto"/>
              <w:ind w:left="284"/>
              <w:rPr>
                <w:rFonts w:eastAsia="MS Mincho"/>
              </w:rPr>
            </w:pPr>
            <w:r w:rsidRPr="009B1A37">
              <w:rPr>
                <w:rFonts w:eastAsia="MS Mincho"/>
              </w:rPr>
              <w:t>36</w:t>
            </w:r>
            <w:r w:rsidRPr="009B1A37">
              <w:rPr>
                <w:rFonts w:eastAsia="MS Mincho"/>
                <w:lang w:eastAsia="ja-JP"/>
              </w:rPr>
              <w:t> </w:t>
            </w:r>
            <w:r w:rsidRPr="009B1A37">
              <w:rPr>
                <w:rFonts w:eastAsia="MS Mincho"/>
              </w:rPr>
              <w:t>měsíců</w:t>
            </w:r>
          </w:p>
        </w:tc>
        <w:tc>
          <w:tcPr>
            <w:tcW w:w="3100" w:type="dxa"/>
            <w:shd w:val="clear" w:color="auto" w:fill="auto"/>
          </w:tcPr>
          <w:p w14:paraId="4A98B869" w14:textId="77777777" w:rsidR="006367E4" w:rsidRPr="009B1A37" w:rsidRDefault="006367E4" w:rsidP="009F41EF">
            <w:pPr>
              <w:keepNext/>
              <w:widowControl w:val="0"/>
              <w:tabs>
                <w:tab w:val="clear" w:pos="567"/>
                <w:tab w:val="left" w:pos="284"/>
              </w:tabs>
              <w:spacing w:line="240" w:lineRule="auto"/>
              <w:rPr>
                <w:rFonts w:eastAsia="MS Mincho"/>
              </w:rPr>
            </w:pPr>
            <w:r w:rsidRPr="009B1A37">
              <w:rPr>
                <w:rFonts w:eastAsia="MS Mincho"/>
              </w:rPr>
              <w:t>94,0 (89,5</w:t>
            </w:r>
            <w:r w:rsidRPr="009B1A37">
              <w:rPr>
                <w:rFonts w:eastAsia="MS Mincho"/>
              </w:rPr>
              <w:noBreakHyphen/>
              <w:t>96,7)</w:t>
            </w:r>
          </w:p>
        </w:tc>
        <w:tc>
          <w:tcPr>
            <w:tcW w:w="3100" w:type="dxa"/>
            <w:shd w:val="clear" w:color="auto" w:fill="auto"/>
          </w:tcPr>
          <w:p w14:paraId="5FE76CB5" w14:textId="77777777" w:rsidR="006367E4" w:rsidRPr="009B1A37" w:rsidRDefault="006367E4" w:rsidP="009F41EF">
            <w:pPr>
              <w:keepNext/>
              <w:widowControl w:val="0"/>
              <w:tabs>
                <w:tab w:val="clear" w:pos="567"/>
                <w:tab w:val="left" w:pos="284"/>
              </w:tabs>
              <w:spacing w:line="240" w:lineRule="auto"/>
              <w:rPr>
                <w:rFonts w:eastAsia="MS Mincho"/>
              </w:rPr>
            </w:pPr>
            <w:r w:rsidRPr="009B1A37">
              <w:rPr>
                <w:rFonts w:eastAsia="MS Mincho"/>
              </w:rPr>
              <w:t>96,3 (92,4</w:t>
            </w:r>
            <w:r w:rsidRPr="009B1A37">
              <w:rPr>
                <w:rFonts w:eastAsia="MS Mincho"/>
              </w:rPr>
              <w:noBreakHyphen/>
              <w:t>98,2)</w:t>
            </w:r>
          </w:p>
        </w:tc>
      </w:tr>
      <w:tr w:rsidR="006367E4" w:rsidRPr="009B1A37" w14:paraId="09DF65E5" w14:textId="77777777" w:rsidTr="009F41EF">
        <w:trPr>
          <w:cantSplit/>
        </w:trPr>
        <w:tc>
          <w:tcPr>
            <w:tcW w:w="3099" w:type="dxa"/>
            <w:shd w:val="clear" w:color="auto" w:fill="auto"/>
          </w:tcPr>
          <w:p w14:paraId="2713EB98" w14:textId="77777777" w:rsidR="006367E4" w:rsidRPr="009B1A37" w:rsidRDefault="006367E4" w:rsidP="009F41EF">
            <w:pPr>
              <w:keepNext/>
              <w:widowControl w:val="0"/>
              <w:tabs>
                <w:tab w:val="clear" w:pos="567"/>
              </w:tabs>
              <w:spacing w:line="240" w:lineRule="auto"/>
              <w:ind w:left="284"/>
              <w:rPr>
                <w:rFonts w:eastAsia="MS Mincho"/>
              </w:rPr>
            </w:pPr>
            <w:r w:rsidRPr="009B1A37">
              <w:rPr>
                <w:rFonts w:eastAsia="MS Mincho"/>
              </w:rPr>
              <w:t>48</w:t>
            </w:r>
            <w:r w:rsidRPr="009B1A37">
              <w:rPr>
                <w:rFonts w:eastAsia="MS Mincho"/>
                <w:lang w:eastAsia="ja-JP"/>
              </w:rPr>
              <w:t> </w:t>
            </w:r>
            <w:r w:rsidRPr="009B1A37">
              <w:rPr>
                <w:rFonts w:eastAsia="MS Mincho"/>
              </w:rPr>
              <w:t>měsícůs</w:t>
            </w:r>
          </w:p>
        </w:tc>
        <w:tc>
          <w:tcPr>
            <w:tcW w:w="3100" w:type="dxa"/>
            <w:shd w:val="clear" w:color="auto" w:fill="auto"/>
          </w:tcPr>
          <w:p w14:paraId="4241EE13" w14:textId="77777777" w:rsidR="006367E4" w:rsidRPr="009B1A37" w:rsidRDefault="006367E4" w:rsidP="009F41EF">
            <w:pPr>
              <w:keepNext/>
              <w:widowControl w:val="0"/>
              <w:tabs>
                <w:tab w:val="clear" w:pos="567"/>
                <w:tab w:val="left" w:pos="284"/>
              </w:tabs>
              <w:spacing w:line="240" w:lineRule="auto"/>
              <w:rPr>
                <w:rFonts w:eastAsia="MS Mincho"/>
              </w:rPr>
            </w:pPr>
            <w:r w:rsidRPr="009B1A37">
              <w:rPr>
                <w:rFonts w:eastAsia="MS Mincho"/>
              </w:rPr>
              <w:t>87,9 (81,1</w:t>
            </w:r>
            <w:r w:rsidRPr="009B1A37">
              <w:rPr>
                <w:rFonts w:eastAsia="MS Mincho"/>
              </w:rPr>
              <w:noBreakHyphen/>
              <w:t>92,3)</w:t>
            </w:r>
          </w:p>
        </w:tc>
        <w:tc>
          <w:tcPr>
            <w:tcW w:w="3100" w:type="dxa"/>
            <w:shd w:val="clear" w:color="auto" w:fill="auto"/>
          </w:tcPr>
          <w:p w14:paraId="76573028" w14:textId="77777777" w:rsidR="006367E4" w:rsidRPr="009B1A37" w:rsidRDefault="006367E4" w:rsidP="009F41EF">
            <w:pPr>
              <w:keepNext/>
              <w:widowControl w:val="0"/>
              <w:tabs>
                <w:tab w:val="clear" w:pos="567"/>
                <w:tab w:val="left" w:pos="284"/>
              </w:tabs>
              <w:spacing w:line="240" w:lineRule="auto"/>
              <w:rPr>
                <w:rFonts w:eastAsia="MS Mincho"/>
              </w:rPr>
            </w:pPr>
            <w:r w:rsidRPr="009B1A37">
              <w:rPr>
                <w:rFonts w:eastAsia="MS Mincho"/>
              </w:rPr>
              <w:t>95,6 (91,2</w:t>
            </w:r>
            <w:r w:rsidRPr="009B1A37">
              <w:rPr>
                <w:rFonts w:eastAsia="MS Mincho"/>
              </w:rPr>
              <w:noBreakHyphen/>
              <w:t>97,8)</w:t>
            </w:r>
          </w:p>
        </w:tc>
      </w:tr>
      <w:tr w:rsidR="006367E4" w:rsidRPr="009B1A37" w14:paraId="5FF464D8" w14:textId="77777777" w:rsidTr="009F41EF">
        <w:trPr>
          <w:cantSplit/>
        </w:trPr>
        <w:tc>
          <w:tcPr>
            <w:tcW w:w="3099" w:type="dxa"/>
            <w:shd w:val="clear" w:color="auto" w:fill="auto"/>
          </w:tcPr>
          <w:p w14:paraId="5A54C34E" w14:textId="77777777" w:rsidR="006367E4" w:rsidRPr="009B1A37" w:rsidRDefault="006367E4" w:rsidP="009F41EF">
            <w:pPr>
              <w:widowControl w:val="0"/>
              <w:tabs>
                <w:tab w:val="clear" w:pos="567"/>
              </w:tabs>
              <w:spacing w:line="240" w:lineRule="auto"/>
              <w:ind w:left="284"/>
              <w:rPr>
                <w:rFonts w:eastAsia="MS Mincho"/>
              </w:rPr>
            </w:pPr>
            <w:r w:rsidRPr="009B1A37">
              <w:rPr>
                <w:rFonts w:eastAsia="MS Mincho"/>
              </w:rPr>
              <w:t>60</w:t>
            </w:r>
            <w:r w:rsidRPr="009B1A37">
              <w:rPr>
                <w:rFonts w:eastAsia="MS Mincho"/>
                <w:lang w:eastAsia="ja-JP"/>
              </w:rPr>
              <w:t> měsíců</w:t>
            </w:r>
          </w:p>
        </w:tc>
        <w:tc>
          <w:tcPr>
            <w:tcW w:w="3100" w:type="dxa"/>
            <w:shd w:val="clear" w:color="auto" w:fill="auto"/>
          </w:tcPr>
          <w:p w14:paraId="00D55B43" w14:textId="77777777" w:rsidR="006367E4" w:rsidRPr="009B1A37" w:rsidRDefault="006367E4" w:rsidP="009F41EF">
            <w:pPr>
              <w:widowControl w:val="0"/>
              <w:tabs>
                <w:tab w:val="clear" w:pos="567"/>
                <w:tab w:val="left" w:pos="284"/>
              </w:tabs>
              <w:spacing w:line="240" w:lineRule="auto"/>
              <w:rPr>
                <w:rFonts w:eastAsia="MS Mincho"/>
              </w:rPr>
            </w:pPr>
            <w:r w:rsidRPr="009B1A37">
              <w:rPr>
                <w:rFonts w:eastAsia="MS Mincho"/>
              </w:rPr>
              <w:t>81,7 (73,0</w:t>
            </w:r>
            <w:r w:rsidRPr="009B1A37">
              <w:rPr>
                <w:rFonts w:eastAsia="MS Mincho"/>
              </w:rPr>
              <w:noBreakHyphen/>
              <w:t>87,8)</w:t>
            </w:r>
          </w:p>
        </w:tc>
        <w:tc>
          <w:tcPr>
            <w:tcW w:w="3100" w:type="dxa"/>
            <w:shd w:val="clear" w:color="auto" w:fill="auto"/>
          </w:tcPr>
          <w:p w14:paraId="141AB73D" w14:textId="77777777" w:rsidR="006367E4" w:rsidRPr="009B1A37" w:rsidRDefault="006367E4" w:rsidP="009F41EF">
            <w:pPr>
              <w:widowControl w:val="0"/>
              <w:tabs>
                <w:tab w:val="clear" w:pos="567"/>
                <w:tab w:val="left" w:pos="284"/>
              </w:tabs>
              <w:spacing w:line="240" w:lineRule="auto"/>
              <w:rPr>
                <w:rFonts w:eastAsia="MS Mincho"/>
              </w:rPr>
            </w:pPr>
            <w:r w:rsidRPr="009B1A37">
              <w:rPr>
                <w:rFonts w:eastAsia="MS Mincho"/>
              </w:rPr>
              <w:t>92,0 (85,3</w:t>
            </w:r>
            <w:r w:rsidRPr="009B1A37">
              <w:rPr>
                <w:rFonts w:eastAsia="MS Mincho"/>
              </w:rPr>
              <w:noBreakHyphen/>
              <w:t>95,7)</w:t>
            </w:r>
          </w:p>
        </w:tc>
      </w:tr>
    </w:tbl>
    <w:p w14:paraId="3DCD94F6" w14:textId="77777777" w:rsidR="006367E4" w:rsidRPr="009B1A37" w:rsidRDefault="006367E4" w:rsidP="00BE3D48">
      <w:pPr>
        <w:widowControl w:val="0"/>
        <w:tabs>
          <w:tab w:val="clear" w:pos="567"/>
        </w:tabs>
        <w:spacing w:line="240" w:lineRule="auto"/>
        <w:rPr>
          <w:rFonts w:eastAsia="MS Mincho"/>
        </w:rPr>
      </w:pPr>
    </w:p>
    <w:p w14:paraId="12D88579" w14:textId="77777777" w:rsidR="006367E4" w:rsidRPr="009B1A37" w:rsidRDefault="001B24B9" w:rsidP="00BE3D48">
      <w:pPr>
        <w:keepNext/>
        <w:keepLines/>
        <w:widowControl w:val="0"/>
        <w:tabs>
          <w:tab w:val="clear" w:pos="567"/>
          <w:tab w:val="left" w:pos="1134"/>
        </w:tabs>
        <w:spacing w:line="240" w:lineRule="auto"/>
        <w:ind w:left="1134" w:hanging="1134"/>
        <w:outlineLvl w:val="6"/>
        <w:rPr>
          <w:rFonts w:eastAsia="MS Mincho"/>
          <w:b/>
        </w:rPr>
      </w:pPr>
      <w:r w:rsidRPr="009B1A37">
        <w:rPr>
          <w:rFonts w:eastAsia="MS Mincho"/>
          <w:noProof/>
          <w:lang w:val="en-GB" w:eastAsia="en-GB"/>
        </w:rPr>
        <mc:AlternateContent>
          <mc:Choice Requires="wps">
            <w:drawing>
              <wp:anchor distT="0" distB="0" distL="114300" distR="114300" simplePos="0" relativeHeight="251652096" behindDoc="0" locked="0" layoutInCell="1" allowOverlap="1" wp14:anchorId="1631108E" wp14:editId="7354D446">
                <wp:simplePos x="0" y="0"/>
                <wp:positionH relativeFrom="column">
                  <wp:posOffset>-282575</wp:posOffset>
                </wp:positionH>
                <wp:positionV relativeFrom="paragraph">
                  <wp:posOffset>107315</wp:posOffset>
                </wp:positionV>
                <wp:extent cx="335915" cy="29464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946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E01960" w14:textId="77777777" w:rsidR="00897AA8" w:rsidRPr="00A33DBA" w:rsidRDefault="00897AA8" w:rsidP="00112FBD">
                            <w:pPr>
                              <w:rPr>
                                <w:rFonts w:ascii="Arial" w:hAnsi="Arial" w:cs="Arial"/>
                                <w:sz w:val="20"/>
                                <w:szCs w:val="20"/>
                              </w:rPr>
                            </w:pPr>
                            <w:r>
                              <w:rPr>
                                <w:rFonts w:ascii="Arial" w:hAnsi="Arial" w:cs="Arial"/>
                                <w:sz w:val="20"/>
                                <w:szCs w:val="20"/>
                              </w:rPr>
                              <w:t>Pravděpodobnost přežití bez návratu onemocnění</w:t>
                            </w:r>
                          </w:p>
                          <w:p w14:paraId="063A485A" w14:textId="77777777" w:rsidR="00897AA8" w:rsidRPr="00A33DBA" w:rsidRDefault="00897AA8" w:rsidP="006367E4">
                            <w:pPr>
                              <w:rPr>
                                <w:rFonts w:ascii="Arial" w:hAnsi="Arial" w:cs="Arial"/>
                                <w:sz w:val="20"/>
                                <w:szCs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31108E" id="_x0000_t202" coordsize="21600,21600" o:spt="202" path="m,l,21600r21600,l21600,xe">
                <v:stroke joinstyle="miter"/>
                <v:path gradientshapeok="t" o:connecttype="rect"/>
              </v:shapetype>
              <v:shape id="Text Box 2" o:spid="_x0000_s1026" type="#_x0000_t202" style="position:absolute;left:0;text-align:left;margin-left:-22.25pt;margin-top:8.45pt;width:26.45pt;height:23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" stroked="f">
                <v:fill opacity="0"/>
                <v:textbox style="layout-flow:vertical;mso-layout-flow-alt:bottom-to-top">
                  <w:txbxContent>
                    <w:p w14:paraId="4EE01960" w14:textId="77777777" w:rsidR="00897AA8" w:rsidRPr="00A33DBA" w:rsidRDefault="00897AA8" w:rsidP="00112FBD">
                      <w:pPr>
                        <w:rPr>
                          <w:rFonts w:ascii="Arial" w:hAnsi="Arial" w:cs="Arial"/>
                          <w:sz w:val="20"/>
                          <w:szCs w:val="20"/>
                        </w:rPr>
                      </w:pPr>
                      <w:r>
                        <w:rPr>
                          <w:rFonts w:ascii="Arial" w:hAnsi="Arial" w:cs="Arial"/>
                          <w:sz w:val="20"/>
                          <w:szCs w:val="20"/>
                        </w:rPr>
                        <w:t>Pravděpodobnost přežití bez návratu onemocnění</w:t>
                      </w:r>
                    </w:p>
                    <w:p w14:paraId="063A485A" w14:textId="77777777" w:rsidR="00897AA8" w:rsidRPr="00A33DBA" w:rsidRDefault="00897AA8" w:rsidP="006367E4">
                      <w:pPr>
                        <w:rPr>
                          <w:rFonts w:ascii="Arial" w:hAnsi="Arial" w:cs="Arial"/>
                          <w:sz w:val="20"/>
                          <w:szCs w:val="20"/>
                        </w:rPr>
                      </w:pPr>
                    </w:p>
                  </w:txbxContent>
                </v:textbox>
              </v:shape>
            </w:pict>
          </mc:Fallback>
        </mc:AlternateContent>
      </w:r>
      <w:r w:rsidR="006367E4" w:rsidRPr="009B1A37">
        <w:rPr>
          <w:rFonts w:eastAsia="MS Mincho"/>
          <w:b/>
        </w:rPr>
        <w:t>Obrázek 1</w:t>
      </w:r>
      <w:r w:rsidR="006367E4" w:rsidRPr="009B1A37">
        <w:rPr>
          <w:rFonts w:eastAsia="MS Mincho"/>
          <w:b/>
        </w:rPr>
        <w:tab/>
        <w:t>Odhad primárního přežití bez návratu onemocnění podle Kaplan-Meiera (ITT populace)</w:t>
      </w:r>
    </w:p>
    <w:p w14:paraId="17854036" w14:textId="77777777" w:rsidR="006367E4" w:rsidRPr="009B1A37" w:rsidRDefault="006367E4" w:rsidP="00BE3D48">
      <w:pPr>
        <w:keepNext/>
        <w:keepLines/>
        <w:widowControl w:val="0"/>
        <w:tabs>
          <w:tab w:val="clear" w:pos="567"/>
        </w:tabs>
        <w:spacing w:line="240" w:lineRule="auto"/>
        <w:rPr>
          <w:rFonts w:eastAsia="MS Mincho"/>
        </w:rPr>
      </w:pPr>
    </w:p>
    <w:p w14:paraId="6DFD1581" w14:textId="77777777" w:rsidR="006367E4" w:rsidRPr="009B1A37" w:rsidRDefault="001B24B9" w:rsidP="00BE3D48">
      <w:pPr>
        <w:keepNext/>
        <w:keepLines/>
        <w:widowControl w:val="0"/>
        <w:tabs>
          <w:tab w:val="clear" w:pos="567"/>
        </w:tabs>
        <w:spacing w:line="240" w:lineRule="auto"/>
        <w:rPr>
          <w:rFonts w:eastAsia="MS Mincho"/>
        </w:rPr>
      </w:pPr>
      <w:r w:rsidRPr="009B1A37">
        <w:rPr>
          <w:rFonts w:eastAsia="MS Mincho"/>
          <w:noProof/>
          <w:lang w:val="en-GB" w:eastAsia="en-GB"/>
        </w:rPr>
        <mc:AlternateContent>
          <mc:Choice Requires="wps">
            <w:drawing>
              <wp:anchor distT="0" distB="0" distL="114300" distR="114300" simplePos="0" relativeHeight="251653120" behindDoc="0" locked="0" layoutInCell="1" allowOverlap="1" wp14:anchorId="18608694" wp14:editId="4A17AD10">
                <wp:simplePos x="0" y="0"/>
                <wp:positionH relativeFrom="column">
                  <wp:posOffset>342265</wp:posOffset>
                </wp:positionH>
                <wp:positionV relativeFrom="paragraph">
                  <wp:posOffset>1178560</wp:posOffset>
                </wp:positionV>
                <wp:extent cx="4585335" cy="126682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26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851"/>
                              <w:gridCol w:w="709"/>
                              <w:gridCol w:w="850"/>
                            </w:tblGrid>
                            <w:tr w:rsidR="00897AA8" w:rsidRPr="0055776F" w14:paraId="1CD233FE" w14:textId="77777777">
                              <w:trPr>
                                <w:gridAfter w:val="3"/>
                                <w:wAfter w:w="2410" w:type="dxa"/>
                              </w:trPr>
                              <w:tc>
                                <w:tcPr>
                                  <w:tcW w:w="3281" w:type="dxa"/>
                                  <w:gridSpan w:val="2"/>
                                  <w:shd w:val="clear" w:color="auto" w:fill="auto"/>
                                </w:tcPr>
                                <w:p w14:paraId="7A1A1C39" w14:textId="77777777" w:rsidR="00897AA8" w:rsidRPr="0055776F" w:rsidRDefault="00897AA8" w:rsidP="00D2009B">
                                  <w:pPr>
                                    <w:rPr>
                                      <w:rFonts w:ascii="Arial" w:hAnsi="Arial" w:cs="Arial"/>
                                      <w:sz w:val="20"/>
                                    </w:rPr>
                                  </w:pPr>
                                  <w:r>
                                    <w:rPr>
                                      <w:rFonts w:ascii="Arial" w:hAnsi="Arial" w:cs="Arial"/>
                                      <w:sz w:val="20"/>
                                    </w:rPr>
                                    <w:t>P &lt; 0,0001</w:t>
                                  </w:r>
                                </w:p>
                                <w:p w14:paraId="56B9A2D4" w14:textId="77777777" w:rsidR="00897AA8" w:rsidRPr="0055776F" w:rsidRDefault="00897AA8" w:rsidP="00D2009B">
                                  <w:pPr>
                                    <w:rPr>
                                      <w:rFonts w:ascii="Arial" w:hAnsi="Arial" w:cs="Arial"/>
                                      <w:sz w:val="20"/>
                                    </w:rPr>
                                  </w:pPr>
                                  <w:r>
                                    <w:rPr>
                                      <w:rFonts w:ascii="Arial" w:hAnsi="Arial" w:cs="Arial"/>
                                      <w:sz w:val="20"/>
                                      <w:szCs w:val="20"/>
                                    </w:rPr>
                                    <w:t>Poměr rizik</w:t>
                                  </w:r>
                                  <w:r>
                                    <w:rPr>
                                      <w:rFonts w:ascii="Arial" w:hAnsi="Arial" w:cs="Arial"/>
                                      <w:sz w:val="20"/>
                                    </w:rPr>
                                    <w:t xml:space="preserve"> 0,</w:t>
                                  </w:r>
                                  <w:r w:rsidRPr="0055776F">
                                    <w:rPr>
                                      <w:rFonts w:ascii="Arial" w:hAnsi="Arial" w:cs="Arial"/>
                                      <w:sz w:val="20"/>
                                    </w:rPr>
                                    <w:t>4</w:t>
                                  </w:r>
                                  <w:r>
                                    <w:rPr>
                                      <w:rFonts w:ascii="Arial" w:hAnsi="Arial" w:cs="Arial"/>
                                      <w:sz w:val="20"/>
                                    </w:rPr>
                                    <w:t>6</w:t>
                                  </w:r>
                                </w:p>
                                <w:p w14:paraId="2AA87D0D" w14:textId="77777777" w:rsidR="00897AA8" w:rsidRPr="0055776F" w:rsidRDefault="00897AA8" w:rsidP="00D2009B">
                                  <w:pPr>
                                    <w:rPr>
                                      <w:rFonts w:ascii="Arial" w:hAnsi="Arial" w:cs="Arial"/>
                                      <w:sz w:val="20"/>
                                      <w:lang w:val="de-DE"/>
                                    </w:rPr>
                                  </w:pPr>
                                  <w:r>
                                    <w:rPr>
                                      <w:rFonts w:ascii="Arial" w:hAnsi="Arial" w:cs="Arial"/>
                                      <w:sz w:val="20"/>
                                    </w:rPr>
                                    <w:t>(95% Cl,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897AA8" w:rsidRPr="00212166" w14:paraId="42FB8011" w14:textId="77777777">
                              <w:tc>
                                <w:tcPr>
                                  <w:tcW w:w="817" w:type="dxa"/>
                                  <w:shd w:val="clear" w:color="auto" w:fill="auto"/>
                                </w:tcPr>
                                <w:p w14:paraId="472149B3" w14:textId="77777777" w:rsidR="00897AA8" w:rsidRPr="00212166" w:rsidRDefault="00897AA8" w:rsidP="007B7F7F">
                                  <w:pPr>
                                    <w:rPr>
                                      <w:rFonts w:ascii="Arial" w:hAnsi="Arial" w:cs="Arial"/>
                                      <w:sz w:val="20"/>
                                      <w:szCs w:val="20"/>
                                    </w:rPr>
                                  </w:pPr>
                                </w:p>
                              </w:tc>
                              <w:tc>
                                <w:tcPr>
                                  <w:tcW w:w="2464" w:type="dxa"/>
                                  <w:shd w:val="clear" w:color="auto" w:fill="auto"/>
                                </w:tcPr>
                                <w:p w14:paraId="63153B3B" w14:textId="77777777" w:rsidR="00897AA8" w:rsidRPr="00212166" w:rsidRDefault="00897AA8" w:rsidP="007B7F7F">
                                  <w:pPr>
                                    <w:rPr>
                                      <w:rFonts w:ascii="Arial" w:hAnsi="Arial" w:cs="Arial"/>
                                      <w:sz w:val="20"/>
                                      <w:szCs w:val="20"/>
                                    </w:rPr>
                                  </w:pPr>
                                </w:p>
                              </w:tc>
                              <w:tc>
                                <w:tcPr>
                                  <w:tcW w:w="851" w:type="dxa"/>
                                  <w:tcBorders>
                                    <w:bottom w:val="single" w:sz="4" w:space="0" w:color="auto"/>
                                  </w:tcBorders>
                                  <w:shd w:val="clear" w:color="auto" w:fill="auto"/>
                                </w:tcPr>
                                <w:p w14:paraId="408E3328" w14:textId="77777777" w:rsidR="00897AA8" w:rsidRPr="00212166" w:rsidRDefault="00897AA8" w:rsidP="0008276E">
                                  <w:pPr>
                                    <w:rPr>
                                      <w:rFonts w:ascii="Arial" w:hAnsi="Arial" w:cs="Arial"/>
                                      <w:sz w:val="20"/>
                                      <w:szCs w:val="20"/>
                                    </w:rPr>
                                  </w:pPr>
                                  <w:r w:rsidRPr="00212166">
                                    <w:rPr>
                                      <w:rFonts w:ascii="Arial" w:hAnsi="Arial" w:cs="Arial"/>
                                      <w:sz w:val="20"/>
                                      <w:szCs w:val="20"/>
                                      <w:lang w:val="de-DE"/>
                                    </w:rPr>
                                    <w:t>n</w:t>
                                  </w:r>
                                </w:p>
                              </w:tc>
                              <w:tc>
                                <w:tcPr>
                                  <w:tcW w:w="709" w:type="dxa"/>
                                  <w:tcBorders>
                                    <w:bottom w:val="single" w:sz="4" w:space="0" w:color="auto"/>
                                  </w:tcBorders>
                                  <w:shd w:val="clear" w:color="auto" w:fill="auto"/>
                                </w:tcPr>
                                <w:p w14:paraId="2A4D4E83" w14:textId="77777777" w:rsidR="00897AA8" w:rsidRPr="00212166" w:rsidRDefault="00897AA8" w:rsidP="007B7F7F">
                                  <w:pPr>
                                    <w:rPr>
                                      <w:rFonts w:ascii="Arial" w:hAnsi="Arial" w:cs="Arial"/>
                                      <w:sz w:val="20"/>
                                      <w:szCs w:val="20"/>
                                    </w:rPr>
                                  </w:pPr>
                                  <w:r w:rsidRPr="00212166">
                                    <w:rPr>
                                      <w:rFonts w:ascii="Arial" w:hAnsi="Arial" w:cs="Arial"/>
                                      <w:sz w:val="20"/>
                                      <w:szCs w:val="20"/>
                                      <w:lang w:val="it-IT"/>
                                    </w:rPr>
                                    <w:t>Udál.</w:t>
                                  </w:r>
                                </w:p>
                              </w:tc>
                              <w:tc>
                                <w:tcPr>
                                  <w:tcW w:w="850" w:type="dxa"/>
                                  <w:tcBorders>
                                    <w:bottom w:val="single" w:sz="4" w:space="0" w:color="auto"/>
                                  </w:tcBorders>
                                  <w:shd w:val="clear" w:color="auto" w:fill="auto"/>
                                </w:tcPr>
                                <w:p w14:paraId="72C9CE47" w14:textId="77777777" w:rsidR="00897AA8" w:rsidRPr="00212166" w:rsidRDefault="00897AA8" w:rsidP="007B7F7F">
                                  <w:pPr>
                                    <w:rPr>
                                      <w:rFonts w:ascii="Arial" w:hAnsi="Arial" w:cs="Arial"/>
                                      <w:sz w:val="20"/>
                                      <w:szCs w:val="20"/>
                                    </w:rPr>
                                  </w:pPr>
                                  <w:r w:rsidRPr="00212166">
                                    <w:rPr>
                                      <w:rFonts w:ascii="Arial" w:hAnsi="Arial" w:cs="Arial"/>
                                      <w:sz w:val="20"/>
                                      <w:szCs w:val="20"/>
                                      <w:lang w:val="it-IT"/>
                                    </w:rPr>
                                    <w:t>Cen.</w:t>
                                  </w:r>
                                </w:p>
                              </w:tc>
                            </w:tr>
                            <w:tr w:rsidR="00897AA8" w:rsidRPr="0055776F" w14:paraId="7ED3588C" w14:textId="77777777">
                              <w:tc>
                                <w:tcPr>
                                  <w:tcW w:w="817" w:type="dxa"/>
                                  <w:shd w:val="clear" w:color="auto" w:fill="auto"/>
                                </w:tcPr>
                                <w:p w14:paraId="456CD2D5" w14:textId="77777777" w:rsidR="00897AA8" w:rsidRPr="0055776F" w:rsidRDefault="00897AA8" w:rsidP="007B7F7F">
                                  <w:pPr>
                                    <w:rPr>
                                      <w:rFonts w:ascii="Arial" w:hAnsi="Arial" w:cs="Arial"/>
                                      <w:sz w:val="20"/>
                                      <w:szCs w:val="20"/>
                                    </w:rPr>
                                  </w:pPr>
                                  <w:r w:rsidRPr="0055776F">
                                    <w:rPr>
                                      <w:rFonts w:ascii="Arial" w:hAnsi="Arial" w:cs="Arial"/>
                                      <w:b/>
                                      <w:sz w:val="20"/>
                                      <w:szCs w:val="20"/>
                                    </w:rPr>
                                    <w:t>——</w:t>
                                  </w:r>
                                </w:p>
                              </w:tc>
                              <w:tc>
                                <w:tcPr>
                                  <w:tcW w:w="2464" w:type="dxa"/>
                                  <w:shd w:val="clear" w:color="auto" w:fill="auto"/>
                                </w:tcPr>
                                <w:p w14:paraId="7AE11A3B" w14:textId="77777777" w:rsidR="00897AA8" w:rsidRPr="0055776F" w:rsidRDefault="00897AA8" w:rsidP="000E5517">
                                  <w:pPr>
                                    <w:rPr>
                                      <w:rFonts w:ascii="Arial" w:hAnsi="Arial" w:cs="Arial"/>
                                      <w:sz w:val="20"/>
                                      <w:szCs w:val="20"/>
                                    </w:rPr>
                                  </w:pPr>
                                  <w:r>
                                    <w:rPr>
                                      <w:rFonts w:ascii="Arial" w:hAnsi="Arial" w:cs="Arial"/>
                                      <w:sz w:val="20"/>
                                      <w:szCs w:val="20"/>
                                    </w:rPr>
                                    <w:t>(1) Imatinib 12 měsíců</w:t>
                                  </w:r>
                                  <w:r w:rsidRPr="00A33DBA">
                                    <w:rPr>
                                      <w:rFonts w:ascii="Arial" w:hAnsi="Arial" w:cs="Arial"/>
                                      <w:sz w:val="20"/>
                                      <w:szCs w:val="20"/>
                                    </w:rPr>
                                    <w:t>:</w:t>
                                  </w:r>
                                </w:p>
                              </w:tc>
                              <w:tc>
                                <w:tcPr>
                                  <w:tcW w:w="851" w:type="dxa"/>
                                  <w:tcBorders>
                                    <w:top w:val="single" w:sz="4" w:space="0" w:color="auto"/>
                                  </w:tcBorders>
                                  <w:shd w:val="clear" w:color="auto" w:fill="auto"/>
                                </w:tcPr>
                                <w:p w14:paraId="28B83602" w14:textId="77777777" w:rsidR="00897AA8" w:rsidRPr="0055776F" w:rsidRDefault="00897AA8" w:rsidP="007B7F7F">
                                  <w:pPr>
                                    <w:rPr>
                                      <w:rFonts w:ascii="Arial" w:hAnsi="Arial" w:cs="Arial"/>
                                      <w:sz w:val="20"/>
                                      <w:szCs w:val="20"/>
                                    </w:rPr>
                                  </w:pPr>
                                  <w:r w:rsidRPr="0055776F">
                                    <w:rPr>
                                      <w:rFonts w:ascii="Arial" w:hAnsi="Arial" w:cs="Arial"/>
                                      <w:sz w:val="20"/>
                                      <w:szCs w:val="20"/>
                                    </w:rPr>
                                    <w:t>199</w:t>
                                  </w:r>
                                </w:p>
                              </w:tc>
                              <w:tc>
                                <w:tcPr>
                                  <w:tcW w:w="709" w:type="dxa"/>
                                  <w:tcBorders>
                                    <w:top w:val="single" w:sz="4" w:space="0" w:color="auto"/>
                                  </w:tcBorders>
                                  <w:shd w:val="clear" w:color="auto" w:fill="auto"/>
                                </w:tcPr>
                                <w:p w14:paraId="3DFCA5D8" w14:textId="77777777" w:rsidR="00897AA8" w:rsidRPr="0055776F" w:rsidRDefault="00897AA8" w:rsidP="007B7F7F">
                                  <w:pPr>
                                    <w:rPr>
                                      <w:rFonts w:ascii="Arial" w:hAnsi="Arial" w:cs="Arial"/>
                                      <w:sz w:val="20"/>
                                      <w:szCs w:val="20"/>
                                    </w:rPr>
                                  </w:pPr>
                                  <w:r w:rsidRPr="0055776F">
                                    <w:rPr>
                                      <w:rFonts w:ascii="Arial" w:hAnsi="Arial" w:cs="Arial"/>
                                      <w:sz w:val="20"/>
                                      <w:szCs w:val="20"/>
                                    </w:rPr>
                                    <w:t>84</w:t>
                                  </w:r>
                                </w:p>
                              </w:tc>
                              <w:tc>
                                <w:tcPr>
                                  <w:tcW w:w="850" w:type="dxa"/>
                                  <w:tcBorders>
                                    <w:top w:val="single" w:sz="4" w:space="0" w:color="auto"/>
                                  </w:tcBorders>
                                  <w:shd w:val="clear" w:color="auto" w:fill="auto"/>
                                </w:tcPr>
                                <w:p w14:paraId="20733560" w14:textId="77777777" w:rsidR="00897AA8" w:rsidRPr="0055776F" w:rsidRDefault="00897AA8" w:rsidP="007B7F7F">
                                  <w:pPr>
                                    <w:rPr>
                                      <w:rFonts w:ascii="Arial" w:hAnsi="Arial" w:cs="Arial"/>
                                      <w:sz w:val="20"/>
                                      <w:szCs w:val="20"/>
                                    </w:rPr>
                                  </w:pPr>
                                  <w:r w:rsidRPr="0055776F">
                                    <w:rPr>
                                      <w:rFonts w:ascii="Arial" w:hAnsi="Arial" w:cs="Arial"/>
                                      <w:sz w:val="20"/>
                                      <w:szCs w:val="20"/>
                                    </w:rPr>
                                    <w:t>115</w:t>
                                  </w:r>
                                </w:p>
                              </w:tc>
                            </w:tr>
                            <w:tr w:rsidR="00897AA8" w:rsidRPr="0055776F" w14:paraId="1DBF6140" w14:textId="77777777">
                              <w:tc>
                                <w:tcPr>
                                  <w:tcW w:w="817" w:type="dxa"/>
                                  <w:shd w:val="clear" w:color="auto" w:fill="auto"/>
                                </w:tcPr>
                                <w:p w14:paraId="0CF8E74D" w14:textId="77777777" w:rsidR="00897AA8" w:rsidRPr="0055776F" w:rsidRDefault="00897AA8" w:rsidP="007B7F7F">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43CE32F0" w14:textId="77777777" w:rsidR="00897AA8" w:rsidRPr="0055776F" w:rsidRDefault="00897AA8" w:rsidP="000E5517">
                                  <w:pPr>
                                    <w:rPr>
                                      <w:rFonts w:ascii="Arial" w:hAnsi="Arial" w:cs="Arial"/>
                                      <w:sz w:val="20"/>
                                      <w:szCs w:val="20"/>
                                    </w:rPr>
                                  </w:pPr>
                                  <w:r>
                                    <w:rPr>
                                      <w:rFonts w:ascii="Arial" w:hAnsi="Arial" w:cs="Arial"/>
                                      <w:sz w:val="20"/>
                                      <w:szCs w:val="20"/>
                                    </w:rPr>
                                    <w:t>(2) Imatinib 36 měsíců</w:t>
                                  </w:r>
                                  <w:r w:rsidRPr="00A33DBA">
                                    <w:rPr>
                                      <w:rFonts w:ascii="Arial" w:hAnsi="Arial" w:cs="Arial"/>
                                      <w:sz w:val="20"/>
                                      <w:szCs w:val="20"/>
                                    </w:rPr>
                                    <w:t>:</w:t>
                                  </w:r>
                                </w:p>
                              </w:tc>
                              <w:tc>
                                <w:tcPr>
                                  <w:tcW w:w="851" w:type="dxa"/>
                                  <w:tcBorders>
                                    <w:bottom w:val="single" w:sz="4" w:space="0" w:color="auto"/>
                                  </w:tcBorders>
                                  <w:shd w:val="clear" w:color="auto" w:fill="auto"/>
                                </w:tcPr>
                                <w:p w14:paraId="58850358" w14:textId="77777777" w:rsidR="00897AA8" w:rsidRPr="0055776F" w:rsidRDefault="00897AA8" w:rsidP="007B7F7F">
                                  <w:pPr>
                                    <w:rPr>
                                      <w:rFonts w:ascii="Arial" w:hAnsi="Arial" w:cs="Arial"/>
                                      <w:sz w:val="20"/>
                                      <w:szCs w:val="20"/>
                                    </w:rPr>
                                  </w:pPr>
                                  <w:r w:rsidRPr="0055776F">
                                    <w:rPr>
                                      <w:rFonts w:ascii="Arial" w:hAnsi="Arial" w:cs="Arial"/>
                                      <w:sz w:val="20"/>
                                      <w:szCs w:val="20"/>
                                    </w:rPr>
                                    <w:t>198</w:t>
                                  </w:r>
                                </w:p>
                              </w:tc>
                              <w:tc>
                                <w:tcPr>
                                  <w:tcW w:w="709" w:type="dxa"/>
                                  <w:tcBorders>
                                    <w:bottom w:val="single" w:sz="4" w:space="0" w:color="auto"/>
                                  </w:tcBorders>
                                  <w:shd w:val="clear" w:color="auto" w:fill="auto"/>
                                </w:tcPr>
                                <w:p w14:paraId="01DE1EDD" w14:textId="77777777" w:rsidR="00897AA8" w:rsidRPr="0055776F" w:rsidRDefault="00897AA8" w:rsidP="007B7F7F">
                                  <w:pPr>
                                    <w:rPr>
                                      <w:rFonts w:ascii="Arial" w:hAnsi="Arial" w:cs="Arial"/>
                                      <w:sz w:val="20"/>
                                      <w:szCs w:val="20"/>
                                    </w:rPr>
                                  </w:pPr>
                                  <w:r w:rsidRPr="0055776F">
                                    <w:rPr>
                                      <w:rFonts w:ascii="Arial" w:hAnsi="Arial" w:cs="Arial"/>
                                      <w:sz w:val="20"/>
                                      <w:szCs w:val="20"/>
                                    </w:rPr>
                                    <w:t>50</w:t>
                                  </w:r>
                                </w:p>
                              </w:tc>
                              <w:tc>
                                <w:tcPr>
                                  <w:tcW w:w="850" w:type="dxa"/>
                                  <w:tcBorders>
                                    <w:bottom w:val="single" w:sz="4" w:space="0" w:color="auto"/>
                                  </w:tcBorders>
                                  <w:shd w:val="clear" w:color="auto" w:fill="auto"/>
                                </w:tcPr>
                                <w:p w14:paraId="4152BA3C" w14:textId="77777777" w:rsidR="00897AA8" w:rsidRPr="0055776F" w:rsidRDefault="00897AA8" w:rsidP="007B7F7F">
                                  <w:pPr>
                                    <w:rPr>
                                      <w:rFonts w:ascii="Arial" w:hAnsi="Arial" w:cs="Arial"/>
                                      <w:sz w:val="20"/>
                                      <w:szCs w:val="20"/>
                                    </w:rPr>
                                  </w:pPr>
                                  <w:r w:rsidRPr="0055776F">
                                    <w:rPr>
                                      <w:rFonts w:ascii="Arial" w:hAnsi="Arial" w:cs="Arial"/>
                                      <w:sz w:val="20"/>
                                      <w:szCs w:val="20"/>
                                    </w:rPr>
                                    <w:t>148</w:t>
                                  </w:r>
                                </w:p>
                              </w:tc>
                            </w:tr>
                            <w:tr w:rsidR="00897AA8" w:rsidRPr="0055776F" w14:paraId="589BB3E2" w14:textId="77777777">
                              <w:tc>
                                <w:tcPr>
                                  <w:tcW w:w="817" w:type="dxa"/>
                                  <w:shd w:val="clear" w:color="auto" w:fill="auto"/>
                                </w:tcPr>
                                <w:p w14:paraId="52028960" w14:textId="77777777" w:rsidR="00897AA8" w:rsidRPr="0055776F" w:rsidRDefault="00897AA8" w:rsidP="007B7F7F">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465CF966" w14:textId="77777777" w:rsidR="00897AA8" w:rsidRPr="0055776F" w:rsidRDefault="00897AA8" w:rsidP="007B7F7F">
                                  <w:pPr>
                                    <w:rPr>
                                      <w:rFonts w:ascii="Arial" w:hAnsi="Arial" w:cs="Arial"/>
                                      <w:sz w:val="20"/>
                                      <w:szCs w:val="20"/>
                                    </w:rPr>
                                  </w:pPr>
                                  <w:r>
                                    <w:rPr>
                                      <w:rFonts w:ascii="Arial" w:hAnsi="Arial" w:cs="Arial"/>
                                      <w:sz w:val="20"/>
                                      <w:szCs w:val="20"/>
                                    </w:rPr>
                                    <w:t>Cenzorovaná pozorování</w:t>
                                  </w:r>
                                </w:p>
                              </w:tc>
                              <w:tc>
                                <w:tcPr>
                                  <w:tcW w:w="851" w:type="dxa"/>
                                  <w:tcBorders>
                                    <w:top w:val="single" w:sz="4" w:space="0" w:color="auto"/>
                                  </w:tcBorders>
                                  <w:shd w:val="clear" w:color="auto" w:fill="auto"/>
                                </w:tcPr>
                                <w:p w14:paraId="77D88981" w14:textId="77777777" w:rsidR="00897AA8" w:rsidRPr="0055776F" w:rsidRDefault="00897AA8" w:rsidP="007B7F7F">
                                  <w:pPr>
                                    <w:rPr>
                                      <w:rFonts w:ascii="Arial" w:hAnsi="Arial" w:cs="Arial"/>
                                      <w:sz w:val="20"/>
                                      <w:szCs w:val="20"/>
                                    </w:rPr>
                                  </w:pPr>
                                </w:p>
                              </w:tc>
                              <w:tc>
                                <w:tcPr>
                                  <w:tcW w:w="709" w:type="dxa"/>
                                  <w:tcBorders>
                                    <w:top w:val="single" w:sz="4" w:space="0" w:color="auto"/>
                                  </w:tcBorders>
                                  <w:shd w:val="clear" w:color="auto" w:fill="auto"/>
                                </w:tcPr>
                                <w:p w14:paraId="492016B2" w14:textId="77777777" w:rsidR="00897AA8" w:rsidRPr="0055776F" w:rsidRDefault="00897AA8" w:rsidP="007B7F7F">
                                  <w:pPr>
                                    <w:rPr>
                                      <w:rFonts w:ascii="Arial" w:hAnsi="Arial" w:cs="Arial"/>
                                      <w:sz w:val="20"/>
                                      <w:szCs w:val="20"/>
                                    </w:rPr>
                                  </w:pPr>
                                </w:p>
                              </w:tc>
                              <w:tc>
                                <w:tcPr>
                                  <w:tcW w:w="850" w:type="dxa"/>
                                  <w:tcBorders>
                                    <w:top w:val="single" w:sz="4" w:space="0" w:color="auto"/>
                                  </w:tcBorders>
                                  <w:shd w:val="clear" w:color="auto" w:fill="auto"/>
                                </w:tcPr>
                                <w:p w14:paraId="6F1375D1" w14:textId="77777777" w:rsidR="00897AA8" w:rsidRPr="0055776F" w:rsidRDefault="00897AA8" w:rsidP="007B7F7F">
                                  <w:pPr>
                                    <w:rPr>
                                      <w:rFonts w:ascii="Arial" w:hAnsi="Arial" w:cs="Arial"/>
                                      <w:sz w:val="20"/>
                                      <w:szCs w:val="20"/>
                                    </w:rPr>
                                  </w:pPr>
                                </w:p>
                              </w:tc>
                            </w:tr>
                          </w:tbl>
                          <w:p w14:paraId="6850C0BD" w14:textId="77777777" w:rsidR="00897AA8" w:rsidRPr="00A33DBA" w:rsidRDefault="00897AA8" w:rsidP="006367E4">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608694" id="_x0000_s1027" type="#_x0000_t202" style="position:absolute;margin-left:26.95pt;margin-top:92.8pt;width:361.05pt;height:99.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" filled="f" stroked="f">
                <v:textbox>
                  <w:txbxContent>
                    <w:tbl>
                      <w:tblPr>
                        <w:tblW w:w="0" w:type="auto"/>
                        <w:tblLook w:val="04A0" w:firstRow="1" w:lastRow="0" w:firstColumn="1" w:lastColumn="0" w:noHBand="0" w:noVBand="1"/>
                      </w:tblPr>
                      <w:tblGrid>
                        <w:gridCol w:w="817"/>
                        <w:gridCol w:w="2464"/>
                        <w:gridCol w:w="851"/>
                        <w:gridCol w:w="709"/>
                        <w:gridCol w:w="850"/>
                      </w:tblGrid>
                      <w:tr w:rsidR="00897AA8" w:rsidRPr="0055776F" w14:paraId="1CD233FE" w14:textId="77777777">
                        <w:trPr>
                          <w:gridAfter w:val="3"/>
                          <w:wAfter w:w="2410" w:type="dxa"/>
                        </w:trPr>
                        <w:tc>
                          <w:tcPr>
                            <w:tcW w:w="3281" w:type="dxa"/>
                            <w:gridSpan w:val="2"/>
                            <w:shd w:val="clear" w:color="auto" w:fill="auto"/>
                          </w:tcPr>
                          <w:p w14:paraId="7A1A1C39" w14:textId="77777777" w:rsidR="00897AA8" w:rsidRPr="0055776F" w:rsidRDefault="00897AA8" w:rsidP="00D2009B">
                            <w:pPr>
                              <w:rPr>
                                <w:rFonts w:ascii="Arial" w:hAnsi="Arial" w:cs="Arial"/>
                                <w:sz w:val="20"/>
                              </w:rPr>
                            </w:pPr>
                            <w:r>
                              <w:rPr>
                                <w:rFonts w:ascii="Arial" w:hAnsi="Arial" w:cs="Arial"/>
                                <w:sz w:val="20"/>
                              </w:rPr>
                              <w:t>P &lt; 0,0001</w:t>
                            </w:r>
                          </w:p>
                          <w:p w14:paraId="56B9A2D4" w14:textId="77777777" w:rsidR="00897AA8" w:rsidRPr="0055776F" w:rsidRDefault="00897AA8" w:rsidP="00D2009B">
                            <w:pPr>
                              <w:rPr>
                                <w:rFonts w:ascii="Arial" w:hAnsi="Arial" w:cs="Arial"/>
                                <w:sz w:val="20"/>
                              </w:rPr>
                            </w:pPr>
                            <w:r>
                              <w:rPr>
                                <w:rFonts w:ascii="Arial" w:hAnsi="Arial" w:cs="Arial"/>
                                <w:sz w:val="20"/>
                                <w:szCs w:val="20"/>
                              </w:rPr>
                              <w:t>Poměr rizik</w:t>
                            </w:r>
                            <w:r>
                              <w:rPr>
                                <w:rFonts w:ascii="Arial" w:hAnsi="Arial" w:cs="Arial"/>
                                <w:sz w:val="20"/>
                              </w:rPr>
                              <w:t xml:space="preserve"> 0,</w:t>
                            </w:r>
                            <w:r w:rsidRPr="0055776F">
                              <w:rPr>
                                <w:rFonts w:ascii="Arial" w:hAnsi="Arial" w:cs="Arial"/>
                                <w:sz w:val="20"/>
                              </w:rPr>
                              <w:t>4</w:t>
                            </w:r>
                            <w:r>
                              <w:rPr>
                                <w:rFonts w:ascii="Arial" w:hAnsi="Arial" w:cs="Arial"/>
                                <w:sz w:val="20"/>
                              </w:rPr>
                              <w:t>6</w:t>
                            </w:r>
                          </w:p>
                          <w:p w14:paraId="2AA87D0D" w14:textId="77777777" w:rsidR="00897AA8" w:rsidRPr="0055776F" w:rsidRDefault="00897AA8" w:rsidP="00D2009B">
                            <w:pPr>
                              <w:rPr>
                                <w:rFonts w:ascii="Arial" w:hAnsi="Arial" w:cs="Arial"/>
                                <w:sz w:val="20"/>
                                <w:lang w:val="de-DE"/>
                              </w:rPr>
                            </w:pPr>
                            <w:r>
                              <w:rPr>
                                <w:rFonts w:ascii="Arial" w:hAnsi="Arial" w:cs="Arial"/>
                                <w:sz w:val="20"/>
                              </w:rPr>
                              <w:t>(95% Cl,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897AA8" w:rsidRPr="00212166" w14:paraId="42FB8011" w14:textId="77777777">
                        <w:tc>
                          <w:tcPr>
                            <w:tcW w:w="817" w:type="dxa"/>
                            <w:shd w:val="clear" w:color="auto" w:fill="auto"/>
                          </w:tcPr>
                          <w:p w14:paraId="472149B3" w14:textId="77777777" w:rsidR="00897AA8" w:rsidRPr="00212166" w:rsidRDefault="00897AA8" w:rsidP="007B7F7F">
                            <w:pPr>
                              <w:rPr>
                                <w:rFonts w:ascii="Arial" w:hAnsi="Arial" w:cs="Arial"/>
                                <w:sz w:val="20"/>
                                <w:szCs w:val="20"/>
                              </w:rPr>
                            </w:pPr>
                          </w:p>
                        </w:tc>
                        <w:tc>
                          <w:tcPr>
                            <w:tcW w:w="2464" w:type="dxa"/>
                            <w:shd w:val="clear" w:color="auto" w:fill="auto"/>
                          </w:tcPr>
                          <w:p w14:paraId="63153B3B" w14:textId="77777777" w:rsidR="00897AA8" w:rsidRPr="00212166" w:rsidRDefault="00897AA8" w:rsidP="007B7F7F">
                            <w:pPr>
                              <w:rPr>
                                <w:rFonts w:ascii="Arial" w:hAnsi="Arial" w:cs="Arial"/>
                                <w:sz w:val="20"/>
                                <w:szCs w:val="20"/>
                              </w:rPr>
                            </w:pPr>
                          </w:p>
                        </w:tc>
                        <w:tc>
                          <w:tcPr>
                            <w:tcW w:w="851" w:type="dxa"/>
                            <w:tcBorders>
                              <w:bottom w:val="single" w:sz="4" w:space="0" w:color="auto"/>
                            </w:tcBorders>
                            <w:shd w:val="clear" w:color="auto" w:fill="auto"/>
                          </w:tcPr>
                          <w:p w14:paraId="408E3328" w14:textId="77777777" w:rsidR="00897AA8" w:rsidRPr="00212166" w:rsidRDefault="00897AA8" w:rsidP="0008276E">
                            <w:pPr>
                              <w:rPr>
                                <w:rFonts w:ascii="Arial" w:hAnsi="Arial" w:cs="Arial"/>
                                <w:sz w:val="20"/>
                                <w:szCs w:val="20"/>
                              </w:rPr>
                            </w:pPr>
                            <w:r w:rsidRPr="00212166">
                              <w:rPr>
                                <w:rFonts w:ascii="Arial" w:hAnsi="Arial" w:cs="Arial"/>
                                <w:sz w:val="20"/>
                                <w:szCs w:val="20"/>
                                <w:lang w:val="de-DE"/>
                              </w:rPr>
                              <w:t>n</w:t>
                            </w:r>
                          </w:p>
                        </w:tc>
                        <w:tc>
                          <w:tcPr>
                            <w:tcW w:w="709" w:type="dxa"/>
                            <w:tcBorders>
                              <w:bottom w:val="single" w:sz="4" w:space="0" w:color="auto"/>
                            </w:tcBorders>
                            <w:shd w:val="clear" w:color="auto" w:fill="auto"/>
                          </w:tcPr>
                          <w:p w14:paraId="2A4D4E83" w14:textId="77777777" w:rsidR="00897AA8" w:rsidRPr="00212166" w:rsidRDefault="00897AA8" w:rsidP="007B7F7F">
                            <w:pPr>
                              <w:rPr>
                                <w:rFonts w:ascii="Arial" w:hAnsi="Arial" w:cs="Arial"/>
                                <w:sz w:val="20"/>
                                <w:szCs w:val="20"/>
                              </w:rPr>
                            </w:pPr>
                            <w:r w:rsidRPr="00212166">
                              <w:rPr>
                                <w:rFonts w:ascii="Arial" w:hAnsi="Arial" w:cs="Arial"/>
                                <w:sz w:val="20"/>
                                <w:szCs w:val="20"/>
                                <w:lang w:val="it-IT"/>
                              </w:rPr>
                              <w:t>Udál.</w:t>
                            </w:r>
                          </w:p>
                        </w:tc>
                        <w:tc>
                          <w:tcPr>
                            <w:tcW w:w="850" w:type="dxa"/>
                            <w:tcBorders>
                              <w:bottom w:val="single" w:sz="4" w:space="0" w:color="auto"/>
                            </w:tcBorders>
                            <w:shd w:val="clear" w:color="auto" w:fill="auto"/>
                          </w:tcPr>
                          <w:p w14:paraId="72C9CE47" w14:textId="77777777" w:rsidR="00897AA8" w:rsidRPr="00212166" w:rsidRDefault="00897AA8" w:rsidP="007B7F7F">
                            <w:pPr>
                              <w:rPr>
                                <w:rFonts w:ascii="Arial" w:hAnsi="Arial" w:cs="Arial"/>
                                <w:sz w:val="20"/>
                                <w:szCs w:val="20"/>
                              </w:rPr>
                            </w:pPr>
                            <w:r w:rsidRPr="00212166">
                              <w:rPr>
                                <w:rFonts w:ascii="Arial" w:hAnsi="Arial" w:cs="Arial"/>
                                <w:sz w:val="20"/>
                                <w:szCs w:val="20"/>
                                <w:lang w:val="it-IT"/>
                              </w:rPr>
                              <w:t>Cen.</w:t>
                            </w:r>
                          </w:p>
                        </w:tc>
                      </w:tr>
                      <w:tr w:rsidR="00897AA8" w:rsidRPr="0055776F" w14:paraId="7ED3588C" w14:textId="77777777">
                        <w:tc>
                          <w:tcPr>
                            <w:tcW w:w="817" w:type="dxa"/>
                            <w:shd w:val="clear" w:color="auto" w:fill="auto"/>
                          </w:tcPr>
                          <w:p w14:paraId="456CD2D5" w14:textId="77777777" w:rsidR="00897AA8" w:rsidRPr="0055776F" w:rsidRDefault="00897AA8" w:rsidP="007B7F7F">
                            <w:pPr>
                              <w:rPr>
                                <w:rFonts w:ascii="Arial" w:hAnsi="Arial" w:cs="Arial"/>
                                <w:sz w:val="20"/>
                                <w:szCs w:val="20"/>
                              </w:rPr>
                            </w:pPr>
                            <w:r w:rsidRPr="0055776F">
                              <w:rPr>
                                <w:rFonts w:ascii="Arial" w:hAnsi="Arial" w:cs="Arial"/>
                                <w:b/>
                                <w:sz w:val="20"/>
                                <w:szCs w:val="20"/>
                              </w:rPr>
                              <w:t>——</w:t>
                            </w:r>
                          </w:p>
                        </w:tc>
                        <w:tc>
                          <w:tcPr>
                            <w:tcW w:w="2464" w:type="dxa"/>
                            <w:shd w:val="clear" w:color="auto" w:fill="auto"/>
                          </w:tcPr>
                          <w:p w14:paraId="7AE11A3B" w14:textId="77777777" w:rsidR="00897AA8" w:rsidRPr="0055776F" w:rsidRDefault="00897AA8" w:rsidP="000E5517">
                            <w:pPr>
                              <w:rPr>
                                <w:rFonts w:ascii="Arial" w:hAnsi="Arial" w:cs="Arial"/>
                                <w:sz w:val="20"/>
                                <w:szCs w:val="20"/>
                              </w:rPr>
                            </w:pPr>
                            <w:r>
                              <w:rPr>
                                <w:rFonts w:ascii="Arial" w:hAnsi="Arial" w:cs="Arial"/>
                                <w:sz w:val="20"/>
                                <w:szCs w:val="20"/>
                              </w:rPr>
                              <w:t>(1) Imatinib 12 měsíců</w:t>
                            </w:r>
                            <w:r w:rsidRPr="00A33DBA">
                              <w:rPr>
                                <w:rFonts w:ascii="Arial" w:hAnsi="Arial" w:cs="Arial"/>
                                <w:sz w:val="20"/>
                                <w:szCs w:val="20"/>
                              </w:rPr>
                              <w:t>:</w:t>
                            </w:r>
                          </w:p>
                        </w:tc>
                        <w:tc>
                          <w:tcPr>
                            <w:tcW w:w="851" w:type="dxa"/>
                            <w:tcBorders>
                              <w:top w:val="single" w:sz="4" w:space="0" w:color="auto"/>
                            </w:tcBorders>
                            <w:shd w:val="clear" w:color="auto" w:fill="auto"/>
                          </w:tcPr>
                          <w:p w14:paraId="28B83602" w14:textId="77777777" w:rsidR="00897AA8" w:rsidRPr="0055776F" w:rsidRDefault="00897AA8" w:rsidP="007B7F7F">
                            <w:pPr>
                              <w:rPr>
                                <w:rFonts w:ascii="Arial" w:hAnsi="Arial" w:cs="Arial"/>
                                <w:sz w:val="20"/>
                                <w:szCs w:val="20"/>
                              </w:rPr>
                            </w:pPr>
                            <w:r w:rsidRPr="0055776F">
                              <w:rPr>
                                <w:rFonts w:ascii="Arial" w:hAnsi="Arial" w:cs="Arial"/>
                                <w:sz w:val="20"/>
                                <w:szCs w:val="20"/>
                              </w:rPr>
                              <w:t>199</w:t>
                            </w:r>
                          </w:p>
                        </w:tc>
                        <w:tc>
                          <w:tcPr>
                            <w:tcW w:w="709" w:type="dxa"/>
                            <w:tcBorders>
                              <w:top w:val="single" w:sz="4" w:space="0" w:color="auto"/>
                            </w:tcBorders>
                            <w:shd w:val="clear" w:color="auto" w:fill="auto"/>
                          </w:tcPr>
                          <w:p w14:paraId="3DFCA5D8" w14:textId="77777777" w:rsidR="00897AA8" w:rsidRPr="0055776F" w:rsidRDefault="00897AA8" w:rsidP="007B7F7F">
                            <w:pPr>
                              <w:rPr>
                                <w:rFonts w:ascii="Arial" w:hAnsi="Arial" w:cs="Arial"/>
                                <w:sz w:val="20"/>
                                <w:szCs w:val="20"/>
                              </w:rPr>
                            </w:pPr>
                            <w:r w:rsidRPr="0055776F">
                              <w:rPr>
                                <w:rFonts w:ascii="Arial" w:hAnsi="Arial" w:cs="Arial"/>
                                <w:sz w:val="20"/>
                                <w:szCs w:val="20"/>
                              </w:rPr>
                              <w:t>84</w:t>
                            </w:r>
                          </w:p>
                        </w:tc>
                        <w:tc>
                          <w:tcPr>
                            <w:tcW w:w="850" w:type="dxa"/>
                            <w:tcBorders>
                              <w:top w:val="single" w:sz="4" w:space="0" w:color="auto"/>
                            </w:tcBorders>
                            <w:shd w:val="clear" w:color="auto" w:fill="auto"/>
                          </w:tcPr>
                          <w:p w14:paraId="20733560" w14:textId="77777777" w:rsidR="00897AA8" w:rsidRPr="0055776F" w:rsidRDefault="00897AA8" w:rsidP="007B7F7F">
                            <w:pPr>
                              <w:rPr>
                                <w:rFonts w:ascii="Arial" w:hAnsi="Arial" w:cs="Arial"/>
                                <w:sz w:val="20"/>
                                <w:szCs w:val="20"/>
                              </w:rPr>
                            </w:pPr>
                            <w:r w:rsidRPr="0055776F">
                              <w:rPr>
                                <w:rFonts w:ascii="Arial" w:hAnsi="Arial" w:cs="Arial"/>
                                <w:sz w:val="20"/>
                                <w:szCs w:val="20"/>
                              </w:rPr>
                              <w:t>115</w:t>
                            </w:r>
                          </w:p>
                        </w:tc>
                      </w:tr>
                      <w:tr w:rsidR="00897AA8" w:rsidRPr="0055776F" w14:paraId="1DBF6140" w14:textId="77777777">
                        <w:tc>
                          <w:tcPr>
                            <w:tcW w:w="817" w:type="dxa"/>
                            <w:shd w:val="clear" w:color="auto" w:fill="auto"/>
                          </w:tcPr>
                          <w:p w14:paraId="0CF8E74D" w14:textId="77777777" w:rsidR="00897AA8" w:rsidRPr="0055776F" w:rsidRDefault="00897AA8" w:rsidP="007B7F7F">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43CE32F0" w14:textId="77777777" w:rsidR="00897AA8" w:rsidRPr="0055776F" w:rsidRDefault="00897AA8" w:rsidP="000E5517">
                            <w:pPr>
                              <w:rPr>
                                <w:rFonts w:ascii="Arial" w:hAnsi="Arial" w:cs="Arial"/>
                                <w:sz w:val="20"/>
                                <w:szCs w:val="20"/>
                              </w:rPr>
                            </w:pPr>
                            <w:r>
                              <w:rPr>
                                <w:rFonts w:ascii="Arial" w:hAnsi="Arial" w:cs="Arial"/>
                                <w:sz w:val="20"/>
                                <w:szCs w:val="20"/>
                              </w:rPr>
                              <w:t>(2) Imatinib 36 měsíců</w:t>
                            </w:r>
                            <w:r w:rsidRPr="00A33DBA">
                              <w:rPr>
                                <w:rFonts w:ascii="Arial" w:hAnsi="Arial" w:cs="Arial"/>
                                <w:sz w:val="20"/>
                                <w:szCs w:val="20"/>
                              </w:rPr>
                              <w:t>:</w:t>
                            </w:r>
                          </w:p>
                        </w:tc>
                        <w:tc>
                          <w:tcPr>
                            <w:tcW w:w="851" w:type="dxa"/>
                            <w:tcBorders>
                              <w:bottom w:val="single" w:sz="4" w:space="0" w:color="auto"/>
                            </w:tcBorders>
                            <w:shd w:val="clear" w:color="auto" w:fill="auto"/>
                          </w:tcPr>
                          <w:p w14:paraId="58850358" w14:textId="77777777" w:rsidR="00897AA8" w:rsidRPr="0055776F" w:rsidRDefault="00897AA8" w:rsidP="007B7F7F">
                            <w:pPr>
                              <w:rPr>
                                <w:rFonts w:ascii="Arial" w:hAnsi="Arial" w:cs="Arial"/>
                                <w:sz w:val="20"/>
                                <w:szCs w:val="20"/>
                              </w:rPr>
                            </w:pPr>
                            <w:r w:rsidRPr="0055776F">
                              <w:rPr>
                                <w:rFonts w:ascii="Arial" w:hAnsi="Arial" w:cs="Arial"/>
                                <w:sz w:val="20"/>
                                <w:szCs w:val="20"/>
                              </w:rPr>
                              <w:t>198</w:t>
                            </w:r>
                          </w:p>
                        </w:tc>
                        <w:tc>
                          <w:tcPr>
                            <w:tcW w:w="709" w:type="dxa"/>
                            <w:tcBorders>
                              <w:bottom w:val="single" w:sz="4" w:space="0" w:color="auto"/>
                            </w:tcBorders>
                            <w:shd w:val="clear" w:color="auto" w:fill="auto"/>
                          </w:tcPr>
                          <w:p w14:paraId="01DE1EDD" w14:textId="77777777" w:rsidR="00897AA8" w:rsidRPr="0055776F" w:rsidRDefault="00897AA8" w:rsidP="007B7F7F">
                            <w:pPr>
                              <w:rPr>
                                <w:rFonts w:ascii="Arial" w:hAnsi="Arial" w:cs="Arial"/>
                                <w:sz w:val="20"/>
                                <w:szCs w:val="20"/>
                              </w:rPr>
                            </w:pPr>
                            <w:r w:rsidRPr="0055776F">
                              <w:rPr>
                                <w:rFonts w:ascii="Arial" w:hAnsi="Arial" w:cs="Arial"/>
                                <w:sz w:val="20"/>
                                <w:szCs w:val="20"/>
                              </w:rPr>
                              <w:t>50</w:t>
                            </w:r>
                          </w:p>
                        </w:tc>
                        <w:tc>
                          <w:tcPr>
                            <w:tcW w:w="850" w:type="dxa"/>
                            <w:tcBorders>
                              <w:bottom w:val="single" w:sz="4" w:space="0" w:color="auto"/>
                            </w:tcBorders>
                            <w:shd w:val="clear" w:color="auto" w:fill="auto"/>
                          </w:tcPr>
                          <w:p w14:paraId="4152BA3C" w14:textId="77777777" w:rsidR="00897AA8" w:rsidRPr="0055776F" w:rsidRDefault="00897AA8" w:rsidP="007B7F7F">
                            <w:pPr>
                              <w:rPr>
                                <w:rFonts w:ascii="Arial" w:hAnsi="Arial" w:cs="Arial"/>
                                <w:sz w:val="20"/>
                                <w:szCs w:val="20"/>
                              </w:rPr>
                            </w:pPr>
                            <w:r w:rsidRPr="0055776F">
                              <w:rPr>
                                <w:rFonts w:ascii="Arial" w:hAnsi="Arial" w:cs="Arial"/>
                                <w:sz w:val="20"/>
                                <w:szCs w:val="20"/>
                              </w:rPr>
                              <w:t>148</w:t>
                            </w:r>
                          </w:p>
                        </w:tc>
                      </w:tr>
                      <w:tr w:rsidR="00897AA8" w:rsidRPr="0055776F" w14:paraId="589BB3E2" w14:textId="77777777">
                        <w:tc>
                          <w:tcPr>
                            <w:tcW w:w="817" w:type="dxa"/>
                            <w:shd w:val="clear" w:color="auto" w:fill="auto"/>
                          </w:tcPr>
                          <w:p w14:paraId="52028960" w14:textId="77777777" w:rsidR="00897AA8" w:rsidRPr="0055776F" w:rsidRDefault="00897AA8" w:rsidP="007B7F7F">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465CF966" w14:textId="77777777" w:rsidR="00897AA8" w:rsidRPr="0055776F" w:rsidRDefault="00897AA8" w:rsidP="007B7F7F">
                            <w:pPr>
                              <w:rPr>
                                <w:rFonts w:ascii="Arial" w:hAnsi="Arial" w:cs="Arial"/>
                                <w:sz w:val="20"/>
                                <w:szCs w:val="20"/>
                              </w:rPr>
                            </w:pPr>
                            <w:r>
                              <w:rPr>
                                <w:rFonts w:ascii="Arial" w:hAnsi="Arial" w:cs="Arial"/>
                                <w:sz w:val="20"/>
                                <w:szCs w:val="20"/>
                              </w:rPr>
                              <w:t>Cenzorovaná pozorování</w:t>
                            </w:r>
                          </w:p>
                        </w:tc>
                        <w:tc>
                          <w:tcPr>
                            <w:tcW w:w="851" w:type="dxa"/>
                            <w:tcBorders>
                              <w:top w:val="single" w:sz="4" w:space="0" w:color="auto"/>
                            </w:tcBorders>
                            <w:shd w:val="clear" w:color="auto" w:fill="auto"/>
                          </w:tcPr>
                          <w:p w14:paraId="77D88981" w14:textId="77777777" w:rsidR="00897AA8" w:rsidRPr="0055776F" w:rsidRDefault="00897AA8" w:rsidP="007B7F7F">
                            <w:pPr>
                              <w:rPr>
                                <w:rFonts w:ascii="Arial" w:hAnsi="Arial" w:cs="Arial"/>
                                <w:sz w:val="20"/>
                                <w:szCs w:val="20"/>
                              </w:rPr>
                            </w:pPr>
                          </w:p>
                        </w:tc>
                        <w:tc>
                          <w:tcPr>
                            <w:tcW w:w="709" w:type="dxa"/>
                            <w:tcBorders>
                              <w:top w:val="single" w:sz="4" w:space="0" w:color="auto"/>
                            </w:tcBorders>
                            <w:shd w:val="clear" w:color="auto" w:fill="auto"/>
                          </w:tcPr>
                          <w:p w14:paraId="492016B2" w14:textId="77777777" w:rsidR="00897AA8" w:rsidRPr="0055776F" w:rsidRDefault="00897AA8" w:rsidP="007B7F7F">
                            <w:pPr>
                              <w:rPr>
                                <w:rFonts w:ascii="Arial" w:hAnsi="Arial" w:cs="Arial"/>
                                <w:sz w:val="20"/>
                                <w:szCs w:val="20"/>
                              </w:rPr>
                            </w:pPr>
                          </w:p>
                        </w:tc>
                        <w:tc>
                          <w:tcPr>
                            <w:tcW w:w="850" w:type="dxa"/>
                            <w:tcBorders>
                              <w:top w:val="single" w:sz="4" w:space="0" w:color="auto"/>
                            </w:tcBorders>
                            <w:shd w:val="clear" w:color="auto" w:fill="auto"/>
                          </w:tcPr>
                          <w:p w14:paraId="6F1375D1" w14:textId="77777777" w:rsidR="00897AA8" w:rsidRPr="0055776F" w:rsidRDefault="00897AA8" w:rsidP="007B7F7F">
                            <w:pPr>
                              <w:rPr>
                                <w:rFonts w:ascii="Arial" w:hAnsi="Arial" w:cs="Arial"/>
                                <w:sz w:val="20"/>
                                <w:szCs w:val="20"/>
                              </w:rPr>
                            </w:pPr>
                          </w:p>
                        </w:tc>
                      </w:tr>
                    </w:tbl>
                    <w:p w14:paraId="6850C0BD" w14:textId="77777777" w:rsidR="00897AA8" w:rsidRPr="00A33DBA" w:rsidRDefault="00897AA8" w:rsidP="006367E4">
                      <w:pPr>
                        <w:rPr>
                          <w:rFonts w:ascii="Arial" w:hAnsi="Arial" w:cs="Arial"/>
                          <w:sz w:val="20"/>
                          <w:szCs w:val="20"/>
                        </w:rPr>
                      </w:pPr>
                    </w:p>
                  </w:txbxContent>
                </v:textbox>
              </v:shape>
            </w:pict>
          </mc:Fallback>
        </mc:AlternateContent>
      </w:r>
      <w:r w:rsidRPr="009B1A37">
        <w:rPr>
          <w:rFonts w:eastAsia="MS Mincho"/>
          <w:noProof/>
          <w:lang w:val="en-GB" w:eastAsia="en-GB"/>
        </w:rPr>
        <mc:AlternateContent>
          <mc:Choice Requires="wps">
            <w:drawing>
              <wp:anchor distT="0" distB="0" distL="114300" distR="114300" simplePos="0" relativeHeight="251654144" behindDoc="0" locked="0" layoutInCell="1" allowOverlap="1" wp14:anchorId="09571BBA" wp14:editId="6DCF6B09">
                <wp:simplePos x="0" y="0"/>
                <wp:positionH relativeFrom="column">
                  <wp:posOffset>2273935</wp:posOffset>
                </wp:positionH>
                <wp:positionV relativeFrom="paragraph">
                  <wp:posOffset>2621280</wp:posOffset>
                </wp:positionV>
                <wp:extent cx="1540510" cy="2952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0510" cy="295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9B5279" w14:textId="77777777" w:rsidR="00897AA8" w:rsidRPr="00A33DBA" w:rsidRDefault="00897AA8" w:rsidP="006367E4">
                            <w:pPr>
                              <w:rPr>
                                <w:rFonts w:ascii="Arial" w:hAnsi="Arial" w:cs="Arial"/>
                                <w:sz w:val="20"/>
                                <w:szCs w:val="20"/>
                              </w:rPr>
                            </w:pPr>
                            <w:r>
                              <w:rPr>
                                <w:rFonts w:ascii="Arial" w:hAnsi="Arial" w:cs="Arial"/>
                                <w:sz w:val="20"/>
                                <w:szCs w:val="20"/>
                                <w:lang w:val="de-DE"/>
                              </w:rPr>
                              <w:t>Doba přežití v měsících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571BBA" id="_x0000_s1028" type="#_x0000_t202" style="position:absolute;margin-left:179.05pt;margin-top:206.4pt;width:121.3pt;height:2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" stroked="f">
                <v:fill opacity="0"/>
                <v:textbox>
                  <w:txbxContent>
                    <w:p w14:paraId="5B9B5279" w14:textId="77777777" w:rsidR="00897AA8" w:rsidRPr="00A33DBA" w:rsidRDefault="00897AA8" w:rsidP="006367E4">
                      <w:pPr>
                        <w:rPr>
                          <w:rFonts w:ascii="Arial" w:hAnsi="Arial" w:cs="Arial"/>
                          <w:sz w:val="20"/>
                          <w:szCs w:val="20"/>
                        </w:rPr>
                      </w:pPr>
                      <w:r>
                        <w:rPr>
                          <w:rFonts w:ascii="Arial" w:hAnsi="Arial" w:cs="Arial"/>
                          <w:sz w:val="20"/>
                          <w:szCs w:val="20"/>
                          <w:lang w:val="de-DE"/>
                        </w:rPr>
                        <w:t>Doba přežití v měsících</w:t>
                      </w:r>
                    </w:p>
                  </w:txbxContent>
                </v:textbox>
              </v:shape>
            </w:pict>
          </mc:Fallback>
        </mc:AlternateContent>
      </w:r>
      <w:r w:rsidRPr="009B1A37">
        <w:rPr>
          <w:noProof/>
          <w:lang w:val="en-GB" w:eastAsia="en-GB"/>
        </w:rPr>
        <w:drawing>
          <wp:inline distT="0" distB="0" distL="0" distR="0" wp14:anchorId="494A2883" wp14:editId="3D010753">
            <wp:extent cx="5939790" cy="2679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2679700"/>
                    </a:xfrm>
                    <a:prstGeom prst="rect">
                      <a:avLst/>
                    </a:prstGeom>
                    <a:noFill/>
                    <a:ln>
                      <a:noFill/>
                    </a:ln>
                  </pic:spPr>
                </pic:pic>
              </a:graphicData>
            </a:graphic>
          </wp:inline>
        </w:drawing>
      </w:r>
    </w:p>
    <w:p w14:paraId="212EF76B" w14:textId="77777777" w:rsidR="006367E4" w:rsidRPr="009B1A37" w:rsidRDefault="006367E4" w:rsidP="00BE3D48">
      <w:pPr>
        <w:keepNext/>
        <w:keepLines/>
        <w:widowControl w:val="0"/>
        <w:tabs>
          <w:tab w:val="clear" w:pos="567"/>
        </w:tabs>
        <w:spacing w:line="240" w:lineRule="auto"/>
        <w:rPr>
          <w:rFonts w:eastAsia="MS Mincho"/>
        </w:rPr>
      </w:pPr>
    </w:p>
    <w:p w14:paraId="21D67999" w14:textId="77777777" w:rsidR="006367E4" w:rsidRPr="009B1A37" w:rsidRDefault="006367E4" w:rsidP="00BE3D48">
      <w:pPr>
        <w:keepNext/>
        <w:keepLines/>
        <w:widowControl w:val="0"/>
        <w:tabs>
          <w:tab w:val="clear" w:pos="567"/>
        </w:tabs>
        <w:spacing w:line="240" w:lineRule="auto"/>
        <w:rPr>
          <w:rFonts w:eastAsia="MS Mincho"/>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6367E4" w:rsidRPr="009B1A37" w14:paraId="71FC5F78" w14:textId="77777777">
        <w:tc>
          <w:tcPr>
            <w:tcW w:w="10599" w:type="dxa"/>
            <w:gridSpan w:val="16"/>
            <w:shd w:val="clear" w:color="auto" w:fill="auto"/>
          </w:tcPr>
          <w:p w14:paraId="3C039F20" w14:textId="77777777" w:rsidR="006367E4" w:rsidRPr="009B1A37" w:rsidRDefault="00112FBD" w:rsidP="00BE3D48">
            <w:pPr>
              <w:keepNext/>
              <w:keepLines/>
              <w:widowControl w:val="0"/>
              <w:spacing w:line="240" w:lineRule="auto"/>
              <w:ind w:left="-27"/>
              <w:rPr>
                <w:rFonts w:ascii="Arial" w:hAnsi="Arial" w:cs="Arial"/>
                <w:sz w:val="16"/>
                <w:szCs w:val="16"/>
              </w:rPr>
            </w:pPr>
            <w:r w:rsidRPr="009B1A37">
              <w:rPr>
                <w:rFonts w:ascii="Arial" w:hAnsi="Arial" w:cs="Arial"/>
                <w:sz w:val="20"/>
                <w:szCs w:val="20"/>
              </w:rPr>
              <w:t>V riziku: Události</w:t>
            </w:r>
          </w:p>
        </w:tc>
      </w:tr>
      <w:tr w:rsidR="006367E4" w:rsidRPr="009B1A37" w14:paraId="27DEA5A8" w14:textId="77777777">
        <w:tc>
          <w:tcPr>
            <w:tcW w:w="450" w:type="dxa"/>
            <w:shd w:val="clear" w:color="auto" w:fill="auto"/>
          </w:tcPr>
          <w:p w14:paraId="79E77E6B" w14:textId="77777777" w:rsidR="006367E4" w:rsidRPr="009B1A37" w:rsidRDefault="006367E4" w:rsidP="00BE3D48">
            <w:pPr>
              <w:keepNext/>
              <w:keepLines/>
              <w:widowControl w:val="0"/>
              <w:spacing w:line="240" w:lineRule="auto"/>
              <w:rPr>
                <w:sz w:val="18"/>
                <w:szCs w:val="18"/>
              </w:rPr>
            </w:pPr>
            <w:r w:rsidRPr="009B1A37">
              <w:rPr>
                <w:sz w:val="18"/>
                <w:szCs w:val="18"/>
              </w:rPr>
              <w:t>(1)</w:t>
            </w:r>
          </w:p>
        </w:tc>
        <w:tc>
          <w:tcPr>
            <w:tcW w:w="646" w:type="dxa"/>
            <w:shd w:val="clear" w:color="auto" w:fill="auto"/>
          </w:tcPr>
          <w:p w14:paraId="40E9CA94" w14:textId="77777777" w:rsidR="006367E4" w:rsidRPr="009B1A37" w:rsidRDefault="006367E4" w:rsidP="00BE3D48">
            <w:pPr>
              <w:keepNext/>
              <w:keepLines/>
              <w:widowControl w:val="0"/>
              <w:spacing w:line="240" w:lineRule="auto"/>
              <w:ind w:left="-27"/>
              <w:rPr>
                <w:sz w:val="18"/>
                <w:szCs w:val="18"/>
              </w:rPr>
            </w:pPr>
            <w:r w:rsidRPr="009B1A37">
              <w:rPr>
                <w:sz w:val="18"/>
                <w:szCs w:val="18"/>
              </w:rPr>
              <w:t>199:0</w:t>
            </w:r>
          </w:p>
        </w:tc>
        <w:tc>
          <w:tcPr>
            <w:tcW w:w="645" w:type="dxa"/>
            <w:shd w:val="clear" w:color="auto" w:fill="auto"/>
          </w:tcPr>
          <w:p w14:paraId="640D6568" w14:textId="77777777" w:rsidR="006367E4" w:rsidRPr="009B1A37" w:rsidRDefault="006367E4" w:rsidP="00BE3D48">
            <w:pPr>
              <w:keepNext/>
              <w:keepLines/>
              <w:widowControl w:val="0"/>
              <w:spacing w:line="240" w:lineRule="auto"/>
              <w:ind w:left="-27"/>
              <w:rPr>
                <w:sz w:val="18"/>
                <w:szCs w:val="18"/>
              </w:rPr>
            </w:pPr>
            <w:r w:rsidRPr="009B1A37">
              <w:rPr>
                <w:sz w:val="18"/>
                <w:szCs w:val="18"/>
              </w:rPr>
              <w:t>182:8</w:t>
            </w:r>
          </w:p>
        </w:tc>
        <w:tc>
          <w:tcPr>
            <w:tcW w:w="745" w:type="dxa"/>
            <w:shd w:val="clear" w:color="auto" w:fill="auto"/>
          </w:tcPr>
          <w:p w14:paraId="70F83838" w14:textId="77777777" w:rsidR="006367E4" w:rsidRPr="009B1A37" w:rsidRDefault="006367E4" w:rsidP="00BE3D48">
            <w:pPr>
              <w:keepNext/>
              <w:keepLines/>
              <w:widowControl w:val="0"/>
              <w:spacing w:line="240" w:lineRule="auto"/>
              <w:ind w:left="-27"/>
              <w:rPr>
                <w:sz w:val="18"/>
                <w:szCs w:val="18"/>
              </w:rPr>
            </w:pPr>
            <w:r w:rsidRPr="009B1A37">
              <w:rPr>
                <w:sz w:val="18"/>
                <w:szCs w:val="18"/>
              </w:rPr>
              <w:t>177:12</w:t>
            </w:r>
          </w:p>
        </w:tc>
        <w:tc>
          <w:tcPr>
            <w:tcW w:w="745" w:type="dxa"/>
            <w:shd w:val="clear" w:color="auto" w:fill="auto"/>
          </w:tcPr>
          <w:p w14:paraId="7D91BCB1" w14:textId="77777777" w:rsidR="006367E4" w:rsidRPr="009B1A37" w:rsidRDefault="006367E4" w:rsidP="00BE3D48">
            <w:pPr>
              <w:keepNext/>
              <w:keepLines/>
              <w:widowControl w:val="0"/>
              <w:spacing w:line="240" w:lineRule="auto"/>
              <w:ind w:left="-27"/>
              <w:rPr>
                <w:sz w:val="18"/>
                <w:szCs w:val="18"/>
              </w:rPr>
            </w:pPr>
            <w:r w:rsidRPr="009B1A37">
              <w:rPr>
                <w:sz w:val="18"/>
                <w:szCs w:val="18"/>
              </w:rPr>
              <w:t>163:25</w:t>
            </w:r>
          </w:p>
        </w:tc>
        <w:tc>
          <w:tcPr>
            <w:tcW w:w="745" w:type="dxa"/>
            <w:shd w:val="clear" w:color="auto" w:fill="auto"/>
          </w:tcPr>
          <w:p w14:paraId="5B00D859" w14:textId="77777777" w:rsidR="006367E4" w:rsidRPr="009B1A37" w:rsidRDefault="006367E4" w:rsidP="00BE3D48">
            <w:pPr>
              <w:keepNext/>
              <w:keepLines/>
              <w:widowControl w:val="0"/>
              <w:spacing w:line="240" w:lineRule="auto"/>
              <w:ind w:left="-27"/>
              <w:rPr>
                <w:sz w:val="18"/>
                <w:szCs w:val="18"/>
              </w:rPr>
            </w:pPr>
            <w:r w:rsidRPr="009B1A37">
              <w:rPr>
                <w:sz w:val="18"/>
                <w:szCs w:val="18"/>
              </w:rPr>
              <w:t>137:46</w:t>
            </w:r>
          </w:p>
        </w:tc>
        <w:tc>
          <w:tcPr>
            <w:tcW w:w="752" w:type="dxa"/>
            <w:shd w:val="clear" w:color="auto" w:fill="auto"/>
          </w:tcPr>
          <w:p w14:paraId="4A78A686" w14:textId="77777777" w:rsidR="006367E4" w:rsidRPr="009B1A37" w:rsidRDefault="006367E4" w:rsidP="00BE3D48">
            <w:pPr>
              <w:keepNext/>
              <w:keepLines/>
              <w:widowControl w:val="0"/>
              <w:spacing w:line="240" w:lineRule="auto"/>
              <w:ind w:left="-27"/>
              <w:rPr>
                <w:sz w:val="18"/>
                <w:szCs w:val="18"/>
              </w:rPr>
            </w:pPr>
            <w:r w:rsidRPr="009B1A37">
              <w:rPr>
                <w:sz w:val="18"/>
                <w:szCs w:val="18"/>
              </w:rPr>
              <w:t>105:65</w:t>
            </w:r>
          </w:p>
        </w:tc>
        <w:tc>
          <w:tcPr>
            <w:tcW w:w="745" w:type="dxa"/>
            <w:shd w:val="clear" w:color="auto" w:fill="auto"/>
          </w:tcPr>
          <w:p w14:paraId="11993481" w14:textId="77777777" w:rsidR="006367E4" w:rsidRPr="009B1A37" w:rsidRDefault="006367E4" w:rsidP="00BE3D48">
            <w:pPr>
              <w:keepNext/>
              <w:keepLines/>
              <w:widowControl w:val="0"/>
              <w:spacing w:line="240" w:lineRule="auto"/>
              <w:ind w:left="-27"/>
              <w:rPr>
                <w:sz w:val="18"/>
                <w:szCs w:val="18"/>
              </w:rPr>
            </w:pPr>
            <w:r w:rsidRPr="009B1A37">
              <w:rPr>
                <w:sz w:val="18"/>
                <w:szCs w:val="18"/>
              </w:rPr>
              <w:t>88:72</w:t>
            </w:r>
          </w:p>
        </w:tc>
        <w:tc>
          <w:tcPr>
            <w:tcW w:w="745" w:type="dxa"/>
            <w:shd w:val="clear" w:color="auto" w:fill="auto"/>
          </w:tcPr>
          <w:p w14:paraId="3D7FF9D4" w14:textId="77777777" w:rsidR="006367E4" w:rsidRPr="009B1A37" w:rsidRDefault="006367E4" w:rsidP="00BE3D48">
            <w:pPr>
              <w:keepNext/>
              <w:keepLines/>
              <w:widowControl w:val="0"/>
              <w:spacing w:line="240" w:lineRule="auto"/>
              <w:ind w:left="-27"/>
              <w:rPr>
                <w:sz w:val="18"/>
                <w:szCs w:val="18"/>
              </w:rPr>
            </w:pPr>
            <w:r w:rsidRPr="009B1A37">
              <w:rPr>
                <w:sz w:val="18"/>
                <w:szCs w:val="18"/>
              </w:rPr>
              <w:t>61:77</w:t>
            </w:r>
          </w:p>
        </w:tc>
        <w:tc>
          <w:tcPr>
            <w:tcW w:w="652" w:type="dxa"/>
            <w:shd w:val="clear" w:color="auto" w:fill="auto"/>
          </w:tcPr>
          <w:p w14:paraId="719FFFFF" w14:textId="77777777" w:rsidR="006367E4" w:rsidRPr="009B1A37" w:rsidRDefault="006367E4" w:rsidP="00BE3D48">
            <w:pPr>
              <w:keepNext/>
              <w:keepLines/>
              <w:widowControl w:val="0"/>
              <w:spacing w:line="240" w:lineRule="auto"/>
              <w:ind w:left="-27"/>
              <w:rPr>
                <w:sz w:val="18"/>
                <w:szCs w:val="18"/>
              </w:rPr>
            </w:pPr>
            <w:r w:rsidRPr="009B1A37">
              <w:rPr>
                <w:sz w:val="18"/>
                <w:szCs w:val="18"/>
              </w:rPr>
              <w:t>49:81</w:t>
            </w:r>
          </w:p>
        </w:tc>
        <w:tc>
          <w:tcPr>
            <w:tcW w:w="652" w:type="dxa"/>
            <w:shd w:val="clear" w:color="auto" w:fill="auto"/>
          </w:tcPr>
          <w:p w14:paraId="222CCC81" w14:textId="77777777" w:rsidR="006367E4" w:rsidRPr="009B1A37" w:rsidRDefault="006367E4" w:rsidP="00BE3D48">
            <w:pPr>
              <w:keepNext/>
              <w:keepLines/>
              <w:widowControl w:val="0"/>
              <w:spacing w:line="240" w:lineRule="auto"/>
              <w:ind w:left="-27"/>
              <w:rPr>
                <w:sz w:val="18"/>
                <w:szCs w:val="18"/>
              </w:rPr>
            </w:pPr>
            <w:r w:rsidRPr="009B1A37">
              <w:rPr>
                <w:sz w:val="18"/>
                <w:szCs w:val="18"/>
              </w:rPr>
              <w:t>36:83</w:t>
            </w:r>
          </w:p>
        </w:tc>
        <w:tc>
          <w:tcPr>
            <w:tcW w:w="649" w:type="dxa"/>
            <w:shd w:val="clear" w:color="auto" w:fill="auto"/>
          </w:tcPr>
          <w:p w14:paraId="2BAE35E0" w14:textId="77777777" w:rsidR="006367E4" w:rsidRPr="009B1A37" w:rsidRDefault="006367E4" w:rsidP="00BE3D48">
            <w:pPr>
              <w:keepNext/>
              <w:keepLines/>
              <w:widowControl w:val="0"/>
              <w:spacing w:line="240" w:lineRule="auto"/>
              <w:ind w:left="-27"/>
              <w:rPr>
                <w:sz w:val="18"/>
                <w:szCs w:val="18"/>
              </w:rPr>
            </w:pPr>
            <w:r w:rsidRPr="009B1A37">
              <w:rPr>
                <w:sz w:val="18"/>
                <w:szCs w:val="18"/>
              </w:rPr>
              <w:t>27:84</w:t>
            </w:r>
          </w:p>
        </w:tc>
        <w:tc>
          <w:tcPr>
            <w:tcW w:w="660" w:type="dxa"/>
            <w:shd w:val="clear" w:color="auto" w:fill="auto"/>
          </w:tcPr>
          <w:p w14:paraId="55559104" w14:textId="77777777" w:rsidR="006367E4" w:rsidRPr="009B1A37" w:rsidRDefault="006367E4" w:rsidP="00BE3D48">
            <w:pPr>
              <w:keepNext/>
              <w:keepLines/>
              <w:widowControl w:val="0"/>
              <w:spacing w:line="240" w:lineRule="auto"/>
              <w:ind w:left="-27"/>
              <w:rPr>
                <w:sz w:val="18"/>
                <w:szCs w:val="18"/>
              </w:rPr>
            </w:pPr>
            <w:r w:rsidRPr="009B1A37">
              <w:rPr>
                <w:sz w:val="18"/>
                <w:szCs w:val="18"/>
              </w:rPr>
              <w:t>14:84</w:t>
            </w:r>
          </w:p>
        </w:tc>
        <w:tc>
          <w:tcPr>
            <w:tcW w:w="649" w:type="dxa"/>
            <w:shd w:val="clear" w:color="auto" w:fill="auto"/>
          </w:tcPr>
          <w:p w14:paraId="4EA91A99" w14:textId="77777777" w:rsidR="006367E4" w:rsidRPr="009B1A37" w:rsidRDefault="006367E4" w:rsidP="00BE3D48">
            <w:pPr>
              <w:keepNext/>
              <w:keepLines/>
              <w:widowControl w:val="0"/>
              <w:spacing w:line="240" w:lineRule="auto"/>
              <w:ind w:left="-27"/>
              <w:rPr>
                <w:sz w:val="18"/>
                <w:szCs w:val="18"/>
              </w:rPr>
            </w:pPr>
            <w:r w:rsidRPr="009B1A37">
              <w:rPr>
                <w:sz w:val="18"/>
                <w:szCs w:val="18"/>
              </w:rPr>
              <w:t>10:84</w:t>
            </w:r>
          </w:p>
        </w:tc>
        <w:tc>
          <w:tcPr>
            <w:tcW w:w="564" w:type="dxa"/>
            <w:shd w:val="clear" w:color="auto" w:fill="auto"/>
          </w:tcPr>
          <w:p w14:paraId="486E38BF" w14:textId="77777777" w:rsidR="006367E4" w:rsidRPr="009B1A37" w:rsidRDefault="006367E4" w:rsidP="00BE3D48">
            <w:pPr>
              <w:keepNext/>
              <w:keepLines/>
              <w:widowControl w:val="0"/>
              <w:spacing w:line="240" w:lineRule="auto"/>
              <w:ind w:left="-27"/>
              <w:rPr>
                <w:sz w:val="18"/>
                <w:szCs w:val="18"/>
              </w:rPr>
            </w:pPr>
            <w:r w:rsidRPr="009B1A37">
              <w:rPr>
                <w:sz w:val="18"/>
                <w:szCs w:val="18"/>
              </w:rPr>
              <w:t>2:84</w:t>
            </w:r>
          </w:p>
        </w:tc>
        <w:tc>
          <w:tcPr>
            <w:tcW w:w="555" w:type="dxa"/>
            <w:shd w:val="clear" w:color="auto" w:fill="auto"/>
          </w:tcPr>
          <w:p w14:paraId="4783D712" w14:textId="77777777" w:rsidR="006367E4" w:rsidRPr="009B1A37" w:rsidRDefault="006367E4" w:rsidP="00BE3D48">
            <w:pPr>
              <w:keepNext/>
              <w:keepLines/>
              <w:widowControl w:val="0"/>
              <w:spacing w:line="240" w:lineRule="auto"/>
              <w:ind w:left="-27"/>
              <w:rPr>
                <w:sz w:val="18"/>
                <w:szCs w:val="18"/>
              </w:rPr>
            </w:pPr>
            <w:r w:rsidRPr="009B1A37">
              <w:rPr>
                <w:sz w:val="18"/>
                <w:szCs w:val="18"/>
              </w:rPr>
              <w:t>0:84</w:t>
            </w:r>
          </w:p>
        </w:tc>
      </w:tr>
      <w:tr w:rsidR="006367E4" w:rsidRPr="009B1A37" w14:paraId="10E14596" w14:textId="77777777">
        <w:tc>
          <w:tcPr>
            <w:tcW w:w="450" w:type="dxa"/>
            <w:shd w:val="clear" w:color="auto" w:fill="auto"/>
          </w:tcPr>
          <w:p w14:paraId="2385E8E3" w14:textId="77777777" w:rsidR="006367E4" w:rsidRPr="009B1A37" w:rsidRDefault="006367E4" w:rsidP="00BE3D48">
            <w:pPr>
              <w:keepNext/>
              <w:keepLines/>
              <w:widowControl w:val="0"/>
              <w:spacing w:line="240" w:lineRule="auto"/>
              <w:rPr>
                <w:sz w:val="18"/>
                <w:szCs w:val="18"/>
              </w:rPr>
            </w:pPr>
            <w:r w:rsidRPr="009B1A37">
              <w:rPr>
                <w:sz w:val="18"/>
                <w:szCs w:val="18"/>
              </w:rPr>
              <w:t>(2)</w:t>
            </w:r>
          </w:p>
        </w:tc>
        <w:tc>
          <w:tcPr>
            <w:tcW w:w="646" w:type="dxa"/>
            <w:shd w:val="clear" w:color="auto" w:fill="auto"/>
          </w:tcPr>
          <w:p w14:paraId="6344118C" w14:textId="77777777" w:rsidR="006367E4" w:rsidRPr="009B1A37" w:rsidRDefault="006367E4" w:rsidP="00BE3D48">
            <w:pPr>
              <w:keepNext/>
              <w:keepLines/>
              <w:widowControl w:val="0"/>
              <w:spacing w:line="240" w:lineRule="auto"/>
              <w:ind w:left="-27"/>
              <w:rPr>
                <w:sz w:val="18"/>
                <w:szCs w:val="18"/>
              </w:rPr>
            </w:pPr>
            <w:r w:rsidRPr="009B1A37">
              <w:rPr>
                <w:sz w:val="18"/>
                <w:szCs w:val="18"/>
              </w:rPr>
              <w:t>198:0</w:t>
            </w:r>
          </w:p>
        </w:tc>
        <w:tc>
          <w:tcPr>
            <w:tcW w:w="645" w:type="dxa"/>
            <w:shd w:val="clear" w:color="auto" w:fill="auto"/>
          </w:tcPr>
          <w:p w14:paraId="456213D5" w14:textId="77777777" w:rsidR="006367E4" w:rsidRPr="009B1A37" w:rsidRDefault="006367E4" w:rsidP="00BE3D48">
            <w:pPr>
              <w:keepNext/>
              <w:keepLines/>
              <w:widowControl w:val="0"/>
              <w:spacing w:line="240" w:lineRule="auto"/>
              <w:ind w:left="-27"/>
              <w:rPr>
                <w:sz w:val="18"/>
                <w:szCs w:val="18"/>
              </w:rPr>
            </w:pPr>
            <w:r w:rsidRPr="009B1A37">
              <w:rPr>
                <w:sz w:val="18"/>
                <w:szCs w:val="18"/>
              </w:rPr>
              <w:t>189:5</w:t>
            </w:r>
          </w:p>
        </w:tc>
        <w:tc>
          <w:tcPr>
            <w:tcW w:w="745" w:type="dxa"/>
            <w:shd w:val="clear" w:color="auto" w:fill="auto"/>
          </w:tcPr>
          <w:p w14:paraId="5E9FA267" w14:textId="77777777" w:rsidR="006367E4" w:rsidRPr="009B1A37" w:rsidRDefault="006367E4" w:rsidP="00BE3D48">
            <w:pPr>
              <w:keepNext/>
              <w:keepLines/>
              <w:widowControl w:val="0"/>
              <w:spacing w:line="240" w:lineRule="auto"/>
              <w:ind w:left="-27"/>
              <w:rPr>
                <w:sz w:val="18"/>
                <w:szCs w:val="18"/>
              </w:rPr>
            </w:pPr>
            <w:r w:rsidRPr="009B1A37">
              <w:rPr>
                <w:sz w:val="18"/>
                <w:szCs w:val="18"/>
              </w:rPr>
              <w:t>184:8</w:t>
            </w:r>
          </w:p>
        </w:tc>
        <w:tc>
          <w:tcPr>
            <w:tcW w:w="745" w:type="dxa"/>
            <w:shd w:val="clear" w:color="auto" w:fill="auto"/>
          </w:tcPr>
          <w:p w14:paraId="2D2622F5" w14:textId="77777777" w:rsidR="006367E4" w:rsidRPr="009B1A37" w:rsidRDefault="006367E4" w:rsidP="00BE3D48">
            <w:pPr>
              <w:keepNext/>
              <w:keepLines/>
              <w:widowControl w:val="0"/>
              <w:spacing w:line="240" w:lineRule="auto"/>
              <w:ind w:left="-27"/>
              <w:rPr>
                <w:sz w:val="18"/>
                <w:szCs w:val="18"/>
              </w:rPr>
            </w:pPr>
            <w:r w:rsidRPr="009B1A37">
              <w:rPr>
                <w:sz w:val="18"/>
                <w:szCs w:val="18"/>
              </w:rPr>
              <w:t>181:11</w:t>
            </w:r>
          </w:p>
        </w:tc>
        <w:tc>
          <w:tcPr>
            <w:tcW w:w="745" w:type="dxa"/>
            <w:shd w:val="clear" w:color="auto" w:fill="auto"/>
          </w:tcPr>
          <w:p w14:paraId="2B17ED2B" w14:textId="77777777" w:rsidR="006367E4" w:rsidRPr="009B1A37" w:rsidRDefault="006367E4" w:rsidP="00BE3D48">
            <w:pPr>
              <w:keepNext/>
              <w:keepLines/>
              <w:widowControl w:val="0"/>
              <w:spacing w:line="240" w:lineRule="auto"/>
              <w:ind w:left="-27"/>
              <w:rPr>
                <w:sz w:val="18"/>
                <w:szCs w:val="18"/>
              </w:rPr>
            </w:pPr>
            <w:r w:rsidRPr="009B1A37">
              <w:rPr>
                <w:sz w:val="18"/>
                <w:szCs w:val="18"/>
              </w:rPr>
              <w:t>173:18</w:t>
            </w:r>
          </w:p>
        </w:tc>
        <w:tc>
          <w:tcPr>
            <w:tcW w:w="752" w:type="dxa"/>
            <w:shd w:val="clear" w:color="auto" w:fill="auto"/>
          </w:tcPr>
          <w:p w14:paraId="4FF24E21" w14:textId="77777777" w:rsidR="006367E4" w:rsidRPr="009B1A37" w:rsidRDefault="006367E4" w:rsidP="00BE3D48">
            <w:pPr>
              <w:keepNext/>
              <w:keepLines/>
              <w:widowControl w:val="0"/>
              <w:spacing w:line="240" w:lineRule="auto"/>
              <w:ind w:left="-27"/>
              <w:rPr>
                <w:sz w:val="18"/>
                <w:szCs w:val="18"/>
              </w:rPr>
            </w:pPr>
            <w:r w:rsidRPr="009B1A37">
              <w:rPr>
                <w:sz w:val="18"/>
                <w:szCs w:val="18"/>
              </w:rPr>
              <w:t>152:22</w:t>
            </w:r>
          </w:p>
        </w:tc>
        <w:tc>
          <w:tcPr>
            <w:tcW w:w="745" w:type="dxa"/>
            <w:shd w:val="clear" w:color="auto" w:fill="auto"/>
          </w:tcPr>
          <w:p w14:paraId="1DAC3B15" w14:textId="77777777" w:rsidR="006367E4" w:rsidRPr="009B1A37" w:rsidRDefault="006367E4" w:rsidP="00BE3D48">
            <w:pPr>
              <w:keepNext/>
              <w:keepLines/>
              <w:widowControl w:val="0"/>
              <w:spacing w:line="240" w:lineRule="auto"/>
              <w:ind w:left="-27"/>
              <w:rPr>
                <w:sz w:val="18"/>
                <w:szCs w:val="18"/>
              </w:rPr>
            </w:pPr>
            <w:r w:rsidRPr="009B1A37">
              <w:rPr>
                <w:sz w:val="18"/>
                <w:szCs w:val="18"/>
              </w:rPr>
              <w:t>133:25</w:t>
            </w:r>
          </w:p>
        </w:tc>
        <w:tc>
          <w:tcPr>
            <w:tcW w:w="745" w:type="dxa"/>
            <w:shd w:val="clear" w:color="auto" w:fill="auto"/>
          </w:tcPr>
          <w:p w14:paraId="7363481A" w14:textId="77777777" w:rsidR="006367E4" w:rsidRPr="009B1A37" w:rsidRDefault="006367E4" w:rsidP="00BE3D48">
            <w:pPr>
              <w:keepNext/>
              <w:keepLines/>
              <w:widowControl w:val="0"/>
              <w:spacing w:line="240" w:lineRule="auto"/>
              <w:ind w:left="-27"/>
              <w:rPr>
                <w:sz w:val="18"/>
                <w:szCs w:val="18"/>
              </w:rPr>
            </w:pPr>
            <w:r w:rsidRPr="009B1A37">
              <w:rPr>
                <w:sz w:val="18"/>
                <w:szCs w:val="18"/>
              </w:rPr>
              <w:t>102:29</w:t>
            </w:r>
          </w:p>
        </w:tc>
        <w:tc>
          <w:tcPr>
            <w:tcW w:w="652" w:type="dxa"/>
            <w:shd w:val="clear" w:color="auto" w:fill="auto"/>
          </w:tcPr>
          <w:p w14:paraId="42D2057B" w14:textId="77777777" w:rsidR="006367E4" w:rsidRPr="009B1A37" w:rsidRDefault="006367E4" w:rsidP="00BE3D48">
            <w:pPr>
              <w:keepNext/>
              <w:keepLines/>
              <w:widowControl w:val="0"/>
              <w:spacing w:line="240" w:lineRule="auto"/>
              <w:ind w:left="-27"/>
              <w:rPr>
                <w:sz w:val="18"/>
                <w:szCs w:val="18"/>
              </w:rPr>
            </w:pPr>
            <w:r w:rsidRPr="009B1A37">
              <w:rPr>
                <w:sz w:val="18"/>
                <w:szCs w:val="18"/>
              </w:rPr>
              <w:t>82:35</w:t>
            </w:r>
          </w:p>
        </w:tc>
        <w:tc>
          <w:tcPr>
            <w:tcW w:w="652" w:type="dxa"/>
            <w:shd w:val="clear" w:color="auto" w:fill="auto"/>
          </w:tcPr>
          <w:p w14:paraId="0E29193A" w14:textId="77777777" w:rsidR="006367E4" w:rsidRPr="009B1A37" w:rsidRDefault="006367E4" w:rsidP="00BE3D48">
            <w:pPr>
              <w:keepNext/>
              <w:keepLines/>
              <w:widowControl w:val="0"/>
              <w:spacing w:line="240" w:lineRule="auto"/>
              <w:ind w:left="-27"/>
              <w:rPr>
                <w:sz w:val="18"/>
                <w:szCs w:val="18"/>
              </w:rPr>
            </w:pPr>
            <w:r w:rsidRPr="009B1A37">
              <w:rPr>
                <w:sz w:val="18"/>
                <w:szCs w:val="18"/>
              </w:rPr>
              <w:t>54:46</w:t>
            </w:r>
          </w:p>
        </w:tc>
        <w:tc>
          <w:tcPr>
            <w:tcW w:w="649" w:type="dxa"/>
            <w:shd w:val="clear" w:color="auto" w:fill="auto"/>
          </w:tcPr>
          <w:p w14:paraId="59B97BDE" w14:textId="77777777" w:rsidR="006367E4" w:rsidRPr="009B1A37" w:rsidRDefault="006367E4" w:rsidP="00BE3D48">
            <w:pPr>
              <w:keepNext/>
              <w:keepLines/>
              <w:widowControl w:val="0"/>
              <w:spacing w:line="240" w:lineRule="auto"/>
              <w:ind w:left="-27"/>
              <w:rPr>
                <w:sz w:val="18"/>
                <w:szCs w:val="18"/>
              </w:rPr>
            </w:pPr>
            <w:r w:rsidRPr="009B1A37">
              <w:rPr>
                <w:sz w:val="18"/>
                <w:szCs w:val="18"/>
              </w:rPr>
              <w:t>39:47</w:t>
            </w:r>
          </w:p>
        </w:tc>
        <w:tc>
          <w:tcPr>
            <w:tcW w:w="660" w:type="dxa"/>
            <w:shd w:val="clear" w:color="auto" w:fill="auto"/>
          </w:tcPr>
          <w:p w14:paraId="3BD1DD86" w14:textId="77777777" w:rsidR="006367E4" w:rsidRPr="009B1A37" w:rsidRDefault="006367E4" w:rsidP="00BE3D48">
            <w:pPr>
              <w:keepNext/>
              <w:keepLines/>
              <w:widowControl w:val="0"/>
              <w:spacing w:line="240" w:lineRule="auto"/>
              <w:ind w:left="-27"/>
              <w:rPr>
                <w:sz w:val="18"/>
                <w:szCs w:val="18"/>
              </w:rPr>
            </w:pPr>
            <w:r w:rsidRPr="009B1A37">
              <w:rPr>
                <w:sz w:val="18"/>
                <w:szCs w:val="18"/>
              </w:rPr>
              <w:t>21:49</w:t>
            </w:r>
          </w:p>
        </w:tc>
        <w:tc>
          <w:tcPr>
            <w:tcW w:w="649" w:type="dxa"/>
            <w:shd w:val="clear" w:color="auto" w:fill="auto"/>
          </w:tcPr>
          <w:p w14:paraId="7D2C2A67" w14:textId="77777777" w:rsidR="006367E4" w:rsidRPr="009B1A37" w:rsidRDefault="006367E4" w:rsidP="00BE3D48">
            <w:pPr>
              <w:keepNext/>
              <w:keepLines/>
              <w:widowControl w:val="0"/>
              <w:spacing w:line="240" w:lineRule="auto"/>
              <w:ind w:left="-27"/>
              <w:rPr>
                <w:sz w:val="18"/>
                <w:szCs w:val="18"/>
              </w:rPr>
            </w:pPr>
            <w:r w:rsidRPr="009B1A37">
              <w:rPr>
                <w:sz w:val="18"/>
                <w:szCs w:val="18"/>
              </w:rPr>
              <w:t>8:50</w:t>
            </w:r>
          </w:p>
        </w:tc>
        <w:tc>
          <w:tcPr>
            <w:tcW w:w="564" w:type="dxa"/>
            <w:shd w:val="clear" w:color="auto" w:fill="auto"/>
          </w:tcPr>
          <w:p w14:paraId="2263B19F" w14:textId="77777777" w:rsidR="006367E4" w:rsidRPr="009B1A37" w:rsidRDefault="006367E4" w:rsidP="00BE3D48">
            <w:pPr>
              <w:keepNext/>
              <w:keepLines/>
              <w:widowControl w:val="0"/>
              <w:spacing w:line="240" w:lineRule="auto"/>
              <w:ind w:left="-27"/>
              <w:rPr>
                <w:sz w:val="18"/>
                <w:szCs w:val="18"/>
              </w:rPr>
            </w:pPr>
            <w:r w:rsidRPr="009B1A37">
              <w:rPr>
                <w:sz w:val="18"/>
                <w:szCs w:val="18"/>
              </w:rPr>
              <w:t>0:50</w:t>
            </w:r>
          </w:p>
        </w:tc>
        <w:tc>
          <w:tcPr>
            <w:tcW w:w="555" w:type="dxa"/>
            <w:shd w:val="clear" w:color="auto" w:fill="auto"/>
          </w:tcPr>
          <w:p w14:paraId="65A1F282" w14:textId="77777777" w:rsidR="006367E4" w:rsidRPr="009B1A37" w:rsidRDefault="006367E4" w:rsidP="00BE3D48">
            <w:pPr>
              <w:keepNext/>
              <w:keepLines/>
              <w:widowControl w:val="0"/>
              <w:spacing w:line="240" w:lineRule="auto"/>
              <w:ind w:left="-27"/>
              <w:rPr>
                <w:sz w:val="18"/>
                <w:szCs w:val="18"/>
              </w:rPr>
            </w:pPr>
          </w:p>
        </w:tc>
      </w:tr>
    </w:tbl>
    <w:p w14:paraId="2D375599" w14:textId="77777777" w:rsidR="006367E4" w:rsidRPr="009B1A37" w:rsidRDefault="006367E4" w:rsidP="00BE3D48">
      <w:pPr>
        <w:widowControl w:val="0"/>
        <w:tabs>
          <w:tab w:val="clear" w:pos="567"/>
        </w:tabs>
        <w:spacing w:line="240" w:lineRule="auto"/>
        <w:rPr>
          <w:rFonts w:eastAsia="MS Mincho"/>
        </w:rPr>
      </w:pPr>
    </w:p>
    <w:p w14:paraId="3EDB9AB6" w14:textId="77777777" w:rsidR="006367E4" w:rsidRPr="009B1A37" w:rsidRDefault="006367E4" w:rsidP="00BE3D48">
      <w:pPr>
        <w:widowControl w:val="0"/>
        <w:tabs>
          <w:tab w:val="clear" w:pos="567"/>
        </w:tabs>
        <w:spacing w:line="240" w:lineRule="auto"/>
        <w:rPr>
          <w:rFonts w:eastAsia="MS Mincho"/>
        </w:rPr>
      </w:pPr>
    </w:p>
    <w:p w14:paraId="09CB0094" w14:textId="77777777" w:rsidR="006367E4" w:rsidRPr="009B1A37" w:rsidRDefault="006367E4" w:rsidP="00BE3D48">
      <w:pPr>
        <w:keepNext/>
        <w:keepLines/>
        <w:widowControl w:val="0"/>
        <w:tabs>
          <w:tab w:val="clear" w:pos="567"/>
        </w:tabs>
        <w:spacing w:line="240" w:lineRule="auto"/>
        <w:ind w:left="1134" w:hanging="1134"/>
        <w:outlineLvl w:val="6"/>
        <w:rPr>
          <w:rFonts w:eastAsia="MS Mincho"/>
          <w:b/>
        </w:rPr>
      </w:pPr>
      <w:r w:rsidRPr="009B1A37">
        <w:rPr>
          <w:rFonts w:eastAsia="MS Mincho"/>
          <w:b/>
        </w:rPr>
        <w:t>Obrázek 2</w:t>
      </w:r>
      <w:r w:rsidRPr="009B1A37">
        <w:rPr>
          <w:rFonts w:eastAsia="MS Mincho"/>
          <w:b/>
        </w:rPr>
        <w:tab/>
        <w:t>Odhad celkového přežití podle Kaplan-Meiera (ITT populace)</w:t>
      </w:r>
    </w:p>
    <w:p w14:paraId="4BE1D3AE" w14:textId="77777777" w:rsidR="006367E4" w:rsidRPr="009B1A37" w:rsidRDefault="001B24B9" w:rsidP="00BE3D48">
      <w:pPr>
        <w:keepNext/>
        <w:keepLines/>
        <w:widowControl w:val="0"/>
        <w:tabs>
          <w:tab w:val="clear" w:pos="567"/>
        </w:tabs>
        <w:spacing w:line="240" w:lineRule="auto"/>
        <w:ind w:left="1134" w:hanging="1134"/>
        <w:outlineLvl w:val="6"/>
        <w:rPr>
          <w:rFonts w:eastAsia="MS Mincho"/>
        </w:rPr>
      </w:pPr>
      <w:r w:rsidRPr="009B1A37">
        <w:rPr>
          <w:rFonts w:eastAsia="MS Mincho"/>
          <w:noProof/>
          <w:lang w:val="en-GB" w:eastAsia="en-GB"/>
        </w:rPr>
        <mc:AlternateContent>
          <mc:Choice Requires="wps">
            <w:drawing>
              <wp:anchor distT="0" distB="0" distL="114300" distR="114300" simplePos="0" relativeHeight="251655168" behindDoc="0" locked="0" layoutInCell="1" allowOverlap="1" wp14:anchorId="6B82DDE8" wp14:editId="1687F68F">
                <wp:simplePos x="0" y="0"/>
                <wp:positionH relativeFrom="column">
                  <wp:posOffset>-282575</wp:posOffset>
                </wp:positionH>
                <wp:positionV relativeFrom="paragraph">
                  <wp:posOffset>143510</wp:posOffset>
                </wp:positionV>
                <wp:extent cx="335915" cy="223266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CA392D" w14:textId="77777777" w:rsidR="00897AA8" w:rsidRPr="00A33DBA" w:rsidRDefault="00897AA8" w:rsidP="00112FBD">
                            <w:pPr>
                              <w:rPr>
                                <w:rFonts w:ascii="Arial" w:hAnsi="Arial" w:cs="Arial"/>
                                <w:sz w:val="20"/>
                                <w:szCs w:val="20"/>
                              </w:rPr>
                            </w:pPr>
                            <w:r w:rsidRPr="00A33DBA">
                              <w:rPr>
                                <w:rFonts w:ascii="Arial" w:hAnsi="Arial" w:cs="Arial"/>
                                <w:sz w:val="20"/>
                                <w:szCs w:val="20"/>
                              </w:rPr>
                              <w:t>P</w:t>
                            </w:r>
                            <w:r>
                              <w:rPr>
                                <w:rFonts w:ascii="Arial" w:hAnsi="Arial" w:cs="Arial"/>
                                <w:sz w:val="20"/>
                                <w:szCs w:val="20"/>
                              </w:rPr>
                              <w:t>ravděpodobnost celkového přežití</w:t>
                            </w:r>
                          </w:p>
                          <w:p w14:paraId="6D0065C3" w14:textId="77777777" w:rsidR="00897AA8" w:rsidRPr="00A33DBA" w:rsidRDefault="00897AA8" w:rsidP="006367E4">
                            <w:pPr>
                              <w:rPr>
                                <w:rFonts w:ascii="Arial" w:hAnsi="Arial" w:cs="Arial"/>
                                <w:sz w:val="20"/>
                                <w:szCs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82DDE8" id="_x0000_s1029" type="#_x0000_t202" style="position:absolute;left:0;text-align:left;margin-left:-22.25pt;margin-top:11.3pt;width:26.45pt;height:175.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" stroked="f">
                <v:fill opacity="0"/>
                <v:textbox style="layout-flow:vertical;mso-layout-flow-alt:bottom-to-top">
                  <w:txbxContent>
                    <w:p w14:paraId="54CA392D" w14:textId="77777777" w:rsidR="00897AA8" w:rsidRPr="00A33DBA" w:rsidRDefault="00897AA8" w:rsidP="00112FBD">
                      <w:pPr>
                        <w:rPr>
                          <w:rFonts w:ascii="Arial" w:hAnsi="Arial" w:cs="Arial"/>
                          <w:sz w:val="20"/>
                          <w:szCs w:val="20"/>
                        </w:rPr>
                      </w:pPr>
                      <w:r w:rsidRPr="00A33DBA">
                        <w:rPr>
                          <w:rFonts w:ascii="Arial" w:hAnsi="Arial" w:cs="Arial"/>
                          <w:sz w:val="20"/>
                          <w:szCs w:val="20"/>
                        </w:rPr>
                        <w:t>P</w:t>
                      </w:r>
                      <w:r>
                        <w:rPr>
                          <w:rFonts w:ascii="Arial" w:hAnsi="Arial" w:cs="Arial"/>
                          <w:sz w:val="20"/>
                          <w:szCs w:val="20"/>
                        </w:rPr>
                        <w:t>ravděpodobnost celkového přežití</w:t>
                      </w:r>
                    </w:p>
                    <w:p w14:paraId="6D0065C3" w14:textId="77777777" w:rsidR="00897AA8" w:rsidRPr="00A33DBA" w:rsidRDefault="00897AA8" w:rsidP="006367E4">
                      <w:pPr>
                        <w:rPr>
                          <w:rFonts w:ascii="Arial" w:hAnsi="Arial" w:cs="Arial"/>
                          <w:sz w:val="20"/>
                          <w:szCs w:val="20"/>
                        </w:rPr>
                      </w:pPr>
                    </w:p>
                  </w:txbxContent>
                </v:textbox>
              </v:shape>
            </w:pict>
          </mc:Fallback>
        </mc:AlternateContent>
      </w:r>
    </w:p>
    <w:p w14:paraId="3182909B" w14:textId="77777777" w:rsidR="006367E4" w:rsidRPr="009B1A37" w:rsidRDefault="001B24B9" w:rsidP="00BE3D48">
      <w:pPr>
        <w:keepNext/>
        <w:keepLines/>
        <w:widowControl w:val="0"/>
        <w:tabs>
          <w:tab w:val="clear" w:pos="567"/>
        </w:tabs>
        <w:spacing w:line="240" w:lineRule="auto"/>
        <w:ind w:left="1134" w:hanging="1134"/>
        <w:outlineLvl w:val="6"/>
        <w:rPr>
          <w:rFonts w:eastAsia="MS Mincho"/>
        </w:rPr>
      </w:pPr>
      <w:r w:rsidRPr="009B1A37">
        <w:rPr>
          <w:rFonts w:eastAsia="MS Mincho"/>
          <w:noProof/>
          <w:lang w:val="en-GB" w:eastAsia="en-GB"/>
        </w:rPr>
        <mc:AlternateContent>
          <mc:Choice Requires="wps">
            <w:drawing>
              <wp:anchor distT="0" distB="0" distL="114300" distR="114300" simplePos="0" relativeHeight="251656192" behindDoc="0" locked="0" layoutInCell="1" allowOverlap="1" wp14:anchorId="790A875D" wp14:editId="23F7FC90">
                <wp:simplePos x="0" y="0"/>
                <wp:positionH relativeFrom="column">
                  <wp:posOffset>342265</wp:posOffset>
                </wp:positionH>
                <wp:positionV relativeFrom="paragraph">
                  <wp:posOffset>944880</wp:posOffset>
                </wp:positionV>
                <wp:extent cx="4585335" cy="142875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543D9" w14:textId="77777777" w:rsidR="00897AA8" w:rsidRDefault="00897AA8" w:rsidP="006367E4">
                            <w:pPr>
                              <w:rPr>
                                <w:rFonts w:ascii="Arial" w:hAnsi="Arial" w:cs="Arial"/>
                                <w:sz w:val="20"/>
                                <w:szCs w:val="20"/>
                              </w:rPr>
                            </w:pPr>
                          </w:p>
                          <w:tbl>
                            <w:tblPr>
                              <w:tblW w:w="0" w:type="auto"/>
                              <w:tblLook w:val="04A0" w:firstRow="1" w:lastRow="0" w:firstColumn="1" w:lastColumn="0" w:noHBand="0" w:noVBand="1"/>
                            </w:tblPr>
                            <w:tblGrid>
                              <w:gridCol w:w="817"/>
                              <w:gridCol w:w="2464"/>
                              <w:gridCol w:w="851"/>
                              <w:gridCol w:w="709"/>
                              <w:gridCol w:w="850"/>
                            </w:tblGrid>
                            <w:tr w:rsidR="00897AA8" w:rsidRPr="0055776F" w14:paraId="05E6471E" w14:textId="77777777">
                              <w:tc>
                                <w:tcPr>
                                  <w:tcW w:w="5691" w:type="dxa"/>
                                  <w:gridSpan w:val="5"/>
                                  <w:shd w:val="clear" w:color="auto" w:fill="auto"/>
                                </w:tcPr>
                                <w:p w14:paraId="4BD8BFC9" w14:textId="77777777" w:rsidR="00897AA8" w:rsidRPr="0055776F" w:rsidRDefault="00897AA8" w:rsidP="007B7F7F">
                                  <w:pPr>
                                    <w:rPr>
                                      <w:rFonts w:ascii="Arial" w:hAnsi="Arial" w:cs="Arial"/>
                                      <w:sz w:val="20"/>
                                      <w:szCs w:val="20"/>
                                    </w:rPr>
                                  </w:pPr>
                                  <w:r>
                                    <w:rPr>
                                      <w:rFonts w:ascii="Arial" w:hAnsi="Arial" w:cs="Arial"/>
                                      <w:sz w:val="20"/>
                                      <w:szCs w:val="20"/>
                                    </w:rPr>
                                    <w:t>P = 0,0</w:t>
                                  </w:r>
                                  <w:r w:rsidRPr="0055776F">
                                    <w:rPr>
                                      <w:rFonts w:ascii="Arial" w:hAnsi="Arial" w:cs="Arial"/>
                                      <w:sz w:val="20"/>
                                      <w:szCs w:val="20"/>
                                    </w:rPr>
                                    <w:t>19</w:t>
                                  </w:r>
                                </w:p>
                                <w:p w14:paraId="554267D9" w14:textId="77777777" w:rsidR="00897AA8" w:rsidRPr="00A33DBA" w:rsidRDefault="00897AA8" w:rsidP="00112FBD">
                                  <w:pPr>
                                    <w:rPr>
                                      <w:rFonts w:ascii="Arial" w:hAnsi="Arial" w:cs="Arial"/>
                                      <w:sz w:val="20"/>
                                      <w:szCs w:val="20"/>
                                    </w:rPr>
                                  </w:pPr>
                                  <w:r>
                                    <w:rPr>
                                      <w:rFonts w:ascii="Arial" w:hAnsi="Arial" w:cs="Arial"/>
                                      <w:sz w:val="20"/>
                                      <w:szCs w:val="20"/>
                                    </w:rPr>
                                    <w:t>Poměr rizik</w:t>
                                  </w:r>
                                  <w:r w:rsidRPr="00A33DBA">
                                    <w:rPr>
                                      <w:rFonts w:ascii="Arial" w:hAnsi="Arial" w:cs="Arial"/>
                                      <w:sz w:val="20"/>
                                      <w:szCs w:val="20"/>
                                    </w:rPr>
                                    <w:t xml:space="preserve"> 0</w:t>
                                  </w:r>
                                  <w:r>
                                    <w:rPr>
                                      <w:rFonts w:ascii="Arial" w:hAnsi="Arial" w:cs="Arial"/>
                                      <w:sz w:val="20"/>
                                      <w:szCs w:val="20"/>
                                    </w:rPr>
                                    <w:t>,</w:t>
                                  </w:r>
                                  <w:r w:rsidRPr="00A33DBA">
                                    <w:rPr>
                                      <w:rFonts w:ascii="Arial" w:hAnsi="Arial" w:cs="Arial"/>
                                      <w:sz w:val="20"/>
                                      <w:szCs w:val="20"/>
                                    </w:rPr>
                                    <w:t>45</w:t>
                                  </w:r>
                                </w:p>
                                <w:p w14:paraId="6F96C3E6" w14:textId="77777777" w:rsidR="00897AA8" w:rsidRPr="0055776F" w:rsidRDefault="00897AA8" w:rsidP="00112FBD">
                                  <w:pPr>
                                    <w:rPr>
                                      <w:rFonts w:ascii="Arial" w:hAnsi="Arial" w:cs="Arial"/>
                                      <w:sz w:val="20"/>
                                      <w:szCs w:val="20"/>
                                      <w:lang w:val="de-DE"/>
                                    </w:rPr>
                                  </w:pPr>
                                  <w:r w:rsidRPr="00A33DBA">
                                    <w:rPr>
                                      <w:rFonts w:ascii="Arial" w:hAnsi="Arial" w:cs="Arial"/>
                                      <w:sz w:val="20"/>
                                      <w:szCs w:val="20"/>
                                    </w:rPr>
                                    <w:t>(95% Cl, 0</w:t>
                                  </w:r>
                                  <w:r>
                                    <w:rPr>
                                      <w:rFonts w:ascii="Arial" w:hAnsi="Arial" w:cs="Arial"/>
                                      <w:sz w:val="20"/>
                                      <w:szCs w:val="20"/>
                                    </w:rPr>
                                    <w:t>,22</w:t>
                                  </w:r>
                                  <w:r>
                                    <w:rPr>
                                      <w:rFonts w:ascii="Arial" w:hAnsi="Arial" w:cs="Arial"/>
                                      <w:sz w:val="20"/>
                                      <w:szCs w:val="20"/>
                                    </w:rPr>
                                    <w:noBreakHyphen/>
                                  </w:r>
                                  <w:r w:rsidRPr="00A33DBA">
                                    <w:rPr>
                                      <w:rFonts w:ascii="Arial" w:hAnsi="Arial" w:cs="Arial"/>
                                      <w:sz w:val="20"/>
                                      <w:szCs w:val="20"/>
                                    </w:rPr>
                                    <w:t>0</w:t>
                                  </w:r>
                                  <w:r>
                                    <w:rPr>
                                      <w:rFonts w:ascii="Arial" w:hAnsi="Arial" w:cs="Arial"/>
                                      <w:sz w:val="20"/>
                                      <w:szCs w:val="20"/>
                                    </w:rPr>
                                    <w:t>,</w:t>
                                  </w:r>
                                  <w:r w:rsidRPr="00A33DBA">
                                    <w:rPr>
                                      <w:rFonts w:ascii="Arial" w:hAnsi="Arial" w:cs="Arial"/>
                                      <w:sz w:val="20"/>
                                      <w:szCs w:val="20"/>
                                    </w:rPr>
                                    <w:t>89)</w:t>
                                  </w:r>
                                </w:p>
                              </w:tc>
                            </w:tr>
                            <w:tr w:rsidR="00897AA8" w:rsidRPr="00212166" w14:paraId="203A17CF" w14:textId="77777777">
                              <w:tc>
                                <w:tcPr>
                                  <w:tcW w:w="817" w:type="dxa"/>
                                  <w:shd w:val="clear" w:color="auto" w:fill="auto"/>
                                </w:tcPr>
                                <w:p w14:paraId="6E430769" w14:textId="77777777" w:rsidR="00897AA8" w:rsidRPr="00390571" w:rsidRDefault="00897AA8" w:rsidP="007B7F7F">
                                  <w:pPr>
                                    <w:rPr>
                                      <w:rFonts w:ascii="Arial" w:hAnsi="Arial" w:cs="Arial"/>
                                      <w:sz w:val="20"/>
                                      <w:szCs w:val="20"/>
                                    </w:rPr>
                                  </w:pPr>
                                </w:p>
                              </w:tc>
                              <w:tc>
                                <w:tcPr>
                                  <w:tcW w:w="2464" w:type="dxa"/>
                                  <w:shd w:val="clear" w:color="auto" w:fill="auto"/>
                                </w:tcPr>
                                <w:p w14:paraId="1C804C38" w14:textId="77777777" w:rsidR="00897AA8" w:rsidRPr="00390571" w:rsidRDefault="00897AA8" w:rsidP="007B7F7F">
                                  <w:pPr>
                                    <w:rPr>
                                      <w:rFonts w:ascii="Arial" w:hAnsi="Arial" w:cs="Arial"/>
                                      <w:sz w:val="20"/>
                                      <w:szCs w:val="20"/>
                                    </w:rPr>
                                  </w:pPr>
                                </w:p>
                              </w:tc>
                              <w:tc>
                                <w:tcPr>
                                  <w:tcW w:w="851" w:type="dxa"/>
                                  <w:tcBorders>
                                    <w:bottom w:val="single" w:sz="4" w:space="0" w:color="auto"/>
                                  </w:tcBorders>
                                  <w:shd w:val="clear" w:color="auto" w:fill="auto"/>
                                </w:tcPr>
                                <w:p w14:paraId="00F8CA9A" w14:textId="77777777" w:rsidR="00897AA8" w:rsidRPr="00390571" w:rsidRDefault="00897AA8" w:rsidP="0008276E">
                                  <w:pPr>
                                    <w:rPr>
                                      <w:rFonts w:ascii="Arial" w:hAnsi="Arial" w:cs="Arial"/>
                                      <w:sz w:val="20"/>
                                      <w:szCs w:val="20"/>
                                    </w:rPr>
                                  </w:pPr>
                                  <w:r w:rsidRPr="00390571">
                                    <w:rPr>
                                      <w:rFonts w:ascii="Arial" w:hAnsi="Arial" w:cs="Arial"/>
                                      <w:sz w:val="20"/>
                                      <w:szCs w:val="20"/>
                                      <w:lang w:val="de-DE"/>
                                    </w:rPr>
                                    <w:t>n</w:t>
                                  </w:r>
                                </w:p>
                              </w:tc>
                              <w:tc>
                                <w:tcPr>
                                  <w:tcW w:w="709" w:type="dxa"/>
                                  <w:tcBorders>
                                    <w:bottom w:val="single" w:sz="4" w:space="0" w:color="auto"/>
                                  </w:tcBorders>
                                  <w:shd w:val="clear" w:color="auto" w:fill="auto"/>
                                </w:tcPr>
                                <w:p w14:paraId="638129A5" w14:textId="77777777" w:rsidR="00897AA8" w:rsidRPr="00C40642" w:rsidRDefault="00897AA8" w:rsidP="007B7F7F">
                                  <w:pPr>
                                    <w:rPr>
                                      <w:rFonts w:ascii="Arial" w:hAnsi="Arial" w:cs="Arial"/>
                                      <w:sz w:val="20"/>
                                      <w:szCs w:val="20"/>
                                    </w:rPr>
                                  </w:pPr>
                                  <w:r w:rsidRPr="00390571">
                                    <w:rPr>
                                      <w:rFonts w:ascii="Arial" w:hAnsi="Arial" w:cs="Arial"/>
                                      <w:sz w:val="20"/>
                                      <w:szCs w:val="20"/>
                                      <w:lang w:val="it-IT"/>
                                    </w:rPr>
                                    <w:t>Udá</w:t>
                                  </w:r>
                                  <w:r w:rsidRPr="00C40642">
                                    <w:rPr>
                                      <w:rFonts w:ascii="Arial" w:hAnsi="Arial" w:cs="Arial"/>
                                      <w:sz w:val="20"/>
                                      <w:szCs w:val="20"/>
                                      <w:lang w:val="it-IT"/>
                                    </w:rPr>
                                    <w:t>l.</w:t>
                                  </w:r>
                                </w:p>
                              </w:tc>
                              <w:tc>
                                <w:tcPr>
                                  <w:tcW w:w="850" w:type="dxa"/>
                                  <w:tcBorders>
                                    <w:bottom w:val="single" w:sz="4" w:space="0" w:color="auto"/>
                                  </w:tcBorders>
                                  <w:shd w:val="clear" w:color="auto" w:fill="auto"/>
                                </w:tcPr>
                                <w:p w14:paraId="6D278584" w14:textId="77777777" w:rsidR="00897AA8" w:rsidRPr="00212166" w:rsidRDefault="00897AA8" w:rsidP="007B7F7F">
                                  <w:pPr>
                                    <w:rPr>
                                      <w:rFonts w:ascii="Arial" w:hAnsi="Arial" w:cs="Arial"/>
                                      <w:sz w:val="20"/>
                                      <w:szCs w:val="20"/>
                                    </w:rPr>
                                  </w:pPr>
                                  <w:r w:rsidRPr="00212166">
                                    <w:rPr>
                                      <w:rFonts w:ascii="Arial" w:hAnsi="Arial" w:cs="Arial"/>
                                      <w:sz w:val="20"/>
                                      <w:szCs w:val="20"/>
                                      <w:lang w:val="it-IT"/>
                                    </w:rPr>
                                    <w:t>Cen.</w:t>
                                  </w:r>
                                </w:p>
                              </w:tc>
                            </w:tr>
                            <w:tr w:rsidR="00897AA8" w:rsidRPr="0055776F" w14:paraId="18A8BD48" w14:textId="77777777">
                              <w:tc>
                                <w:tcPr>
                                  <w:tcW w:w="817" w:type="dxa"/>
                                  <w:shd w:val="clear" w:color="auto" w:fill="auto"/>
                                </w:tcPr>
                                <w:p w14:paraId="6FB0279A" w14:textId="77777777" w:rsidR="00897AA8" w:rsidRPr="0055776F" w:rsidRDefault="00897AA8" w:rsidP="007B7F7F">
                                  <w:pPr>
                                    <w:rPr>
                                      <w:rFonts w:ascii="Arial" w:hAnsi="Arial" w:cs="Arial"/>
                                      <w:sz w:val="20"/>
                                      <w:szCs w:val="20"/>
                                    </w:rPr>
                                  </w:pPr>
                                  <w:r w:rsidRPr="0055776F">
                                    <w:rPr>
                                      <w:rFonts w:ascii="Arial" w:hAnsi="Arial" w:cs="Arial"/>
                                      <w:b/>
                                      <w:sz w:val="20"/>
                                      <w:szCs w:val="20"/>
                                    </w:rPr>
                                    <w:t>——</w:t>
                                  </w:r>
                                </w:p>
                              </w:tc>
                              <w:tc>
                                <w:tcPr>
                                  <w:tcW w:w="2464" w:type="dxa"/>
                                  <w:shd w:val="clear" w:color="auto" w:fill="auto"/>
                                </w:tcPr>
                                <w:p w14:paraId="53EC431E" w14:textId="77777777" w:rsidR="00897AA8" w:rsidRPr="0055776F" w:rsidRDefault="00897AA8" w:rsidP="000E5517">
                                  <w:pPr>
                                    <w:rPr>
                                      <w:rFonts w:ascii="Arial" w:hAnsi="Arial" w:cs="Arial"/>
                                      <w:sz w:val="20"/>
                                      <w:szCs w:val="20"/>
                                    </w:rPr>
                                  </w:pPr>
                                  <w:r>
                                    <w:rPr>
                                      <w:rFonts w:ascii="Arial" w:hAnsi="Arial" w:cs="Arial"/>
                                      <w:sz w:val="20"/>
                                      <w:szCs w:val="20"/>
                                    </w:rPr>
                                    <w:t>(1) Imatinib 12 měsíců</w:t>
                                  </w:r>
                                  <w:r w:rsidRPr="00A33DBA">
                                    <w:rPr>
                                      <w:rFonts w:ascii="Arial" w:hAnsi="Arial" w:cs="Arial"/>
                                      <w:sz w:val="20"/>
                                      <w:szCs w:val="20"/>
                                    </w:rPr>
                                    <w:t>:</w:t>
                                  </w:r>
                                </w:p>
                              </w:tc>
                              <w:tc>
                                <w:tcPr>
                                  <w:tcW w:w="851" w:type="dxa"/>
                                  <w:tcBorders>
                                    <w:top w:val="single" w:sz="4" w:space="0" w:color="auto"/>
                                  </w:tcBorders>
                                  <w:shd w:val="clear" w:color="auto" w:fill="auto"/>
                                </w:tcPr>
                                <w:p w14:paraId="29D7BFA0" w14:textId="77777777" w:rsidR="00897AA8" w:rsidRPr="0055776F" w:rsidRDefault="00897AA8" w:rsidP="007B7F7F">
                                  <w:pPr>
                                    <w:rPr>
                                      <w:rFonts w:ascii="Arial" w:hAnsi="Arial" w:cs="Arial"/>
                                      <w:sz w:val="20"/>
                                      <w:szCs w:val="20"/>
                                    </w:rPr>
                                  </w:pPr>
                                  <w:r w:rsidRPr="0055776F">
                                    <w:rPr>
                                      <w:rFonts w:ascii="Arial" w:hAnsi="Arial" w:cs="Arial"/>
                                      <w:sz w:val="20"/>
                                      <w:szCs w:val="20"/>
                                    </w:rPr>
                                    <w:t>199</w:t>
                                  </w:r>
                                </w:p>
                              </w:tc>
                              <w:tc>
                                <w:tcPr>
                                  <w:tcW w:w="709" w:type="dxa"/>
                                  <w:tcBorders>
                                    <w:top w:val="single" w:sz="4" w:space="0" w:color="auto"/>
                                  </w:tcBorders>
                                  <w:shd w:val="clear" w:color="auto" w:fill="auto"/>
                                </w:tcPr>
                                <w:p w14:paraId="54DF1BEA" w14:textId="77777777" w:rsidR="00897AA8" w:rsidRPr="0055776F" w:rsidRDefault="00897AA8" w:rsidP="007B7F7F">
                                  <w:pPr>
                                    <w:rPr>
                                      <w:rFonts w:ascii="Arial" w:hAnsi="Arial" w:cs="Arial"/>
                                      <w:sz w:val="20"/>
                                      <w:szCs w:val="20"/>
                                    </w:rPr>
                                  </w:pPr>
                                  <w:r w:rsidRPr="0055776F">
                                    <w:rPr>
                                      <w:rFonts w:ascii="Arial" w:hAnsi="Arial" w:cs="Arial"/>
                                      <w:sz w:val="20"/>
                                      <w:szCs w:val="20"/>
                                    </w:rPr>
                                    <w:t>25</w:t>
                                  </w:r>
                                </w:p>
                              </w:tc>
                              <w:tc>
                                <w:tcPr>
                                  <w:tcW w:w="850" w:type="dxa"/>
                                  <w:tcBorders>
                                    <w:top w:val="single" w:sz="4" w:space="0" w:color="auto"/>
                                  </w:tcBorders>
                                  <w:shd w:val="clear" w:color="auto" w:fill="auto"/>
                                </w:tcPr>
                                <w:p w14:paraId="0E3EC218" w14:textId="77777777" w:rsidR="00897AA8" w:rsidRPr="0055776F" w:rsidRDefault="00897AA8" w:rsidP="007B7F7F">
                                  <w:pPr>
                                    <w:rPr>
                                      <w:rFonts w:ascii="Arial" w:hAnsi="Arial" w:cs="Arial"/>
                                      <w:sz w:val="20"/>
                                      <w:szCs w:val="20"/>
                                    </w:rPr>
                                  </w:pPr>
                                  <w:r w:rsidRPr="0055776F">
                                    <w:rPr>
                                      <w:rFonts w:ascii="Arial" w:hAnsi="Arial" w:cs="Arial"/>
                                      <w:sz w:val="20"/>
                                      <w:szCs w:val="20"/>
                                    </w:rPr>
                                    <w:t>174</w:t>
                                  </w:r>
                                </w:p>
                              </w:tc>
                            </w:tr>
                            <w:tr w:rsidR="00897AA8" w:rsidRPr="0055776F" w14:paraId="4EABB0BF" w14:textId="77777777">
                              <w:tc>
                                <w:tcPr>
                                  <w:tcW w:w="817" w:type="dxa"/>
                                  <w:shd w:val="clear" w:color="auto" w:fill="auto"/>
                                </w:tcPr>
                                <w:p w14:paraId="1C722D3A" w14:textId="77777777" w:rsidR="00897AA8" w:rsidRPr="0055776F" w:rsidRDefault="00897AA8" w:rsidP="007B7F7F">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633DDB24" w14:textId="77777777" w:rsidR="00897AA8" w:rsidRPr="0055776F" w:rsidRDefault="00897AA8" w:rsidP="000E5517">
                                  <w:pPr>
                                    <w:rPr>
                                      <w:rFonts w:ascii="Arial" w:hAnsi="Arial" w:cs="Arial"/>
                                      <w:sz w:val="20"/>
                                      <w:szCs w:val="20"/>
                                    </w:rPr>
                                  </w:pPr>
                                  <w:r>
                                    <w:rPr>
                                      <w:rFonts w:ascii="Arial" w:hAnsi="Arial" w:cs="Arial"/>
                                      <w:sz w:val="20"/>
                                      <w:szCs w:val="20"/>
                                    </w:rPr>
                                    <w:t>(2) Imatinib 36 měsíců</w:t>
                                  </w:r>
                                  <w:r w:rsidRPr="00A33DBA">
                                    <w:rPr>
                                      <w:rFonts w:ascii="Arial" w:hAnsi="Arial" w:cs="Arial"/>
                                      <w:sz w:val="20"/>
                                      <w:szCs w:val="20"/>
                                    </w:rPr>
                                    <w:t>:</w:t>
                                  </w:r>
                                </w:p>
                              </w:tc>
                              <w:tc>
                                <w:tcPr>
                                  <w:tcW w:w="851" w:type="dxa"/>
                                  <w:tcBorders>
                                    <w:bottom w:val="single" w:sz="4" w:space="0" w:color="auto"/>
                                  </w:tcBorders>
                                  <w:shd w:val="clear" w:color="auto" w:fill="auto"/>
                                </w:tcPr>
                                <w:p w14:paraId="570CE272" w14:textId="77777777" w:rsidR="00897AA8" w:rsidRPr="0055776F" w:rsidRDefault="00897AA8" w:rsidP="007B7F7F">
                                  <w:pPr>
                                    <w:rPr>
                                      <w:rFonts w:ascii="Arial" w:hAnsi="Arial" w:cs="Arial"/>
                                      <w:sz w:val="20"/>
                                      <w:szCs w:val="20"/>
                                    </w:rPr>
                                  </w:pPr>
                                  <w:r w:rsidRPr="0055776F">
                                    <w:rPr>
                                      <w:rFonts w:ascii="Arial" w:hAnsi="Arial" w:cs="Arial"/>
                                      <w:sz w:val="20"/>
                                      <w:szCs w:val="20"/>
                                    </w:rPr>
                                    <w:t>198</w:t>
                                  </w:r>
                                </w:p>
                              </w:tc>
                              <w:tc>
                                <w:tcPr>
                                  <w:tcW w:w="709" w:type="dxa"/>
                                  <w:tcBorders>
                                    <w:bottom w:val="single" w:sz="4" w:space="0" w:color="auto"/>
                                  </w:tcBorders>
                                  <w:shd w:val="clear" w:color="auto" w:fill="auto"/>
                                </w:tcPr>
                                <w:p w14:paraId="24581E9C" w14:textId="77777777" w:rsidR="00897AA8" w:rsidRPr="0055776F" w:rsidRDefault="00897AA8" w:rsidP="007B7F7F">
                                  <w:pPr>
                                    <w:rPr>
                                      <w:rFonts w:ascii="Arial" w:hAnsi="Arial" w:cs="Arial"/>
                                      <w:sz w:val="20"/>
                                      <w:szCs w:val="20"/>
                                    </w:rPr>
                                  </w:pPr>
                                  <w:r w:rsidRPr="0055776F">
                                    <w:rPr>
                                      <w:rFonts w:ascii="Arial" w:hAnsi="Arial" w:cs="Arial"/>
                                      <w:sz w:val="20"/>
                                      <w:szCs w:val="20"/>
                                    </w:rPr>
                                    <w:t>12</w:t>
                                  </w:r>
                                </w:p>
                              </w:tc>
                              <w:tc>
                                <w:tcPr>
                                  <w:tcW w:w="850" w:type="dxa"/>
                                  <w:tcBorders>
                                    <w:bottom w:val="single" w:sz="4" w:space="0" w:color="auto"/>
                                  </w:tcBorders>
                                  <w:shd w:val="clear" w:color="auto" w:fill="auto"/>
                                </w:tcPr>
                                <w:p w14:paraId="639B0F6D" w14:textId="77777777" w:rsidR="00897AA8" w:rsidRPr="0055776F" w:rsidRDefault="00897AA8" w:rsidP="007B7F7F">
                                  <w:pPr>
                                    <w:rPr>
                                      <w:rFonts w:ascii="Arial" w:hAnsi="Arial" w:cs="Arial"/>
                                      <w:sz w:val="20"/>
                                      <w:szCs w:val="20"/>
                                    </w:rPr>
                                  </w:pPr>
                                  <w:r w:rsidRPr="0055776F">
                                    <w:rPr>
                                      <w:rFonts w:ascii="Arial" w:hAnsi="Arial" w:cs="Arial"/>
                                      <w:sz w:val="20"/>
                                      <w:szCs w:val="20"/>
                                    </w:rPr>
                                    <w:t>186</w:t>
                                  </w:r>
                                </w:p>
                              </w:tc>
                            </w:tr>
                            <w:tr w:rsidR="00897AA8" w:rsidRPr="0055776F" w14:paraId="3582AC93" w14:textId="77777777">
                              <w:tc>
                                <w:tcPr>
                                  <w:tcW w:w="817" w:type="dxa"/>
                                  <w:shd w:val="clear" w:color="auto" w:fill="auto"/>
                                </w:tcPr>
                                <w:p w14:paraId="2BA87BA9" w14:textId="77777777" w:rsidR="00897AA8" w:rsidRPr="0055776F" w:rsidRDefault="00897AA8" w:rsidP="007B7F7F">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799CC7ED" w14:textId="77777777" w:rsidR="00897AA8" w:rsidRPr="0055776F" w:rsidRDefault="00897AA8" w:rsidP="007B7F7F">
                                  <w:pPr>
                                    <w:rPr>
                                      <w:rFonts w:ascii="Arial" w:hAnsi="Arial" w:cs="Arial"/>
                                      <w:sz w:val="20"/>
                                      <w:szCs w:val="20"/>
                                    </w:rPr>
                                  </w:pPr>
                                  <w:r>
                                    <w:rPr>
                                      <w:rFonts w:ascii="Arial" w:hAnsi="Arial" w:cs="Arial"/>
                                      <w:sz w:val="20"/>
                                      <w:szCs w:val="20"/>
                                    </w:rPr>
                                    <w:t>Cenzorovaná pozorování</w:t>
                                  </w:r>
                                </w:p>
                              </w:tc>
                              <w:tc>
                                <w:tcPr>
                                  <w:tcW w:w="851" w:type="dxa"/>
                                  <w:tcBorders>
                                    <w:top w:val="single" w:sz="4" w:space="0" w:color="auto"/>
                                  </w:tcBorders>
                                  <w:shd w:val="clear" w:color="auto" w:fill="auto"/>
                                </w:tcPr>
                                <w:p w14:paraId="0EAEBE85" w14:textId="77777777" w:rsidR="00897AA8" w:rsidRPr="0055776F" w:rsidRDefault="00897AA8" w:rsidP="007B7F7F">
                                  <w:pPr>
                                    <w:rPr>
                                      <w:rFonts w:ascii="Arial" w:hAnsi="Arial" w:cs="Arial"/>
                                      <w:sz w:val="20"/>
                                      <w:szCs w:val="20"/>
                                    </w:rPr>
                                  </w:pPr>
                                </w:p>
                              </w:tc>
                              <w:tc>
                                <w:tcPr>
                                  <w:tcW w:w="709" w:type="dxa"/>
                                  <w:tcBorders>
                                    <w:top w:val="single" w:sz="4" w:space="0" w:color="auto"/>
                                  </w:tcBorders>
                                  <w:shd w:val="clear" w:color="auto" w:fill="auto"/>
                                </w:tcPr>
                                <w:p w14:paraId="60CFABB0" w14:textId="77777777" w:rsidR="00897AA8" w:rsidRPr="0055776F" w:rsidRDefault="00897AA8" w:rsidP="007B7F7F">
                                  <w:pPr>
                                    <w:rPr>
                                      <w:rFonts w:ascii="Arial" w:hAnsi="Arial" w:cs="Arial"/>
                                      <w:sz w:val="20"/>
                                      <w:szCs w:val="20"/>
                                    </w:rPr>
                                  </w:pPr>
                                </w:p>
                              </w:tc>
                              <w:tc>
                                <w:tcPr>
                                  <w:tcW w:w="850" w:type="dxa"/>
                                  <w:tcBorders>
                                    <w:top w:val="single" w:sz="4" w:space="0" w:color="auto"/>
                                  </w:tcBorders>
                                  <w:shd w:val="clear" w:color="auto" w:fill="auto"/>
                                </w:tcPr>
                                <w:p w14:paraId="19FA61B2" w14:textId="77777777" w:rsidR="00897AA8" w:rsidRPr="0055776F" w:rsidRDefault="00897AA8" w:rsidP="007B7F7F">
                                  <w:pPr>
                                    <w:rPr>
                                      <w:rFonts w:ascii="Arial" w:hAnsi="Arial" w:cs="Arial"/>
                                      <w:sz w:val="20"/>
                                      <w:szCs w:val="20"/>
                                    </w:rPr>
                                  </w:pPr>
                                </w:p>
                              </w:tc>
                            </w:tr>
                          </w:tbl>
                          <w:p w14:paraId="7123651B" w14:textId="77777777" w:rsidR="00897AA8" w:rsidRPr="00A33DBA" w:rsidRDefault="00897AA8" w:rsidP="006367E4">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0A875D" id="_x0000_s1030" type="#_x0000_t202" style="position:absolute;left:0;text-align:left;margin-left:26.95pt;margin-top:74.4pt;width:361.05pt;height: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" filled="f" stroked="f">
                <v:textbox>
                  <w:txbxContent>
                    <w:p w14:paraId="751543D9" w14:textId="77777777" w:rsidR="00897AA8" w:rsidRDefault="00897AA8" w:rsidP="006367E4">
                      <w:pPr>
                        <w:rPr>
                          <w:rFonts w:ascii="Arial" w:hAnsi="Arial" w:cs="Arial"/>
                          <w:sz w:val="20"/>
                          <w:szCs w:val="20"/>
                        </w:rPr>
                      </w:pPr>
                    </w:p>
                    <w:tbl>
                      <w:tblPr>
                        <w:tblW w:w="0" w:type="auto"/>
                        <w:tblLook w:val="04A0" w:firstRow="1" w:lastRow="0" w:firstColumn="1" w:lastColumn="0" w:noHBand="0" w:noVBand="1"/>
                      </w:tblPr>
                      <w:tblGrid>
                        <w:gridCol w:w="817"/>
                        <w:gridCol w:w="2464"/>
                        <w:gridCol w:w="851"/>
                        <w:gridCol w:w="709"/>
                        <w:gridCol w:w="850"/>
                      </w:tblGrid>
                      <w:tr w:rsidR="00897AA8" w:rsidRPr="0055776F" w14:paraId="05E6471E" w14:textId="77777777">
                        <w:tc>
                          <w:tcPr>
                            <w:tcW w:w="5691" w:type="dxa"/>
                            <w:gridSpan w:val="5"/>
                            <w:shd w:val="clear" w:color="auto" w:fill="auto"/>
                          </w:tcPr>
                          <w:p w14:paraId="4BD8BFC9" w14:textId="77777777" w:rsidR="00897AA8" w:rsidRPr="0055776F" w:rsidRDefault="00897AA8" w:rsidP="007B7F7F">
                            <w:pPr>
                              <w:rPr>
                                <w:rFonts w:ascii="Arial" w:hAnsi="Arial" w:cs="Arial"/>
                                <w:sz w:val="20"/>
                                <w:szCs w:val="20"/>
                              </w:rPr>
                            </w:pPr>
                            <w:r>
                              <w:rPr>
                                <w:rFonts w:ascii="Arial" w:hAnsi="Arial" w:cs="Arial"/>
                                <w:sz w:val="20"/>
                                <w:szCs w:val="20"/>
                              </w:rPr>
                              <w:t>P = 0,0</w:t>
                            </w:r>
                            <w:r w:rsidRPr="0055776F">
                              <w:rPr>
                                <w:rFonts w:ascii="Arial" w:hAnsi="Arial" w:cs="Arial"/>
                                <w:sz w:val="20"/>
                                <w:szCs w:val="20"/>
                              </w:rPr>
                              <w:t>19</w:t>
                            </w:r>
                          </w:p>
                          <w:p w14:paraId="554267D9" w14:textId="77777777" w:rsidR="00897AA8" w:rsidRPr="00A33DBA" w:rsidRDefault="00897AA8" w:rsidP="00112FBD">
                            <w:pPr>
                              <w:rPr>
                                <w:rFonts w:ascii="Arial" w:hAnsi="Arial" w:cs="Arial"/>
                                <w:sz w:val="20"/>
                                <w:szCs w:val="20"/>
                              </w:rPr>
                            </w:pPr>
                            <w:r>
                              <w:rPr>
                                <w:rFonts w:ascii="Arial" w:hAnsi="Arial" w:cs="Arial"/>
                                <w:sz w:val="20"/>
                                <w:szCs w:val="20"/>
                              </w:rPr>
                              <w:t>Poměr rizik</w:t>
                            </w:r>
                            <w:r w:rsidRPr="00A33DBA">
                              <w:rPr>
                                <w:rFonts w:ascii="Arial" w:hAnsi="Arial" w:cs="Arial"/>
                                <w:sz w:val="20"/>
                                <w:szCs w:val="20"/>
                              </w:rPr>
                              <w:t xml:space="preserve"> 0</w:t>
                            </w:r>
                            <w:r>
                              <w:rPr>
                                <w:rFonts w:ascii="Arial" w:hAnsi="Arial" w:cs="Arial"/>
                                <w:sz w:val="20"/>
                                <w:szCs w:val="20"/>
                              </w:rPr>
                              <w:t>,</w:t>
                            </w:r>
                            <w:r w:rsidRPr="00A33DBA">
                              <w:rPr>
                                <w:rFonts w:ascii="Arial" w:hAnsi="Arial" w:cs="Arial"/>
                                <w:sz w:val="20"/>
                                <w:szCs w:val="20"/>
                              </w:rPr>
                              <w:t>45</w:t>
                            </w:r>
                          </w:p>
                          <w:p w14:paraId="6F96C3E6" w14:textId="77777777" w:rsidR="00897AA8" w:rsidRPr="0055776F" w:rsidRDefault="00897AA8" w:rsidP="00112FBD">
                            <w:pPr>
                              <w:rPr>
                                <w:rFonts w:ascii="Arial" w:hAnsi="Arial" w:cs="Arial"/>
                                <w:sz w:val="20"/>
                                <w:szCs w:val="20"/>
                                <w:lang w:val="de-DE"/>
                              </w:rPr>
                            </w:pPr>
                            <w:r w:rsidRPr="00A33DBA">
                              <w:rPr>
                                <w:rFonts w:ascii="Arial" w:hAnsi="Arial" w:cs="Arial"/>
                                <w:sz w:val="20"/>
                                <w:szCs w:val="20"/>
                              </w:rPr>
                              <w:t>(95% Cl, 0</w:t>
                            </w:r>
                            <w:r>
                              <w:rPr>
                                <w:rFonts w:ascii="Arial" w:hAnsi="Arial" w:cs="Arial"/>
                                <w:sz w:val="20"/>
                                <w:szCs w:val="20"/>
                              </w:rPr>
                              <w:t>,22</w:t>
                            </w:r>
                            <w:r>
                              <w:rPr>
                                <w:rFonts w:ascii="Arial" w:hAnsi="Arial" w:cs="Arial"/>
                                <w:sz w:val="20"/>
                                <w:szCs w:val="20"/>
                              </w:rPr>
                              <w:noBreakHyphen/>
                            </w:r>
                            <w:r w:rsidRPr="00A33DBA">
                              <w:rPr>
                                <w:rFonts w:ascii="Arial" w:hAnsi="Arial" w:cs="Arial"/>
                                <w:sz w:val="20"/>
                                <w:szCs w:val="20"/>
                              </w:rPr>
                              <w:t>0</w:t>
                            </w:r>
                            <w:r>
                              <w:rPr>
                                <w:rFonts w:ascii="Arial" w:hAnsi="Arial" w:cs="Arial"/>
                                <w:sz w:val="20"/>
                                <w:szCs w:val="20"/>
                              </w:rPr>
                              <w:t>,</w:t>
                            </w:r>
                            <w:r w:rsidRPr="00A33DBA">
                              <w:rPr>
                                <w:rFonts w:ascii="Arial" w:hAnsi="Arial" w:cs="Arial"/>
                                <w:sz w:val="20"/>
                                <w:szCs w:val="20"/>
                              </w:rPr>
                              <w:t>89)</w:t>
                            </w:r>
                          </w:p>
                        </w:tc>
                      </w:tr>
                      <w:tr w:rsidR="00897AA8" w:rsidRPr="00212166" w14:paraId="203A17CF" w14:textId="77777777">
                        <w:tc>
                          <w:tcPr>
                            <w:tcW w:w="817" w:type="dxa"/>
                            <w:shd w:val="clear" w:color="auto" w:fill="auto"/>
                          </w:tcPr>
                          <w:p w14:paraId="6E430769" w14:textId="77777777" w:rsidR="00897AA8" w:rsidRPr="00390571" w:rsidRDefault="00897AA8" w:rsidP="007B7F7F">
                            <w:pPr>
                              <w:rPr>
                                <w:rFonts w:ascii="Arial" w:hAnsi="Arial" w:cs="Arial"/>
                                <w:sz w:val="20"/>
                                <w:szCs w:val="20"/>
                              </w:rPr>
                            </w:pPr>
                          </w:p>
                        </w:tc>
                        <w:tc>
                          <w:tcPr>
                            <w:tcW w:w="2464" w:type="dxa"/>
                            <w:shd w:val="clear" w:color="auto" w:fill="auto"/>
                          </w:tcPr>
                          <w:p w14:paraId="1C804C38" w14:textId="77777777" w:rsidR="00897AA8" w:rsidRPr="00390571" w:rsidRDefault="00897AA8" w:rsidP="007B7F7F">
                            <w:pPr>
                              <w:rPr>
                                <w:rFonts w:ascii="Arial" w:hAnsi="Arial" w:cs="Arial"/>
                                <w:sz w:val="20"/>
                                <w:szCs w:val="20"/>
                              </w:rPr>
                            </w:pPr>
                          </w:p>
                        </w:tc>
                        <w:tc>
                          <w:tcPr>
                            <w:tcW w:w="851" w:type="dxa"/>
                            <w:tcBorders>
                              <w:bottom w:val="single" w:sz="4" w:space="0" w:color="auto"/>
                            </w:tcBorders>
                            <w:shd w:val="clear" w:color="auto" w:fill="auto"/>
                          </w:tcPr>
                          <w:p w14:paraId="00F8CA9A" w14:textId="77777777" w:rsidR="00897AA8" w:rsidRPr="00390571" w:rsidRDefault="00897AA8" w:rsidP="0008276E">
                            <w:pPr>
                              <w:rPr>
                                <w:rFonts w:ascii="Arial" w:hAnsi="Arial" w:cs="Arial"/>
                                <w:sz w:val="20"/>
                                <w:szCs w:val="20"/>
                              </w:rPr>
                            </w:pPr>
                            <w:r w:rsidRPr="00390571">
                              <w:rPr>
                                <w:rFonts w:ascii="Arial" w:hAnsi="Arial" w:cs="Arial"/>
                                <w:sz w:val="20"/>
                                <w:szCs w:val="20"/>
                                <w:lang w:val="de-DE"/>
                              </w:rPr>
                              <w:t>n</w:t>
                            </w:r>
                          </w:p>
                        </w:tc>
                        <w:tc>
                          <w:tcPr>
                            <w:tcW w:w="709" w:type="dxa"/>
                            <w:tcBorders>
                              <w:bottom w:val="single" w:sz="4" w:space="0" w:color="auto"/>
                            </w:tcBorders>
                            <w:shd w:val="clear" w:color="auto" w:fill="auto"/>
                          </w:tcPr>
                          <w:p w14:paraId="638129A5" w14:textId="77777777" w:rsidR="00897AA8" w:rsidRPr="00C40642" w:rsidRDefault="00897AA8" w:rsidP="007B7F7F">
                            <w:pPr>
                              <w:rPr>
                                <w:rFonts w:ascii="Arial" w:hAnsi="Arial" w:cs="Arial"/>
                                <w:sz w:val="20"/>
                                <w:szCs w:val="20"/>
                              </w:rPr>
                            </w:pPr>
                            <w:r w:rsidRPr="00390571">
                              <w:rPr>
                                <w:rFonts w:ascii="Arial" w:hAnsi="Arial" w:cs="Arial"/>
                                <w:sz w:val="20"/>
                                <w:szCs w:val="20"/>
                                <w:lang w:val="it-IT"/>
                              </w:rPr>
                              <w:t>Udá</w:t>
                            </w:r>
                            <w:r w:rsidRPr="00C40642">
                              <w:rPr>
                                <w:rFonts w:ascii="Arial" w:hAnsi="Arial" w:cs="Arial"/>
                                <w:sz w:val="20"/>
                                <w:szCs w:val="20"/>
                                <w:lang w:val="it-IT"/>
                              </w:rPr>
                              <w:t>l.</w:t>
                            </w:r>
                          </w:p>
                        </w:tc>
                        <w:tc>
                          <w:tcPr>
                            <w:tcW w:w="850" w:type="dxa"/>
                            <w:tcBorders>
                              <w:bottom w:val="single" w:sz="4" w:space="0" w:color="auto"/>
                            </w:tcBorders>
                            <w:shd w:val="clear" w:color="auto" w:fill="auto"/>
                          </w:tcPr>
                          <w:p w14:paraId="6D278584" w14:textId="77777777" w:rsidR="00897AA8" w:rsidRPr="00212166" w:rsidRDefault="00897AA8" w:rsidP="007B7F7F">
                            <w:pPr>
                              <w:rPr>
                                <w:rFonts w:ascii="Arial" w:hAnsi="Arial" w:cs="Arial"/>
                                <w:sz w:val="20"/>
                                <w:szCs w:val="20"/>
                              </w:rPr>
                            </w:pPr>
                            <w:r w:rsidRPr="00212166">
                              <w:rPr>
                                <w:rFonts w:ascii="Arial" w:hAnsi="Arial" w:cs="Arial"/>
                                <w:sz w:val="20"/>
                                <w:szCs w:val="20"/>
                                <w:lang w:val="it-IT"/>
                              </w:rPr>
                              <w:t>Cen.</w:t>
                            </w:r>
                          </w:p>
                        </w:tc>
                      </w:tr>
                      <w:tr w:rsidR="00897AA8" w:rsidRPr="0055776F" w14:paraId="18A8BD48" w14:textId="77777777">
                        <w:tc>
                          <w:tcPr>
                            <w:tcW w:w="817" w:type="dxa"/>
                            <w:shd w:val="clear" w:color="auto" w:fill="auto"/>
                          </w:tcPr>
                          <w:p w14:paraId="6FB0279A" w14:textId="77777777" w:rsidR="00897AA8" w:rsidRPr="0055776F" w:rsidRDefault="00897AA8" w:rsidP="007B7F7F">
                            <w:pPr>
                              <w:rPr>
                                <w:rFonts w:ascii="Arial" w:hAnsi="Arial" w:cs="Arial"/>
                                <w:sz w:val="20"/>
                                <w:szCs w:val="20"/>
                              </w:rPr>
                            </w:pPr>
                            <w:r w:rsidRPr="0055776F">
                              <w:rPr>
                                <w:rFonts w:ascii="Arial" w:hAnsi="Arial" w:cs="Arial"/>
                                <w:b/>
                                <w:sz w:val="20"/>
                                <w:szCs w:val="20"/>
                              </w:rPr>
                              <w:t>——</w:t>
                            </w:r>
                          </w:p>
                        </w:tc>
                        <w:tc>
                          <w:tcPr>
                            <w:tcW w:w="2464" w:type="dxa"/>
                            <w:shd w:val="clear" w:color="auto" w:fill="auto"/>
                          </w:tcPr>
                          <w:p w14:paraId="53EC431E" w14:textId="77777777" w:rsidR="00897AA8" w:rsidRPr="0055776F" w:rsidRDefault="00897AA8" w:rsidP="000E5517">
                            <w:pPr>
                              <w:rPr>
                                <w:rFonts w:ascii="Arial" w:hAnsi="Arial" w:cs="Arial"/>
                                <w:sz w:val="20"/>
                                <w:szCs w:val="20"/>
                              </w:rPr>
                            </w:pPr>
                            <w:r>
                              <w:rPr>
                                <w:rFonts w:ascii="Arial" w:hAnsi="Arial" w:cs="Arial"/>
                                <w:sz w:val="20"/>
                                <w:szCs w:val="20"/>
                              </w:rPr>
                              <w:t>(1) Imatinib 12 měsíců</w:t>
                            </w:r>
                            <w:r w:rsidRPr="00A33DBA">
                              <w:rPr>
                                <w:rFonts w:ascii="Arial" w:hAnsi="Arial" w:cs="Arial"/>
                                <w:sz w:val="20"/>
                                <w:szCs w:val="20"/>
                              </w:rPr>
                              <w:t>:</w:t>
                            </w:r>
                          </w:p>
                        </w:tc>
                        <w:tc>
                          <w:tcPr>
                            <w:tcW w:w="851" w:type="dxa"/>
                            <w:tcBorders>
                              <w:top w:val="single" w:sz="4" w:space="0" w:color="auto"/>
                            </w:tcBorders>
                            <w:shd w:val="clear" w:color="auto" w:fill="auto"/>
                          </w:tcPr>
                          <w:p w14:paraId="29D7BFA0" w14:textId="77777777" w:rsidR="00897AA8" w:rsidRPr="0055776F" w:rsidRDefault="00897AA8" w:rsidP="007B7F7F">
                            <w:pPr>
                              <w:rPr>
                                <w:rFonts w:ascii="Arial" w:hAnsi="Arial" w:cs="Arial"/>
                                <w:sz w:val="20"/>
                                <w:szCs w:val="20"/>
                              </w:rPr>
                            </w:pPr>
                            <w:r w:rsidRPr="0055776F">
                              <w:rPr>
                                <w:rFonts w:ascii="Arial" w:hAnsi="Arial" w:cs="Arial"/>
                                <w:sz w:val="20"/>
                                <w:szCs w:val="20"/>
                              </w:rPr>
                              <w:t>199</w:t>
                            </w:r>
                          </w:p>
                        </w:tc>
                        <w:tc>
                          <w:tcPr>
                            <w:tcW w:w="709" w:type="dxa"/>
                            <w:tcBorders>
                              <w:top w:val="single" w:sz="4" w:space="0" w:color="auto"/>
                            </w:tcBorders>
                            <w:shd w:val="clear" w:color="auto" w:fill="auto"/>
                          </w:tcPr>
                          <w:p w14:paraId="54DF1BEA" w14:textId="77777777" w:rsidR="00897AA8" w:rsidRPr="0055776F" w:rsidRDefault="00897AA8" w:rsidP="007B7F7F">
                            <w:pPr>
                              <w:rPr>
                                <w:rFonts w:ascii="Arial" w:hAnsi="Arial" w:cs="Arial"/>
                                <w:sz w:val="20"/>
                                <w:szCs w:val="20"/>
                              </w:rPr>
                            </w:pPr>
                            <w:r w:rsidRPr="0055776F">
                              <w:rPr>
                                <w:rFonts w:ascii="Arial" w:hAnsi="Arial" w:cs="Arial"/>
                                <w:sz w:val="20"/>
                                <w:szCs w:val="20"/>
                              </w:rPr>
                              <w:t>25</w:t>
                            </w:r>
                          </w:p>
                        </w:tc>
                        <w:tc>
                          <w:tcPr>
                            <w:tcW w:w="850" w:type="dxa"/>
                            <w:tcBorders>
                              <w:top w:val="single" w:sz="4" w:space="0" w:color="auto"/>
                            </w:tcBorders>
                            <w:shd w:val="clear" w:color="auto" w:fill="auto"/>
                          </w:tcPr>
                          <w:p w14:paraId="0E3EC218" w14:textId="77777777" w:rsidR="00897AA8" w:rsidRPr="0055776F" w:rsidRDefault="00897AA8" w:rsidP="007B7F7F">
                            <w:pPr>
                              <w:rPr>
                                <w:rFonts w:ascii="Arial" w:hAnsi="Arial" w:cs="Arial"/>
                                <w:sz w:val="20"/>
                                <w:szCs w:val="20"/>
                              </w:rPr>
                            </w:pPr>
                            <w:r w:rsidRPr="0055776F">
                              <w:rPr>
                                <w:rFonts w:ascii="Arial" w:hAnsi="Arial" w:cs="Arial"/>
                                <w:sz w:val="20"/>
                                <w:szCs w:val="20"/>
                              </w:rPr>
                              <w:t>174</w:t>
                            </w:r>
                          </w:p>
                        </w:tc>
                      </w:tr>
                      <w:tr w:rsidR="00897AA8" w:rsidRPr="0055776F" w14:paraId="4EABB0BF" w14:textId="77777777">
                        <w:tc>
                          <w:tcPr>
                            <w:tcW w:w="817" w:type="dxa"/>
                            <w:shd w:val="clear" w:color="auto" w:fill="auto"/>
                          </w:tcPr>
                          <w:p w14:paraId="1C722D3A" w14:textId="77777777" w:rsidR="00897AA8" w:rsidRPr="0055776F" w:rsidRDefault="00897AA8" w:rsidP="007B7F7F">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633DDB24" w14:textId="77777777" w:rsidR="00897AA8" w:rsidRPr="0055776F" w:rsidRDefault="00897AA8" w:rsidP="000E5517">
                            <w:pPr>
                              <w:rPr>
                                <w:rFonts w:ascii="Arial" w:hAnsi="Arial" w:cs="Arial"/>
                                <w:sz w:val="20"/>
                                <w:szCs w:val="20"/>
                              </w:rPr>
                            </w:pPr>
                            <w:r>
                              <w:rPr>
                                <w:rFonts w:ascii="Arial" w:hAnsi="Arial" w:cs="Arial"/>
                                <w:sz w:val="20"/>
                                <w:szCs w:val="20"/>
                              </w:rPr>
                              <w:t>(2) Imatinib 36 měsíců</w:t>
                            </w:r>
                            <w:r w:rsidRPr="00A33DBA">
                              <w:rPr>
                                <w:rFonts w:ascii="Arial" w:hAnsi="Arial" w:cs="Arial"/>
                                <w:sz w:val="20"/>
                                <w:szCs w:val="20"/>
                              </w:rPr>
                              <w:t>:</w:t>
                            </w:r>
                          </w:p>
                        </w:tc>
                        <w:tc>
                          <w:tcPr>
                            <w:tcW w:w="851" w:type="dxa"/>
                            <w:tcBorders>
                              <w:bottom w:val="single" w:sz="4" w:space="0" w:color="auto"/>
                            </w:tcBorders>
                            <w:shd w:val="clear" w:color="auto" w:fill="auto"/>
                          </w:tcPr>
                          <w:p w14:paraId="570CE272" w14:textId="77777777" w:rsidR="00897AA8" w:rsidRPr="0055776F" w:rsidRDefault="00897AA8" w:rsidP="007B7F7F">
                            <w:pPr>
                              <w:rPr>
                                <w:rFonts w:ascii="Arial" w:hAnsi="Arial" w:cs="Arial"/>
                                <w:sz w:val="20"/>
                                <w:szCs w:val="20"/>
                              </w:rPr>
                            </w:pPr>
                            <w:r w:rsidRPr="0055776F">
                              <w:rPr>
                                <w:rFonts w:ascii="Arial" w:hAnsi="Arial" w:cs="Arial"/>
                                <w:sz w:val="20"/>
                                <w:szCs w:val="20"/>
                              </w:rPr>
                              <w:t>198</w:t>
                            </w:r>
                          </w:p>
                        </w:tc>
                        <w:tc>
                          <w:tcPr>
                            <w:tcW w:w="709" w:type="dxa"/>
                            <w:tcBorders>
                              <w:bottom w:val="single" w:sz="4" w:space="0" w:color="auto"/>
                            </w:tcBorders>
                            <w:shd w:val="clear" w:color="auto" w:fill="auto"/>
                          </w:tcPr>
                          <w:p w14:paraId="24581E9C" w14:textId="77777777" w:rsidR="00897AA8" w:rsidRPr="0055776F" w:rsidRDefault="00897AA8" w:rsidP="007B7F7F">
                            <w:pPr>
                              <w:rPr>
                                <w:rFonts w:ascii="Arial" w:hAnsi="Arial" w:cs="Arial"/>
                                <w:sz w:val="20"/>
                                <w:szCs w:val="20"/>
                              </w:rPr>
                            </w:pPr>
                            <w:r w:rsidRPr="0055776F">
                              <w:rPr>
                                <w:rFonts w:ascii="Arial" w:hAnsi="Arial" w:cs="Arial"/>
                                <w:sz w:val="20"/>
                                <w:szCs w:val="20"/>
                              </w:rPr>
                              <w:t>12</w:t>
                            </w:r>
                          </w:p>
                        </w:tc>
                        <w:tc>
                          <w:tcPr>
                            <w:tcW w:w="850" w:type="dxa"/>
                            <w:tcBorders>
                              <w:bottom w:val="single" w:sz="4" w:space="0" w:color="auto"/>
                            </w:tcBorders>
                            <w:shd w:val="clear" w:color="auto" w:fill="auto"/>
                          </w:tcPr>
                          <w:p w14:paraId="639B0F6D" w14:textId="77777777" w:rsidR="00897AA8" w:rsidRPr="0055776F" w:rsidRDefault="00897AA8" w:rsidP="007B7F7F">
                            <w:pPr>
                              <w:rPr>
                                <w:rFonts w:ascii="Arial" w:hAnsi="Arial" w:cs="Arial"/>
                                <w:sz w:val="20"/>
                                <w:szCs w:val="20"/>
                              </w:rPr>
                            </w:pPr>
                            <w:r w:rsidRPr="0055776F">
                              <w:rPr>
                                <w:rFonts w:ascii="Arial" w:hAnsi="Arial" w:cs="Arial"/>
                                <w:sz w:val="20"/>
                                <w:szCs w:val="20"/>
                              </w:rPr>
                              <w:t>186</w:t>
                            </w:r>
                          </w:p>
                        </w:tc>
                      </w:tr>
                      <w:tr w:rsidR="00897AA8" w:rsidRPr="0055776F" w14:paraId="3582AC93" w14:textId="77777777">
                        <w:tc>
                          <w:tcPr>
                            <w:tcW w:w="817" w:type="dxa"/>
                            <w:shd w:val="clear" w:color="auto" w:fill="auto"/>
                          </w:tcPr>
                          <w:p w14:paraId="2BA87BA9" w14:textId="77777777" w:rsidR="00897AA8" w:rsidRPr="0055776F" w:rsidRDefault="00897AA8" w:rsidP="007B7F7F">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799CC7ED" w14:textId="77777777" w:rsidR="00897AA8" w:rsidRPr="0055776F" w:rsidRDefault="00897AA8" w:rsidP="007B7F7F">
                            <w:pPr>
                              <w:rPr>
                                <w:rFonts w:ascii="Arial" w:hAnsi="Arial" w:cs="Arial"/>
                                <w:sz w:val="20"/>
                                <w:szCs w:val="20"/>
                              </w:rPr>
                            </w:pPr>
                            <w:r>
                              <w:rPr>
                                <w:rFonts w:ascii="Arial" w:hAnsi="Arial" w:cs="Arial"/>
                                <w:sz w:val="20"/>
                                <w:szCs w:val="20"/>
                              </w:rPr>
                              <w:t>Cenzorovaná pozorování</w:t>
                            </w:r>
                          </w:p>
                        </w:tc>
                        <w:tc>
                          <w:tcPr>
                            <w:tcW w:w="851" w:type="dxa"/>
                            <w:tcBorders>
                              <w:top w:val="single" w:sz="4" w:space="0" w:color="auto"/>
                            </w:tcBorders>
                            <w:shd w:val="clear" w:color="auto" w:fill="auto"/>
                          </w:tcPr>
                          <w:p w14:paraId="0EAEBE85" w14:textId="77777777" w:rsidR="00897AA8" w:rsidRPr="0055776F" w:rsidRDefault="00897AA8" w:rsidP="007B7F7F">
                            <w:pPr>
                              <w:rPr>
                                <w:rFonts w:ascii="Arial" w:hAnsi="Arial" w:cs="Arial"/>
                                <w:sz w:val="20"/>
                                <w:szCs w:val="20"/>
                              </w:rPr>
                            </w:pPr>
                          </w:p>
                        </w:tc>
                        <w:tc>
                          <w:tcPr>
                            <w:tcW w:w="709" w:type="dxa"/>
                            <w:tcBorders>
                              <w:top w:val="single" w:sz="4" w:space="0" w:color="auto"/>
                            </w:tcBorders>
                            <w:shd w:val="clear" w:color="auto" w:fill="auto"/>
                          </w:tcPr>
                          <w:p w14:paraId="60CFABB0" w14:textId="77777777" w:rsidR="00897AA8" w:rsidRPr="0055776F" w:rsidRDefault="00897AA8" w:rsidP="007B7F7F">
                            <w:pPr>
                              <w:rPr>
                                <w:rFonts w:ascii="Arial" w:hAnsi="Arial" w:cs="Arial"/>
                                <w:sz w:val="20"/>
                                <w:szCs w:val="20"/>
                              </w:rPr>
                            </w:pPr>
                          </w:p>
                        </w:tc>
                        <w:tc>
                          <w:tcPr>
                            <w:tcW w:w="850" w:type="dxa"/>
                            <w:tcBorders>
                              <w:top w:val="single" w:sz="4" w:space="0" w:color="auto"/>
                            </w:tcBorders>
                            <w:shd w:val="clear" w:color="auto" w:fill="auto"/>
                          </w:tcPr>
                          <w:p w14:paraId="19FA61B2" w14:textId="77777777" w:rsidR="00897AA8" w:rsidRPr="0055776F" w:rsidRDefault="00897AA8" w:rsidP="007B7F7F">
                            <w:pPr>
                              <w:rPr>
                                <w:rFonts w:ascii="Arial" w:hAnsi="Arial" w:cs="Arial"/>
                                <w:sz w:val="20"/>
                                <w:szCs w:val="20"/>
                              </w:rPr>
                            </w:pPr>
                          </w:p>
                        </w:tc>
                      </w:tr>
                    </w:tbl>
                    <w:p w14:paraId="7123651B" w14:textId="77777777" w:rsidR="00897AA8" w:rsidRPr="00A33DBA" w:rsidRDefault="00897AA8" w:rsidP="006367E4">
                      <w:pPr>
                        <w:rPr>
                          <w:rFonts w:ascii="Arial" w:hAnsi="Arial" w:cs="Arial"/>
                          <w:sz w:val="20"/>
                          <w:szCs w:val="20"/>
                        </w:rPr>
                      </w:pPr>
                    </w:p>
                  </w:txbxContent>
                </v:textbox>
              </v:shape>
            </w:pict>
          </mc:Fallback>
        </mc:AlternateContent>
      </w:r>
      <w:r w:rsidRPr="009B1A37">
        <w:rPr>
          <w:noProof/>
          <w:lang w:val="en-GB" w:eastAsia="en-GB"/>
        </w:rPr>
        <w:drawing>
          <wp:inline distT="0" distB="0" distL="0" distR="0" wp14:anchorId="7BA0EADD" wp14:editId="675F1638">
            <wp:extent cx="5947410" cy="26320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7410" cy="2632075"/>
                    </a:xfrm>
                    <a:prstGeom prst="rect">
                      <a:avLst/>
                    </a:prstGeom>
                    <a:noFill/>
                    <a:ln>
                      <a:noFill/>
                    </a:ln>
                  </pic:spPr>
                </pic:pic>
              </a:graphicData>
            </a:graphic>
          </wp:inline>
        </w:drawing>
      </w:r>
    </w:p>
    <w:p w14:paraId="78F24E57" w14:textId="77777777" w:rsidR="006367E4" w:rsidRPr="009B1A37" w:rsidRDefault="001B24B9" w:rsidP="00BE3D48">
      <w:pPr>
        <w:keepNext/>
        <w:keepLines/>
        <w:widowControl w:val="0"/>
        <w:tabs>
          <w:tab w:val="clear" w:pos="567"/>
        </w:tabs>
        <w:spacing w:line="240" w:lineRule="auto"/>
        <w:ind w:left="1134" w:hanging="1134"/>
        <w:outlineLvl w:val="6"/>
        <w:rPr>
          <w:rFonts w:eastAsia="MS Mincho"/>
        </w:rPr>
      </w:pPr>
      <w:r w:rsidRPr="009B1A37">
        <w:rPr>
          <w:rFonts w:eastAsia="MS Mincho"/>
          <w:noProof/>
          <w:lang w:val="en-GB" w:eastAsia="en-GB"/>
        </w:rPr>
        <mc:AlternateContent>
          <mc:Choice Requires="wps">
            <w:drawing>
              <wp:anchor distT="0" distB="0" distL="114300" distR="114300" simplePos="0" relativeHeight="251657216" behindDoc="0" locked="0" layoutInCell="1" allowOverlap="1" wp14:anchorId="45E45EF3" wp14:editId="651B6CBD">
                <wp:simplePos x="0" y="0"/>
                <wp:positionH relativeFrom="column">
                  <wp:posOffset>2112010</wp:posOffset>
                </wp:positionH>
                <wp:positionV relativeFrom="paragraph">
                  <wp:posOffset>10795</wp:posOffset>
                </wp:positionV>
                <wp:extent cx="1619250" cy="2857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92F726" w14:textId="77777777" w:rsidR="00897AA8" w:rsidRPr="00A33DBA" w:rsidRDefault="00897AA8" w:rsidP="00112FBD">
                            <w:pPr>
                              <w:rPr>
                                <w:rFonts w:ascii="Arial" w:hAnsi="Arial" w:cs="Arial"/>
                                <w:sz w:val="20"/>
                                <w:szCs w:val="20"/>
                              </w:rPr>
                            </w:pPr>
                            <w:r>
                              <w:rPr>
                                <w:rFonts w:ascii="Arial" w:hAnsi="Arial" w:cs="Arial"/>
                                <w:sz w:val="20"/>
                                <w:szCs w:val="20"/>
                                <w:lang w:val="de-DE"/>
                              </w:rPr>
                              <w:t>Doba přežití v měsících</w:t>
                            </w:r>
                          </w:p>
                          <w:p w14:paraId="4920430C" w14:textId="77777777" w:rsidR="00897AA8" w:rsidRPr="00A33DBA" w:rsidRDefault="00897AA8" w:rsidP="006367E4">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E45EF3" id="_x0000_s1031" type="#_x0000_t202" style="position:absolute;left:0;text-align:left;margin-left:166.3pt;margin-top:.85pt;width:127.5pt;height: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" stroked="f">
                <v:fill opacity="0"/>
                <v:textbox>
                  <w:txbxContent>
                    <w:p w14:paraId="4892F726" w14:textId="77777777" w:rsidR="00897AA8" w:rsidRPr="00A33DBA" w:rsidRDefault="00897AA8" w:rsidP="00112FBD">
                      <w:pPr>
                        <w:rPr>
                          <w:rFonts w:ascii="Arial" w:hAnsi="Arial" w:cs="Arial"/>
                          <w:sz w:val="20"/>
                          <w:szCs w:val="20"/>
                        </w:rPr>
                      </w:pPr>
                      <w:r>
                        <w:rPr>
                          <w:rFonts w:ascii="Arial" w:hAnsi="Arial" w:cs="Arial"/>
                          <w:sz w:val="20"/>
                          <w:szCs w:val="20"/>
                          <w:lang w:val="de-DE"/>
                        </w:rPr>
                        <w:t>Doba přežití v měsících</w:t>
                      </w:r>
                    </w:p>
                    <w:p w14:paraId="4920430C" w14:textId="77777777" w:rsidR="00897AA8" w:rsidRPr="00A33DBA" w:rsidRDefault="00897AA8" w:rsidP="006367E4">
                      <w:pPr>
                        <w:rPr>
                          <w:rFonts w:ascii="Arial" w:hAnsi="Arial" w:cs="Arial"/>
                          <w:sz w:val="20"/>
                          <w:szCs w:val="20"/>
                        </w:rPr>
                      </w:pPr>
                    </w:p>
                  </w:txbxContent>
                </v:textbox>
              </v:shape>
            </w:pict>
          </mc:Fallback>
        </mc:AlternateContent>
      </w:r>
    </w:p>
    <w:p w14:paraId="02B45D1D" w14:textId="77777777" w:rsidR="006367E4" w:rsidRPr="009B1A37" w:rsidRDefault="006367E4" w:rsidP="00BE3D48">
      <w:pPr>
        <w:keepNext/>
        <w:keepLines/>
        <w:widowControl w:val="0"/>
        <w:spacing w:line="240" w:lineRule="auto"/>
        <w:rPr>
          <w:noProof/>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6367E4" w:rsidRPr="009B1A37" w14:paraId="24BC9536" w14:textId="77777777">
        <w:tc>
          <w:tcPr>
            <w:tcW w:w="10632" w:type="dxa"/>
            <w:gridSpan w:val="16"/>
            <w:shd w:val="clear" w:color="auto" w:fill="auto"/>
          </w:tcPr>
          <w:p w14:paraId="5C64DE9A" w14:textId="77777777" w:rsidR="006367E4" w:rsidRPr="009B1A37" w:rsidRDefault="00112FBD" w:rsidP="00BE3D48">
            <w:pPr>
              <w:keepNext/>
              <w:keepLines/>
              <w:widowControl w:val="0"/>
              <w:spacing w:line="240" w:lineRule="auto"/>
              <w:ind w:left="-27"/>
              <w:rPr>
                <w:rFonts w:ascii="Arial" w:hAnsi="Arial" w:cs="Arial"/>
                <w:sz w:val="16"/>
                <w:szCs w:val="16"/>
              </w:rPr>
            </w:pPr>
            <w:r w:rsidRPr="009B1A37">
              <w:rPr>
                <w:rFonts w:ascii="Arial" w:hAnsi="Arial" w:cs="Arial"/>
                <w:sz w:val="20"/>
                <w:szCs w:val="20"/>
              </w:rPr>
              <w:t>V riziku: Události</w:t>
            </w:r>
          </w:p>
        </w:tc>
      </w:tr>
      <w:tr w:rsidR="006367E4" w:rsidRPr="009B1A37" w14:paraId="771D912A" w14:textId="77777777">
        <w:tc>
          <w:tcPr>
            <w:tcW w:w="450" w:type="dxa"/>
            <w:shd w:val="clear" w:color="auto" w:fill="auto"/>
          </w:tcPr>
          <w:p w14:paraId="71B50C3C" w14:textId="77777777" w:rsidR="006367E4" w:rsidRPr="009B1A37" w:rsidRDefault="006367E4" w:rsidP="00BE3D48">
            <w:pPr>
              <w:keepNext/>
              <w:keepLines/>
              <w:widowControl w:val="0"/>
              <w:spacing w:line="240" w:lineRule="auto"/>
              <w:rPr>
                <w:sz w:val="20"/>
                <w:szCs w:val="20"/>
              </w:rPr>
            </w:pPr>
            <w:r w:rsidRPr="009B1A37">
              <w:rPr>
                <w:sz w:val="20"/>
                <w:szCs w:val="20"/>
              </w:rPr>
              <w:t>(1)</w:t>
            </w:r>
          </w:p>
        </w:tc>
        <w:tc>
          <w:tcPr>
            <w:tcW w:w="687" w:type="dxa"/>
            <w:shd w:val="clear" w:color="auto" w:fill="auto"/>
          </w:tcPr>
          <w:p w14:paraId="49A34EE9" w14:textId="77777777" w:rsidR="006367E4" w:rsidRPr="009B1A37" w:rsidRDefault="006367E4" w:rsidP="00BE3D48">
            <w:pPr>
              <w:keepNext/>
              <w:keepLines/>
              <w:widowControl w:val="0"/>
              <w:spacing w:line="240" w:lineRule="auto"/>
              <w:ind w:left="-45"/>
              <w:rPr>
                <w:sz w:val="20"/>
                <w:szCs w:val="20"/>
              </w:rPr>
            </w:pPr>
            <w:r w:rsidRPr="009B1A37">
              <w:rPr>
                <w:sz w:val="20"/>
                <w:szCs w:val="20"/>
              </w:rPr>
              <w:t>199:0</w:t>
            </w:r>
          </w:p>
        </w:tc>
        <w:tc>
          <w:tcPr>
            <w:tcW w:w="670" w:type="dxa"/>
            <w:shd w:val="clear" w:color="auto" w:fill="auto"/>
          </w:tcPr>
          <w:p w14:paraId="191716E4" w14:textId="77777777" w:rsidR="006367E4" w:rsidRPr="009B1A37" w:rsidRDefault="006367E4" w:rsidP="00BE3D48">
            <w:pPr>
              <w:keepNext/>
              <w:keepLines/>
              <w:widowControl w:val="0"/>
              <w:spacing w:line="240" w:lineRule="auto"/>
              <w:ind w:left="-45"/>
              <w:rPr>
                <w:sz w:val="20"/>
                <w:szCs w:val="20"/>
              </w:rPr>
            </w:pPr>
            <w:r w:rsidRPr="009B1A37">
              <w:rPr>
                <w:sz w:val="20"/>
                <w:szCs w:val="20"/>
              </w:rPr>
              <w:t>190:2</w:t>
            </w:r>
          </w:p>
        </w:tc>
        <w:tc>
          <w:tcPr>
            <w:tcW w:w="710" w:type="dxa"/>
            <w:shd w:val="clear" w:color="auto" w:fill="auto"/>
          </w:tcPr>
          <w:p w14:paraId="25D5DEEE" w14:textId="77777777" w:rsidR="006367E4" w:rsidRPr="009B1A37" w:rsidRDefault="006367E4" w:rsidP="00BE3D48">
            <w:pPr>
              <w:keepNext/>
              <w:keepLines/>
              <w:widowControl w:val="0"/>
              <w:spacing w:line="240" w:lineRule="auto"/>
              <w:ind w:left="-45"/>
              <w:rPr>
                <w:sz w:val="20"/>
                <w:szCs w:val="20"/>
              </w:rPr>
            </w:pPr>
            <w:r w:rsidRPr="009B1A37">
              <w:rPr>
                <w:sz w:val="20"/>
                <w:szCs w:val="20"/>
              </w:rPr>
              <w:t>188:2</w:t>
            </w:r>
          </w:p>
        </w:tc>
        <w:tc>
          <w:tcPr>
            <w:tcW w:w="717" w:type="dxa"/>
            <w:shd w:val="clear" w:color="auto" w:fill="auto"/>
          </w:tcPr>
          <w:p w14:paraId="18D6097C" w14:textId="77777777" w:rsidR="006367E4" w:rsidRPr="009B1A37" w:rsidRDefault="006367E4" w:rsidP="00BE3D48">
            <w:pPr>
              <w:keepNext/>
              <w:keepLines/>
              <w:widowControl w:val="0"/>
              <w:spacing w:line="240" w:lineRule="auto"/>
              <w:ind w:left="-45"/>
              <w:rPr>
                <w:sz w:val="20"/>
                <w:szCs w:val="20"/>
              </w:rPr>
            </w:pPr>
            <w:r w:rsidRPr="009B1A37">
              <w:rPr>
                <w:sz w:val="20"/>
                <w:szCs w:val="20"/>
              </w:rPr>
              <w:t>183:6</w:t>
            </w:r>
          </w:p>
        </w:tc>
        <w:tc>
          <w:tcPr>
            <w:tcW w:w="691" w:type="dxa"/>
            <w:shd w:val="clear" w:color="auto" w:fill="auto"/>
          </w:tcPr>
          <w:p w14:paraId="6636964A" w14:textId="77777777" w:rsidR="006367E4" w:rsidRPr="009B1A37" w:rsidRDefault="006367E4" w:rsidP="00BE3D48">
            <w:pPr>
              <w:keepNext/>
              <w:keepLines/>
              <w:widowControl w:val="0"/>
              <w:spacing w:line="240" w:lineRule="auto"/>
              <w:ind w:left="-45"/>
              <w:rPr>
                <w:sz w:val="20"/>
                <w:szCs w:val="20"/>
              </w:rPr>
            </w:pPr>
            <w:r w:rsidRPr="009B1A37">
              <w:rPr>
                <w:sz w:val="20"/>
                <w:szCs w:val="20"/>
              </w:rPr>
              <w:t>176:8</w:t>
            </w:r>
          </w:p>
        </w:tc>
        <w:tc>
          <w:tcPr>
            <w:tcW w:w="770" w:type="dxa"/>
            <w:shd w:val="clear" w:color="auto" w:fill="auto"/>
          </w:tcPr>
          <w:p w14:paraId="57307038" w14:textId="77777777" w:rsidR="006367E4" w:rsidRPr="009B1A37" w:rsidRDefault="006367E4" w:rsidP="00BE3D48">
            <w:pPr>
              <w:keepNext/>
              <w:keepLines/>
              <w:widowControl w:val="0"/>
              <w:spacing w:line="240" w:lineRule="auto"/>
              <w:ind w:left="-45"/>
              <w:rPr>
                <w:sz w:val="20"/>
                <w:szCs w:val="20"/>
              </w:rPr>
            </w:pPr>
            <w:r w:rsidRPr="009B1A37">
              <w:rPr>
                <w:sz w:val="20"/>
                <w:szCs w:val="20"/>
              </w:rPr>
              <w:t>156:10</w:t>
            </w:r>
          </w:p>
        </w:tc>
        <w:tc>
          <w:tcPr>
            <w:tcW w:w="779" w:type="dxa"/>
            <w:shd w:val="clear" w:color="auto" w:fill="auto"/>
          </w:tcPr>
          <w:p w14:paraId="784DFE4A" w14:textId="77777777" w:rsidR="006367E4" w:rsidRPr="009B1A37" w:rsidRDefault="006367E4" w:rsidP="00BE3D48">
            <w:pPr>
              <w:keepNext/>
              <w:keepLines/>
              <w:widowControl w:val="0"/>
              <w:spacing w:line="240" w:lineRule="auto"/>
              <w:ind w:left="-45"/>
              <w:rPr>
                <w:sz w:val="20"/>
                <w:szCs w:val="20"/>
              </w:rPr>
            </w:pPr>
            <w:r w:rsidRPr="009B1A37">
              <w:rPr>
                <w:sz w:val="20"/>
                <w:szCs w:val="20"/>
              </w:rPr>
              <w:t>140:11</w:t>
            </w:r>
          </w:p>
        </w:tc>
        <w:tc>
          <w:tcPr>
            <w:tcW w:w="794" w:type="dxa"/>
            <w:shd w:val="clear" w:color="auto" w:fill="auto"/>
          </w:tcPr>
          <w:p w14:paraId="632156F0" w14:textId="77777777" w:rsidR="006367E4" w:rsidRPr="009B1A37" w:rsidRDefault="006367E4" w:rsidP="00BE3D48">
            <w:pPr>
              <w:keepNext/>
              <w:keepLines/>
              <w:widowControl w:val="0"/>
              <w:spacing w:line="240" w:lineRule="auto"/>
              <w:ind w:left="-45"/>
              <w:rPr>
                <w:sz w:val="20"/>
                <w:szCs w:val="20"/>
              </w:rPr>
            </w:pPr>
            <w:r w:rsidRPr="009B1A37">
              <w:rPr>
                <w:sz w:val="20"/>
                <w:szCs w:val="20"/>
              </w:rPr>
              <w:t>105:14</w:t>
            </w:r>
          </w:p>
        </w:tc>
        <w:tc>
          <w:tcPr>
            <w:tcW w:w="653" w:type="dxa"/>
            <w:shd w:val="clear" w:color="auto" w:fill="auto"/>
          </w:tcPr>
          <w:p w14:paraId="11113159" w14:textId="77777777" w:rsidR="006367E4" w:rsidRPr="009B1A37" w:rsidRDefault="006367E4" w:rsidP="00BE3D48">
            <w:pPr>
              <w:keepNext/>
              <w:keepLines/>
              <w:widowControl w:val="0"/>
              <w:spacing w:line="240" w:lineRule="auto"/>
              <w:ind w:left="-45"/>
              <w:rPr>
                <w:sz w:val="20"/>
                <w:szCs w:val="20"/>
              </w:rPr>
            </w:pPr>
            <w:r w:rsidRPr="009B1A37">
              <w:rPr>
                <w:sz w:val="20"/>
                <w:szCs w:val="20"/>
              </w:rPr>
              <w:t>87:18</w:t>
            </w:r>
          </w:p>
        </w:tc>
        <w:tc>
          <w:tcPr>
            <w:tcW w:w="630" w:type="dxa"/>
            <w:shd w:val="clear" w:color="auto" w:fill="auto"/>
          </w:tcPr>
          <w:p w14:paraId="5B9ED5FB" w14:textId="77777777" w:rsidR="006367E4" w:rsidRPr="009B1A37" w:rsidRDefault="006367E4" w:rsidP="00BE3D48">
            <w:pPr>
              <w:keepNext/>
              <w:keepLines/>
              <w:widowControl w:val="0"/>
              <w:spacing w:line="240" w:lineRule="auto"/>
              <w:ind w:left="-45"/>
              <w:rPr>
                <w:sz w:val="20"/>
                <w:szCs w:val="20"/>
              </w:rPr>
            </w:pPr>
            <w:r w:rsidRPr="009B1A37">
              <w:rPr>
                <w:sz w:val="20"/>
                <w:szCs w:val="20"/>
              </w:rPr>
              <w:t>64:22</w:t>
            </w:r>
          </w:p>
        </w:tc>
        <w:tc>
          <w:tcPr>
            <w:tcW w:w="643" w:type="dxa"/>
            <w:shd w:val="clear" w:color="auto" w:fill="auto"/>
          </w:tcPr>
          <w:p w14:paraId="7783F64A" w14:textId="77777777" w:rsidR="006367E4" w:rsidRPr="009B1A37" w:rsidRDefault="006367E4" w:rsidP="00BE3D48">
            <w:pPr>
              <w:keepNext/>
              <w:keepLines/>
              <w:widowControl w:val="0"/>
              <w:spacing w:line="240" w:lineRule="auto"/>
              <w:ind w:left="-45"/>
              <w:rPr>
                <w:sz w:val="20"/>
                <w:szCs w:val="20"/>
              </w:rPr>
            </w:pPr>
            <w:r w:rsidRPr="009B1A37">
              <w:rPr>
                <w:sz w:val="20"/>
                <w:szCs w:val="20"/>
              </w:rPr>
              <w:t>46:23</w:t>
            </w:r>
          </w:p>
        </w:tc>
        <w:tc>
          <w:tcPr>
            <w:tcW w:w="670" w:type="dxa"/>
            <w:shd w:val="clear" w:color="auto" w:fill="auto"/>
          </w:tcPr>
          <w:p w14:paraId="1C8C7B9B" w14:textId="77777777" w:rsidR="006367E4" w:rsidRPr="009B1A37" w:rsidRDefault="006367E4" w:rsidP="00BE3D48">
            <w:pPr>
              <w:keepNext/>
              <w:keepLines/>
              <w:widowControl w:val="0"/>
              <w:spacing w:line="240" w:lineRule="auto"/>
              <w:ind w:left="-45"/>
              <w:rPr>
                <w:sz w:val="20"/>
                <w:szCs w:val="20"/>
              </w:rPr>
            </w:pPr>
            <w:r w:rsidRPr="009B1A37">
              <w:rPr>
                <w:sz w:val="20"/>
                <w:szCs w:val="20"/>
              </w:rPr>
              <w:t>27:25</w:t>
            </w:r>
          </w:p>
        </w:tc>
        <w:tc>
          <w:tcPr>
            <w:tcW w:w="683" w:type="dxa"/>
            <w:shd w:val="clear" w:color="auto" w:fill="auto"/>
          </w:tcPr>
          <w:p w14:paraId="546EB390" w14:textId="77777777" w:rsidR="006367E4" w:rsidRPr="009B1A37" w:rsidRDefault="006367E4" w:rsidP="00BE3D48">
            <w:pPr>
              <w:keepNext/>
              <w:keepLines/>
              <w:widowControl w:val="0"/>
              <w:spacing w:line="240" w:lineRule="auto"/>
              <w:ind w:left="-45"/>
              <w:rPr>
                <w:sz w:val="20"/>
                <w:szCs w:val="20"/>
              </w:rPr>
            </w:pPr>
            <w:r w:rsidRPr="009B1A37">
              <w:rPr>
                <w:sz w:val="20"/>
                <w:szCs w:val="20"/>
              </w:rPr>
              <w:t>20:25</w:t>
            </w:r>
          </w:p>
        </w:tc>
        <w:tc>
          <w:tcPr>
            <w:tcW w:w="558" w:type="dxa"/>
            <w:shd w:val="clear" w:color="auto" w:fill="auto"/>
          </w:tcPr>
          <w:p w14:paraId="35EB7561" w14:textId="77777777" w:rsidR="006367E4" w:rsidRPr="009B1A37" w:rsidRDefault="006367E4" w:rsidP="00BE3D48">
            <w:pPr>
              <w:keepNext/>
              <w:keepLines/>
              <w:widowControl w:val="0"/>
              <w:spacing w:line="240" w:lineRule="auto"/>
              <w:ind w:left="-45"/>
              <w:rPr>
                <w:sz w:val="20"/>
                <w:szCs w:val="20"/>
              </w:rPr>
            </w:pPr>
            <w:r w:rsidRPr="009B1A37">
              <w:rPr>
                <w:sz w:val="20"/>
                <w:szCs w:val="20"/>
              </w:rPr>
              <w:t>2:25</w:t>
            </w:r>
          </w:p>
        </w:tc>
        <w:tc>
          <w:tcPr>
            <w:tcW w:w="527" w:type="dxa"/>
            <w:shd w:val="clear" w:color="auto" w:fill="auto"/>
          </w:tcPr>
          <w:p w14:paraId="2502CA74" w14:textId="77777777" w:rsidR="006367E4" w:rsidRPr="009B1A37" w:rsidRDefault="006367E4" w:rsidP="00BE3D48">
            <w:pPr>
              <w:keepNext/>
              <w:keepLines/>
              <w:widowControl w:val="0"/>
              <w:spacing w:line="240" w:lineRule="auto"/>
              <w:ind w:left="-45"/>
              <w:rPr>
                <w:sz w:val="20"/>
                <w:szCs w:val="20"/>
              </w:rPr>
            </w:pPr>
            <w:r w:rsidRPr="009B1A37">
              <w:rPr>
                <w:sz w:val="20"/>
                <w:szCs w:val="20"/>
              </w:rPr>
              <w:t>0:25</w:t>
            </w:r>
          </w:p>
        </w:tc>
      </w:tr>
      <w:tr w:rsidR="006367E4" w:rsidRPr="009B1A37" w14:paraId="655AEBEF" w14:textId="77777777">
        <w:tc>
          <w:tcPr>
            <w:tcW w:w="450" w:type="dxa"/>
            <w:shd w:val="clear" w:color="auto" w:fill="auto"/>
          </w:tcPr>
          <w:p w14:paraId="4456EDF8" w14:textId="77777777" w:rsidR="006367E4" w:rsidRPr="009B1A37" w:rsidRDefault="006367E4" w:rsidP="00BE3D48">
            <w:pPr>
              <w:keepNext/>
              <w:keepLines/>
              <w:widowControl w:val="0"/>
              <w:spacing w:line="240" w:lineRule="auto"/>
              <w:rPr>
                <w:sz w:val="20"/>
                <w:szCs w:val="20"/>
              </w:rPr>
            </w:pPr>
            <w:r w:rsidRPr="009B1A37">
              <w:rPr>
                <w:sz w:val="20"/>
                <w:szCs w:val="20"/>
              </w:rPr>
              <w:t>(2)</w:t>
            </w:r>
          </w:p>
        </w:tc>
        <w:tc>
          <w:tcPr>
            <w:tcW w:w="687" w:type="dxa"/>
            <w:shd w:val="clear" w:color="auto" w:fill="auto"/>
          </w:tcPr>
          <w:p w14:paraId="55F42AB8" w14:textId="77777777" w:rsidR="006367E4" w:rsidRPr="009B1A37" w:rsidRDefault="006367E4" w:rsidP="00BE3D48">
            <w:pPr>
              <w:keepNext/>
              <w:keepLines/>
              <w:widowControl w:val="0"/>
              <w:spacing w:line="240" w:lineRule="auto"/>
              <w:ind w:left="-45"/>
              <w:rPr>
                <w:sz w:val="20"/>
                <w:szCs w:val="20"/>
              </w:rPr>
            </w:pPr>
            <w:r w:rsidRPr="009B1A37">
              <w:rPr>
                <w:sz w:val="20"/>
                <w:szCs w:val="20"/>
              </w:rPr>
              <w:t>198:0</w:t>
            </w:r>
          </w:p>
        </w:tc>
        <w:tc>
          <w:tcPr>
            <w:tcW w:w="670" w:type="dxa"/>
            <w:shd w:val="clear" w:color="auto" w:fill="auto"/>
          </w:tcPr>
          <w:p w14:paraId="1317B6B4" w14:textId="77777777" w:rsidR="006367E4" w:rsidRPr="009B1A37" w:rsidRDefault="006367E4" w:rsidP="00BE3D48">
            <w:pPr>
              <w:keepNext/>
              <w:keepLines/>
              <w:widowControl w:val="0"/>
              <w:spacing w:line="240" w:lineRule="auto"/>
              <w:ind w:left="-45"/>
              <w:rPr>
                <w:sz w:val="20"/>
                <w:szCs w:val="20"/>
              </w:rPr>
            </w:pPr>
            <w:r w:rsidRPr="009B1A37">
              <w:rPr>
                <w:sz w:val="20"/>
                <w:szCs w:val="20"/>
              </w:rPr>
              <w:t>196:0</w:t>
            </w:r>
          </w:p>
        </w:tc>
        <w:tc>
          <w:tcPr>
            <w:tcW w:w="710" w:type="dxa"/>
            <w:shd w:val="clear" w:color="auto" w:fill="auto"/>
          </w:tcPr>
          <w:p w14:paraId="0FC8D369" w14:textId="77777777" w:rsidR="006367E4" w:rsidRPr="009B1A37" w:rsidRDefault="006367E4" w:rsidP="00BE3D48">
            <w:pPr>
              <w:keepNext/>
              <w:keepLines/>
              <w:widowControl w:val="0"/>
              <w:spacing w:line="240" w:lineRule="auto"/>
              <w:ind w:left="-45"/>
              <w:rPr>
                <w:sz w:val="20"/>
                <w:szCs w:val="20"/>
              </w:rPr>
            </w:pPr>
            <w:r w:rsidRPr="009B1A37">
              <w:rPr>
                <w:sz w:val="20"/>
                <w:szCs w:val="20"/>
              </w:rPr>
              <w:t>192:0</w:t>
            </w:r>
          </w:p>
        </w:tc>
        <w:tc>
          <w:tcPr>
            <w:tcW w:w="717" w:type="dxa"/>
            <w:shd w:val="clear" w:color="auto" w:fill="auto"/>
          </w:tcPr>
          <w:p w14:paraId="26632994" w14:textId="77777777" w:rsidR="006367E4" w:rsidRPr="009B1A37" w:rsidRDefault="006367E4" w:rsidP="00BE3D48">
            <w:pPr>
              <w:keepNext/>
              <w:keepLines/>
              <w:widowControl w:val="0"/>
              <w:spacing w:line="240" w:lineRule="auto"/>
              <w:ind w:left="-45"/>
              <w:rPr>
                <w:sz w:val="20"/>
                <w:szCs w:val="20"/>
              </w:rPr>
            </w:pPr>
            <w:r w:rsidRPr="009B1A37">
              <w:rPr>
                <w:sz w:val="20"/>
                <w:szCs w:val="20"/>
              </w:rPr>
              <w:t>187:4</w:t>
            </w:r>
          </w:p>
        </w:tc>
        <w:tc>
          <w:tcPr>
            <w:tcW w:w="691" w:type="dxa"/>
            <w:shd w:val="clear" w:color="auto" w:fill="auto"/>
          </w:tcPr>
          <w:p w14:paraId="453EE2B7" w14:textId="77777777" w:rsidR="006367E4" w:rsidRPr="009B1A37" w:rsidRDefault="006367E4" w:rsidP="00BE3D48">
            <w:pPr>
              <w:keepNext/>
              <w:keepLines/>
              <w:widowControl w:val="0"/>
              <w:spacing w:line="240" w:lineRule="auto"/>
              <w:ind w:left="-45"/>
              <w:rPr>
                <w:sz w:val="20"/>
                <w:szCs w:val="20"/>
              </w:rPr>
            </w:pPr>
            <w:r w:rsidRPr="009B1A37">
              <w:rPr>
                <w:sz w:val="20"/>
                <w:szCs w:val="20"/>
              </w:rPr>
              <w:t>184:5</w:t>
            </w:r>
          </w:p>
        </w:tc>
        <w:tc>
          <w:tcPr>
            <w:tcW w:w="770" w:type="dxa"/>
            <w:shd w:val="clear" w:color="auto" w:fill="auto"/>
          </w:tcPr>
          <w:p w14:paraId="188C590E" w14:textId="77777777" w:rsidR="006367E4" w:rsidRPr="009B1A37" w:rsidRDefault="006367E4" w:rsidP="00BE3D48">
            <w:pPr>
              <w:keepNext/>
              <w:keepLines/>
              <w:widowControl w:val="0"/>
              <w:spacing w:line="240" w:lineRule="auto"/>
              <w:ind w:left="-45"/>
              <w:rPr>
                <w:sz w:val="20"/>
                <w:szCs w:val="20"/>
              </w:rPr>
            </w:pPr>
            <w:r w:rsidRPr="009B1A37">
              <w:rPr>
                <w:sz w:val="20"/>
                <w:szCs w:val="20"/>
              </w:rPr>
              <w:t>164:7</w:t>
            </w:r>
          </w:p>
        </w:tc>
        <w:tc>
          <w:tcPr>
            <w:tcW w:w="779" w:type="dxa"/>
            <w:shd w:val="clear" w:color="auto" w:fill="auto"/>
          </w:tcPr>
          <w:p w14:paraId="5B412801" w14:textId="77777777" w:rsidR="006367E4" w:rsidRPr="009B1A37" w:rsidRDefault="006367E4" w:rsidP="00BE3D48">
            <w:pPr>
              <w:keepNext/>
              <w:keepLines/>
              <w:widowControl w:val="0"/>
              <w:spacing w:line="240" w:lineRule="auto"/>
              <w:ind w:left="-45"/>
              <w:rPr>
                <w:sz w:val="20"/>
                <w:szCs w:val="20"/>
              </w:rPr>
            </w:pPr>
            <w:r w:rsidRPr="009B1A37">
              <w:rPr>
                <w:sz w:val="20"/>
                <w:szCs w:val="20"/>
              </w:rPr>
              <w:t>152:7</w:t>
            </w:r>
          </w:p>
        </w:tc>
        <w:tc>
          <w:tcPr>
            <w:tcW w:w="794" w:type="dxa"/>
            <w:shd w:val="clear" w:color="auto" w:fill="auto"/>
          </w:tcPr>
          <w:p w14:paraId="6DA897DC" w14:textId="77777777" w:rsidR="006367E4" w:rsidRPr="009B1A37" w:rsidRDefault="006367E4" w:rsidP="00BE3D48">
            <w:pPr>
              <w:keepNext/>
              <w:keepLines/>
              <w:widowControl w:val="0"/>
              <w:spacing w:line="240" w:lineRule="auto"/>
              <w:ind w:left="-45"/>
              <w:rPr>
                <w:sz w:val="20"/>
                <w:szCs w:val="20"/>
              </w:rPr>
            </w:pPr>
            <w:r w:rsidRPr="009B1A37">
              <w:rPr>
                <w:sz w:val="20"/>
                <w:szCs w:val="20"/>
              </w:rPr>
              <w:t>119:8</w:t>
            </w:r>
          </w:p>
        </w:tc>
        <w:tc>
          <w:tcPr>
            <w:tcW w:w="653" w:type="dxa"/>
            <w:shd w:val="clear" w:color="auto" w:fill="auto"/>
          </w:tcPr>
          <w:p w14:paraId="77D6C988" w14:textId="77777777" w:rsidR="006367E4" w:rsidRPr="009B1A37" w:rsidRDefault="006367E4" w:rsidP="00BE3D48">
            <w:pPr>
              <w:keepNext/>
              <w:keepLines/>
              <w:widowControl w:val="0"/>
              <w:spacing w:line="240" w:lineRule="auto"/>
              <w:ind w:left="-45"/>
              <w:rPr>
                <w:sz w:val="20"/>
                <w:szCs w:val="20"/>
              </w:rPr>
            </w:pPr>
            <w:r w:rsidRPr="009B1A37">
              <w:rPr>
                <w:sz w:val="20"/>
                <w:szCs w:val="20"/>
              </w:rPr>
              <w:t>100:8</w:t>
            </w:r>
          </w:p>
        </w:tc>
        <w:tc>
          <w:tcPr>
            <w:tcW w:w="630" w:type="dxa"/>
            <w:shd w:val="clear" w:color="auto" w:fill="auto"/>
          </w:tcPr>
          <w:p w14:paraId="05FE54EE" w14:textId="77777777" w:rsidR="006367E4" w:rsidRPr="009B1A37" w:rsidRDefault="006367E4" w:rsidP="00BE3D48">
            <w:pPr>
              <w:keepNext/>
              <w:keepLines/>
              <w:widowControl w:val="0"/>
              <w:spacing w:line="240" w:lineRule="auto"/>
              <w:ind w:left="-45"/>
              <w:rPr>
                <w:sz w:val="20"/>
                <w:szCs w:val="20"/>
              </w:rPr>
            </w:pPr>
            <w:r w:rsidRPr="009B1A37">
              <w:rPr>
                <w:sz w:val="20"/>
                <w:szCs w:val="20"/>
              </w:rPr>
              <w:t>76:10</w:t>
            </w:r>
          </w:p>
        </w:tc>
        <w:tc>
          <w:tcPr>
            <w:tcW w:w="643" w:type="dxa"/>
            <w:shd w:val="clear" w:color="auto" w:fill="auto"/>
          </w:tcPr>
          <w:p w14:paraId="090CDEF1" w14:textId="77777777" w:rsidR="006367E4" w:rsidRPr="009B1A37" w:rsidRDefault="006367E4" w:rsidP="00BE3D48">
            <w:pPr>
              <w:keepNext/>
              <w:keepLines/>
              <w:widowControl w:val="0"/>
              <w:spacing w:line="240" w:lineRule="auto"/>
              <w:ind w:left="-45"/>
              <w:rPr>
                <w:sz w:val="20"/>
                <w:szCs w:val="20"/>
              </w:rPr>
            </w:pPr>
            <w:r w:rsidRPr="009B1A37">
              <w:rPr>
                <w:sz w:val="20"/>
                <w:szCs w:val="20"/>
              </w:rPr>
              <w:t>56:11</w:t>
            </w:r>
          </w:p>
        </w:tc>
        <w:tc>
          <w:tcPr>
            <w:tcW w:w="670" w:type="dxa"/>
            <w:shd w:val="clear" w:color="auto" w:fill="auto"/>
          </w:tcPr>
          <w:p w14:paraId="4DD18B08" w14:textId="77777777" w:rsidR="006367E4" w:rsidRPr="009B1A37" w:rsidRDefault="006367E4" w:rsidP="00BE3D48">
            <w:pPr>
              <w:keepNext/>
              <w:keepLines/>
              <w:widowControl w:val="0"/>
              <w:spacing w:line="240" w:lineRule="auto"/>
              <w:ind w:left="-45"/>
              <w:rPr>
                <w:sz w:val="20"/>
                <w:szCs w:val="20"/>
              </w:rPr>
            </w:pPr>
            <w:r w:rsidRPr="009B1A37">
              <w:rPr>
                <w:sz w:val="20"/>
                <w:szCs w:val="20"/>
              </w:rPr>
              <w:t>31:11</w:t>
            </w:r>
          </w:p>
        </w:tc>
        <w:tc>
          <w:tcPr>
            <w:tcW w:w="683" w:type="dxa"/>
            <w:shd w:val="clear" w:color="auto" w:fill="auto"/>
          </w:tcPr>
          <w:p w14:paraId="7ACF96AE" w14:textId="77777777" w:rsidR="006367E4" w:rsidRPr="009B1A37" w:rsidRDefault="006367E4" w:rsidP="00BE3D48">
            <w:pPr>
              <w:keepNext/>
              <w:keepLines/>
              <w:widowControl w:val="0"/>
              <w:spacing w:line="240" w:lineRule="auto"/>
              <w:ind w:left="-45"/>
              <w:rPr>
                <w:sz w:val="20"/>
                <w:szCs w:val="20"/>
              </w:rPr>
            </w:pPr>
            <w:r w:rsidRPr="009B1A37">
              <w:rPr>
                <w:sz w:val="20"/>
                <w:szCs w:val="20"/>
              </w:rPr>
              <w:t>13:12</w:t>
            </w:r>
          </w:p>
        </w:tc>
        <w:tc>
          <w:tcPr>
            <w:tcW w:w="558" w:type="dxa"/>
            <w:shd w:val="clear" w:color="auto" w:fill="auto"/>
          </w:tcPr>
          <w:p w14:paraId="08D49D2E" w14:textId="77777777" w:rsidR="006367E4" w:rsidRPr="009B1A37" w:rsidRDefault="00FE032B" w:rsidP="00BE3D48">
            <w:pPr>
              <w:keepNext/>
              <w:keepLines/>
              <w:widowControl w:val="0"/>
              <w:spacing w:line="240" w:lineRule="auto"/>
              <w:ind w:left="-45"/>
              <w:rPr>
                <w:sz w:val="20"/>
                <w:szCs w:val="20"/>
              </w:rPr>
            </w:pPr>
            <w:r w:rsidRPr="009B1A37">
              <w:rPr>
                <w:sz w:val="20"/>
                <w:szCs w:val="20"/>
              </w:rPr>
              <w:t>0</w:t>
            </w:r>
            <w:r w:rsidR="006367E4" w:rsidRPr="009B1A37">
              <w:rPr>
                <w:sz w:val="20"/>
                <w:szCs w:val="20"/>
              </w:rPr>
              <w:t>:12</w:t>
            </w:r>
          </w:p>
        </w:tc>
        <w:tc>
          <w:tcPr>
            <w:tcW w:w="527" w:type="dxa"/>
            <w:shd w:val="clear" w:color="auto" w:fill="auto"/>
          </w:tcPr>
          <w:p w14:paraId="5F9EACE0" w14:textId="77777777" w:rsidR="006367E4" w:rsidRPr="009B1A37" w:rsidRDefault="006367E4" w:rsidP="00BE3D48">
            <w:pPr>
              <w:keepNext/>
              <w:keepLines/>
              <w:widowControl w:val="0"/>
              <w:spacing w:line="240" w:lineRule="auto"/>
              <w:ind w:left="-45"/>
              <w:rPr>
                <w:sz w:val="20"/>
                <w:szCs w:val="20"/>
              </w:rPr>
            </w:pPr>
          </w:p>
        </w:tc>
      </w:tr>
    </w:tbl>
    <w:p w14:paraId="6C1A1281" w14:textId="77777777" w:rsidR="00542803" w:rsidRPr="009B1A37" w:rsidRDefault="00542803" w:rsidP="00BE3D48">
      <w:pPr>
        <w:pStyle w:val="EndnoteText"/>
        <w:widowControl w:val="0"/>
        <w:tabs>
          <w:tab w:val="clear" w:pos="567"/>
        </w:tabs>
        <w:rPr>
          <w:color w:val="000000"/>
        </w:rPr>
      </w:pPr>
    </w:p>
    <w:p w14:paraId="3F44C12B" w14:textId="77777777" w:rsidR="00D97A44" w:rsidRPr="009B1A37" w:rsidRDefault="00542803" w:rsidP="00BE3D48">
      <w:pPr>
        <w:pStyle w:val="EndnoteText"/>
        <w:widowControl w:val="0"/>
        <w:tabs>
          <w:tab w:val="clear" w:pos="567"/>
        </w:tabs>
        <w:rPr>
          <w:rFonts w:eastAsia="MS Mincho"/>
          <w:color w:val="000000"/>
        </w:rPr>
      </w:pPr>
      <w:r w:rsidRPr="009B1A37">
        <w:rPr>
          <w:color w:val="000000"/>
        </w:rPr>
        <w:t>U pediatrických pacientů s c-Kit pozitivním GIST nebyly proveden</w:t>
      </w:r>
      <w:r w:rsidR="00532F2F" w:rsidRPr="009B1A37">
        <w:rPr>
          <w:color w:val="000000"/>
        </w:rPr>
        <w:t>y</w:t>
      </w:r>
      <w:r w:rsidRPr="009B1A37">
        <w:rPr>
          <w:color w:val="000000"/>
        </w:rPr>
        <w:t xml:space="preserve"> kontrolované klinické studie. V 7</w:t>
      </w:r>
      <w:r w:rsidR="00612B40" w:rsidRPr="009B1A37">
        <w:rPr>
          <w:color w:val="000000"/>
        </w:rPr>
        <w:t> </w:t>
      </w:r>
      <w:r w:rsidRPr="009B1A37">
        <w:rPr>
          <w:color w:val="000000"/>
        </w:rPr>
        <w:t xml:space="preserve">publikacích bylo hlášeno </w:t>
      </w:r>
      <w:r w:rsidR="00B32D9E" w:rsidRPr="009B1A37">
        <w:rPr>
          <w:color w:val="000000"/>
        </w:rPr>
        <w:t>sedmnáct (</w:t>
      </w:r>
      <w:r w:rsidRPr="009B1A37">
        <w:rPr>
          <w:color w:val="000000"/>
        </w:rPr>
        <w:t>17</w:t>
      </w:r>
      <w:r w:rsidR="00B32D9E" w:rsidRPr="009B1A37">
        <w:rPr>
          <w:color w:val="000000"/>
        </w:rPr>
        <w:t xml:space="preserve">) </w:t>
      </w:r>
      <w:r w:rsidRPr="009B1A37">
        <w:rPr>
          <w:color w:val="000000"/>
        </w:rPr>
        <w:t>pacientů s GIST (s </w:t>
      </w:r>
      <w:r w:rsidR="000A7B1C" w:rsidRPr="009B1A37">
        <w:rPr>
          <w:color w:val="000000"/>
        </w:rPr>
        <w:t xml:space="preserve">Kit </w:t>
      </w:r>
      <w:r w:rsidRPr="009B1A37">
        <w:rPr>
          <w:color w:val="000000"/>
        </w:rPr>
        <w:t>nebo bez Kit a</w:t>
      </w:r>
      <w:r w:rsidR="000A7B1C" w:rsidRPr="009B1A37">
        <w:rPr>
          <w:color w:val="000000"/>
        </w:rPr>
        <w:t xml:space="preserve"> s</w:t>
      </w:r>
      <w:r w:rsidR="006360C7" w:rsidRPr="009B1A37">
        <w:rPr>
          <w:color w:val="000000"/>
        </w:rPr>
        <w:t xml:space="preserve"> mutacemi</w:t>
      </w:r>
      <w:r w:rsidRPr="009B1A37">
        <w:rPr>
          <w:color w:val="000000"/>
        </w:rPr>
        <w:t xml:space="preserve"> PDGFR</w:t>
      </w:r>
      <w:r w:rsidR="000A7B1C" w:rsidRPr="009B1A37">
        <w:rPr>
          <w:color w:val="000000"/>
        </w:rPr>
        <w:t xml:space="preserve"> nebo bez mutací PDGFR</w:t>
      </w:r>
      <w:r w:rsidRPr="009B1A37">
        <w:rPr>
          <w:color w:val="000000"/>
        </w:rPr>
        <w:t>). Věk těchto pacientů se pohyboval v rozmezí 8 až 18</w:t>
      </w:r>
      <w:r w:rsidR="00612B40" w:rsidRPr="009B1A37">
        <w:rPr>
          <w:color w:val="000000"/>
        </w:rPr>
        <w:t> </w:t>
      </w:r>
      <w:r w:rsidRPr="009B1A37">
        <w:rPr>
          <w:color w:val="000000"/>
        </w:rPr>
        <w:t>let a imatinib byl podáván ad</w:t>
      </w:r>
      <w:r w:rsidR="00F226E7" w:rsidRPr="009B1A37">
        <w:rPr>
          <w:color w:val="000000"/>
        </w:rPr>
        <w:t>j</w:t>
      </w:r>
      <w:r w:rsidRPr="009B1A37">
        <w:rPr>
          <w:color w:val="000000"/>
        </w:rPr>
        <w:t>uvantn</w:t>
      </w:r>
      <w:r w:rsidR="00532F2F" w:rsidRPr="009B1A37">
        <w:rPr>
          <w:color w:val="000000"/>
        </w:rPr>
        <w:t>ě</w:t>
      </w:r>
      <w:r w:rsidRPr="009B1A37">
        <w:rPr>
          <w:color w:val="000000"/>
        </w:rPr>
        <w:t xml:space="preserve"> i </w:t>
      </w:r>
      <w:r w:rsidR="00532F2F" w:rsidRPr="009B1A37">
        <w:rPr>
          <w:color w:val="000000"/>
        </w:rPr>
        <w:t xml:space="preserve">pro metastatické onemocnění </w:t>
      </w:r>
      <w:r w:rsidRPr="009B1A37">
        <w:rPr>
          <w:color w:val="000000"/>
        </w:rPr>
        <w:t xml:space="preserve">v dávkách v rozmezí 300 až 800 mg denně. </w:t>
      </w:r>
      <w:r w:rsidR="00F226E7" w:rsidRPr="009B1A37">
        <w:rPr>
          <w:color w:val="000000"/>
        </w:rPr>
        <w:t>U</w:t>
      </w:r>
      <w:r w:rsidR="00532F2F" w:rsidRPr="009B1A37">
        <w:rPr>
          <w:color w:val="000000"/>
        </w:rPr>
        <w:t> </w:t>
      </w:r>
      <w:r w:rsidR="00F226E7" w:rsidRPr="009B1A37">
        <w:rPr>
          <w:color w:val="000000"/>
        </w:rPr>
        <w:t>v</w:t>
      </w:r>
      <w:r w:rsidRPr="009B1A37">
        <w:rPr>
          <w:color w:val="000000"/>
        </w:rPr>
        <w:t>ětšin</w:t>
      </w:r>
      <w:r w:rsidR="00F226E7" w:rsidRPr="009B1A37">
        <w:rPr>
          <w:color w:val="000000"/>
        </w:rPr>
        <w:t>y</w:t>
      </w:r>
      <w:r w:rsidRPr="009B1A37">
        <w:rPr>
          <w:color w:val="000000"/>
        </w:rPr>
        <w:t xml:space="preserve"> </w:t>
      </w:r>
      <w:r w:rsidR="00532F2F" w:rsidRPr="009B1A37">
        <w:rPr>
          <w:color w:val="000000"/>
        </w:rPr>
        <w:t xml:space="preserve">léčených </w:t>
      </w:r>
      <w:r w:rsidRPr="009B1A37">
        <w:rPr>
          <w:color w:val="000000"/>
        </w:rPr>
        <w:t xml:space="preserve">pacientů s GIST </w:t>
      </w:r>
      <w:r w:rsidR="00F226E7" w:rsidRPr="009B1A37">
        <w:rPr>
          <w:color w:val="000000"/>
        </w:rPr>
        <w:t xml:space="preserve">nebyla </w:t>
      </w:r>
      <w:r w:rsidR="00532F2F" w:rsidRPr="009B1A37">
        <w:rPr>
          <w:color w:val="000000"/>
        </w:rPr>
        <w:t>k dispozici</w:t>
      </w:r>
      <w:r w:rsidR="00F226E7" w:rsidRPr="009B1A37">
        <w:rPr>
          <w:color w:val="000000"/>
        </w:rPr>
        <w:t xml:space="preserve"> data potvrzující c-kit nebo </w:t>
      </w:r>
      <w:r w:rsidR="009B4D5F" w:rsidRPr="009B1A37">
        <w:rPr>
          <w:color w:val="000000"/>
        </w:rPr>
        <w:t xml:space="preserve">mutace </w:t>
      </w:r>
      <w:r w:rsidR="00F226E7" w:rsidRPr="009B1A37">
        <w:rPr>
          <w:color w:val="000000"/>
        </w:rPr>
        <w:t xml:space="preserve">PDGFR, </w:t>
      </w:r>
      <w:r w:rsidR="00532F2F" w:rsidRPr="009B1A37">
        <w:rPr>
          <w:color w:val="000000"/>
        </w:rPr>
        <w:t>což mohlo vést k různým klinickým výsledkům.</w:t>
      </w:r>
    </w:p>
    <w:p w14:paraId="4BB37473" w14:textId="77777777" w:rsidR="00532F2F" w:rsidRPr="009B1A37" w:rsidRDefault="00532F2F" w:rsidP="00BE3D48">
      <w:pPr>
        <w:pStyle w:val="EndnoteText"/>
        <w:widowControl w:val="0"/>
        <w:tabs>
          <w:tab w:val="clear" w:pos="567"/>
        </w:tabs>
        <w:rPr>
          <w:rFonts w:eastAsia="MS Mincho"/>
          <w:color w:val="000000"/>
          <w:u w:val="single"/>
        </w:rPr>
      </w:pPr>
    </w:p>
    <w:p w14:paraId="3E8733D9" w14:textId="77777777" w:rsidR="00D97A44" w:rsidRPr="009B1A37" w:rsidRDefault="00D97A44" w:rsidP="00BE3D48">
      <w:pPr>
        <w:pStyle w:val="EndnoteText"/>
        <w:keepNext/>
        <w:widowControl w:val="0"/>
        <w:tabs>
          <w:tab w:val="clear" w:pos="567"/>
        </w:tabs>
        <w:rPr>
          <w:rFonts w:eastAsia="MS Mincho"/>
          <w:color w:val="000000"/>
          <w:u w:val="single"/>
        </w:rPr>
      </w:pPr>
      <w:r w:rsidRPr="009B1A37">
        <w:rPr>
          <w:rFonts w:eastAsia="MS Mincho"/>
          <w:color w:val="000000"/>
          <w:u w:val="single"/>
        </w:rPr>
        <w:t>Klinické studie u DFSP</w:t>
      </w:r>
    </w:p>
    <w:p w14:paraId="63DCDE07" w14:textId="77777777" w:rsidR="00D97A44" w:rsidRPr="009B1A37" w:rsidRDefault="00D97A44" w:rsidP="00BE3D48">
      <w:pPr>
        <w:pStyle w:val="EndnoteText"/>
        <w:widowControl w:val="0"/>
        <w:tabs>
          <w:tab w:val="clear" w:pos="567"/>
        </w:tabs>
        <w:rPr>
          <w:color w:val="000000"/>
        </w:rPr>
      </w:pPr>
      <w:r w:rsidRPr="009B1A37">
        <w:rPr>
          <w:rFonts w:eastAsia="MS Mincho"/>
          <w:color w:val="000000"/>
        </w:rPr>
        <w:t>Byla provedena otevře</w:t>
      </w:r>
      <w:r w:rsidR="00526CF9" w:rsidRPr="009B1A37">
        <w:rPr>
          <w:rFonts w:eastAsia="MS Mincho"/>
          <w:color w:val="000000"/>
        </w:rPr>
        <w:t>n</w:t>
      </w:r>
      <w:r w:rsidRPr="009B1A37">
        <w:rPr>
          <w:rFonts w:eastAsia="MS Mincho"/>
          <w:color w:val="000000"/>
        </w:rPr>
        <w:t>á, multicentrická klinická studie fáze II (studie B2225) zahrnující 12 pacientů s DFSP léčených Glivecem 800 mg denně. Věk pacientů s DFSP byl v rozmezí 23 až 75 </w:t>
      </w:r>
      <w:r w:rsidR="00F87E46" w:rsidRPr="009B1A37">
        <w:rPr>
          <w:rFonts w:eastAsia="MS Mincho"/>
          <w:color w:val="000000"/>
        </w:rPr>
        <w:t>let</w:t>
      </w:r>
      <w:r w:rsidRPr="009B1A37">
        <w:rPr>
          <w:rFonts w:eastAsia="MS Mincho"/>
          <w:color w:val="000000"/>
        </w:rPr>
        <w:t>; DFSP byl metastatický, lokálně recidivující po primárním chirurgickém vynětí a v době zařazení do studie vyhodnocen jako inoperabilní.</w:t>
      </w:r>
      <w:r w:rsidR="00F014F4" w:rsidRPr="009B1A37">
        <w:rPr>
          <w:rFonts w:eastAsia="MS Mincho"/>
          <w:color w:val="000000"/>
        </w:rPr>
        <w:t xml:space="preserve"> </w:t>
      </w:r>
      <w:r w:rsidRPr="009B1A37">
        <w:rPr>
          <w:rFonts w:eastAsia="MS Mincho"/>
          <w:color w:val="000000"/>
        </w:rPr>
        <w:t xml:space="preserve">Primární důkaz účinnosti byl založen na </w:t>
      </w:r>
      <w:r w:rsidR="00F87E46" w:rsidRPr="009B1A37">
        <w:rPr>
          <w:rFonts w:eastAsia="MS Mincho"/>
          <w:color w:val="000000"/>
        </w:rPr>
        <w:t>výskytu</w:t>
      </w:r>
      <w:r w:rsidRPr="009B1A37">
        <w:rPr>
          <w:rFonts w:eastAsia="MS Mincho"/>
          <w:color w:val="000000"/>
        </w:rPr>
        <w:t xml:space="preserve"> objektivní odpovědi. Z 12 zařazených pacientů jich 9 odpovědělo: 1 kompletně a 8 parciálně. Tři pacienti s parciální odpovědí byli následně po provedené operaci interpretováni jako bez známek onemocnění. Medián doby trvání léčby ve studii B2225 byl 6,2 měsíce, s maximem doby trvání 24,3 měsíců. Dalších 6 pacientů s DFSP léčených Glivecem bylo publikováno v 5 kazuistikách, věk těchto pacientů byl v rozmezí 18 měsíců až 49 let. Dospělí pacienti uvedení v publikované literatuře byli léčeni dávkou Glivecu buď 400 mg (4 případy) nebo 800 mg (1 případ) denně. Odpovědělo </w:t>
      </w:r>
      <w:r w:rsidR="00F85A21" w:rsidRPr="009B1A37">
        <w:rPr>
          <w:rFonts w:eastAsia="MS Mincho"/>
          <w:color w:val="000000"/>
        </w:rPr>
        <w:t xml:space="preserve">pět </w:t>
      </w:r>
      <w:r w:rsidRPr="009B1A37">
        <w:rPr>
          <w:rFonts w:eastAsia="MS Mincho"/>
          <w:color w:val="000000"/>
        </w:rPr>
        <w:t xml:space="preserve">pacientů, 3 kompletně a 2 parciálně. Medián doby trvání léčby v publikované literatuře je v rozmezí 4 týdnů až více než 20 měsíců. Translokace </w:t>
      </w:r>
      <w:r w:rsidRPr="009B1A37">
        <w:rPr>
          <w:color w:val="000000"/>
        </w:rPr>
        <w:t>t</w:t>
      </w:r>
      <w:r w:rsidR="00F014F4" w:rsidRPr="009B1A37">
        <w:rPr>
          <w:color w:val="000000"/>
        </w:rPr>
        <w:t xml:space="preserve"> </w:t>
      </w:r>
      <w:r w:rsidRPr="009B1A37">
        <w:rPr>
          <w:color w:val="000000"/>
        </w:rPr>
        <w:t>(17:22)[(q22:q13)] nebo její genový produkt byl přítomen téměř u všech pacientů odpovídajících na léčbu Glivecem.</w:t>
      </w:r>
    </w:p>
    <w:p w14:paraId="2B3E9659" w14:textId="77777777" w:rsidR="009A4D65" w:rsidRPr="009B1A37" w:rsidRDefault="009A4D65" w:rsidP="00BE3D48">
      <w:pPr>
        <w:pStyle w:val="EndnoteText"/>
        <w:widowControl w:val="0"/>
        <w:tabs>
          <w:tab w:val="clear" w:pos="567"/>
        </w:tabs>
        <w:rPr>
          <w:color w:val="000000"/>
        </w:rPr>
      </w:pPr>
    </w:p>
    <w:p w14:paraId="1B1AAC13" w14:textId="77777777" w:rsidR="009A4D65" w:rsidRPr="009B1A37" w:rsidRDefault="009A4D65" w:rsidP="00BE3D48">
      <w:pPr>
        <w:pStyle w:val="EndnoteText"/>
        <w:widowControl w:val="0"/>
        <w:tabs>
          <w:tab w:val="clear" w:pos="567"/>
        </w:tabs>
        <w:rPr>
          <w:color w:val="000000"/>
        </w:rPr>
      </w:pPr>
      <w:r w:rsidRPr="009B1A37">
        <w:rPr>
          <w:color w:val="000000"/>
        </w:rPr>
        <w:t>U pediatrických pacientů s DFSP nebyly proveden</w:t>
      </w:r>
      <w:r w:rsidR="00532F2F" w:rsidRPr="009B1A37">
        <w:rPr>
          <w:color w:val="000000"/>
        </w:rPr>
        <w:t>y</w:t>
      </w:r>
      <w:r w:rsidRPr="009B1A37">
        <w:rPr>
          <w:color w:val="000000"/>
        </w:rPr>
        <w:t xml:space="preserve"> kontrolované klinické studie. Ve 3</w:t>
      </w:r>
      <w:r w:rsidR="00612B40" w:rsidRPr="009B1A37">
        <w:rPr>
          <w:color w:val="000000"/>
        </w:rPr>
        <w:t> </w:t>
      </w:r>
      <w:r w:rsidRPr="009B1A37">
        <w:rPr>
          <w:color w:val="000000"/>
        </w:rPr>
        <w:t xml:space="preserve">publikacích bylo hlášeno </w:t>
      </w:r>
      <w:r w:rsidR="00B32D9E" w:rsidRPr="009B1A37">
        <w:rPr>
          <w:color w:val="000000"/>
        </w:rPr>
        <w:t>pět (</w:t>
      </w:r>
      <w:r w:rsidRPr="009B1A37">
        <w:rPr>
          <w:color w:val="000000"/>
        </w:rPr>
        <w:t>5</w:t>
      </w:r>
      <w:r w:rsidR="00B32D9E" w:rsidRPr="009B1A37">
        <w:rPr>
          <w:color w:val="000000"/>
        </w:rPr>
        <w:t xml:space="preserve">) </w:t>
      </w:r>
      <w:r w:rsidRPr="009B1A37">
        <w:rPr>
          <w:color w:val="000000"/>
        </w:rPr>
        <w:t xml:space="preserve">pacientů s DFSP a </w:t>
      </w:r>
      <w:r w:rsidR="00532F2F" w:rsidRPr="009B1A37">
        <w:rPr>
          <w:color w:val="000000"/>
        </w:rPr>
        <w:t>přestavbou</w:t>
      </w:r>
      <w:r w:rsidRPr="009B1A37">
        <w:rPr>
          <w:color w:val="000000"/>
        </w:rPr>
        <w:t xml:space="preserve"> PDGFR genu. Věk pacientů se pohyboval od </w:t>
      </w:r>
      <w:r w:rsidR="007D0598" w:rsidRPr="009B1A37">
        <w:rPr>
          <w:color w:val="000000"/>
        </w:rPr>
        <w:t>narození</w:t>
      </w:r>
      <w:r w:rsidRPr="009B1A37">
        <w:rPr>
          <w:color w:val="000000"/>
        </w:rPr>
        <w:t xml:space="preserve"> do 1</w:t>
      </w:r>
      <w:r w:rsidR="007D0598" w:rsidRPr="009B1A37">
        <w:rPr>
          <w:color w:val="000000"/>
        </w:rPr>
        <w:t>4</w:t>
      </w:r>
      <w:r w:rsidRPr="009B1A37">
        <w:rPr>
          <w:color w:val="000000"/>
        </w:rPr>
        <w:t> let a imatinib byl podáván v dáv</w:t>
      </w:r>
      <w:r w:rsidR="00B32D9E" w:rsidRPr="009B1A37">
        <w:rPr>
          <w:color w:val="000000"/>
        </w:rPr>
        <w:t>ce</w:t>
      </w:r>
      <w:r w:rsidRPr="009B1A37">
        <w:rPr>
          <w:color w:val="000000"/>
        </w:rPr>
        <w:t xml:space="preserve"> </w:t>
      </w:r>
      <w:r w:rsidR="00B32D9E" w:rsidRPr="009B1A37">
        <w:rPr>
          <w:color w:val="000000"/>
        </w:rPr>
        <w:t xml:space="preserve">50 mg denně nebo v dávkách </w:t>
      </w:r>
      <w:r w:rsidRPr="009B1A37">
        <w:rPr>
          <w:color w:val="000000"/>
        </w:rPr>
        <w:t>v rozmezí 400 až 5</w:t>
      </w:r>
      <w:r w:rsidR="007D0598" w:rsidRPr="009B1A37">
        <w:rPr>
          <w:color w:val="000000"/>
        </w:rPr>
        <w:t>2</w:t>
      </w:r>
      <w:r w:rsidRPr="009B1A37">
        <w:rPr>
          <w:color w:val="000000"/>
        </w:rPr>
        <w:t>0</w:t>
      </w:r>
      <w:r w:rsidR="00612B40" w:rsidRPr="009B1A37">
        <w:rPr>
          <w:color w:val="000000"/>
        </w:rPr>
        <w:t> </w:t>
      </w:r>
      <w:r w:rsidRPr="009B1A37">
        <w:rPr>
          <w:color w:val="000000"/>
        </w:rPr>
        <w:t>mg/</w:t>
      </w:r>
      <w:r w:rsidRPr="009B1A37">
        <w:rPr>
          <w:color w:val="000000"/>
          <w:lang w:eastAsia="ja-JP"/>
        </w:rPr>
        <w:t>m</w:t>
      </w:r>
      <w:r w:rsidRPr="009B1A37">
        <w:rPr>
          <w:color w:val="000000"/>
          <w:vertAlign w:val="superscript"/>
          <w:lang w:eastAsia="ja-JP"/>
        </w:rPr>
        <w:t>2</w:t>
      </w:r>
      <w:r w:rsidRPr="009B1A37">
        <w:rPr>
          <w:color w:val="000000"/>
        </w:rPr>
        <w:t xml:space="preserve"> denně. Všichni pacienti dosáhli </w:t>
      </w:r>
      <w:r w:rsidR="00780D42" w:rsidRPr="009B1A37">
        <w:rPr>
          <w:color w:val="000000"/>
        </w:rPr>
        <w:t>částečné a</w:t>
      </w:r>
      <w:r w:rsidRPr="009B1A37">
        <w:rPr>
          <w:color w:val="000000"/>
        </w:rPr>
        <w:t xml:space="preserve">/nebo </w:t>
      </w:r>
      <w:r w:rsidR="00F226E7" w:rsidRPr="009B1A37">
        <w:rPr>
          <w:color w:val="000000"/>
        </w:rPr>
        <w:t>kompletní</w:t>
      </w:r>
      <w:r w:rsidR="00780D42" w:rsidRPr="009B1A37">
        <w:rPr>
          <w:color w:val="000000"/>
        </w:rPr>
        <w:t xml:space="preserve"> </w:t>
      </w:r>
      <w:r w:rsidR="00532F2F" w:rsidRPr="009B1A37">
        <w:rPr>
          <w:color w:val="000000"/>
        </w:rPr>
        <w:t>odpovědi</w:t>
      </w:r>
      <w:r w:rsidRPr="009B1A37">
        <w:rPr>
          <w:color w:val="000000"/>
        </w:rPr>
        <w:t>.</w:t>
      </w:r>
    </w:p>
    <w:p w14:paraId="69482346" w14:textId="77777777" w:rsidR="00D97A44" w:rsidRPr="009B1A37" w:rsidRDefault="00D97A44" w:rsidP="00BE3D48">
      <w:pPr>
        <w:pStyle w:val="EndnoteText"/>
        <w:widowControl w:val="0"/>
        <w:tabs>
          <w:tab w:val="clear" w:pos="567"/>
        </w:tabs>
        <w:rPr>
          <w:color w:val="000000"/>
        </w:rPr>
      </w:pPr>
    </w:p>
    <w:p w14:paraId="0F7E347C" w14:textId="77777777" w:rsidR="00D97A44" w:rsidRPr="009B1A37" w:rsidRDefault="00D97A44" w:rsidP="00BE3D48">
      <w:pPr>
        <w:keepNext/>
        <w:widowControl w:val="0"/>
        <w:tabs>
          <w:tab w:val="clear" w:pos="567"/>
        </w:tabs>
        <w:spacing w:line="240" w:lineRule="auto"/>
        <w:ind w:left="567" w:hanging="567"/>
        <w:rPr>
          <w:color w:val="000000"/>
        </w:rPr>
      </w:pPr>
      <w:r w:rsidRPr="009B1A37">
        <w:rPr>
          <w:b/>
          <w:bCs/>
          <w:color w:val="000000"/>
        </w:rPr>
        <w:t>5.2</w:t>
      </w:r>
      <w:r w:rsidRPr="009B1A37">
        <w:rPr>
          <w:b/>
          <w:bCs/>
          <w:color w:val="000000"/>
        </w:rPr>
        <w:tab/>
        <w:t>Farmakokinetické vlastnosti</w:t>
      </w:r>
    </w:p>
    <w:p w14:paraId="77B03CC7" w14:textId="77777777" w:rsidR="00D97A44" w:rsidRPr="009B1A37" w:rsidRDefault="00D97A44" w:rsidP="00BE3D48">
      <w:pPr>
        <w:pStyle w:val="EndnoteText"/>
        <w:keepNext/>
        <w:widowControl w:val="0"/>
        <w:tabs>
          <w:tab w:val="clear" w:pos="567"/>
        </w:tabs>
        <w:rPr>
          <w:color w:val="000000"/>
        </w:rPr>
      </w:pPr>
    </w:p>
    <w:p w14:paraId="3F18A64A" w14:textId="77777777" w:rsidR="00D97A44" w:rsidRPr="009B1A37" w:rsidRDefault="00D97A44" w:rsidP="00BE3D48">
      <w:pPr>
        <w:pStyle w:val="EndnoteText"/>
        <w:keepNext/>
        <w:widowControl w:val="0"/>
        <w:tabs>
          <w:tab w:val="clear" w:pos="567"/>
        </w:tabs>
        <w:rPr>
          <w:color w:val="000000"/>
          <w:u w:val="single"/>
        </w:rPr>
      </w:pPr>
      <w:r w:rsidRPr="009B1A37">
        <w:rPr>
          <w:color w:val="000000"/>
          <w:u w:val="single"/>
        </w:rPr>
        <w:t>Farmakokinetika Glivecu</w:t>
      </w:r>
    </w:p>
    <w:p w14:paraId="2FB0326F" w14:textId="77777777" w:rsidR="00D97A44" w:rsidRPr="009B1A37" w:rsidRDefault="00D97A44" w:rsidP="00BE3D48">
      <w:pPr>
        <w:pStyle w:val="EndnoteText"/>
        <w:widowControl w:val="0"/>
        <w:tabs>
          <w:tab w:val="clear" w:pos="567"/>
        </w:tabs>
        <w:rPr>
          <w:color w:val="000000"/>
        </w:rPr>
      </w:pPr>
      <w:r w:rsidRPr="009B1A37">
        <w:rPr>
          <w:color w:val="000000"/>
        </w:rPr>
        <w:t>Farmakokinetika Glivecu byla hodnocena v rozmezí dávek 25 až 1 000 mg. Farmakokinetický profil léku v plazmě byl analyzován 1.</w:t>
      </w:r>
      <w:r w:rsidR="00F87E46" w:rsidRPr="009B1A37">
        <w:rPr>
          <w:color w:val="000000"/>
        </w:rPr>
        <w:t xml:space="preserve"> a</w:t>
      </w:r>
      <w:r w:rsidRPr="009B1A37">
        <w:rPr>
          <w:color w:val="000000"/>
        </w:rPr>
        <w:t xml:space="preserve"> 7. nebo 28. den, kdy koncentrace v plazmě dosáhla rovnovážného stavu.</w:t>
      </w:r>
    </w:p>
    <w:p w14:paraId="158BA617" w14:textId="77777777" w:rsidR="00D97A44" w:rsidRPr="009B1A37" w:rsidRDefault="00D97A44" w:rsidP="00BE3D48">
      <w:pPr>
        <w:pStyle w:val="EndnoteText"/>
        <w:widowControl w:val="0"/>
        <w:tabs>
          <w:tab w:val="clear" w:pos="567"/>
        </w:tabs>
        <w:rPr>
          <w:color w:val="000000"/>
        </w:rPr>
      </w:pPr>
    </w:p>
    <w:p w14:paraId="296F8B10" w14:textId="77777777" w:rsidR="00D97A44" w:rsidRPr="009B1A37" w:rsidRDefault="00D97A44" w:rsidP="00BE3D48">
      <w:pPr>
        <w:pStyle w:val="EndnoteText"/>
        <w:keepNext/>
        <w:widowControl w:val="0"/>
        <w:tabs>
          <w:tab w:val="clear" w:pos="567"/>
        </w:tabs>
        <w:rPr>
          <w:color w:val="000000"/>
          <w:u w:val="single"/>
        </w:rPr>
      </w:pPr>
      <w:r w:rsidRPr="009B1A37">
        <w:rPr>
          <w:color w:val="000000"/>
          <w:u w:val="single"/>
        </w:rPr>
        <w:t>Absorpce</w:t>
      </w:r>
    </w:p>
    <w:p w14:paraId="37369BF6" w14:textId="77777777" w:rsidR="00D97A44" w:rsidRPr="009B1A37" w:rsidRDefault="00D97A44" w:rsidP="00BE3D48">
      <w:pPr>
        <w:pStyle w:val="EndnoteText"/>
        <w:widowControl w:val="0"/>
        <w:tabs>
          <w:tab w:val="clear" w:pos="567"/>
        </w:tabs>
        <w:rPr>
          <w:color w:val="000000"/>
        </w:rPr>
      </w:pPr>
      <w:r w:rsidRPr="009B1A37">
        <w:rPr>
          <w:color w:val="000000"/>
        </w:rPr>
        <w:t>Průměrná absolutní biologick</w:t>
      </w:r>
      <w:r w:rsidR="0057662F" w:rsidRPr="009B1A37">
        <w:rPr>
          <w:color w:val="000000"/>
        </w:rPr>
        <w:t>á</w:t>
      </w:r>
      <w:r w:rsidRPr="009B1A37">
        <w:rPr>
          <w:color w:val="000000"/>
        </w:rPr>
        <w:t xml:space="preserve"> dostupnost </w:t>
      </w:r>
      <w:r w:rsidR="00770AC0" w:rsidRPr="009B1A37">
        <w:rPr>
          <w:color w:val="000000"/>
        </w:rPr>
        <w:t>t</w:t>
      </w:r>
      <w:r w:rsidR="0057662F" w:rsidRPr="009B1A37">
        <w:rPr>
          <w:color w:val="000000"/>
        </w:rPr>
        <w:t>obolk</w:t>
      </w:r>
      <w:r w:rsidR="00770AC0" w:rsidRPr="009B1A37">
        <w:rPr>
          <w:color w:val="000000"/>
        </w:rPr>
        <w:t>y</w:t>
      </w:r>
      <w:r w:rsidRPr="009B1A37">
        <w:rPr>
          <w:color w:val="000000"/>
        </w:rPr>
        <w:t xml:space="preserve"> </w:t>
      </w:r>
      <w:r w:rsidR="0057662F" w:rsidRPr="009B1A37">
        <w:rPr>
          <w:color w:val="000000"/>
        </w:rPr>
        <w:t>je</w:t>
      </w:r>
      <w:r w:rsidRPr="009B1A37">
        <w:rPr>
          <w:color w:val="000000"/>
        </w:rPr>
        <w:t xml:space="preserve"> 98</w:t>
      </w:r>
      <w:r w:rsidR="0067324A" w:rsidRPr="009B1A37">
        <w:rPr>
          <w:color w:val="000000"/>
        </w:rPr>
        <w:t> </w:t>
      </w:r>
      <w:r w:rsidRPr="009B1A37">
        <w:rPr>
          <w:color w:val="000000"/>
        </w:rPr>
        <w:t xml:space="preserve">%. Po perorálním podání byla mezi pacienty vysoká variabilita v hladinách AUC imatinibu v plazmě. Při podání léku s tučným jídlem, byla </w:t>
      </w:r>
      <w:r w:rsidR="00F87E46" w:rsidRPr="009B1A37">
        <w:rPr>
          <w:color w:val="000000"/>
        </w:rPr>
        <w:t>rychlost</w:t>
      </w:r>
      <w:r w:rsidRPr="009B1A37">
        <w:rPr>
          <w:color w:val="000000"/>
        </w:rPr>
        <w:t xml:space="preserve"> absorpce imatinibu snížena jen minimálně (11</w:t>
      </w:r>
      <w:r w:rsidR="0067324A" w:rsidRPr="009B1A37">
        <w:rPr>
          <w:color w:val="000000"/>
        </w:rPr>
        <w:t> </w:t>
      </w:r>
      <w:r w:rsidRPr="009B1A37">
        <w:rPr>
          <w:color w:val="000000"/>
        </w:rPr>
        <w:t>% snížení C</w:t>
      </w:r>
      <w:r w:rsidRPr="009B1A37">
        <w:rPr>
          <w:color w:val="000000"/>
          <w:vertAlign w:val="subscript"/>
        </w:rPr>
        <w:t>max</w:t>
      </w:r>
      <w:r w:rsidRPr="009B1A37">
        <w:rPr>
          <w:color w:val="000000"/>
        </w:rPr>
        <w:t xml:space="preserve"> a prodloužení t</w:t>
      </w:r>
      <w:r w:rsidRPr="009B1A37">
        <w:rPr>
          <w:color w:val="000000"/>
          <w:vertAlign w:val="subscript"/>
        </w:rPr>
        <w:t>max</w:t>
      </w:r>
      <w:r w:rsidRPr="009B1A37">
        <w:rPr>
          <w:color w:val="000000"/>
        </w:rPr>
        <w:t xml:space="preserve"> o 1,5 h), s malým zmenšením AUC (7,4</w:t>
      </w:r>
      <w:r w:rsidR="0067324A" w:rsidRPr="009B1A37">
        <w:rPr>
          <w:color w:val="000000"/>
        </w:rPr>
        <w:t> </w:t>
      </w:r>
      <w:r w:rsidRPr="009B1A37">
        <w:rPr>
          <w:color w:val="000000"/>
        </w:rPr>
        <w:t>%), ve srovnání s podáním nalačno. Ovlivnění absorpce léku předchozí gastrointestinální operací nebylo studováno.</w:t>
      </w:r>
    </w:p>
    <w:p w14:paraId="4509FA38" w14:textId="77777777" w:rsidR="00D97A44" w:rsidRPr="009B1A37" w:rsidRDefault="00D97A44" w:rsidP="00BE3D48">
      <w:pPr>
        <w:pStyle w:val="EndnoteText"/>
        <w:widowControl w:val="0"/>
        <w:tabs>
          <w:tab w:val="clear" w:pos="567"/>
        </w:tabs>
        <w:rPr>
          <w:color w:val="000000"/>
        </w:rPr>
      </w:pPr>
    </w:p>
    <w:p w14:paraId="2AD1059F" w14:textId="77777777" w:rsidR="00D97A44" w:rsidRPr="009B1A37" w:rsidRDefault="00D97A44" w:rsidP="00BE3D48">
      <w:pPr>
        <w:pStyle w:val="EndnoteText"/>
        <w:keepNext/>
        <w:widowControl w:val="0"/>
        <w:tabs>
          <w:tab w:val="clear" w:pos="567"/>
        </w:tabs>
        <w:rPr>
          <w:color w:val="000000"/>
          <w:u w:val="single"/>
        </w:rPr>
      </w:pPr>
      <w:r w:rsidRPr="009B1A37">
        <w:rPr>
          <w:color w:val="000000"/>
          <w:u w:val="single"/>
        </w:rPr>
        <w:t>Distribuce</w:t>
      </w:r>
    </w:p>
    <w:p w14:paraId="2FD15EFB" w14:textId="77777777" w:rsidR="00D97A44" w:rsidRPr="009B1A37" w:rsidRDefault="00D97A44" w:rsidP="00BE3D48">
      <w:pPr>
        <w:pStyle w:val="EndnoteText"/>
        <w:widowControl w:val="0"/>
        <w:tabs>
          <w:tab w:val="clear" w:pos="567"/>
        </w:tabs>
        <w:rPr>
          <w:color w:val="000000"/>
        </w:rPr>
      </w:pPr>
      <w:r w:rsidRPr="009B1A37">
        <w:rPr>
          <w:color w:val="000000"/>
        </w:rPr>
        <w:t xml:space="preserve">V klinicky relevantních koncentracích imatinibu došlo v pokusech </w:t>
      </w:r>
      <w:r w:rsidRPr="009B1A37">
        <w:rPr>
          <w:i/>
          <w:iCs/>
          <w:color w:val="000000"/>
        </w:rPr>
        <w:t xml:space="preserve">in vitro </w:t>
      </w:r>
      <w:r w:rsidRPr="009B1A37">
        <w:rPr>
          <w:color w:val="000000"/>
        </w:rPr>
        <w:t>k vazbě na plazmatické proteiny přibližně v</w:t>
      </w:r>
      <w:r w:rsidR="0067324A" w:rsidRPr="009B1A37">
        <w:rPr>
          <w:color w:val="000000"/>
        </w:rPr>
        <w:t> </w:t>
      </w:r>
      <w:r w:rsidRPr="009B1A37">
        <w:rPr>
          <w:color w:val="000000"/>
        </w:rPr>
        <w:t>95</w:t>
      </w:r>
      <w:r w:rsidR="0067324A" w:rsidRPr="009B1A37">
        <w:rPr>
          <w:color w:val="000000"/>
        </w:rPr>
        <w:t> </w:t>
      </w:r>
      <w:r w:rsidRPr="009B1A37">
        <w:rPr>
          <w:color w:val="000000"/>
        </w:rPr>
        <w:t>%, převážně na albumin a alfa-1- kyselý-glykoprotein, s malou vazbou na lipoproteiny.</w:t>
      </w:r>
    </w:p>
    <w:p w14:paraId="0E35A232" w14:textId="77777777" w:rsidR="00D97A44" w:rsidRPr="009B1A37" w:rsidRDefault="00D97A44" w:rsidP="00BE3D48">
      <w:pPr>
        <w:pStyle w:val="EndnoteText"/>
        <w:widowControl w:val="0"/>
        <w:tabs>
          <w:tab w:val="clear" w:pos="567"/>
        </w:tabs>
        <w:rPr>
          <w:color w:val="000000"/>
        </w:rPr>
      </w:pPr>
    </w:p>
    <w:p w14:paraId="3A9C17EE" w14:textId="77777777" w:rsidR="00D97A44" w:rsidRPr="009B1A37" w:rsidRDefault="009C49BB" w:rsidP="00BE3D48">
      <w:pPr>
        <w:pStyle w:val="EndnoteText"/>
        <w:keepNext/>
        <w:widowControl w:val="0"/>
        <w:tabs>
          <w:tab w:val="clear" w:pos="567"/>
        </w:tabs>
        <w:rPr>
          <w:color w:val="000000"/>
          <w:u w:val="single"/>
        </w:rPr>
      </w:pPr>
      <w:r w:rsidRPr="009B1A37">
        <w:rPr>
          <w:color w:val="000000"/>
          <w:u w:val="single"/>
        </w:rPr>
        <w:t>Biotransformace</w:t>
      </w:r>
    </w:p>
    <w:p w14:paraId="114ECF0B" w14:textId="77777777" w:rsidR="00D97A44" w:rsidRPr="009B1A37" w:rsidRDefault="00D97A44" w:rsidP="00BE3D48">
      <w:pPr>
        <w:pStyle w:val="EndnoteText"/>
        <w:widowControl w:val="0"/>
        <w:tabs>
          <w:tab w:val="clear" w:pos="567"/>
        </w:tabs>
        <w:rPr>
          <w:color w:val="000000"/>
        </w:rPr>
      </w:pPr>
      <w:r w:rsidRPr="009B1A37">
        <w:rPr>
          <w:color w:val="000000"/>
        </w:rPr>
        <w:t xml:space="preserve">Hlavním cirkulujícím metabolitem je u člověka N-demethylovaný derivát piperazinu, který měl </w:t>
      </w:r>
      <w:r w:rsidRPr="009B1A37">
        <w:rPr>
          <w:i/>
          <w:iCs/>
          <w:color w:val="000000"/>
        </w:rPr>
        <w:t>in vitro</w:t>
      </w:r>
      <w:r w:rsidRPr="009B1A37">
        <w:rPr>
          <w:color w:val="000000"/>
        </w:rPr>
        <w:t xml:space="preserve"> podobnou účinnost jako mateřská látka. Zjištěná plazmatická AUC tohoto metabolitu byla pouze 16</w:t>
      </w:r>
      <w:r w:rsidR="0067324A" w:rsidRPr="009B1A37">
        <w:rPr>
          <w:color w:val="000000"/>
        </w:rPr>
        <w:t> </w:t>
      </w:r>
      <w:r w:rsidRPr="009B1A37">
        <w:rPr>
          <w:color w:val="000000"/>
        </w:rPr>
        <w:t>% AUC imatinibu. Vazba N-demetylovaného metabolitu na plazmatické bílkoviny je podobná vazebné schopnosti mateřské látky.</w:t>
      </w:r>
    </w:p>
    <w:p w14:paraId="17699AB6" w14:textId="77777777" w:rsidR="00D97A44" w:rsidRPr="009B1A37" w:rsidRDefault="00D97A44" w:rsidP="00BE3D48">
      <w:pPr>
        <w:pStyle w:val="EndnoteText"/>
        <w:widowControl w:val="0"/>
        <w:tabs>
          <w:tab w:val="clear" w:pos="567"/>
        </w:tabs>
        <w:rPr>
          <w:color w:val="000000"/>
        </w:rPr>
      </w:pPr>
    </w:p>
    <w:p w14:paraId="4960F70F" w14:textId="77777777" w:rsidR="00D97A44" w:rsidRPr="009B1A37" w:rsidRDefault="00D97A44" w:rsidP="00BE3D48">
      <w:pPr>
        <w:pStyle w:val="EndnoteText"/>
        <w:widowControl w:val="0"/>
        <w:tabs>
          <w:tab w:val="clear" w:pos="567"/>
        </w:tabs>
      </w:pPr>
      <w:r w:rsidRPr="009B1A37">
        <w:t>Imatinib a N-demethylovaný metabolit činily dohromady přibližně 65</w:t>
      </w:r>
      <w:r w:rsidR="0067324A" w:rsidRPr="009B1A37">
        <w:t> </w:t>
      </w:r>
      <w:r w:rsidRPr="009B1A37">
        <w:t>% cirkulující radioaktivity (AUC</w:t>
      </w:r>
      <w:r w:rsidRPr="009B1A37">
        <w:rPr>
          <w:vertAlign w:val="subscript"/>
        </w:rPr>
        <w:t>(0-48h)</w:t>
      </w:r>
      <w:r w:rsidRPr="009B1A37">
        <w:t>). Zbývající cirkulující radioaktivita byla tvořena množstvím minoritních metabolitů.</w:t>
      </w:r>
    </w:p>
    <w:p w14:paraId="27F2C41B" w14:textId="77777777" w:rsidR="00D97A44" w:rsidRPr="009B1A37" w:rsidRDefault="00D97A44" w:rsidP="00BE3D48">
      <w:pPr>
        <w:pStyle w:val="EndnoteText"/>
        <w:widowControl w:val="0"/>
      </w:pPr>
    </w:p>
    <w:p w14:paraId="275A087E"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 xml:space="preserve">Výsledky studií </w:t>
      </w:r>
      <w:r w:rsidRPr="009B1A37">
        <w:rPr>
          <w:i/>
          <w:iCs/>
          <w:color w:val="000000"/>
          <w:sz w:val="22"/>
          <w:szCs w:val="22"/>
          <w:lang w:val="cs-CZ"/>
        </w:rPr>
        <w:t>in vitro</w:t>
      </w:r>
      <w:r w:rsidRPr="009B1A37">
        <w:rPr>
          <w:color w:val="000000"/>
          <w:sz w:val="22"/>
          <w:szCs w:val="22"/>
          <w:lang w:val="cs-CZ"/>
        </w:rPr>
        <w:t xml:space="preserve"> ukázaly, že CYP3A4 je u </w:t>
      </w:r>
      <w:r w:rsidR="00F87E46" w:rsidRPr="009B1A37">
        <w:rPr>
          <w:color w:val="000000"/>
          <w:sz w:val="22"/>
          <w:szCs w:val="22"/>
          <w:lang w:val="cs-CZ"/>
        </w:rPr>
        <w:t>člověka</w:t>
      </w:r>
      <w:r w:rsidRPr="009B1A37">
        <w:rPr>
          <w:color w:val="000000"/>
          <w:sz w:val="22"/>
          <w:szCs w:val="22"/>
          <w:lang w:val="cs-CZ"/>
        </w:rPr>
        <w:t xml:space="preserve"> hlavním enzymem cytochromu P450, který katalyzuje biotransformaci imatinibu. Z řady potenciálně souběžně podávaných léků (paracetamol, aciklovir, alopurinol, amfotericin, cytarabin, eryt</w:t>
      </w:r>
      <w:r w:rsidR="005026BE" w:rsidRPr="009B1A37">
        <w:rPr>
          <w:color w:val="000000"/>
          <w:sz w:val="22"/>
          <w:szCs w:val="22"/>
          <w:lang w:val="cs-CZ"/>
        </w:rPr>
        <w:t>h</w:t>
      </w:r>
      <w:r w:rsidRPr="009B1A37">
        <w:rPr>
          <w:color w:val="000000"/>
          <w:sz w:val="22"/>
          <w:szCs w:val="22"/>
          <w:lang w:val="cs-CZ"/>
        </w:rPr>
        <w:t>romycin, flukonazol, hydroxyurea, norfloxacin, penicilin V) pouze eryt</w:t>
      </w:r>
      <w:r w:rsidR="00F87E46" w:rsidRPr="009B1A37">
        <w:rPr>
          <w:color w:val="000000"/>
          <w:sz w:val="22"/>
          <w:szCs w:val="22"/>
          <w:lang w:val="cs-CZ"/>
        </w:rPr>
        <w:t>h</w:t>
      </w:r>
      <w:r w:rsidRPr="009B1A37">
        <w:rPr>
          <w:color w:val="000000"/>
          <w:sz w:val="22"/>
          <w:szCs w:val="22"/>
          <w:lang w:val="cs-CZ"/>
        </w:rPr>
        <w:t>romycin (IC</w:t>
      </w:r>
      <w:r w:rsidRPr="009B1A37">
        <w:rPr>
          <w:color w:val="000000"/>
          <w:sz w:val="22"/>
          <w:szCs w:val="22"/>
          <w:vertAlign w:val="subscript"/>
          <w:lang w:val="cs-CZ"/>
        </w:rPr>
        <w:t>50</w:t>
      </w:r>
      <w:r w:rsidRPr="009B1A37">
        <w:rPr>
          <w:color w:val="000000"/>
          <w:sz w:val="22"/>
          <w:szCs w:val="22"/>
          <w:lang w:val="cs-CZ"/>
        </w:rPr>
        <w:t xml:space="preserve"> 50 µM) a flukonazol (IC</w:t>
      </w:r>
      <w:r w:rsidRPr="009B1A37">
        <w:rPr>
          <w:color w:val="000000"/>
          <w:sz w:val="22"/>
          <w:szCs w:val="22"/>
          <w:vertAlign w:val="subscript"/>
          <w:lang w:val="cs-CZ"/>
        </w:rPr>
        <w:t>50</w:t>
      </w:r>
      <w:r w:rsidRPr="009B1A37">
        <w:rPr>
          <w:color w:val="000000"/>
          <w:sz w:val="22"/>
          <w:szCs w:val="22"/>
          <w:lang w:val="cs-CZ"/>
        </w:rPr>
        <w:t xml:space="preserve"> 118 µM) inhibovaly metabolismus imatinibu v rozsahu, který by mohl být klinicky významný.</w:t>
      </w:r>
    </w:p>
    <w:p w14:paraId="44048498" w14:textId="77777777" w:rsidR="00D97A44" w:rsidRPr="009B1A37" w:rsidRDefault="00D97A44" w:rsidP="00BE3D48">
      <w:pPr>
        <w:pStyle w:val="Text"/>
        <w:widowControl w:val="0"/>
        <w:spacing w:before="0"/>
        <w:jc w:val="left"/>
        <w:rPr>
          <w:color w:val="000000"/>
          <w:sz w:val="22"/>
          <w:szCs w:val="22"/>
          <w:lang w:val="cs-CZ"/>
        </w:rPr>
      </w:pPr>
    </w:p>
    <w:p w14:paraId="7C5F853F" w14:textId="77777777" w:rsidR="00D97A44" w:rsidRPr="009B1A37" w:rsidRDefault="00D97A44" w:rsidP="00BE3D48">
      <w:pPr>
        <w:pStyle w:val="Text"/>
        <w:widowControl w:val="0"/>
        <w:spacing w:before="0"/>
        <w:jc w:val="left"/>
        <w:rPr>
          <w:color w:val="000000"/>
          <w:sz w:val="22"/>
          <w:szCs w:val="22"/>
          <w:lang w:val="cs-CZ"/>
        </w:rPr>
      </w:pPr>
      <w:r w:rsidRPr="009B1A37">
        <w:rPr>
          <w:i/>
          <w:iCs/>
          <w:color w:val="000000"/>
          <w:sz w:val="22"/>
          <w:szCs w:val="22"/>
          <w:lang w:val="cs-CZ"/>
        </w:rPr>
        <w:t>In vitro</w:t>
      </w:r>
      <w:r w:rsidRPr="009B1A37">
        <w:rPr>
          <w:color w:val="000000"/>
          <w:sz w:val="22"/>
          <w:szCs w:val="22"/>
          <w:lang w:val="cs-CZ"/>
        </w:rPr>
        <w:t xml:space="preserve"> bylo zjištěno, že imatinib je kompetitivním inhibitorem markrových substrátů pro CYP2C9, CYP2D6 a CYP3A4/5. K</w:t>
      </w:r>
      <w:r w:rsidRPr="009B1A37">
        <w:rPr>
          <w:color w:val="000000"/>
          <w:sz w:val="22"/>
          <w:szCs w:val="22"/>
          <w:vertAlign w:val="subscript"/>
          <w:lang w:val="cs-CZ"/>
        </w:rPr>
        <w:t>i</w:t>
      </w:r>
      <w:r w:rsidRPr="009B1A37">
        <w:rPr>
          <w:color w:val="000000"/>
          <w:sz w:val="22"/>
          <w:szCs w:val="22"/>
          <w:lang w:val="cs-CZ"/>
        </w:rPr>
        <w:t xml:space="preserve"> hodnoty v lidských jaterních mikrosomech byly 27, </w:t>
      </w:r>
      <w:smartTag w:uri="urn:schemas-microsoft-com:office:smarttags" w:element="metricconverter">
        <w:smartTagPr>
          <w:attr w:name="ProductID" w:val="7,5 a"/>
        </w:smartTagPr>
        <w:r w:rsidRPr="009B1A37">
          <w:rPr>
            <w:color w:val="000000"/>
            <w:sz w:val="22"/>
            <w:szCs w:val="22"/>
            <w:lang w:val="cs-CZ"/>
          </w:rPr>
          <w:t>7,5 a</w:t>
        </w:r>
      </w:smartTag>
      <w:r w:rsidRPr="009B1A37">
        <w:rPr>
          <w:color w:val="000000"/>
          <w:sz w:val="22"/>
          <w:szCs w:val="22"/>
          <w:lang w:val="cs-CZ"/>
        </w:rPr>
        <w:t xml:space="preserve"> 7,9 </w:t>
      </w:r>
      <w:r w:rsidRPr="009B1A37">
        <w:rPr>
          <w:rFonts w:ascii="Symbol" w:hAnsi="Symbol"/>
          <w:color w:val="000000"/>
          <w:sz w:val="22"/>
          <w:szCs w:val="22"/>
          <w:lang w:val="cs-CZ"/>
        </w:rPr>
        <w:t></w:t>
      </w:r>
      <w:r w:rsidRPr="009B1A37">
        <w:rPr>
          <w:color w:val="000000"/>
          <w:sz w:val="22"/>
          <w:szCs w:val="22"/>
          <w:lang w:val="cs-CZ"/>
        </w:rPr>
        <w:t>mol/l. Maximální plazmatické koncentrace imatinibu u pacientů jsou 2–4 </w:t>
      </w:r>
      <w:r w:rsidRPr="009B1A37">
        <w:rPr>
          <w:rFonts w:ascii="Symbol" w:hAnsi="Symbol"/>
          <w:color w:val="000000"/>
          <w:sz w:val="22"/>
          <w:szCs w:val="22"/>
          <w:lang w:val="cs-CZ"/>
        </w:rPr>
        <w:t></w:t>
      </w:r>
      <w:r w:rsidRPr="009B1A37">
        <w:rPr>
          <w:color w:val="000000"/>
          <w:sz w:val="22"/>
          <w:szCs w:val="22"/>
          <w:lang w:val="cs-CZ"/>
        </w:rPr>
        <w:t>mol/l, tudíž je možná inhibice metabolismu zprostředkovaného CYP2D6 a/nebo CYP3A4/5 souběžně podávaných léků. Imatinib neinterferuje s biotran</w:t>
      </w:r>
      <w:r w:rsidR="005026BE" w:rsidRPr="009B1A37">
        <w:rPr>
          <w:color w:val="000000"/>
          <w:sz w:val="22"/>
          <w:szCs w:val="22"/>
          <w:lang w:val="cs-CZ"/>
        </w:rPr>
        <w:t>s</w:t>
      </w:r>
      <w:r w:rsidRPr="009B1A37">
        <w:rPr>
          <w:color w:val="000000"/>
          <w:sz w:val="22"/>
          <w:szCs w:val="22"/>
          <w:lang w:val="cs-CZ"/>
        </w:rPr>
        <w:t>formací fluoruracilu, ale inhibuje metabolismus paklitaxelu, což je výsledkem kompetitivní inhibice CYP2C8 (K</w:t>
      </w:r>
      <w:r w:rsidRPr="009B1A37">
        <w:rPr>
          <w:color w:val="000000"/>
          <w:sz w:val="22"/>
          <w:szCs w:val="22"/>
          <w:vertAlign w:val="subscript"/>
          <w:lang w:val="cs-CZ"/>
        </w:rPr>
        <w:t>i</w:t>
      </w:r>
      <w:r w:rsidRPr="009B1A37">
        <w:rPr>
          <w:color w:val="000000"/>
          <w:sz w:val="22"/>
          <w:szCs w:val="22"/>
          <w:lang w:val="cs-CZ"/>
        </w:rPr>
        <w:t xml:space="preserve"> = 34,7 µM). Odpovídající hodnota K</w:t>
      </w:r>
      <w:r w:rsidRPr="009B1A37">
        <w:rPr>
          <w:color w:val="000000"/>
          <w:sz w:val="22"/>
          <w:szCs w:val="22"/>
          <w:vertAlign w:val="subscript"/>
          <w:lang w:val="cs-CZ"/>
        </w:rPr>
        <w:t>i</w:t>
      </w:r>
      <w:r w:rsidRPr="009B1A37">
        <w:rPr>
          <w:color w:val="000000"/>
          <w:sz w:val="22"/>
          <w:szCs w:val="22"/>
          <w:lang w:val="cs-CZ"/>
        </w:rPr>
        <w:t xml:space="preserve"> je daleko vyšší než očekávané plazmatické hladiny imatinibu u pacientů a tudíž se neočekávají interakce při souběžném podávání fluoruracilu nebo paklitaxelu a imatinibu.</w:t>
      </w:r>
    </w:p>
    <w:p w14:paraId="7787AD68" w14:textId="77777777" w:rsidR="00D97A44" w:rsidRPr="009B1A37" w:rsidRDefault="00D97A44" w:rsidP="00BE3D48">
      <w:pPr>
        <w:pStyle w:val="EndnoteText"/>
        <w:widowControl w:val="0"/>
        <w:tabs>
          <w:tab w:val="clear" w:pos="567"/>
        </w:tabs>
        <w:rPr>
          <w:color w:val="000000"/>
        </w:rPr>
      </w:pPr>
    </w:p>
    <w:p w14:paraId="2B1461CC" w14:textId="77777777" w:rsidR="00D97A44" w:rsidRPr="009B1A37" w:rsidRDefault="00680BFC" w:rsidP="00BE3D48">
      <w:pPr>
        <w:pStyle w:val="EndnoteText"/>
        <w:keepNext/>
        <w:widowControl w:val="0"/>
        <w:tabs>
          <w:tab w:val="clear" w:pos="567"/>
        </w:tabs>
        <w:rPr>
          <w:color w:val="000000"/>
          <w:u w:val="single"/>
        </w:rPr>
      </w:pPr>
      <w:r w:rsidRPr="009B1A37">
        <w:rPr>
          <w:color w:val="000000"/>
          <w:u w:val="single"/>
        </w:rPr>
        <w:t>Eliminace z organismu</w:t>
      </w:r>
    </w:p>
    <w:p w14:paraId="47F8A20E" w14:textId="77777777" w:rsidR="00D97A44" w:rsidRPr="009B1A37" w:rsidRDefault="00D97A44" w:rsidP="00BE3D48">
      <w:pPr>
        <w:pStyle w:val="EndnoteText"/>
        <w:widowControl w:val="0"/>
        <w:tabs>
          <w:tab w:val="clear" w:pos="567"/>
        </w:tabs>
        <w:rPr>
          <w:color w:val="000000"/>
        </w:rPr>
      </w:pPr>
      <w:r w:rsidRPr="009B1A37">
        <w:rPr>
          <w:color w:val="000000"/>
        </w:rPr>
        <w:t>Na základě sledování vylučování radioaktivní</w:t>
      </w:r>
      <w:r w:rsidR="00282B9D" w:rsidRPr="009B1A37">
        <w:rPr>
          <w:color w:val="000000"/>
        </w:rPr>
        <w:t>(</w:t>
      </w:r>
      <w:r w:rsidRPr="009B1A37">
        <w:rPr>
          <w:color w:val="000000"/>
        </w:rPr>
        <w:t>ch</w:t>
      </w:r>
      <w:r w:rsidR="00282B9D" w:rsidRPr="009B1A37">
        <w:rPr>
          <w:color w:val="000000"/>
        </w:rPr>
        <w:t>)</w:t>
      </w:r>
      <w:r w:rsidRPr="009B1A37">
        <w:rPr>
          <w:color w:val="000000"/>
        </w:rPr>
        <w:t xml:space="preserve"> sloučenin(y) po perorálním podání </w:t>
      </w:r>
      <w:r w:rsidRPr="009B1A37">
        <w:rPr>
          <w:color w:val="000000"/>
          <w:vertAlign w:val="superscript"/>
        </w:rPr>
        <w:t>14</w:t>
      </w:r>
      <w:r w:rsidRPr="009B1A37">
        <w:rPr>
          <w:color w:val="000000"/>
        </w:rPr>
        <w:t>C-značeného imatinibu bylo přibližně 81</w:t>
      </w:r>
      <w:r w:rsidR="0067324A" w:rsidRPr="009B1A37">
        <w:rPr>
          <w:color w:val="000000"/>
        </w:rPr>
        <w:t> </w:t>
      </w:r>
      <w:r w:rsidRPr="009B1A37">
        <w:rPr>
          <w:color w:val="000000"/>
        </w:rPr>
        <w:t>% dávky nalezeno v průběhu 7 dnů ve stolici (68</w:t>
      </w:r>
      <w:r w:rsidR="0067324A" w:rsidRPr="009B1A37">
        <w:rPr>
          <w:color w:val="000000"/>
        </w:rPr>
        <w:t> </w:t>
      </w:r>
      <w:r w:rsidRPr="009B1A37">
        <w:rPr>
          <w:color w:val="000000"/>
        </w:rPr>
        <w:t>% dávky) a v moči (13</w:t>
      </w:r>
      <w:r w:rsidR="0067324A" w:rsidRPr="009B1A37">
        <w:rPr>
          <w:color w:val="000000"/>
        </w:rPr>
        <w:t> </w:t>
      </w:r>
      <w:r w:rsidRPr="009B1A37">
        <w:rPr>
          <w:color w:val="000000"/>
        </w:rPr>
        <w:t>% dávky). V nezměněné formě bylo vyloučeno 25</w:t>
      </w:r>
      <w:r w:rsidR="0067324A" w:rsidRPr="009B1A37">
        <w:rPr>
          <w:color w:val="000000"/>
        </w:rPr>
        <w:t> </w:t>
      </w:r>
      <w:r w:rsidRPr="009B1A37">
        <w:rPr>
          <w:color w:val="000000"/>
        </w:rPr>
        <w:t>% dávky (5</w:t>
      </w:r>
      <w:r w:rsidR="0067324A" w:rsidRPr="009B1A37">
        <w:rPr>
          <w:color w:val="000000"/>
        </w:rPr>
        <w:t> </w:t>
      </w:r>
      <w:r w:rsidRPr="009B1A37">
        <w:rPr>
          <w:color w:val="000000"/>
        </w:rPr>
        <w:t>% močí, 20</w:t>
      </w:r>
      <w:r w:rsidR="0067324A" w:rsidRPr="009B1A37">
        <w:rPr>
          <w:color w:val="000000"/>
        </w:rPr>
        <w:t> </w:t>
      </w:r>
      <w:r w:rsidRPr="009B1A37">
        <w:rPr>
          <w:color w:val="000000"/>
        </w:rPr>
        <w:t>% stolicí), zbytek činily metabolity.</w:t>
      </w:r>
    </w:p>
    <w:p w14:paraId="286DCFD9" w14:textId="77777777" w:rsidR="00D97A44" w:rsidRPr="009B1A37" w:rsidRDefault="00D97A44" w:rsidP="00BE3D48">
      <w:pPr>
        <w:pStyle w:val="EndnoteText"/>
        <w:widowControl w:val="0"/>
        <w:tabs>
          <w:tab w:val="clear" w:pos="567"/>
        </w:tabs>
        <w:rPr>
          <w:color w:val="000000"/>
        </w:rPr>
      </w:pPr>
    </w:p>
    <w:p w14:paraId="17CB8CBB" w14:textId="77777777" w:rsidR="00D97A44" w:rsidRPr="009B1A37" w:rsidRDefault="00D97A44" w:rsidP="00BE3D48">
      <w:pPr>
        <w:pStyle w:val="EndnoteText"/>
        <w:keepNext/>
        <w:widowControl w:val="0"/>
        <w:tabs>
          <w:tab w:val="clear" w:pos="567"/>
        </w:tabs>
        <w:rPr>
          <w:color w:val="000000"/>
          <w:u w:val="single"/>
        </w:rPr>
      </w:pPr>
      <w:r w:rsidRPr="009B1A37">
        <w:rPr>
          <w:color w:val="000000"/>
          <w:u w:val="single"/>
        </w:rPr>
        <w:t>Farmakokinetika v plazmě</w:t>
      </w:r>
    </w:p>
    <w:p w14:paraId="76E28DB0" w14:textId="77777777" w:rsidR="00D97A44" w:rsidRPr="009B1A37" w:rsidRDefault="00D97A44" w:rsidP="00BE3D48">
      <w:pPr>
        <w:pStyle w:val="EndnoteText"/>
        <w:widowControl w:val="0"/>
        <w:tabs>
          <w:tab w:val="clear" w:pos="567"/>
        </w:tabs>
        <w:rPr>
          <w:color w:val="000000"/>
        </w:rPr>
      </w:pPr>
      <w:r w:rsidRPr="009B1A37">
        <w:rPr>
          <w:color w:val="000000"/>
        </w:rPr>
        <w:t>Po perorálním podání zdravým dobrovolníkům byl t</w:t>
      </w:r>
      <w:r w:rsidRPr="009B1A37">
        <w:rPr>
          <w:color w:val="000000"/>
          <w:vertAlign w:val="subscript"/>
        </w:rPr>
        <w:t>½</w:t>
      </w:r>
      <w:r w:rsidRPr="009B1A37">
        <w:rPr>
          <w:color w:val="000000"/>
        </w:rPr>
        <w:t xml:space="preserve"> přibližně 18 hodin, to znamená, že podávání jednou denně je dostačující. Zvyšování průměrné hodnoty AUC se stoupající dávkou bylo lineární a závislé na dávce v rozmezí dávek 25–1 000 mg imatinibu po perorálním podání. Po opakovaném podání nebyly při dávkování jednou denně nalezeny změny v kinetice imatinibu a akumulace v rovnovážném stavu činila 1,5–2,5násobek.</w:t>
      </w:r>
    </w:p>
    <w:p w14:paraId="6C629C22" w14:textId="77777777" w:rsidR="00D97A44" w:rsidRPr="009B1A37" w:rsidRDefault="00D97A44" w:rsidP="00BE3D48">
      <w:pPr>
        <w:pStyle w:val="EndnoteText"/>
        <w:widowControl w:val="0"/>
        <w:tabs>
          <w:tab w:val="clear" w:pos="567"/>
        </w:tabs>
        <w:rPr>
          <w:color w:val="000000"/>
        </w:rPr>
      </w:pPr>
    </w:p>
    <w:p w14:paraId="1E0CC6A7" w14:textId="77777777" w:rsidR="00D97A44" w:rsidRPr="009B1A37" w:rsidRDefault="00D97A44" w:rsidP="00BE3D48">
      <w:pPr>
        <w:pStyle w:val="EndnoteText"/>
        <w:keepNext/>
        <w:widowControl w:val="0"/>
        <w:tabs>
          <w:tab w:val="clear" w:pos="567"/>
        </w:tabs>
        <w:rPr>
          <w:color w:val="000000"/>
          <w:u w:val="single"/>
        </w:rPr>
      </w:pPr>
      <w:r w:rsidRPr="009B1A37">
        <w:rPr>
          <w:color w:val="000000"/>
          <w:u w:val="single"/>
        </w:rPr>
        <w:t>Farmakokinetika u pacientů s GIST</w:t>
      </w:r>
    </w:p>
    <w:p w14:paraId="6B2DC9B6"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U pacientů s GIST byla v rovnovážném stavu při stejné dávce (400 mg denně) 1,5krát vyšší expozice než ta, která byla pozorována u pacientů s CML. Na základě předběžné analýzy farmakokinetiky v populaci pacientů s GIST zde byly nalezeny tři proměnné (albumin, bílé krvinky a bilirubin), které měly statisticky významnou souvislost s farmakokinetikou imatinibu. Snížení hodnot albuminu bylo příčinou poklesu clearance (CL/f); a vyšší hodnoty počtu bílých krvinek vedly ke snížení CL/f. Tato souvislost však není dostatečně výrazná, aby opravňovala k úpravě dávkování. V této skupině pacientů by mohla přítomnost metastáz v játrech mít za následek jaterní insuficienci a redukci metabolismu.</w:t>
      </w:r>
    </w:p>
    <w:p w14:paraId="56A02B2D" w14:textId="77777777" w:rsidR="00D97A44" w:rsidRPr="009B1A37" w:rsidRDefault="00D97A44" w:rsidP="00BE3D48">
      <w:pPr>
        <w:pStyle w:val="EndnoteText"/>
        <w:widowControl w:val="0"/>
        <w:tabs>
          <w:tab w:val="clear" w:pos="567"/>
        </w:tabs>
        <w:rPr>
          <w:color w:val="000000"/>
        </w:rPr>
      </w:pPr>
    </w:p>
    <w:p w14:paraId="59A53217" w14:textId="77777777" w:rsidR="00D97A44" w:rsidRPr="009B1A37" w:rsidRDefault="00D97A44" w:rsidP="00BE3D48">
      <w:pPr>
        <w:pStyle w:val="EndnoteText"/>
        <w:keepNext/>
        <w:widowControl w:val="0"/>
        <w:tabs>
          <w:tab w:val="clear" w:pos="567"/>
        </w:tabs>
        <w:rPr>
          <w:color w:val="000000"/>
          <w:u w:val="single"/>
        </w:rPr>
      </w:pPr>
      <w:r w:rsidRPr="009B1A37">
        <w:rPr>
          <w:color w:val="000000"/>
          <w:u w:val="single"/>
        </w:rPr>
        <w:t>Populační farmakokinetika</w:t>
      </w:r>
    </w:p>
    <w:p w14:paraId="317F86E8" w14:textId="77777777" w:rsidR="00D97A44" w:rsidRPr="009B1A37" w:rsidRDefault="00D97A44" w:rsidP="00BE3D48">
      <w:pPr>
        <w:pStyle w:val="EndnoteText"/>
        <w:widowControl w:val="0"/>
        <w:tabs>
          <w:tab w:val="clear" w:pos="567"/>
        </w:tabs>
        <w:rPr>
          <w:color w:val="000000"/>
        </w:rPr>
      </w:pPr>
      <w:r w:rsidRPr="009B1A37">
        <w:rPr>
          <w:color w:val="000000"/>
        </w:rPr>
        <w:t>Na základě analýzy farmakokinetiky v populaci pacientů s CML bylo zjištěno, že věk jen málo ovlivnil distribuční objem (12</w:t>
      </w:r>
      <w:r w:rsidR="0067324A" w:rsidRPr="009B1A37">
        <w:rPr>
          <w:color w:val="000000"/>
        </w:rPr>
        <w:t> </w:t>
      </w:r>
      <w:r w:rsidRPr="009B1A37">
        <w:rPr>
          <w:color w:val="000000"/>
        </w:rPr>
        <w:t xml:space="preserve">% zvýšení u pacientů starších &gt; 65 let). Tyto změny nejsou považovány za klinicky významné. Vliv tělesné hmotnosti na clearance imatinibu je následující: u pacientů s tělesnou hmotností </w:t>
      </w:r>
      <w:smartTag w:uri="urn:schemas-microsoft-com:office:smarttags" w:element="metricconverter">
        <w:smartTagPr>
          <w:attr w:name="ProductID" w:val="50ﾠkg"/>
        </w:smartTagPr>
        <w:r w:rsidRPr="009B1A37">
          <w:rPr>
            <w:color w:val="000000"/>
          </w:rPr>
          <w:t>50 kg</w:t>
        </w:r>
      </w:smartTag>
      <w:r w:rsidRPr="009B1A37">
        <w:rPr>
          <w:color w:val="000000"/>
        </w:rPr>
        <w:t xml:space="preserve"> je možné očekávat průměrnou clearance 8,5 l/h, zatímco u pacientů vážících </w:t>
      </w:r>
      <w:smartTag w:uri="urn:schemas-microsoft-com:office:smarttags" w:element="metricconverter">
        <w:smartTagPr>
          <w:attr w:name="ProductID" w:val="100ﾠkg"/>
        </w:smartTagPr>
        <w:r w:rsidRPr="009B1A37">
          <w:rPr>
            <w:color w:val="000000"/>
          </w:rPr>
          <w:t>100 kg</w:t>
        </w:r>
      </w:smartTag>
      <w:r w:rsidRPr="009B1A37">
        <w:rPr>
          <w:color w:val="000000"/>
        </w:rPr>
        <w:t xml:space="preserve"> clearance stoupne na 11,8 l/h. Tyto změny nejsou dostačující, aby opravňovaly k úpravě dávkování podle </w:t>
      </w:r>
      <w:r w:rsidR="00282B9D" w:rsidRPr="009B1A37">
        <w:rPr>
          <w:color w:val="000000"/>
        </w:rPr>
        <w:t xml:space="preserve">tělesné </w:t>
      </w:r>
      <w:r w:rsidRPr="009B1A37">
        <w:rPr>
          <w:color w:val="000000"/>
        </w:rPr>
        <w:t>hmotnosti. V kinetice imatinibu není rozdíl mezi muži a ženami.</w:t>
      </w:r>
    </w:p>
    <w:p w14:paraId="04673100" w14:textId="77777777" w:rsidR="00D97A44" w:rsidRPr="009B1A37" w:rsidRDefault="00D97A44" w:rsidP="00BE3D48">
      <w:pPr>
        <w:pStyle w:val="EndnoteText"/>
        <w:widowControl w:val="0"/>
        <w:tabs>
          <w:tab w:val="clear" w:pos="567"/>
        </w:tabs>
        <w:rPr>
          <w:color w:val="000000"/>
        </w:rPr>
      </w:pPr>
    </w:p>
    <w:p w14:paraId="05CF81C1" w14:textId="77777777" w:rsidR="00D97A44" w:rsidRPr="009B1A37" w:rsidRDefault="00D97A44" w:rsidP="00BE3D48">
      <w:pPr>
        <w:pStyle w:val="EndnoteText"/>
        <w:keepNext/>
        <w:widowControl w:val="0"/>
        <w:tabs>
          <w:tab w:val="clear" w:pos="567"/>
        </w:tabs>
        <w:rPr>
          <w:color w:val="000000"/>
          <w:u w:val="single"/>
        </w:rPr>
      </w:pPr>
      <w:r w:rsidRPr="009B1A37">
        <w:rPr>
          <w:color w:val="000000"/>
          <w:u w:val="single"/>
        </w:rPr>
        <w:t>Farmakokinetika u dětí</w:t>
      </w:r>
    </w:p>
    <w:p w14:paraId="04B177CC" w14:textId="77777777" w:rsidR="00D97A44" w:rsidRPr="009B1A37" w:rsidRDefault="00D97A44" w:rsidP="00BE3D48">
      <w:pPr>
        <w:pStyle w:val="EndnoteText"/>
        <w:widowControl w:val="0"/>
        <w:rPr>
          <w:color w:val="000000"/>
        </w:rPr>
      </w:pPr>
      <w:r w:rsidRPr="009B1A37">
        <w:rPr>
          <w:color w:val="000000"/>
        </w:rPr>
        <w:t xml:space="preserve">Obdobně jako u dospělých pacientů byl imatinib po perorálním podání rychle absorbován i u </w:t>
      </w:r>
      <w:r w:rsidR="00282B9D" w:rsidRPr="009B1A37">
        <w:rPr>
          <w:color w:val="000000"/>
        </w:rPr>
        <w:t>pediatrických</w:t>
      </w:r>
      <w:r w:rsidRPr="009B1A37">
        <w:rPr>
          <w:color w:val="000000"/>
        </w:rPr>
        <w:t xml:space="preserve"> pacientů ve studii fáze I i fáze II. Dávkami </w:t>
      </w:r>
      <w:smartTag w:uri="urn:schemas-microsoft-com:office:smarttags" w:element="metricconverter">
        <w:smartTagPr>
          <w:attr w:name="ProductID" w:val="260 a"/>
        </w:smartTagPr>
        <w:r w:rsidRPr="009B1A37">
          <w:rPr>
            <w:color w:val="000000"/>
          </w:rPr>
          <w:t>260 a</w:t>
        </w:r>
      </w:smartTag>
      <w:r w:rsidRPr="009B1A37">
        <w:rPr>
          <w:color w:val="000000"/>
        </w:rPr>
        <w:t xml:space="preserve"> 340 mg/m</w:t>
      </w:r>
      <w:r w:rsidRPr="009B1A37">
        <w:rPr>
          <w:color w:val="000000"/>
          <w:vertAlign w:val="superscript"/>
        </w:rPr>
        <w:t>2</w:t>
      </w:r>
      <w:r w:rsidRPr="009B1A37">
        <w:rPr>
          <w:color w:val="000000"/>
        </w:rPr>
        <w:t>/den bylo u dětí dosaženo stejné účinnosti jako u dospělých dávkami 400 mg a 600 mg. Při srovnání AUC</w:t>
      </w:r>
      <w:r w:rsidRPr="009B1A37">
        <w:rPr>
          <w:color w:val="000000"/>
          <w:vertAlign w:val="subscript"/>
        </w:rPr>
        <w:t>(0-24)</w:t>
      </w:r>
      <w:r w:rsidRPr="009B1A37">
        <w:rPr>
          <w:color w:val="000000"/>
        </w:rPr>
        <w:t xml:space="preserve"> 8. den s 1. dnem při dávce 340 mg/m</w:t>
      </w:r>
      <w:r w:rsidRPr="009B1A37">
        <w:rPr>
          <w:color w:val="000000"/>
          <w:vertAlign w:val="superscript"/>
        </w:rPr>
        <w:t>2</w:t>
      </w:r>
      <w:r w:rsidRPr="009B1A37">
        <w:rPr>
          <w:color w:val="000000"/>
        </w:rPr>
        <w:t>/den hladina ukázala 1,7násobnou akumulaci léku po opakovaném podávání jednou denně.</w:t>
      </w:r>
    </w:p>
    <w:p w14:paraId="274D86CE" w14:textId="77777777" w:rsidR="00E03E8C" w:rsidRPr="009B1A37" w:rsidRDefault="00E03E8C" w:rsidP="00BE3D48">
      <w:pPr>
        <w:pStyle w:val="EndnoteText"/>
        <w:widowControl w:val="0"/>
        <w:rPr>
          <w:color w:val="000000"/>
        </w:rPr>
      </w:pPr>
    </w:p>
    <w:p w14:paraId="6439616E" w14:textId="77777777" w:rsidR="00A020C3" w:rsidRPr="009B1A37" w:rsidRDefault="00A020C3" w:rsidP="00BE3D48">
      <w:pPr>
        <w:pStyle w:val="EndnoteText"/>
        <w:widowControl w:val="0"/>
        <w:rPr>
          <w:color w:val="000000"/>
        </w:rPr>
      </w:pPr>
      <w:r w:rsidRPr="009B1A37">
        <w:rPr>
          <w:color w:val="000000"/>
        </w:rPr>
        <w:t>Na základě poolovaných farmakokinetických analýz populací pediatrických pacientů s hematologickými poruchami (CML, Ph+ALL, nebo jinými hematologickými poruchami léčenými imatinibem) roste clearance imatinibu se zvyšujícím se povrchem těla (BSA). Po úpravě vlivu BSA neměly další demografické ukazatele, jako je věk, tělesná hmotnost a body mass index, klinicky významný vliv na expozici imatinibem. Analýzy potvrdily, že expozice imatinibem u pediatrických pacientů užívajících 260 mg/m</w:t>
      </w:r>
      <w:r w:rsidRPr="009B1A37">
        <w:rPr>
          <w:color w:val="000000"/>
          <w:vertAlign w:val="superscript"/>
        </w:rPr>
        <w:t>2</w:t>
      </w:r>
      <w:r w:rsidRPr="009B1A37">
        <w:rPr>
          <w:color w:val="000000"/>
        </w:rPr>
        <w:t xml:space="preserve"> jednou denně (nepřevyšující 400 mg jednou denně) nebo 340 mg/m</w:t>
      </w:r>
      <w:r w:rsidRPr="009B1A37">
        <w:rPr>
          <w:color w:val="000000"/>
          <w:vertAlign w:val="superscript"/>
        </w:rPr>
        <w:t>2</w:t>
      </w:r>
      <w:r w:rsidRPr="009B1A37">
        <w:rPr>
          <w:color w:val="000000"/>
        </w:rPr>
        <w:t xml:space="preserve"> jednou denně (nepřevyšující 600 mg jednou denně) byly podobné jako u dospělých pacientů, kteří užívali imatinib v dávce 400 mg nebo 600 mg jednou denně.</w:t>
      </w:r>
    </w:p>
    <w:p w14:paraId="085B9593" w14:textId="77777777" w:rsidR="00D97A44" w:rsidRPr="009B1A37" w:rsidRDefault="00D97A44" w:rsidP="00BE3D48">
      <w:pPr>
        <w:pStyle w:val="EndnoteText"/>
        <w:widowControl w:val="0"/>
        <w:tabs>
          <w:tab w:val="clear" w:pos="567"/>
        </w:tabs>
        <w:rPr>
          <w:color w:val="000000"/>
        </w:rPr>
      </w:pPr>
    </w:p>
    <w:p w14:paraId="3C85EF5C" w14:textId="77777777" w:rsidR="00D97A44" w:rsidRPr="009B1A37" w:rsidRDefault="00282B9D" w:rsidP="00BE3D48">
      <w:pPr>
        <w:pStyle w:val="EndnoteText"/>
        <w:keepNext/>
        <w:widowControl w:val="0"/>
        <w:tabs>
          <w:tab w:val="clear" w:pos="567"/>
        </w:tabs>
        <w:rPr>
          <w:color w:val="000000"/>
          <w:u w:val="single"/>
        </w:rPr>
      </w:pPr>
      <w:r w:rsidRPr="009B1A37">
        <w:rPr>
          <w:color w:val="000000"/>
          <w:u w:val="single"/>
        </w:rPr>
        <w:t>Porucha</w:t>
      </w:r>
      <w:r w:rsidR="00D97A44" w:rsidRPr="009B1A37">
        <w:rPr>
          <w:color w:val="000000"/>
          <w:u w:val="single"/>
        </w:rPr>
        <w:t xml:space="preserve"> funkce orgánů</w:t>
      </w:r>
    </w:p>
    <w:p w14:paraId="793C76C8" w14:textId="77777777" w:rsidR="00D97A44" w:rsidRPr="009B1A37" w:rsidRDefault="00D97A44" w:rsidP="00BE3D48">
      <w:pPr>
        <w:pStyle w:val="EndnoteText"/>
        <w:widowControl w:val="0"/>
        <w:tabs>
          <w:tab w:val="clear" w:pos="567"/>
        </w:tabs>
        <w:rPr>
          <w:color w:val="000000"/>
        </w:rPr>
      </w:pPr>
      <w:r w:rsidRPr="009B1A37">
        <w:rPr>
          <w:color w:val="000000"/>
        </w:rPr>
        <w:t xml:space="preserve">Imatinib a jeho metabolity nejsou ve významném množství vylučovány ledvinami. U pacientů s </w:t>
      </w:r>
      <w:r w:rsidR="00282B9D" w:rsidRPr="009B1A37">
        <w:rPr>
          <w:color w:val="000000"/>
        </w:rPr>
        <w:t>lehkou</w:t>
      </w:r>
      <w:r w:rsidRPr="009B1A37">
        <w:rPr>
          <w:color w:val="000000"/>
        </w:rPr>
        <w:t xml:space="preserve"> a středně </w:t>
      </w:r>
      <w:r w:rsidR="00282B9D" w:rsidRPr="009B1A37">
        <w:rPr>
          <w:color w:val="000000"/>
        </w:rPr>
        <w:t>těžkou poruchou funkce ledvin</w:t>
      </w:r>
      <w:r w:rsidRPr="009B1A37">
        <w:rPr>
          <w:color w:val="000000"/>
        </w:rPr>
        <w:t xml:space="preserve"> se ukázalo, že mají vyšší plazmatickou expozici než pacienti s normální funkcí ledvin. Zvýšení je přibližně 1,5- až 2násobné, což odpovídá 1,5násobku zvýšení plazmatického AGP, na který se imatinib silně váže. Clearance volného imatinibu je pravděpodobně obdobná u pacientů s</w:t>
      </w:r>
      <w:r w:rsidR="00282B9D" w:rsidRPr="009B1A37">
        <w:rPr>
          <w:color w:val="000000"/>
        </w:rPr>
        <w:t> poruchou funkce ledvin</w:t>
      </w:r>
      <w:r w:rsidRPr="009B1A37">
        <w:rPr>
          <w:color w:val="000000"/>
        </w:rPr>
        <w:t xml:space="preserve"> a u pacientů s normální funkcí ledvin vzhledem k tomu, že vylučování ledvinami představuje pouze vedlejší cestu eliminace imatinibu (viz bod</w:t>
      </w:r>
      <w:r w:rsidR="005026BE" w:rsidRPr="009B1A37">
        <w:rPr>
          <w:color w:val="000000"/>
        </w:rPr>
        <w:t>y</w:t>
      </w:r>
      <w:r w:rsidRPr="009B1A37">
        <w:rPr>
          <w:color w:val="000000"/>
        </w:rPr>
        <w:t xml:space="preserve"> </w:t>
      </w:r>
      <w:smartTag w:uri="urn:schemas-microsoft-com:office:smarttags" w:element="metricconverter">
        <w:smartTagPr>
          <w:attr w:name="ProductID" w:val="4.2 a"/>
        </w:smartTagPr>
        <w:r w:rsidRPr="009B1A37">
          <w:rPr>
            <w:color w:val="000000"/>
          </w:rPr>
          <w:t>4.2 a</w:t>
        </w:r>
      </w:smartTag>
      <w:r w:rsidRPr="009B1A37">
        <w:rPr>
          <w:color w:val="000000"/>
        </w:rPr>
        <w:t xml:space="preserve"> 4.4).</w:t>
      </w:r>
    </w:p>
    <w:p w14:paraId="1FA5D91C" w14:textId="77777777" w:rsidR="00D97A44" w:rsidRPr="009B1A37" w:rsidRDefault="00D97A44" w:rsidP="00BE3D48">
      <w:pPr>
        <w:pStyle w:val="EndnoteText"/>
        <w:widowControl w:val="0"/>
        <w:tabs>
          <w:tab w:val="clear" w:pos="567"/>
        </w:tabs>
        <w:rPr>
          <w:color w:val="000000"/>
        </w:rPr>
      </w:pPr>
    </w:p>
    <w:p w14:paraId="3886C3CA" w14:textId="77777777" w:rsidR="00D97A44" w:rsidRPr="009B1A37" w:rsidRDefault="00D97A44" w:rsidP="00BE3D48">
      <w:pPr>
        <w:pStyle w:val="EndnoteText"/>
        <w:widowControl w:val="0"/>
        <w:tabs>
          <w:tab w:val="clear" w:pos="567"/>
        </w:tabs>
        <w:rPr>
          <w:color w:val="000000"/>
        </w:rPr>
      </w:pPr>
      <w:r w:rsidRPr="009B1A37">
        <w:rPr>
          <w:color w:val="000000"/>
        </w:rPr>
        <w:t xml:space="preserve">Ačkoli výsledky farmakokinetických analýz ukázaly, že je zde značný rozdíl mezi jedinci, střední expozice imatinibu se nezvýšila u pacientů s různými stupni dysfunkce jater ve srovnání s pacienty s normální funkcí jater (viz body 4.2, </w:t>
      </w:r>
      <w:smartTag w:uri="urn:schemas-microsoft-com:office:smarttags" w:element="metricconverter">
        <w:smartTagPr>
          <w:attr w:name="ProductID" w:val="4.4 a"/>
        </w:smartTagPr>
        <w:r w:rsidRPr="009B1A37">
          <w:rPr>
            <w:color w:val="000000"/>
          </w:rPr>
          <w:t>4.4 a</w:t>
        </w:r>
      </w:smartTag>
      <w:r w:rsidRPr="009B1A37">
        <w:rPr>
          <w:color w:val="000000"/>
        </w:rPr>
        <w:t xml:space="preserve"> 4.8).</w:t>
      </w:r>
    </w:p>
    <w:p w14:paraId="2511F433" w14:textId="77777777" w:rsidR="00D97A44" w:rsidRPr="009B1A37" w:rsidRDefault="00D97A44" w:rsidP="00BE3D48">
      <w:pPr>
        <w:pStyle w:val="EndnoteText"/>
        <w:widowControl w:val="0"/>
        <w:tabs>
          <w:tab w:val="clear" w:pos="567"/>
        </w:tabs>
        <w:rPr>
          <w:color w:val="000000"/>
        </w:rPr>
      </w:pPr>
    </w:p>
    <w:p w14:paraId="3CD21DDF"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5.3</w:t>
      </w:r>
      <w:r w:rsidRPr="009B1A37">
        <w:rPr>
          <w:b/>
          <w:bCs/>
          <w:color w:val="000000"/>
        </w:rPr>
        <w:tab/>
        <w:t>Předklinické údaje vztahující se k bezpečnosti</w:t>
      </w:r>
    </w:p>
    <w:p w14:paraId="63D0C994" w14:textId="77777777" w:rsidR="00D97A44" w:rsidRPr="009B1A37" w:rsidRDefault="00D97A44" w:rsidP="00BE3D48">
      <w:pPr>
        <w:pStyle w:val="EndnoteText"/>
        <w:keepNext/>
        <w:widowControl w:val="0"/>
        <w:tabs>
          <w:tab w:val="clear" w:pos="567"/>
        </w:tabs>
        <w:rPr>
          <w:color w:val="000000"/>
        </w:rPr>
      </w:pPr>
    </w:p>
    <w:p w14:paraId="5BD21D3D" w14:textId="77777777" w:rsidR="00D97A44" w:rsidRPr="009B1A37" w:rsidRDefault="00D97A44" w:rsidP="00BE3D48">
      <w:pPr>
        <w:widowControl w:val="0"/>
        <w:tabs>
          <w:tab w:val="clear" w:pos="567"/>
        </w:tabs>
        <w:spacing w:line="240" w:lineRule="auto"/>
        <w:rPr>
          <w:color w:val="000000"/>
        </w:rPr>
      </w:pPr>
      <w:r w:rsidRPr="009B1A37">
        <w:rPr>
          <w:color w:val="000000"/>
        </w:rPr>
        <w:t>Předklinický profil bezpečnosti imatinibu byl stanoven na potkanech, psech, opicích a králících.</w:t>
      </w:r>
    </w:p>
    <w:p w14:paraId="26B88B46" w14:textId="77777777" w:rsidR="00D97A44" w:rsidRPr="009B1A37" w:rsidRDefault="00D97A44" w:rsidP="00BE3D48">
      <w:pPr>
        <w:widowControl w:val="0"/>
        <w:tabs>
          <w:tab w:val="clear" w:pos="567"/>
        </w:tabs>
        <w:spacing w:line="240" w:lineRule="auto"/>
        <w:rPr>
          <w:color w:val="000000"/>
        </w:rPr>
      </w:pPr>
    </w:p>
    <w:p w14:paraId="10C3B54E"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Při studiu toxicity po opakovaném podání byly pozorovány mírné až středně závažné hematologické změny u</w:t>
      </w:r>
      <w:r w:rsidR="006243A0" w:rsidRPr="009B1A37">
        <w:rPr>
          <w:color w:val="000000"/>
          <w:sz w:val="22"/>
          <w:szCs w:val="22"/>
          <w:lang w:val="cs-CZ"/>
        </w:rPr>
        <w:t> </w:t>
      </w:r>
      <w:r w:rsidRPr="009B1A37">
        <w:rPr>
          <w:color w:val="000000"/>
          <w:sz w:val="22"/>
          <w:szCs w:val="22"/>
          <w:lang w:val="cs-CZ"/>
        </w:rPr>
        <w:t>potkanů, psů, a opic doprovázené změnami v</w:t>
      </w:r>
      <w:r w:rsidR="006243A0" w:rsidRPr="009B1A37">
        <w:rPr>
          <w:color w:val="000000"/>
          <w:sz w:val="22"/>
          <w:szCs w:val="22"/>
          <w:lang w:val="cs-CZ"/>
        </w:rPr>
        <w:t> </w:t>
      </w:r>
      <w:r w:rsidRPr="009B1A37">
        <w:rPr>
          <w:color w:val="000000"/>
          <w:sz w:val="22"/>
          <w:szCs w:val="22"/>
          <w:lang w:val="cs-CZ"/>
        </w:rPr>
        <w:t>kostní dřeni u potkanů a psů.</w:t>
      </w:r>
    </w:p>
    <w:p w14:paraId="3F0F1FA4" w14:textId="77777777" w:rsidR="00D97A44" w:rsidRPr="009B1A37" w:rsidRDefault="00D97A44" w:rsidP="00BE3D48">
      <w:pPr>
        <w:pStyle w:val="Text"/>
        <w:widowControl w:val="0"/>
        <w:spacing w:before="0"/>
        <w:jc w:val="left"/>
        <w:rPr>
          <w:color w:val="000000"/>
          <w:sz w:val="22"/>
          <w:szCs w:val="22"/>
          <w:lang w:val="cs-CZ"/>
        </w:rPr>
      </w:pPr>
    </w:p>
    <w:p w14:paraId="423DBA28"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U potkanů a psů byly cílovým orgánem játra. U obou druhů zvířat bylo pozorováno mírné až středn</w:t>
      </w:r>
      <w:r w:rsidR="00282B9D" w:rsidRPr="009B1A37">
        <w:rPr>
          <w:color w:val="000000"/>
          <w:sz w:val="22"/>
          <w:szCs w:val="22"/>
          <w:lang w:val="cs-CZ"/>
        </w:rPr>
        <w:t>ě výrazné</w:t>
      </w:r>
      <w:r w:rsidRPr="009B1A37">
        <w:rPr>
          <w:color w:val="000000"/>
          <w:sz w:val="22"/>
          <w:szCs w:val="22"/>
          <w:lang w:val="cs-CZ"/>
        </w:rPr>
        <w:t xml:space="preserve"> zvýšení transamináz a mírný pokles cholesterolu, triglyceridů, celkových proteinů a hladiny albuminu. V játrech potkanů nebyly nalezeny žádné histopatologické změny. Závažné toxické změny se zvýšením jaterních enzymů, hepatocelulární nekrózou, nekrózou žlučových cest a hyperplazií žlučovodu byly pozorovány u psů léčených po </w:t>
      </w:r>
      <w:r w:rsidR="00282B9D" w:rsidRPr="009B1A37">
        <w:rPr>
          <w:color w:val="000000"/>
          <w:sz w:val="22"/>
          <w:szCs w:val="22"/>
          <w:lang w:val="cs-CZ"/>
        </w:rPr>
        <w:t xml:space="preserve">dobu </w:t>
      </w:r>
      <w:r w:rsidRPr="009B1A37">
        <w:rPr>
          <w:color w:val="000000"/>
          <w:sz w:val="22"/>
          <w:szCs w:val="22"/>
          <w:lang w:val="cs-CZ"/>
        </w:rPr>
        <w:t>2 týdn</w:t>
      </w:r>
      <w:r w:rsidR="00282B9D" w:rsidRPr="009B1A37">
        <w:rPr>
          <w:color w:val="000000"/>
          <w:sz w:val="22"/>
          <w:szCs w:val="22"/>
          <w:lang w:val="cs-CZ"/>
        </w:rPr>
        <w:t>ů</w:t>
      </w:r>
      <w:r w:rsidRPr="009B1A37">
        <w:rPr>
          <w:color w:val="000000"/>
          <w:sz w:val="22"/>
          <w:szCs w:val="22"/>
          <w:lang w:val="cs-CZ"/>
        </w:rPr>
        <w:t>.</w:t>
      </w:r>
    </w:p>
    <w:p w14:paraId="551B79BB" w14:textId="77777777" w:rsidR="00D97A44" w:rsidRPr="009B1A37" w:rsidRDefault="00D97A44" w:rsidP="00BE3D48">
      <w:pPr>
        <w:pStyle w:val="Text"/>
        <w:widowControl w:val="0"/>
        <w:spacing w:before="0"/>
        <w:rPr>
          <w:color w:val="000000"/>
          <w:sz w:val="22"/>
          <w:szCs w:val="22"/>
          <w:lang w:val="cs-CZ"/>
        </w:rPr>
      </w:pPr>
    </w:p>
    <w:p w14:paraId="1A19D5AD"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U opic byla po dvou týdnech léčby pozorována nefrotoxicita, s ložiskovou mineralizací a dilatací renálních tubulů a tubulární nefrózou. U několika zvířat bylo pozorováno zvýšení urey (BUN) a kreatininu</w:t>
      </w:r>
      <w:r w:rsidR="00282B9D" w:rsidRPr="009B1A37">
        <w:rPr>
          <w:color w:val="000000"/>
          <w:sz w:val="22"/>
          <w:szCs w:val="22"/>
          <w:lang w:val="cs-CZ"/>
        </w:rPr>
        <w:t xml:space="preserve"> v krvi</w:t>
      </w:r>
      <w:r w:rsidRPr="009B1A37">
        <w:rPr>
          <w:color w:val="000000"/>
          <w:sz w:val="22"/>
          <w:szCs w:val="22"/>
          <w:lang w:val="cs-CZ"/>
        </w:rPr>
        <w:t xml:space="preserve">. U potkanů byla po dávkách </w:t>
      </w:r>
      <w:r w:rsidRPr="009B1A37">
        <w:rPr>
          <w:rFonts w:ascii="Symbol" w:hAnsi="Symbol"/>
          <w:color w:val="000000"/>
          <w:sz w:val="22"/>
          <w:szCs w:val="22"/>
          <w:lang w:val="cs-CZ"/>
        </w:rPr>
        <w:t></w:t>
      </w:r>
      <w:r w:rsidRPr="009B1A37">
        <w:rPr>
          <w:color w:val="000000"/>
          <w:sz w:val="22"/>
          <w:szCs w:val="22"/>
          <w:lang w:val="cs-CZ"/>
        </w:rPr>
        <w:t> 6 mg/kg ve 13týdenní studii pozorována hyperplazie přechodového epitelu renální papily a močového měchýře, beze změn parametrů v séru nebo moči. Při chronické léčbě imatinibem byl pozorován četnější výskyt oportunních infekcí.</w:t>
      </w:r>
    </w:p>
    <w:p w14:paraId="6C27000C" w14:textId="77777777" w:rsidR="00D97A44" w:rsidRPr="009B1A37" w:rsidRDefault="00D97A44" w:rsidP="00BE3D48">
      <w:pPr>
        <w:pStyle w:val="Text"/>
        <w:widowControl w:val="0"/>
        <w:spacing w:before="0"/>
        <w:jc w:val="left"/>
        <w:rPr>
          <w:color w:val="000000"/>
          <w:sz w:val="22"/>
          <w:szCs w:val="22"/>
          <w:lang w:val="cs-CZ"/>
        </w:rPr>
      </w:pPr>
    </w:p>
    <w:p w14:paraId="2F39C106"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 xml:space="preserve">Ve 39týdenní studii u opic nebyla při nejnižší dávce 15 mg/kg, odpovídající přibližně jedné třetině maximální dávky 800 mg </w:t>
      </w:r>
      <w:r w:rsidR="00282B9D" w:rsidRPr="009B1A37">
        <w:rPr>
          <w:color w:val="000000"/>
          <w:sz w:val="22"/>
          <w:szCs w:val="22"/>
          <w:lang w:val="cs-CZ"/>
        </w:rPr>
        <w:t xml:space="preserve">u člověka </w:t>
      </w:r>
      <w:r w:rsidRPr="009B1A37">
        <w:rPr>
          <w:color w:val="000000"/>
          <w:sz w:val="22"/>
          <w:szCs w:val="22"/>
          <w:lang w:val="cs-CZ"/>
        </w:rPr>
        <w:t xml:space="preserve">stanovené podle tělesného povrchu, stanovena hladina bez nežádoucích účinků -NOAEL (No Observed Adverse Effect Level). U těchto zvířat došlo ke zhoršení normálně </w:t>
      </w:r>
      <w:r w:rsidR="00282B9D" w:rsidRPr="009B1A37">
        <w:rPr>
          <w:color w:val="000000"/>
          <w:sz w:val="22"/>
          <w:szCs w:val="22"/>
          <w:lang w:val="cs-CZ"/>
        </w:rPr>
        <w:t>suprimované</w:t>
      </w:r>
      <w:r w:rsidRPr="009B1A37">
        <w:rPr>
          <w:color w:val="000000"/>
          <w:sz w:val="22"/>
          <w:szCs w:val="22"/>
          <w:lang w:val="cs-CZ"/>
        </w:rPr>
        <w:t xml:space="preserve"> malárie.</w:t>
      </w:r>
    </w:p>
    <w:p w14:paraId="55AED5F9" w14:textId="77777777" w:rsidR="00D97A44" w:rsidRPr="009B1A37" w:rsidRDefault="00D97A44" w:rsidP="00BE3D48">
      <w:pPr>
        <w:pStyle w:val="Text"/>
        <w:widowControl w:val="0"/>
        <w:spacing w:before="0"/>
        <w:jc w:val="left"/>
        <w:rPr>
          <w:color w:val="000000"/>
          <w:sz w:val="22"/>
          <w:szCs w:val="22"/>
          <w:lang w:val="cs-CZ"/>
        </w:rPr>
      </w:pPr>
    </w:p>
    <w:p w14:paraId="2F53A6A5"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 xml:space="preserve">Ve studiích </w:t>
      </w:r>
      <w:r w:rsidRPr="009B1A37">
        <w:rPr>
          <w:i/>
          <w:iCs/>
          <w:color w:val="000000"/>
          <w:sz w:val="22"/>
          <w:szCs w:val="22"/>
          <w:lang w:val="cs-CZ"/>
        </w:rPr>
        <w:t>in vitro</w:t>
      </w:r>
      <w:r w:rsidRPr="009B1A37">
        <w:rPr>
          <w:color w:val="000000"/>
          <w:sz w:val="22"/>
          <w:szCs w:val="22"/>
          <w:lang w:val="cs-CZ"/>
        </w:rPr>
        <w:t xml:space="preserve"> na bakteriálních buňkách (Amesův test), na savčích buňkách (myší lymfomové buňky) ani ve studiích </w:t>
      </w:r>
      <w:r w:rsidRPr="009B1A37">
        <w:rPr>
          <w:i/>
          <w:iCs/>
          <w:color w:val="000000"/>
          <w:sz w:val="22"/>
          <w:szCs w:val="22"/>
          <w:lang w:val="cs-CZ"/>
        </w:rPr>
        <w:t xml:space="preserve">in vivo </w:t>
      </w:r>
      <w:r w:rsidRPr="009B1A37">
        <w:rPr>
          <w:iCs/>
          <w:color w:val="000000"/>
          <w:sz w:val="22"/>
          <w:szCs w:val="22"/>
          <w:lang w:val="cs-CZ"/>
        </w:rPr>
        <w:t>u</w:t>
      </w:r>
      <w:r w:rsidR="006243A0" w:rsidRPr="009B1A37">
        <w:rPr>
          <w:color w:val="000000"/>
          <w:sz w:val="22"/>
          <w:szCs w:val="22"/>
          <w:lang w:val="cs-CZ"/>
        </w:rPr>
        <w:t> </w:t>
      </w:r>
      <w:r w:rsidRPr="009B1A37">
        <w:rPr>
          <w:iCs/>
          <w:color w:val="000000"/>
          <w:sz w:val="22"/>
          <w:szCs w:val="22"/>
          <w:lang w:val="cs-CZ"/>
        </w:rPr>
        <w:t xml:space="preserve">potkanů </w:t>
      </w:r>
      <w:r w:rsidRPr="009B1A37">
        <w:rPr>
          <w:color w:val="000000"/>
          <w:sz w:val="22"/>
          <w:szCs w:val="22"/>
          <w:lang w:val="cs-CZ"/>
        </w:rPr>
        <w:t xml:space="preserve">mikronukleárním testem nebyla zjištěna genotoxicita imatinibu. Pozitivní genotoxický účinek imatinibu byl zjištěn v testu </w:t>
      </w:r>
      <w:r w:rsidRPr="009B1A37">
        <w:rPr>
          <w:i/>
          <w:iCs/>
          <w:color w:val="000000"/>
          <w:sz w:val="22"/>
          <w:szCs w:val="22"/>
          <w:lang w:val="cs-CZ"/>
        </w:rPr>
        <w:t xml:space="preserve">in vitro </w:t>
      </w:r>
      <w:r w:rsidRPr="009B1A37">
        <w:rPr>
          <w:color w:val="000000"/>
          <w:sz w:val="22"/>
          <w:szCs w:val="22"/>
          <w:lang w:val="cs-CZ"/>
        </w:rPr>
        <w:t xml:space="preserve">na savčích buňkách (ovariální buňky křečka čínského) na klastogenitu (chromozomální aberaci) za přítomnosti metabolické aktivace. Dva meziprodukty výrobního procesu, které jsou také přítomny ve finálním </w:t>
      </w:r>
      <w:r w:rsidR="00282B9D" w:rsidRPr="009B1A37">
        <w:rPr>
          <w:color w:val="000000"/>
          <w:sz w:val="22"/>
          <w:szCs w:val="22"/>
          <w:lang w:val="cs-CZ"/>
        </w:rPr>
        <w:t>přípravku</w:t>
      </w:r>
      <w:r w:rsidRPr="009B1A37">
        <w:rPr>
          <w:color w:val="000000"/>
          <w:sz w:val="22"/>
          <w:szCs w:val="22"/>
          <w:lang w:val="cs-CZ"/>
        </w:rPr>
        <w:t>, měly pozitivní Amesův test na mutagenitu. Jeden z těchto meziproduktů byl také pozitivní při testování na myších lymfomových buňkách.</w:t>
      </w:r>
    </w:p>
    <w:p w14:paraId="372CE514" w14:textId="77777777" w:rsidR="00D97A44" w:rsidRPr="009B1A37" w:rsidRDefault="00D97A44" w:rsidP="00BE3D48">
      <w:pPr>
        <w:pStyle w:val="Text"/>
        <w:widowControl w:val="0"/>
        <w:spacing w:before="0"/>
        <w:jc w:val="left"/>
        <w:rPr>
          <w:color w:val="000000"/>
          <w:sz w:val="22"/>
          <w:szCs w:val="22"/>
          <w:lang w:val="cs-CZ"/>
        </w:rPr>
      </w:pPr>
    </w:p>
    <w:p w14:paraId="505D01A3"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 xml:space="preserve">Ve studii fertility byla potkaním samcům po dobu 70 dnů před připuštěním podávána dávka 60 mg/kg, která přibližně odpovídá maximální klinické dávce 800 mg/den, stanovené podle tělesného povrchu. Byl zjištěn úbytek hmotnosti varlat a nadvarlat a sníženo procento pohyblivých spermií. Tento účinek nebyl pozorován při dávce ≤ 20 mg/kg. Mírné až střední snížení spermatogeneze bylo také pozorováno u psů po perorálních dávkách </w:t>
      </w:r>
      <w:r w:rsidRPr="009B1A37">
        <w:rPr>
          <w:rFonts w:ascii="Symbol" w:hAnsi="Symbol"/>
          <w:color w:val="000000"/>
          <w:sz w:val="22"/>
          <w:szCs w:val="22"/>
          <w:lang w:val="cs-CZ"/>
        </w:rPr>
        <w:t></w:t>
      </w:r>
      <w:r w:rsidRPr="009B1A37">
        <w:rPr>
          <w:color w:val="000000"/>
          <w:sz w:val="22"/>
          <w:szCs w:val="22"/>
          <w:lang w:val="cs-CZ"/>
        </w:rPr>
        <w:t> 30 mg/kg. Pokud byl imatinib podáván samicím potkanů 14 dnů před připuštěním a až do 6. dne březosti nebylo ovlivněno ani zabřeznutí ani počet březích samic. Po podávání dávky 60 mg/kg, došlo u samic potkanů k významným postimplantačním ztrátám plodů a snížení počtu živých plodů. Tento účinek nebyl pozorován v dávkách ≤ 20 mg/kg.</w:t>
      </w:r>
    </w:p>
    <w:p w14:paraId="1B14AE19" w14:textId="77777777" w:rsidR="00D97A44" w:rsidRPr="009B1A37" w:rsidRDefault="00D97A44" w:rsidP="00BE3D48">
      <w:pPr>
        <w:pStyle w:val="Text"/>
        <w:widowControl w:val="0"/>
        <w:spacing w:before="0"/>
        <w:jc w:val="left"/>
        <w:rPr>
          <w:color w:val="000000"/>
          <w:sz w:val="22"/>
          <w:szCs w:val="22"/>
          <w:lang w:val="cs-CZ"/>
        </w:rPr>
      </w:pPr>
    </w:p>
    <w:p w14:paraId="0367AD6F"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Ve studii pre a postnatálního vývoje u potkanů po perorálním podání 45 mg/kg/den byl 14. nebo 15. den zabřeznutí pozorován rudý výtok z vagíny. Při stejné dávce stoupnul počet mrtvě narozených mláďat stejně jako počet uhynulých po narození mezi 0. až 4. dnem. U mláďat z vrhu F</w:t>
      </w:r>
      <w:r w:rsidRPr="009B1A37">
        <w:rPr>
          <w:color w:val="000000"/>
          <w:sz w:val="22"/>
          <w:szCs w:val="22"/>
          <w:vertAlign w:val="subscript"/>
          <w:lang w:val="cs-CZ"/>
        </w:rPr>
        <w:t>1</w:t>
      </w:r>
      <w:r w:rsidRPr="009B1A37">
        <w:rPr>
          <w:color w:val="000000"/>
          <w:sz w:val="22"/>
          <w:szCs w:val="22"/>
          <w:lang w:val="cs-CZ"/>
        </w:rPr>
        <w:t>, byla při stejné dávce nižší průměrná tělesná hmotnost od narození až do usmrcení a počet mláďat ve vrhu byl také snížen. Fertilita F</w:t>
      </w:r>
      <w:r w:rsidRPr="009B1A37">
        <w:rPr>
          <w:color w:val="000000"/>
          <w:sz w:val="22"/>
          <w:szCs w:val="22"/>
          <w:vertAlign w:val="subscript"/>
          <w:lang w:val="cs-CZ"/>
        </w:rPr>
        <w:t>1</w:t>
      </w:r>
      <w:r w:rsidRPr="009B1A37">
        <w:rPr>
          <w:color w:val="000000"/>
          <w:sz w:val="22"/>
          <w:szCs w:val="22"/>
          <w:lang w:val="cs-CZ"/>
        </w:rPr>
        <w:t xml:space="preserve"> nebyla ovlivněna po dávce 45 mg/kg/den, zatímco počet resorbovaných plodů stoupl a klesl počet živě narozených mláďat. Dle hodnocení No Observed Effect Level (NOEL) byla pro mateřská zvířata a F</w:t>
      </w:r>
      <w:r w:rsidRPr="009B1A37">
        <w:rPr>
          <w:color w:val="000000"/>
          <w:sz w:val="22"/>
          <w:szCs w:val="22"/>
          <w:vertAlign w:val="subscript"/>
          <w:lang w:val="cs-CZ"/>
        </w:rPr>
        <w:t>1</w:t>
      </w:r>
      <w:r w:rsidRPr="009B1A37">
        <w:rPr>
          <w:color w:val="000000"/>
          <w:sz w:val="22"/>
          <w:szCs w:val="22"/>
          <w:lang w:val="cs-CZ"/>
        </w:rPr>
        <w:t xml:space="preserve"> generaci mláďat bezpečná dávka 15 mg/kg/den (jedna čtvrtina maximální dávky 800 mg</w:t>
      </w:r>
      <w:r w:rsidR="00282B9D" w:rsidRPr="009B1A37">
        <w:rPr>
          <w:color w:val="000000"/>
          <w:sz w:val="22"/>
          <w:szCs w:val="22"/>
          <w:lang w:val="cs-CZ"/>
        </w:rPr>
        <w:t xml:space="preserve"> u člověka</w:t>
      </w:r>
      <w:r w:rsidRPr="009B1A37">
        <w:rPr>
          <w:color w:val="000000"/>
          <w:sz w:val="22"/>
          <w:szCs w:val="22"/>
          <w:lang w:val="cs-CZ"/>
        </w:rPr>
        <w:t>).</w:t>
      </w:r>
    </w:p>
    <w:p w14:paraId="3B751F37" w14:textId="77777777" w:rsidR="00D97A44" w:rsidRPr="009B1A37" w:rsidRDefault="00D97A44" w:rsidP="00BE3D48">
      <w:pPr>
        <w:pStyle w:val="Text"/>
        <w:widowControl w:val="0"/>
        <w:spacing w:before="0"/>
        <w:jc w:val="left"/>
        <w:rPr>
          <w:color w:val="000000"/>
          <w:sz w:val="22"/>
          <w:szCs w:val="22"/>
          <w:lang w:val="cs-CZ"/>
        </w:rPr>
      </w:pPr>
    </w:p>
    <w:p w14:paraId="173B5B0C"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Imatinib byl teratogenní, pokud byl podáván potkanům během organogeneze v dávkách ≥ 100 mg/kg, přibližně odpovídající maximální klinické dávce 800 mg/den, stanovené podle tělesného povrchu. Teratogenní účinky zahrnovaly exencefalii nebo encefalokelu, absenci nebo redukci frontálních kostí a absenci parietálních kostí. Tyto účinky nebyly pozorovány při dávkách ≤ 30 mg/kg.</w:t>
      </w:r>
    </w:p>
    <w:p w14:paraId="5B209B92" w14:textId="77777777" w:rsidR="009340F1" w:rsidRPr="009B1A37" w:rsidRDefault="009340F1" w:rsidP="00BE3D48">
      <w:pPr>
        <w:pStyle w:val="Text"/>
        <w:widowControl w:val="0"/>
        <w:spacing w:before="0"/>
        <w:jc w:val="left"/>
        <w:rPr>
          <w:color w:val="000000"/>
          <w:sz w:val="22"/>
          <w:szCs w:val="22"/>
          <w:lang w:val="cs-CZ"/>
        </w:rPr>
      </w:pPr>
    </w:p>
    <w:p w14:paraId="0CFD236F" w14:textId="77777777" w:rsidR="009340F1" w:rsidRPr="009B1A37" w:rsidRDefault="009340F1" w:rsidP="00BE3D48">
      <w:pPr>
        <w:pStyle w:val="Text"/>
        <w:widowControl w:val="0"/>
        <w:spacing w:before="0"/>
        <w:jc w:val="left"/>
        <w:rPr>
          <w:color w:val="000000"/>
          <w:sz w:val="22"/>
          <w:szCs w:val="22"/>
          <w:lang w:val="cs-CZ"/>
        </w:rPr>
      </w:pPr>
      <w:r w:rsidRPr="009B1A37">
        <w:rPr>
          <w:color w:val="000000"/>
          <w:sz w:val="22"/>
          <w:szCs w:val="22"/>
          <w:lang w:val="cs-CZ"/>
        </w:rPr>
        <w:t>V</w:t>
      </w:r>
      <w:r w:rsidR="006C4DC5" w:rsidRPr="009B1A37">
        <w:rPr>
          <w:color w:val="000000"/>
          <w:sz w:val="22"/>
          <w:szCs w:val="22"/>
          <w:lang w:val="cs-CZ"/>
        </w:rPr>
        <w:t> </w:t>
      </w:r>
      <w:r w:rsidRPr="009B1A37">
        <w:rPr>
          <w:color w:val="000000"/>
          <w:sz w:val="22"/>
          <w:szCs w:val="22"/>
          <w:lang w:val="cs-CZ"/>
        </w:rPr>
        <w:t>toxikologické studii zaměřené na juvenilní vývoj potkanů (den 10 až 70 post</w:t>
      </w:r>
      <w:r w:rsidR="00C967F4" w:rsidRPr="009B1A37">
        <w:rPr>
          <w:color w:val="000000"/>
          <w:sz w:val="22"/>
          <w:szCs w:val="22"/>
          <w:lang w:val="cs-CZ"/>
        </w:rPr>
        <w:t xml:space="preserve"> </w:t>
      </w:r>
      <w:r w:rsidRPr="009B1A37">
        <w:rPr>
          <w:color w:val="000000"/>
          <w:sz w:val="22"/>
          <w:szCs w:val="22"/>
          <w:lang w:val="cs-CZ"/>
        </w:rPr>
        <w:t xml:space="preserve">partum) nebyly zjištěné nové cílové orgány </w:t>
      </w:r>
      <w:r w:rsidR="006C4DC5" w:rsidRPr="009B1A37">
        <w:rPr>
          <w:color w:val="000000"/>
          <w:sz w:val="22"/>
          <w:szCs w:val="22"/>
          <w:lang w:val="cs-CZ"/>
        </w:rPr>
        <w:t>v</w:t>
      </w:r>
      <w:r w:rsidR="00A64255" w:rsidRPr="009B1A37">
        <w:rPr>
          <w:color w:val="000000"/>
          <w:sz w:val="22"/>
          <w:szCs w:val="22"/>
          <w:lang w:val="cs-CZ"/>
        </w:rPr>
        <w:t xml:space="preserve">e srovnání </w:t>
      </w:r>
      <w:r w:rsidR="006C4DC5" w:rsidRPr="009B1A37">
        <w:rPr>
          <w:color w:val="000000"/>
          <w:sz w:val="22"/>
          <w:szCs w:val="22"/>
          <w:lang w:val="cs-CZ"/>
        </w:rPr>
        <w:t xml:space="preserve">se </w:t>
      </w:r>
      <w:r w:rsidR="00A64255" w:rsidRPr="009B1A37">
        <w:rPr>
          <w:color w:val="000000"/>
          <w:sz w:val="22"/>
          <w:szCs w:val="22"/>
          <w:lang w:val="cs-CZ"/>
        </w:rPr>
        <w:t>zjištěnými</w:t>
      </w:r>
      <w:r w:rsidRPr="009B1A37">
        <w:rPr>
          <w:color w:val="000000"/>
          <w:sz w:val="22"/>
          <w:szCs w:val="22"/>
          <w:lang w:val="cs-CZ"/>
        </w:rPr>
        <w:t xml:space="preserve"> cílovým</w:t>
      </w:r>
      <w:r w:rsidR="006C4DC5" w:rsidRPr="009B1A37">
        <w:rPr>
          <w:color w:val="000000"/>
          <w:sz w:val="22"/>
          <w:szCs w:val="22"/>
          <w:lang w:val="cs-CZ"/>
        </w:rPr>
        <w:t>i</w:t>
      </w:r>
      <w:r w:rsidRPr="009B1A37">
        <w:rPr>
          <w:color w:val="000000"/>
          <w:sz w:val="22"/>
          <w:szCs w:val="22"/>
          <w:lang w:val="cs-CZ"/>
        </w:rPr>
        <w:t xml:space="preserve"> orgán</w:t>
      </w:r>
      <w:r w:rsidR="006C4DC5" w:rsidRPr="009B1A37">
        <w:rPr>
          <w:color w:val="000000"/>
          <w:sz w:val="22"/>
          <w:szCs w:val="22"/>
          <w:lang w:val="cs-CZ"/>
        </w:rPr>
        <w:t xml:space="preserve">y </w:t>
      </w:r>
      <w:r w:rsidRPr="009B1A37">
        <w:rPr>
          <w:color w:val="000000"/>
          <w:sz w:val="22"/>
          <w:szCs w:val="22"/>
          <w:lang w:val="cs-CZ"/>
        </w:rPr>
        <w:t xml:space="preserve">u dospělých potkanů. </w:t>
      </w:r>
      <w:r w:rsidR="006C4DC5" w:rsidRPr="009B1A37">
        <w:rPr>
          <w:color w:val="000000"/>
          <w:sz w:val="22"/>
          <w:szCs w:val="22"/>
          <w:lang w:val="cs-CZ"/>
        </w:rPr>
        <w:t xml:space="preserve">V toxikologické studii zaměřené na juvenilní jedince byly pozorovány účinky na růst, zpoždění </w:t>
      </w:r>
      <w:r w:rsidR="0099370F" w:rsidRPr="009B1A37">
        <w:rPr>
          <w:color w:val="000000"/>
          <w:sz w:val="22"/>
          <w:szCs w:val="22"/>
          <w:lang w:val="cs-CZ"/>
        </w:rPr>
        <w:t>otevření vaginy</w:t>
      </w:r>
      <w:r w:rsidRPr="009B1A37">
        <w:rPr>
          <w:color w:val="000000"/>
          <w:sz w:val="22"/>
          <w:szCs w:val="22"/>
          <w:lang w:val="cs-CZ"/>
        </w:rPr>
        <w:t xml:space="preserve"> a </w:t>
      </w:r>
      <w:r w:rsidR="0099370F" w:rsidRPr="009B1A37">
        <w:rPr>
          <w:color w:val="000000"/>
          <w:sz w:val="22"/>
          <w:szCs w:val="22"/>
          <w:lang w:val="cs-CZ"/>
        </w:rPr>
        <w:t>oddělení předkožky</w:t>
      </w:r>
      <w:r w:rsidRPr="009B1A37">
        <w:rPr>
          <w:color w:val="000000"/>
          <w:sz w:val="22"/>
          <w:szCs w:val="22"/>
          <w:lang w:val="cs-CZ"/>
        </w:rPr>
        <w:t xml:space="preserve"> </w:t>
      </w:r>
      <w:r w:rsidR="00FF3D73" w:rsidRPr="009B1A37">
        <w:rPr>
          <w:color w:val="000000"/>
          <w:sz w:val="22"/>
          <w:szCs w:val="22"/>
          <w:lang w:val="cs-CZ"/>
        </w:rPr>
        <w:t xml:space="preserve">při </w:t>
      </w:r>
      <w:r w:rsidR="006C4DC5" w:rsidRPr="009B1A37">
        <w:rPr>
          <w:color w:val="000000"/>
          <w:sz w:val="22"/>
          <w:szCs w:val="22"/>
          <w:lang w:val="cs-CZ"/>
        </w:rPr>
        <w:t xml:space="preserve">přibližně 0,3 až </w:t>
      </w:r>
      <w:r w:rsidRPr="009B1A37">
        <w:rPr>
          <w:color w:val="000000"/>
          <w:sz w:val="22"/>
          <w:szCs w:val="22"/>
          <w:lang w:val="cs-CZ"/>
        </w:rPr>
        <w:t>2</w:t>
      </w:r>
      <w:r w:rsidR="006C4DC5" w:rsidRPr="009B1A37">
        <w:rPr>
          <w:color w:val="000000"/>
          <w:sz w:val="22"/>
          <w:szCs w:val="22"/>
          <w:lang w:val="cs-CZ"/>
        </w:rPr>
        <w:t>náso</w:t>
      </w:r>
      <w:r w:rsidR="00FF3D73" w:rsidRPr="009B1A37">
        <w:rPr>
          <w:color w:val="000000"/>
          <w:sz w:val="22"/>
          <w:szCs w:val="22"/>
          <w:lang w:val="cs-CZ"/>
        </w:rPr>
        <w:t>bku průměrné pediatrické expozice</w:t>
      </w:r>
      <w:r w:rsidRPr="009B1A37">
        <w:rPr>
          <w:color w:val="000000"/>
          <w:sz w:val="22"/>
          <w:szCs w:val="22"/>
          <w:lang w:val="cs-CZ"/>
        </w:rPr>
        <w:t xml:space="preserve"> </w:t>
      </w:r>
      <w:r w:rsidR="006C4DC5" w:rsidRPr="009B1A37">
        <w:rPr>
          <w:color w:val="000000"/>
          <w:sz w:val="22"/>
          <w:szCs w:val="22"/>
          <w:lang w:val="cs-CZ"/>
        </w:rPr>
        <w:t>při nejvyšší doporučené dávce</w:t>
      </w:r>
      <w:r w:rsidRPr="009B1A37">
        <w:rPr>
          <w:color w:val="000000"/>
          <w:sz w:val="22"/>
          <w:szCs w:val="22"/>
          <w:lang w:val="cs-CZ"/>
        </w:rPr>
        <w:t xml:space="preserve"> 340 mg/m</w:t>
      </w:r>
      <w:r w:rsidRPr="009B1A37">
        <w:rPr>
          <w:color w:val="000000"/>
          <w:sz w:val="22"/>
          <w:szCs w:val="22"/>
          <w:vertAlign w:val="superscript"/>
          <w:lang w:val="cs-CZ"/>
        </w:rPr>
        <w:t>2</w:t>
      </w:r>
      <w:r w:rsidRPr="009B1A37">
        <w:rPr>
          <w:color w:val="000000"/>
          <w:sz w:val="22"/>
          <w:szCs w:val="22"/>
          <w:lang w:val="cs-CZ"/>
        </w:rPr>
        <w:t xml:space="preserve">. </w:t>
      </w:r>
      <w:r w:rsidR="006C4DC5" w:rsidRPr="009B1A37">
        <w:rPr>
          <w:color w:val="000000"/>
          <w:sz w:val="22"/>
          <w:szCs w:val="22"/>
          <w:lang w:val="cs-CZ"/>
        </w:rPr>
        <w:t>Dále byla u </w:t>
      </w:r>
      <w:r w:rsidR="0099370F" w:rsidRPr="009B1A37">
        <w:rPr>
          <w:color w:val="000000"/>
          <w:sz w:val="22"/>
          <w:szCs w:val="22"/>
          <w:lang w:val="cs-CZ"/>
        </w:rPr>
        <w:t>juvenilních zvířat (ve fázi</w:t>
      </w:r>
      <w:r w:rsidR="006C4DC5" w:rsidRPr="009B1A37">
        <w:rPr>
          <w:color w:val="000000"/>
          <w:sz w:val="22"/>
          <w:szCs w:val="22"/>
          <w:lang w:val="cs-CZ"/>
        </w:rPr>
        <w:t xml:space="preserve"> odstav</w:t>
      </w:r>
      <w:r w:rsidR="0099370F" w:rsidRPr="009B1A37">
        <w:rPr>
          <w:color w:val="000000"/>
          <w:sz w:val="22"/>
          <w:szCs w:val="22"/>
          <w:lang w:val="cs-CZ"/>
        </w:rPr>
        <w:t>ení</w:t>
      </w:r>
      <w:r w:rsidR="006C4DC5" w:rsidRPr="009B1A37">
        <w:rPr>
          <w:color w:val="000000"/>
          <w:sz w:val="22"/>
          <w:szCs w:val="22"/>
          <w:lang w:val="cs-CZ"/>
        </w:rPr>
        <w:t xml:space="preserve">) zjištěna mortalita při přibližně </w:t>
      </w:r>
      <w:r w:rsidR="0099370F" w:rsidRPr="009B1A37">
        <w:rPr>
          <w:color w:val="000000"/>
          <w:sz w:val="22"/>
          <w:szCs w:val="22"/>
          <w:lang w:val="cs-CZ"/>
        </w:rPr>
        <w:t>2násobku</w:t>
      </w:r>
      <w:r w:rsidR="006C4DC5" w:rsidRPr="009B1A37">
        <w:rPr>
          <w:color w:val="000000"/>
          <w:sz w:val="22"/>
          <w:szCs w:val="22"/>
          <w:lang w:val="cs-CZ"/>
        </w:rPr>
        <w:t xml:space="preserve"> průměrné pediatrické expozice</w:t>
      </w:r>
      <w:r w:rsidR="00517187" w:rsidRPr="009B1A37">
        <w:rPr>
          <w:color w:val="000000"/>
          <w:sz w:val="22"/>
          <w:szCs w:val="22"/>
          <w:lang w:val="cs-CZ"/>
        </w:rPr>
        <w:t xml:space="preserve"> při nejvyšší doporučené dávce</w:t>
      </w:r>
      <w:r w:rsidRPr="009B1A37">
        <w:rPr>
          <w:color w:val="000000"/>
          <w:sz w:val="22"/>
          <w:szCs w:val="22"/>
          <w:lang w:val="cs-CZ"/>
        </w:rPr>
        <w:t xml:space="preserve"> 340 mg/m</w:t>
      </w:r>
      <w:r w:rsidRPr="009B1A37">
        <w:rPr>
          <w:color w:val="000000"/>
          <w:sz w:val="22"/>
          <w:szCs w:val="22"/>
          <w:vertAlign w:val="superscript"/>
          <w:lang w:val="cs-CZ"/>
        </w:rPr>
        <w:t>2</w:t>
      </w:r>
      <w:r w:rsidRPr="009B1A37">
        <w:rPr>
          <w:color w:val="000000"/>
          <w:sz w:val="22"/>
          <w:szCs w:val="22"/>
          <w:lang w:val="cs-CZ"/>
        </w:rPr>
        <w:t>.</w:t>
      </w:r>
    </w:p>
    <w:p w14:paraId="6645024F" w14:textId="77777777" w:rsidR="00D97A44" w:rsidRPr="009B1A37" w:rsidRDefault="00D97A44" w:rsidP="00BE3D48">
      <w:pPr>
        <w:pStyle w:val="Text"/>
        <w:widowControl w:val="0"/>
        <w:spacing w:before="0"/>
        <w:jc w:val="left"/>
        <w:rPr>
          <w:color w:val="000000"/>
          <w:sz w:val="22"/>
          <w:szCs w:val="22"/>
          <w:lang w:val="cs-CZ"/>
        </w:rPr>
      </w:pPr>
    </w:p>
    <w:p w14:paraId="00767841"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 xml:space="preserve">Výsledky 2leté studie kancerogenity u potkanů, kterým byl podáván imatinib v dávce 15, </w:t>
      </w:r>
      <w:smartTag w:uri="urn:schemas-microsoft-com:office:smarttags" w:element="metricconverter">
        <w:smartTagPr>
          <w:attr w:name="ProductID" w:val="30 a"/>
        </w:smartTagPr>
        <w:r w:rsidRPr="009B1A37">
          <w:rPr>
            <w:color w:val="000000"/>
            <w:sz w:val="22"/>
            <w:szCs w:val="22"/>
            <w:lang w:val="cs-CZ"/>
          </w:rPr>
          <w:t>30 a</w:t>
        </w:r>
      </w:smartTag>
      <w:r w:rsidRPr="009B1A37">
        <w:rPr>
          <w:color w:val="000000"/>
          <w:sz w:val="22"/>
          <w:szCs w:val="22"/>
          <w:lang w:val="cs-CZ"/>
        </w:rPr>
        <w:t xml:space="preserve"> 60 mg/kg/den ukázaly statisticky významné snížení délky života u samců při dávce 60 mg/kg/den a u samic při dávce ≥ 30 mg/kg/den. Histopatologická vyšetření jako hlavní příčinu </w:t>
      </w:r>
      <w:r w:rsidR="00282B9D" w:rsidRPr="009B1A37">
        <w:rPr>
          <w:color w:val="000000"/>
          <w:sz w:val="22"/>
          <w:szCs w:val="22"/>
          <w:lang w:val="cs-CZ"/>
        </w:rPr>
        <w:t>úmrtí</w:t>
      </w:r>
      <w:r w:rsidRPr="009B1A37">
        <w:rPr>
          <w:color w:val="000000"/>
          <w:sz w:val="22"/>
          <w:szCs w:val="22"/>
          <w:lang w:val="cs-CZ"/>
        </w:rPr>
        <w:t xml:space="preserve"> nebo důvodu pro utracení zvířat odhalily kardiomyopatii (u obou pohlaví), chronickou progresivní nefropatii (u samic) a papilomy předkožkové žlázky. Cílovými orgány, pokud se týká neoplastických změn, byly ledviny, močový měchýř, uretra, předkožková a klitoridální žlázka, tenké střevo, příštítná tělíska, nadledvinky a nesekretorická část žaludeční stěny.</w:t>
      </w:r>
    </w:p>
    <w:p w14:paraId="5BF00A23" w14:textId="77777777" w:rsidR="00D97A44" w:rsidRPr="009B1A37" w:rsidRDefault="00D97A44" w:rsidP="00BE3D48">
      <w:pPr>
        <w:pStyle w:val="Text"/>
        <w:widowControl w:val="0"/>
        <w:spacing w:before="0"/>
        <w:jc w:val="left"/>
        <w:rPr>
          <w:color w:val="000000"/>
          <w:sz w:val="22"/>
          <w:szCs w:val="22"/>
          <w:lang w:val="cs-CZ"/>
        </w:rPr>
      </w:pPr>
    </w:p>
    <w:p w14:paraId="22C1C738"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 xml:space="preserve">Byly zaznamenány případy vzniku papilomů/karcinomů předkožkové/klitoridální žlázky při dávce od 30 mg/kg/den a více, což </w:t>
      </w:r>
      <w:r w:rsidR="00282B9D" w:rsidRPr="009B1A37">
        <w:rPr>
          <w:color w:val="000000"/>
          <w:sz w:val="22"/>
          <w:szCs w:val="22"/>
          <w:lang w:val="cs-CZ"/>
        </w:rPr>
        <w:t>představuje</w:t>
      </w:r>
      <w:r w:rsidRPr="009B1A37">
        <w:rPr>
          <w:color w:val="000000"/>
          <w:sz w:val="22"/>
          <w:szCs w:val="22"/>
          <w:lang w:val="cs-CZ"/>
        </w:rPr>
        <w:t xml:space="preserve"> přibližně 0,5násobek dávky 400 mg/den běžně užívané u člověka (podle AUC), nebo 0,3násobek dávky 800 mg/den užívané u člověka, a 0,4násobek dávky 340 mg/m</w:t>
      </w:r>
      <w:r w:rsidRPr="009B1A37">
        <w:rPr>
          <w:color w:val="000000"/>
          <w:sz w:val="22"/>
          <w:szCs w:val="22"/>
          <w:vertAlign w:val="superscript"/>
          <w:lang w:val="cs-CZ"/>
        </w:rPr>
        <w:t>2</w:t>
      </w:r>
      <w:r w:rsidRPr="009B1A37">
        <w:rPr>
          <w:color w:val="000000"/>
          <w:sz w:val="22"/>
          <w:szCs w:val="22"/>
          <w:lang w:val="cs-CZ"/>
        </w:rPr>
        <w:t xml:space="preserve">/den u dětí (podle AUC). Dle hodnocení No Observed Effect Level (NOEL) byla bezpečná dávka 15 mg/kg/den. Renální adenom/karcinom a papilom močového měchýře a uretry, adenokarcinomy tenkého střeva, adenomy příštítných tělísek, benigní a maligní medulární tumory nadledvinek a papilomy/karcinomy nesekretorické části žaludeční stěny byly pozorovány při dávce 60 mg/kg/den, což </w:t>
      </w:r>
      <w:r w:rsidR="00282B9D" w:rsidRPr="009B1A37">
        <w:rPr>
          <w:color w:val="000000"/>
          <w:sz w:val="22"/>
          <w:szCs w:val="22"/>
          <w:lang w:val="cs-CZ"/>
        </w:rPr>
        <w:t>představuje</w:t>
      </w:r>
      <w:r w:rsidRPr="009B1A37">
        <w:rPr>
          <w:color w:val="000000"/>
          <w:sz w:val="22"/>
          <w:szCs w:val="22"/>
          <w:lang w:val="cs-CZ"/>
        </w:rPr>
        <w:t xml:space="preserve"> přibližně 1,7násobek dávky 400 mg/den běžně užívané u člověka (podle AUC) nebo dávku 800 mg/den běžně užívané u člověka, a 1,2násobek dávky 340 mg/m</w:t>
      </w:r>
      <w:r w:rsidRPr="009B1A37">
        <w:rPr>
          <w:color w:val="000000"/>
          <w:sz w:val="22"/>
          <w:szCs w:val="22"/>
          <w:vertAlign w:val="superscript"/>
          <w:lang w:val="cs-CZ"/>
        </w:rPr>
        <w:t>2</w:t>
      </w:r>
      <w:r w:rsidRPr="009B1A37">
        <w:rPr>
          <w:color w:val="000000"/>
          <w:sz w:val="22"/>
          <w:szCs w:val="22"/>
          <w:lang w:val="cs-CZ"/>
        </w:rPr>
        <w:t>/den u dětí (podle AUC). Dle hodnocení No Observed Effect Level (NOEL) byla bezpečná dávka 30 mg/kg/den.</w:t>
      </w:r>
      <w:bookmarkStart w:id="1" w:name="OLE_LINK2"/>
    </w:p>
    <w:p w14:paraId="7F0480DD" w14:textId="77777777" w:rsidR="00D97A44" w:rsidRPr="009B1A37" w:rsidRDefault="00D97A44" w:rsidP="00BE3D48">
      <w:pPr>
        <w:pStyle w:val="Text"/>
        <w:widowControl w:val="0"/>
        <w:spacing w:before="0"/>
        <w:jc w:val="left"/>
        <w:rPr>
          <w:color w:val="000000"/>
          <w:sz w:val="22"/>
          <w:szCs w:val="22"/>
          <w:lang w:val="cs-CZ"/>
        </w:rPr>
      </w:pPr>
    </w:p>
    <w:p w14:paraId="6AD09019"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Mechanismus a závažnost těchto nálezů ze studie kancerogenity u potkanů není ještě u člověka objasněn.</w:t>
      </w:r>
    </w:p>
    <w:p w14:paraId="5E350BFC" w14:textId="77777777" w:rsidR="00D97A44" w:rsidRPr="009B1A37" w:rsidRDefault="00D97A44" w:rsidP="00BE3D48">
      <w:pPr>
        <w:pStyle w:val="Text"/>
        <w:widowControl w:val="0"/>
        <w:spacing w:before="0"/>
        <w:jc w:val="left"/>
        <w:rPr>
          <w:color w:val="000000"/>
          <w:sz w:val="22"/>
          <w:szCs w:val="22"/>
          <w:lang w:val="cs-CZ"/>
        </w:rPr>
      </w:pPr>
    </w:p>
    <w:p w14:paraId="3419BAF5" w14:textId="77777777" w:rsidR="00D97A44" w:rsidRPr="009B1A37" w:rsidRDefault="00D97A44" w:rsidP="00BE3D48">
      <w:pPr>
        <w:pStyle w:val="Text"/>
        <w:widowControl w:val="0"/>
        <w:spacing w:before="0"/>
        <w:jc w:val="left"/>
        <w:rPr>
          <w:color w:val="000000"/>
          <w:sz w:val="22"/>
          <w:szCs w:val="22"/>
          <w:lang w:val="cs-CZ"/>
        </w:rPr>
      </w:pPr>
      <w:r w:rsidRPr="009B1A37">
        <w:rPr>
          <w:color w:val="000000"/>
          <w:sz w:val="22"/>
          <w:szCs w:val="22"/>
          <w:lang w:val="cs-CZ"/>
        </w:rPr>
        <w:t>Non-neoplastické léze neprokázané v dřívějších předklinických studiích se vyskytovaly v</w:t>
      </w:r>
      <w:r w:rsidR="006243A0" w:rsidRPr="009B1A37">
        <w:rPr>
          <w:color w:val="000000"/>
          <w:sz w:val="22"/>
          <w:szCs w:val="22"/>
          <w:lang w:val="cs-CZ"/>
        </w:rPr>
        <w:t> </w:t>
      </w:r>
      <w:r w:rsidRPr="009B1A37">
        <w:rPr>
          <w:color w:val="000000"/>
          <w:sz w:val="22"/>
          <w:szCs w:val="22"/>
          <w:lang w:val="cs-CZ"/>
        </w:rPr>
        <w:t>kardiovaskulárním systému, pankreatu, endokrinních orgánech a zubech. Nejdůležitější změny zahrnovaly srdeční hypertrofii a dilataci, vedoucí k příznakům srdeční nedostatečnosti u některých zvířat.</w:t>
      </w:r>
    </w:p>
    <w:bookmarkEnd w:id="1"/>
    <w:p w14:paraId="5A261EDF" w14:textId="77777777" w:rsidR="00D97A44" w:rsidRPr="009B1A37" w:rsidRDefault="00D97A44" w:rsidP="00BE3D48">
      <w:pPr>
        <w:pStyle w:val="EndnoteText"/>
        <w:widowControl w:val="0"/>
        <w:tabs>
          <w:tab w:val="clear" w:pos="567"/>
        </w:tabs>
        <w:rPr>
          <w:color w:val="000000"/>
        </w:rPr>
      </w:pPr>
    </w:p>
    <w:p w14:paraId="037B3100" w14:textId="77777777" w:rsidR="00F85A21" w:rsidRPr="009B1A37" w:rsidRDefault="00282B9D" w:rsidP="00BE3D48">
      <w:pPr>
        <w:widowControl w:val="0"/>
        <w:spacing w:line="240" w:lineRule="auto"/>
        <w:rPr>
          <w:color w:val="000000"/>
        </w:rPr>
      </w:pPr>
      <w:r w:rsidRPr="009B1A37">
        <w:rPr>
          <w:bCs/>
          <w:color w:val="000000"/>
        </w:rPr>
        <w:t>Léčivá</w:t>
      </w:r>
      <w:r w:rsidR="00F85A21" w:rsidRPr="009B1A37">
        <w:rPr>
          <w:bCs/>
          <w:color w:val="000000"/>
        </w:rPr>
        <w:t xml:space="preserve"> látka imatinib představuje environmentální ohrožení pro organismy v sedimentu.</w:t>
      </w:r>
    </w:p>
    <w:p w14:paraId="28137444" w14:textId="77777777" w:rsidR="00D97A44" w:rsidRPr="009B1A37" w:rsidRDefault="00D97A44" w:rsidP="00BE3D48">
      <w:pPr>
        <w:pStyle w:val="EndnoteText"/>
        <w:widowControl w:val="0"/>
        <w:tabs>
          <w:tab w:val="clear" w:pos="567"/>
        </w:tabs>
        <w:rPr>
          <w:color w:val="000000"/>
        </w:rPr>
      </w:pPr>
    </w:p>
    <w:p w14:paraId="0D600F13" w14:textId="77777777" w:rsidR="00F85A21" w:rsidRPr="009B1A37" w:rsidRDefault="00F85A21" w:rsidP="00BE3D48">
      <w:pPr>
        <w:pStyle w:val="EndnoteText"/>
        <w:widowControl w:val="0"/>
        <w:tabs>
          <w:tab w:val="clear" w:pos="567"/>
        </w:tabs>
        <w:rPr>
          <w:color w:val="000000"/>
        </w:rPr>
      </w:pPr>
    </w:p>
    <w:p w14:paraId="392F127C"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6.</w:t>
      </w:r>
      <w:r w:rsidRPr="009B1A37">
        <w:rPr>
          <w:b/>
          <w:bCs/>
          <w:color w:val="000000"/>
        </w:rPr>
        <w:tab/>
        <w:t>FARMACEUTICKÉ ÚDAJE</w:t>
      </w:r>
    </w:p>
    <w:p w14:paraId="5DE4FCEE" w14:textId="77777777" w:rsidR="00D97A44" w:rsidRPr="009B1A37" w:rsidRDefault="00D97A44" w:rsidP="00BE3D48">
      <w:pPr>
        <w:pStyle w:val="EndnoteText"/>
        <w:keepNext/>
        <w:widowControl w:val="0"/>
        <w:tabs>
          <w:tab w:val="clear" w:pos="567"/>
        </w:tabs>
        <w:rPr>
          <w:color w:val="000000"/>
        </w:rPr>
      </w:pPr>
    </w:p>
    <w:p w14:paraId="34C82727"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6.1</w:t>
      </w:r>
      <w:r w:rsidRPr="009B1A37">
        <w:rPr>
          <w:b/>
          <w:bCs/>
          <w:color w:val="000000"/>
        </w:rPr>
        <w:tab/>
        <w:t>Seznam pomocných látek</w:t>
      </w:r>
    </w:p>
    <w:p w14:paraId="7D92E432" w14:textId="77777777" w:rsidR="00D97A44" w:rsidRPr="009B1A37" w:rsidRDefault="00D97A44" w:rsidP="00BE3D48">
      <w:pPr>
        <w:keepNext/>
        <w:widowControl w:val="0"/>
        <w:tabs>
          <w:tab w:val="clear" w:pos="567"/>
        </w:tabs>
        <w:spacing w:line="240" w:lineRule="auto"/>
        <w:ind w:left="567" w:hanging="567"/>
        <w:rPr>
          <w:color w:val="000000"/>
        </w:rPr>
      </w:pPr>
    </w:p>
    <w:p w14:paraId="45E0A854" w14:textId="77777777" w:rsidR="000B4587" w:rsidRPr="009B1A37" w:rsidRDefault="000B4587" w:rsidP="00BE3D48">
      <w:pPr>
        <w:keepNext/>
        <w:widowControl w:val="0"/>
        <w:tabs>
          <w:tab w:val="clear" w:pos="567"/>
          <w:tab w:val="left" w:pos="1701"/>
        </w:tabs>
        <w:spacing w:line="240" w:lineRule="auto"/>
        <w:rPr>
          <w:color w:val="000000"/>
        </w:rPr>
      </w:pPr>
      <w:r w:rsidRPr="009B1A37">
        <w:rPr>
          <w:color w:val="000000"/>
        </w:rPr>
        <w:t>Obsah tobolek:</w:t>
      </w:r>
      <w:r w:rsidRPr="009B1A37">
        <w:rPr>
          <w:color w:val="000000"/>
        </w:rPr>
        <w:tab/>
        <w:t>Mikrokrystalická celulosa</w:t>
      </w:r>
    </w:p>
    <w:p w14:paraId="56A67BA7" w14:textId="77777777" w:rsidR="000B4587" w:rsidRPr="009B1A37" w:rsidRDefault="000B4587" w:rsidP="00BE3D48">
      <w:pPr>
        <w:keepNext/>
        <w:widowControl w:val="0"/>
        <w:tabs>
          <w:tab w:val="clear" w:pos="567"/>
        </w:tabs>
        <w:spacing w:line="240" w:lineRule="auto"/>
        <w:ind w:left="1134" w:firstLine="567"/>
        <w:rPr>
          <w:color w:val="000000"/>
        </w:rPr>
      </w:pPr>
      <w:r w:rsidRPr="009B1A37">
        <w:rPr>
          <w:color w:val="000000"/>
        </w:rPr>
        <w:t>Krospovidon</w:t>
      </w:r>
    </w:p>
    <w:p w14:paraId="4BE2870A" w14:textId="77777777" w:rsidR="000B4587" w:rsidRPr="009B1A37" w:rsidRDefault="000B4587" w:rsidP="00BE3D48">
      <w:pPr>
        <w:keepNext/>
        <w:widowControl w:val="0"/>
        <w:tabs>
          <w:tab w:val="clear" w:pos="567"/>
        </w:tabs>
        <w:spacing w:line="240" w:lineRule="auto"/>
        <w:ind w:left="1134" w:firstLine="567"/>
        <w:rPr>
          <w:color w:val="000000"/>
        </w:rPr>
      </w:pPr>
      <w:r w:rsidRPr="009B1A37">
        <w:rPr>
          <w:color w:val="000000"/>
        </w:rPr>
        <w:t>Magnesium-stearát</w:t>
      </w:r>
    </w:p>
    <w:p w14:paraId="4C636E83" w14:textId="77777777" w:rsidR="000B4587" w:rsidRPr="009B1A37" w:rsidRDefault="000B4587" w:rsidP="00BE3D48">
      <w:pPr>
        <w:widowControl w:val="0"/>
        <w:tabs>
          <w:tab w:val="clear" w:pos="567"/>
        </w:tabs>
        <w:spacing w:line="240" w:lineRule="auto"/>
        <w:ind w:left="1701"/>
        <w:rPr>
          <w:color w:val="000000"/>
        </w:rPr>
      </w:pPr>
      <w:r w:rsidRPr="009B1A37">
        <w:rPr>
          <w:color w:val="000000"/>
        </w:rPr>
        <w:t>Koloidní bezvodý oxid křemičitý</w:t>
      </w:r>
    </w:p>
    <w:p w14:paraId="1D93764D" w14:textId="77777777" w:rsidR="000B4587" w:rsidRPr="009B1A37" w:rsidRDefault="000B4587" w:rsidP="00BE3D48">
      <w:pPr>
        <w:widowControl w:val="0"/>
        <w:tabs>
          <w:tab w:val="clear" w:pos="567"/>
        </w:tabs>
        <w:spacing w:line="240" w:lineRule="auto"/>
        <w:rPr>
          <w:color w:val="000000"/>
        </w:rPr>
      </w:pPr>
    </w:p>
    <w:p w14:paraId="3D2E323A" w14:textId="77777777" w:rsidR="000B4587" w:rsidRPr="009B1A37" w:rsidRDefault="000B4587" w:rsidP="00BE3D48">
      <w:pPr>
        <w:keepNext/>
        <w:widowControl w:val="0"/>
        <w:tabs>
          <w:tab w:val="clear" w:pos="567"/>
          <w:tab w:val="left" w:pos="1701"/>
        </w:tabs>
        <w:spacing w:line="240" w:lineRule="auto"/>
        <w:rPr>
          <w:color w:val="000000"/>
        </w:rPr>
      </w:pPr>
      <w:r w:rsidRPr="009B1A37">
        <w:rPr>
          <w:color w:val="000000"/>
        </w:rPr>
        <w:t>Tobolky:</w:t>
      </w:r>
      <w:r w:rsidRPr="009B1A37">
        <w:rPr>
          <w:color w:val="000000"/>
        </w:rPr>
        <w:tab/>
        <w:t>Želatina</w:t>
      </w:r>
    </w:p>
    <w:p w14:paraId="3049B523" w14:textId="77777777" w:rsidR="001F53AD" w:rsidRPr="009B1A37" w:rsidRDefault="001F53AD" w:rsidP="00BE3D48">
      <w:pPr>
        <w:keepNext/>
        <w:widowControl w:val="0"/>
        <w:tabs>
          <w:tab w:val="clear" w:pos="567"/>
        </w:tabs>
        <w:spacing w:line="240" w:lineRule="auto"/>
        <w:ind w:left="1134" w:firstLine="567"/>
        <w:rPr>
          <w:color w:val="000000"/>
        </w:rPr>
      </w:pPr>
      <w:r w:rsidRPr="009B1A37">
        <w:rPr>
          <w:color w:val="000000"/>
        </w:rPr>
        <w:t>Červený oxid železitý (E</w:t>
      </w:r>
      <w:r w:rsidR="0008276E" w:rsidRPr="009B1A37">
        <w:rPr>
          <w:color w:val="000000"/>
        </w:rPr>
        <w:t xml:space="preserve"> </w:t>
      </w:r>
      <w:r w:rsidRPr="009B1A37">
        <w:rPr>
          <w:color w:val="000000"/>
        </w:rPr>
        <w:t>172)</w:t>
      </w:r>
    </w:p>
    <w:p w14:paraId="16B6BFEE" w14:textId="77777777" w:rsidR="000B4587" w:rsidRPr="009B1A37" w:rsidRDefault="000B4587" w:rsidP="00BE3D48">
      <w:pPr>
        <w:keepNext/>
        <w:widowControl w:val="0"/>
        <w:tabs>
          <w:tab w:val="clear" w:pos="567"/>
        </w:tabs>
        <w:spacing w:line="240" w:lineRule="auto"/>
        <w:ind w:left="1134" w:firstLine="567"/>
        <w:rPr>
          <w:color w:val="000000"/>
        </w:rPr>
      </w:pPr>
      <w:r w:rsidRPr="009B1A37">
        <w:rPr>
          <w:color w:val="000000"/>
        </w:rPr>
        <w:t>Žlutý oxid železitý (E</w:t>
      </w:r>
      <w:r w:rsidR="0008276E" w:rsidRPr="009B1A37">
        <w:rPr>
          <w:color w:val="000000"/>
        </w:rPr>
        <w:t xml:space="preserve"> </w:t>
      </w:r>
      <w:r w:rsidRPr="009B1A37">
        <w:rPr>
          <w:color w:val="000000"/>
        </w:rPr>
        <w:t>172)</w:t>
      </w:r>
    </w:p>
    <w:p w14:paraId="7BEDDA7C" w14:textId="77777777" w:rsidR="000B4587" w:rsidRPr="009B1A37" w:rsidRDefault="000B4587" w:rsidP="00BE3D48">
      <w:pPr>
        <w:widowControl w:val="0"/>
        <w:tabs>
          <w:tab w:val="clear" w:pos="567"/>
        </w:tabs>
        <w:spacing w:line="240" w:lineRule="auto"/>
        <w:ind w:left="1134" w:firstLine="567"/>
        <w:rPr>
          <w:color w:val="000000"/>
        </w:rPr>
      </w:pPr>
      <w:r w:rsidRPr="009B1A37">
        <w:rPr>
          <w:color w:val="000000"/>
        </w:rPr>
        <w:t>Oxid titaničitý (E</w:t>
      </w:r>
      <w:r w:rsidR="0008276E" w:rsidRPr="009B1A37">
        <w:rPr>
          <w:color w:val="000000"/>
        </w:rPr>
        <w:t xml:space="preserve"> </w:t>
      </w:r>
      <w:r w:rsidRPr="009B1A37">
        <w:rPr>
          <w:color w:val="000000"/>
        </w:rPr>
        <w:t>171)</w:t>
      </w:r>
    </w:p>
    <w:p w14:paraId="6EE3BCC2" w14:textId="77777777" w:rsidR="000B4587" w:rsidRPr="009B1A37" w:rsidRDefault="000B4587" w:rsidP="00BE3D48">
      <w:pPr>
        <w:widowControl w:val="0"/>
        <w:tabs>
          <w:tab w:val="clear" w:pos="567"/>
        </w:tabs>
        <w:spacing w:line="240" w:lineRule="auto"/>
        <w:rPr>
          <w:color w:val="000000"/>
        </w:rPr>
      </w:pPr>
    </w:p>
    <w:p w14:paraId="31CD461B" w14:textId="77777777" w:rsidR="000B4587" w:rsidRPr="009B1A37" w:rsidRDefault="000B4587" w:rsidP="00BE3D48">
      <w:pPr>
        <w:keepNext/>
        <w:widowControl w:val="0"/>
        <w:tabs>
          <w:tab w:val="clear" w:pos="567"/>
          <w:tab w:val="left" w:pos="1701"/>
        </w:tabs>
        <w:spacing w:line="240" w:lineRule="auto"/>
        <w:rPr>
          <w:color w:val="000000"/>
        </w:rPr>
      </w:pPr>
      <w:r w:rsidRPr="009B1A37">
        <w:rPr>
          <w:color w:val="000000"/>
        </w:rPr>
        <w:t>Tiskařský inkoust:</w:t>
      </w:r>
      <w:r w:rsidRPr="009B1A37">
        <w:rPr>
          <w:color w:val="000000"/>
        </w:rPr>
        <w:tab/>
        <w:t>Červený oxid železitý (E172)</w:t>
      </w:r>
    </w:p>
    <w:p w14:paraId="2B073561" w14:textId="77777777" w:rsidR="000B4587" w:rsidRPr="009B1A37" w:rsidRDefault="000B4587" w:rsidP="00BE3D48">
      <w:pPr>
        <w:widowControl w:val="0"/>
        <w:tabs>
          <w:tab w:val="clear" w:pos="567"/>
        </w:tabs>
        <w:spacing w:line="240" w:lineRule="auto"/>
        <w:ind w:left="1701"/>
        <w:rPr>
          <w:color w:val="000000"/>
        </w:rPr>
      </w:pPr>
      <w:r w:rsidRPr="009B1A37">
        <w:rPr>
          <w:color w:val="000000"/>
        </w:rPr>
        <w:t>Šelak</w:t>
      </w:r>
    </w:p>
    <w:p w14:paraId="4E978D39" w14:textId="77777777" w:rsidR="00D97A44" w:rsidRPr="009B1A37" w:rsidRDefault="00D97A44" w:rsidP="00BE3D48">
      <w:pPr>
        <w:widowControl w:val="0"/>
        <w:tabs>
          <w:tab w:val="clear" w:pos="567"/>
        </w:tabs>
        <w:spacing w:line="240" w:lineRule="auto"/>
        <w:rPr>
          <w:color w:val="000000"/>
        </w:rPr>
      </w:pPr>
    </w:p>
    <w:p w14:paraId="2711AC62"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6.2</w:t>
      </w:r>
      <w:r w:rsidRPr="009B1A37">
        <w:rPr>
          <w:b/>
          <w:bCs/>
          <w:color w:val="000000"/>
        </w:rPr>
        <w:tab/>
        <w:t>Inkompatibility</w:t>
      </w:r>
    </w:p>
    <w:p w14:paraId="6C0EFBEC" w14:textId="77777777" w:rsidR="00D97A44" w:rsidRPr="009B1A37" w:rsidRDefault="00D97A44" w:rsidP="00BE3D48">
      <w:pPr>
        <w:keepNext/>
        <w:widowControl w:val="0"/>
        <w:tabs>
          <w:tab w:val="clear" w:pos="567"/>
        </w:tabs>
        <w:spacing w:line="240" w:lineRule="auto"/>
        <w:ind w:left="567" w:hanging="567"/>
        <w:rPr>
          <w:color w:val="000000"/>
        </w:rPr>
      </w:pPr>
    </w:p>
    <w:p w14:paraId="15E38226" w14:textId="77777777" w:rsidR="00D97A44" w:rsidRPr="009B1A37" w:rsidRDefault="00D97A44" w:rsidP="00BE3D48">
      <w:pPr>
        <w:widowControl w:val="0"/>
        <w:tabs>
          <w:tab w:val="clear" w:pos="567"/>
        </w:tabs>
        <w:spacing w:line="240" w:lineRule="auto"/>
        <w:rPr>
          <w:color w:val="000000"/>
        </w:rPr>
      </w:pPr>
      <w:r w:rsidRPr="009B1A37">
        <w:rPr>
          <w:color w:val="000000"/>
        </w:rPr>
        <w:t>Neuplatňuje se.</w:t>
      </w:r>
    </w:p>
    <w:p w14:paraId="5404B78E" w14:textId="77777777" w:rsidR="00D97A44" w:rsidRPr="009B1A37" w:rsidRDefault="00D97A44" w:rsidP="00BE3D48">
      <w:pPr>
        <w:pStyle w:val="EndnoteText"/>
        <w:widowControl w:val="0"/>
        <w:tabs>
          <w:tab w:val="clear" w:pos="567"/>
        </w:tabs>
        <w:rPr>
          <w:color w:val="000000"/>
        </w:rPr>
      </w:pPr>
    </w:p>
    <w:p w14:paraId="5402B4ED"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6.3</w:t>
      </w:r>
      <w:r w:rsidRPr="009B1A37">
        <w:rPr>
          <w:b/>
          <w:bCs/>
          <w:color w:val="000000"/>
        </w:rPr>
        <w:tab/>
        <w:t>Doba použitelnosti</w:t>
      </w:r>
    </w:p>
    <w:p w14:paraId="06E3C8FC" w14:textId="77777777" w:rsidR="00D97A44" w:rsidRPr="009B1A37" w:rsidRDefault="00D97A44" w:rsidP="00BE3D48">
      <w:pPr>
        <w:keepNext/>
        <w:widowControl w:val="0"/>
        <w:tabs>
          <w:tab w:val="clear" w:pos="567"/>
        </w:tabs>
        <w:spacing w:line="240" w:lineRule="auto"/>
        <w:rPr>
          <w:color w:val="000000"/>
        </w:rPr>
      </w:pPr>
    </w:p>
    <w:p w14:paraId="6BA219B3" w14:textId="77777777" w:rsidR="00D97A44" w:rsidRPr="009B1A37" w:rsidRDefault="00D97A44" w:rsidP="00BE3D48">
      <w:pPr>
        <w:pStyle w:val="EndnoteText"/>
        <w:widowControl w:val="0"/>
        <w:tabs>
          <w:tab w:val="clear" w:pos="567"/>
        </w:tabs>
        <w:rPr>
          <w:color w:val="000000"/>
        </w:rPr>
      </w:pPr>
      <w:r w:rsidRPr="009B1A37">
        <w:rPr>
          <w:color w:val="000000"/>
        </w:rPr>
        <w:t>2 roky</w:t>
      </w:r>
    </w:p>
    <w:p w14:paraId="44C0E409" w14:textId="77777777" w:rsidR="00D97A44" w:rsidRPr="009B1A37" w:rsidRDefault="00D97A44" w:rsidP="00BE3D48">
      <w:pPr>
        <w:pStyle w:val="EndnoteText"/>
        <w:widowControl w:val="0"/>
        <w:tabs>
          <w:tab w:val="clear" w:pos="567"/>
        </w:tabs>
        <w:rPr>
          <w:color w:val="000000"/>
        </w:rPr>
      </w:pPr>
    </w:p>
    <w:p w14:paraId="36F8F86C"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6.4</w:t>
      </w:r>
      <w:r w:rsidRPr="009B1A37">
        <w:rPr>
          <w:b/>
          <w:bCs/>
          <w:color w:val="000000"/>
        </w:rPr>
        <w:tab/>
        <w:t>Zvláštní opatření pro uchovávání</w:t>
      </w:r>
    </w:p>
    <w:p w14:paraId="085F2832" w14:textId="77777777" w:rsidR="00D97A44" w:rsidRPr="009B1A37" w:rsidRDefault="00D97A44" w:rsidP="00BE3D48">
      <w:pPr>
        <w:keepNext/>
        <w:widowControl w:val="0"/>
        <w:tabs>
          <w:tab w:val="clear" w:pos="567"/>
        </w:tabs>
        <w:spacing w:line="240" w:lineRule="auto"/>
        <w:rPr>
          <w:color w:val="000000"/>
        </w:rPr>
      </w:pPr>
    </w:p>
    <w:p w14:paraId="4595BB4A" w14:textId="77777777" w:rsidR="00D97A44" w:rsidRPr="009B1A37" w:rsidRDefault="00D97A44" w:rsidP="00BE3D48">
      <w:pPr>
        <w:widowControl w:val="0"/>
        <w:tabs>
          <w:tab w:val="clear" w:pos="567"/>
        </w:tabs>
        <w:spacing w:line="240" w:lineRule="auto"/>
        <w:rPr>
          <w:color w:val="000000"/>
        </w:rPr>
      </w:pPr>
      <w:r w:rsidRPr="009B1A37">
        <w:rPr>
          <w:color w:val="000000"/>
        </w:rPr>
        <w:t>Neuchovávejte při teplotě nad 30</w:t>
      </w:r>
      <w:r w:rsidR="00E93CBA" w:rsidRPr="009B1A37">
        <w:rPr>
          <w:color w:val="000000"/>
        </w:rPr>
        <w:t> </w:t>
      </w:r>
      <w:r w:rsidRPr="009B1A37">
        <w:rPr>
          <w:rFonts w:ascii="Symbol" w:hAnsi="Symbol"/>
          <w:color w:val="000000"/>
        </w:rPr>
        <w:t></w:t>
      </w:r>
      <w:r w:rsidRPr="009B1A37">
        <w:rPr>
          <w:color w:val="000000"/>
        </w:rPr>
        <w:t>C.</w:t>
      </w:r>
    </w:p>
    <w:p w14:paraId="1C3ED768" w14:textId="77777777" w:rsidR="00D97A44" w:rsidRPr="009B1A37" w:rsidRDefault="00D97A44" w:rsidP="00BE3D48">
      <w:pPr>
        <w:widowControl w:val="0"/>
        <w:tabs>
          <w:tab w:val="clear" w:pos="567"/>
        </w:tabs>
        <w:spacing w:line="240" w:lineRule="auto"/>
        <w:rPr>
          <w:color w:val="000000"/>
        </w:rPr>
      </w:pPr>
    </w:p>
    <w:p w14:paraId="31DA7C3C" w14:textId="77777777" w:rsidR="00D97A44" w:rsidRPr="009B1A37" w:rsidRDefault="00D97A44" w:rsidP="00BE3D48">
      <w:pPr>
        <w:widowControl w:val="0"/>
        <w:tabs>
          <w:tab w:val="clear" w:pos="567"/>
        </w:tabs>
        <w:spacing w:line="240" w:lineRule="auto"/>
        <w:rPr>
          <w:color w:val="000000"/>
        </w:rPr>
      </w:pPr>
      <w:r w:rsidRPr="009B1A37">
        <w:rPr>
          <w:color w:val="000000"/>
        </w:rPr>
        <w:t>Uchovávejte v původním obalu, aby byl přípravek chráněn před vlhkostí.</w:t>
      </w:r>
    </w:p>
    <w:p w14:paraId="25DCE044" w14:textId="77777777" w:rsidR="00D97A44" w:rsidRPr="009B1A37" w:rsidRDefault="00D97A44" w:rsidP="00BE3D48">
      <w:pPr>
        <w:widowControl w:val="0"/>
        <w:tabs>
          <w:tab w:val="clear" w:pos="567"/>
        </w:tabs>
        <w:spacing w:line="240" w:lineRule="auto"/>
        <w:rPr>
          <w:color w:val="000000"/>
        </w:rPr>
      </w:pPr>
    </w:p>
    <w:p w14:paraId="25945BB5"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6.5</w:t>
      </w:r>
      <w:r w:rsidRPr="009B1A37">
        <w:rPr>
          <w:b/>
          <w:bCs/>
          <w:color w:val="000000"/>
        </w:rPr>
        <w:tab/>
        <w:t xml:space="preserve">Druh obalu a </w:t>
      </w:r>
      <w:r w:rsidR="00E65B7B" w:rsidRPr="009B1A37">
        <w:rPr>
          <w:b/>
          <w:bCs/>
          <w:color w:val="000000"/>
        </w:rPr>
        <w:t>obsah</w:t>
      </w:r>
      <w:r w:rsidRPr="009B1A37">
        <w:rPr>
          <w:b/>
          <w:bCs/>
          <w:color w:val="000000"/>
        </w:rPr>
        <w:t xml:space="preserve"> balení</w:t>
      </w:r>
    </w:p>
    <w:p w14:paraId="478F01C6" w14:textId="77777777" w:rsidR="00D97A44" w:rsidRPr="009B1A37" w:rsidRDefault="00D97A44" w:rsidP="00BE3D48">
      <w:pPr>
        <w:pStyle w:val="EndnoteText"/>
        <w:keepNext/>
        <w:widowControl w:val="0"/>
        <w:tabs>
          <w:tab w:val="clear" w:pos="567"/>
        </w:tabs>
        <w:rPr>
          <w:color w:val="000000"/>
        </w:rPr>
      </w:pPr>
    </w:p>
    <w:p w14:paraId="5443ECA9" w14:textId="77777777" w:rsidR="00D97A44" w:rsidRPr="009B1A37" w:rsidRDefault="00D97A44" w:rsidP="00BE3D48">
      <w:pPr>
        <w:pStyle w:val="EndnoteText"/>
        <w:widowControl w:val="0"/>
        <w:tabs>
          <w:tab w:val="clear" w:pos="567"/>
        </w:tabs>
        <w:rPr>
          <w:color w:val="000000"/>
        </w:rPr>
      </w:pPr>
      <w:r w:rsidRPr="009B1A37">
        <w:rPr>
          <w:color w:val="000000"/>
        </w:rPr>
        <w:t>PVC/</w:t>
      </w:r>
      <w:r w:rsidR="00796001" w:rsidRPr="009B1A37">
        <w:rPr>
          <w:color w:val="000000"/>
        </w:rPr>
        <w:t>Al</w:t>
      </w:r>
      <w:r w:rsidRPr="009B1A37">
        <w:rPr>
          <w:color w:val="000000"/>
        </w:rPr>
        <w:t xml:space="preserve"> blistry</w:t>
      </w:r>
    </w:p>
    <w:p w14:paraId="4CDAE02B" w14:textId="77777777" w:rsidR="00D97A44" w:rsidRPr="009B1A37" w:rsidRDefault="00D97A44" w:rsidP="00BE3D48">
      <w:pPr>
        <w:widowControl w:val="0"/>
        <w:tabs>
          <w:tab w:val="clear" w:pos="567"/>
        </w:tabs>
        <w:spacing w:line="240" w:lineRule="auto"/>
        <w:ind w:left="567" w:hanging="567"/>
        <w:rPr>
          <w:color w:val="000000"/>
        </w:rPr>
      </w:pPr>
    </w:p>
    <w:p w14:paraId="51C051DF" w14:textId="77777777" w:rsidR="007010A3" w:rsidRPr="009B1A37" w:rsidRDefault="007010A3" w:rsidP="00BE3D48">
      <w:pPr>
        <w:pStyle w:val="EndnoteText"/>
        <w:widowControl w:val="0"/>
        <w:tabs>
          <w:tab w:val="clear" w:pos="567"/>
        </w:tabs>
        <w:rPr>
          <w:color w:val="000000"/>
        </w:rPr>
      </w:pPr>
      <w:r w:rsidRPr="009B1A37">
        <w:rPr>
          <w:color w:val="000000"/>
        </w:rPr>
        <w:t>Balení obsahuje 24, 48, 96, 120 a 180 tobolek.</w:t>
      </w:r>
    </w:p>
    <w:p w14:paraId="5A11BC6A" w14:textId="77777777" w:rsidR="005D1BFD" w:rsidRPr="009B1A37" w:rsidRDefault="005D1BFD" w:rsidP="00BE3D48">
      <w:pPr>
        <w:pStyle w:val="EndnoteText"/>
        <w:widowControl w:val="0"/>
        <w:tabs>
          <w:tab w:val="clear" w:pos="567"/>
        </w:tabs>
        <w:rPr>
          <w:color w:val="000000"/>
        </w:rPr>
      </w:pPr>
    </w:p>
    <w:p w14:paraId="757617A1" w14:textId="77777777" w:rsidR="005D1BFD" w:rsidRPr="009B1A37" w:rsidRDefault="005D1BFD" w:rsidP="00BE3D48">
      <w:pPr>
        <w:pStyle w:val="EndnoteText"/>
        <w:widowControl w:val="0"/>
        <w:tabs>
          <w:tab w:val="clear" w:pos="567"/>
        </w:tabs>
        <w:rPr>
          <w:color w:val="000000"/>
        </w:rPr>
      </w:pPr>
      <w:r w:rsidRPr="009B1A37">
        <w:t>Na trhu nemusí být všechny velikosti balení.</w:t>
      </w:r>
    </w:p>
    <w:p w14:paraId="4E75759F" w14:textId="77777777" w:rsidR="00D97A44" w:rsidRPr="009B1A37" w:rsidRDefault="00D97A44" w:rsidP="00BE3D48">
      <w:pPr>
        <w:pStyle w:val="EndnoteText"/>
        <w:widowControl w:val="0"/>
        <w:tabs>
          <w:tab w:val="clear" w:pos="567"/>
        </w:tabs>
        <w:rPr>
          <w:color w:val="000000"/>
        </w:rPr>
      </w:pPr>
    </w:p>
    <w:p w14:paraId="0B2E319A"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6.6</w:t>
      </w:r>
      <w:r w:rsidRPr="009B1A37">
        <w:rPr>
          <w:b/>
          <w:bCs/>
          <w:color w:val="000000"/>
        </w:rPr>
        <w:tab/>
        <w:t>Zvláštní opatření pro likvidaci přípravku a pro zacházení s ním</w:t>
      </w:r>
    </w:p>
    <w:p w14:paraId="06319673" w14:textId="77777777" w:rsidR="00D97A44" w:rsidRPr="009B1A37" w:rsidRDefault="00D97A44" w:rsidP="00BE3D48">
      <w:pPr>
        <w:pStyle w:val="EndnoteText"/>
        <w:keepNext/>
        <w:widowControl w:val="0"/>
        <w:tabs>
          <w:tab w:val="clear" w:pos="567"/>
        </w:tabs>
        <w:rPr>
          <w:color w:val="000000"/>
        </w:rPr>
      </w:pPr>
    </w:p>
    <w:p w14:paraId="3765616A" w14:textId="77777777" w:rsidR="00960CAF" w:rsidRPr="009B1A37" w:rsidRDefault="00195865" w:rsidP="00BE3D48">
      <w:pPr>
        <w:pStyle w:val="EndnoteText"/>
        <w:widowControl w:val="0"/>
        <w:tabs>
          <w:tab w:val="clear" w:pos="567"/>
        </w:tabs>
        <w:rPr>
          <w:noProof/>
          <w:szCs w:val="24"/>
        </w:rPr>
      </w:pPr>
      <w:r w:rsidRPr="009B1A37">
        <w:rPr>
          <w:noProof/>
          <w:szCs w:val="24"/>
        </w:rPr>
        <w:t>Veškerý nepoužitý léčivý přípravek nebo odpad musí být zlikvidován v souladu s místními požadavky.</w:t>
      </w:r>
    </w:p>
    <w:p w14:paraId="4756FCB8" w14:textId="77777777" w:rsidR="00D97A44" w:rsidRPr="009B1A37" w:rsidRDefault="00D97A44" w:rsidP="00BE3D48">
      <w:pPr>
        <w:pStyle w:val="EndnoteText"/>
        <w:widowControl w:val="0"/>
        <w:tabs>
          <w:tab w:val="clear" w:pos="567"/>
        </w:tabs>
        <w:rPr>
          <w:color w:val="000000"/>
        </w:rPr>
      </w:pPr>
    </w:p>
    <w:p w14:paraId="6F29F72F" w14:textId="77777777" w:rsidR="00D97A44" w:rsidRPr="009B1A37" w:rsidRDefault="00D97A44" w:rsidP="00BE3D48">
      <w:pPr>
        <w:pStyle w:val="EndnoteText"/>
        <w:widowControl w:val="0"/>
        <w:tabs>
          <w:tab w:val="clear" w:pos="567"/>
        </w:tabs>
        <w:rPr>
          <w:color w:val="000000"/>
        </w:rPr>
      </w:pPr>
    </w:p>
    <w:p w14:paraId="37FCA5D5"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7.</w:t>
      </w:r>
      <w:r w:rsidRPr="009B1A37">
        <w:rPr>
          <w:b/>
          <w:bCs/>
          <w:color w:val="000000"/>
        </w:rPr>
        <w:tab/>
        <w:t>DRŽITEL ROZHODNUTÍ O REGISTRACI</w:t>
      </w:r>
    </w:p>
    <w:p w14:paraId="7272BB9C" w14:textId="77777777" w:rsidR="00D97A44" w:rsidRPr="009B1A37" w:rsidRDefault="00D97A44" w:rsidP="00BE3D48">
      <w:pPr>
        <w:keepNext/>
        <w:widowControl w:val="0"/>
        <w:tabs>
          <w:tab w:val="clear" w:pos="567"/>
        </w:tabs>
        <w:spacing w:line="240" w:lineRule="auto"/>
        <w:rPr>
          <w:color w:val="000000"/>
        </w:rPr>
      </w:pPr>
    </w:p>
    <w:p w14:paraId="36944AB4" w14:textId="77777777" w:rsidR="00D97A44" w:rsidRPr="009B1A37" w:rsidRDefault="00D97A44" w:rsidP="00BE3D48">
      <w:pPr>
        <w:keepNext/>
        <w:widowControl w:val="0"/>
        <w:tabs>
          <w:tab w:val="clear" w:pos="567"/>
        </w:tabs>
        <w:spacing w:line="240" w:lineRule="auto"/>
        <w:rPr>
          <w:color w:val="000000"/>
        </w:rPr>
      </w:pPr>
      <w:r w:rsidRPr="009B1A37">
        <w:rPr>
          <w:color w:val="000000"/>
        </w:rPr>
        <w:t>Novartis Europharm Limited</w:t>
      </w:r>
    </w:p>
    <w:p w14:paraId="7202BF1E" w14:textId="77777777" w:rsidR="00F05B3D" w:rsidRPr="009B1A37" w:rsidRDefault="00F05B3D" w:rsidP="00BE3D48">
      <w:pPr>
        <w:keepNext/>
        <w:widowControl w:val="0"/>
        <w:spacing w:line="240" w:lineRule="auto"/>
        <w:rPr>
          <w:color w:val="000000"/>
        </w:rPr>
      </w:pPr>
      <w:r w:rsidRPr="009B1A37">
        <w:rPr>
          <w:color w:val="000000"/>
        </w:rPr>
        <w:t>Vista Building</w:t>
      </w:r>
    </w:p>
    <w:p w14:paraId="6E6AD908" w14:textId="77777777" w:rsidR="00F05B3D" w:rsidRPr="009B1A37" w:rsidRDefault="00F05B3D" w:rsidP="00BE3D48">
      <w:pPr>
        <w:keepNext/>
        <w:widowControl w:val="0"/>
        <w:spacing w:line="240" w:lineRule="auto"/>
        <w:rPr>
          <w:color w:val="000000"/>
        </w:rPr>
      </w:pPr>
      <w:r w:rsidRPr="009B1A37">
        <w:rPr>
          <w:color w:val="000000"/>
        </w:rPr>
        <w:t>Elm Park, Merrion Road</w:t>
      </w:r>
    </w:p>
    <w:p w14:paraId="141500EB" w14:textId="77777777" w:rsidR="00F05B3D" w:rsidRPr="009B1A37" w:rsidRDefault="00F05B3D" w:rsidP="00BE3D48">
      <w:pPr>
        <w:keepNext/>
        <w:widowControl w:val="0"/>
        <w:spacing w:line="240" w:lineRule="auto"/>
        <w:rPr>
          <w:color w:val="000000"/>
        </w:rPr>
      </w:pPr>
      <w:r w:rsidRPr="009B1A37">
        <w:rPr>
          <w:color w:val="000000"/>
        </w:rPr>
        <w:t>Dublin 4</w:t>
      </w:r>
    </w:p>
    <w:p w14:paraId="04D0F856" w14:textId="77777777" w:rsidR="00D97A44" w:rsidRPr="009B1A37" w:rsidRDefault="00F05B3D" w:rsidP="00BE3D48">
      <w:pPr>
        <w:widowControl w:val="0"/>
        <w:tabs>
          <w:tab w:val="clear" w:pos="567"/>
        </w:tabs>
        <w:spacing w:line="240" w:lineRule="auto"/>
        <w:rPr>
          <w:color w:val="000000"/>
        </w:rPr>
      </w:pPr>
      <w:r w:rsidRPr="009B1A37">
        <w:rPr>
          <w:color w:val="000000"/>
        </w:rPr>
        <w:t>Irsko</w:t>
      </w:r>
    </w:p>
    <w:p w14:paraId="5FD3C139" w14:textId="77777777" w:rsidR="00D97A44" w:rsidRPr="009B1A37" w:rsidRDefault="00D97A44" w:rsidP="00BE3D48">
      <w:pPr>
        <w:widowControl w:val="0"/>
        <w:tabs>
          <w:tab w:val="clear" w:pos="567"/>
        </w:tabs>
        <w:spacing w:line="240" w:lineRule="auto"/>
        <w:rPr>
          <w:color w:val="000000"/>
        </w:rPr>
      </w:pPr>
    </w:p>
    <w:p w14:paraId="59A89A92" w14:textId="77777777" w:rsidR="00D97A44" w:rsidRPr="009B1A37" w:rsidRDefault="00D97A44" w:rsidP="00BE3D48">
      <w:pPr>
        <w:pStyle w:val="EndnoteText"/>
        <w:widowControl w:val="0"/>
        <w:tabs>
          <w:tab w:val="clear" w:pos="567"/>
        </w:tabs>
        <w:rPr>
          <w:color w:val="000000"/>
        </w:rPr>
      </w:pPr>
    </w:p>
    <w:p w14:paraId="343EBE56" w14:textId="77777777" w:rsidR="00D97A44" w:rsidRPr="009B1A37" w:rsidRDefault="00D97A44" w:rsidP="00BE3D48">
      <w:pPr>
        <w:pStyle w:val="BodyTextIndent"/>
        <w:keepNext/>
        <w:widowControl w:val="0"/>
        <w:rPr>
          <w:bCs w:val="0"/>
          <w:color w:val="000000"/>
        </w:rPr>
      </w:pPr>
      <w:r w:rsidRPr="009B1A37">
        <w:rPr>
          <w:bCs w:val="0"/>
          <w:color w:val="000000"/>
        </w:rPr>
        <w:t>8.</w:t>
      </w:r>
      <w:r w:rsidRPr="009B1A37">
        <w:rPr>
          <w:bCs w:val="0"/>
          <w:color w:val="000000"/>
        </w:rPr>
        <w:tab/>
        <w:t>REGISTRAČNÍ ČÍSLO(A)</w:t>
      </w:r>
    </w:p>
    <w:p w14:paraId="6618C746" w14:textId="77777777" w:rsidR="00D97A44" w:rsidRPr="009B1A37" w:rsidRDefault="00D97A44" w:rsidP="00BE3D48">
      <w:pPr>
        <w:pStyle w:val="EndnoteText"/>
        <w:keepNext/>
        <w:widowControl w:val="0"/>
        <w:tabs>
          <w:tab w:val="clear" w:pos="567"/>
        </w:tabs>
        <w:rPr>
          <w:color w:val="000000"/>
        </w:rPr>
      </w:pPr>
    </w:p>
    <w:p w14:paraId="55309E35" w14:textId="77777777" w:rsidR="00676153" w:rsidRPr="009B1A37" w:rsidRDefault="00676153" w:rsidP="00BE3D48">
      <w:pPr>
        <w:pStyle w:val="EndnoteText"/>
        <w:widowControl w:val="0"/>
        <w:tabs>
          <w:tab w:val="clear" w:pos="567"/>
        </w:tabs>
        <w:rPr>
          <w:color w:val="000000"/>
        </w:rPr>
      </w:pPr>
      <w:r w:rsidRPr="009B1A37">
        <w:rPr>
          <w:color w:val="000000"/>
        </w:rPr>
        <w:t>EU/1/01/198/002-006</w:t>
      </w:r>
    </w:p>
    <w:p w14:paraId="45322DF2" w14:textId="77777777" w:rsidR="00D97A44" w:rsidRPr="009B1A37" w:rsidRDefault="00D97A44" w:rsidP="00BE3D48">
      <w:pPr>
        <w:pStyle w:val="EndnoteText"/>
        <w:widowControl w:val="0"/>
        <w:tabs>
          <w:tab w:val="clear" w:pos="567"/>
        </w:tabs>
        <w:rPr>
          <w:color w:val="000000"/>
        </w:rPr>
      </w:pPr>
    </w:p>
    <w:p w14:paraId="31197CD3" w14:textId="77777777" w:rsidR="00D97A44" w:rsidRPr="009B1A37" w:rsidRDefault="00D97A44" w:rsidP="00BE3D48">
      <w:pPr>
        <w:widowControl w:val="0"/>
        <w:tabs>
          <w:tab w:val="clear" w:pos="567"/>
        </w:tabs>
        <w:spacing w:line="240" w:lineRule="auto"/>
        <w:rPr>
          <w:color w:val="000000"/>
        </w:rPr>
      </w:pPr>
    </w:p>
    <w:p w14:paraId="39D6714F"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9.</w:t>
      </w:r>
      <w:r w:rsidRPr="009B1A37">
        <w:rPr>
          <w:b/>
          <w:bCs/>
          <w:color w:val="000000"/>
        </w:rPr>
        <w:tab/>
        <w:t>DATUM PRVNÍ REGISTRACE/PRODLOUŽENÍ REGISTRACE</w:t>
      </w:r>
    </w:p>
    <w:p w14:paraId="72C5C88D" w14:textId="77777777" w:rsidR="00D97A44" w:rsidRPr="009B1A37" w:rsidRDefault="00D97A44" w:rsidP="00BE3D48">
      <w:pPr>
        <w:keepNext/>
        <w:widowControl w:val="0"/>
        <w:spacing w:line="240" w:lineRule="auto"/>
        <w:rPr>
          <w:color w:val="000000"/>
        </w:rPr>
      </w:pPr>
    </w:p>
    <w:p w14:paraId="28ABB5CC" w14:textId="77777777" w:rsidR="00D97A44" w:rsidRPr="009B1A37" w:rsidRDefault="00D97A44" w:rsidP="00BE3D48">
      <w:pPr>
        <w:keepNext/>
        <w:widowControl w:val="0"/>
        <w:spacing w:line="240" w:lineRule="auto"/>
        <w:rPr>
          <w:color w:val="000000"/>
        </w:rPr>
      </w:pPr>
      <w:r w:rsidRPr="009B1A37">
        <w:rPr>
          <w:color w:val="000000"/>
        </w:rPr>
        <w:t>Datum první registrace: 7</w:t>
      </w:r>
      <w:r w:rsidR="00E65B7B" w:rsidRPr="009B1A37">
        <w:rPr>
          <w:color w:val="000000"/>
        </w:rPr>
        <w:t>. listopad</w:t>
      </w:r>
      <w:r w:rsidR="00166C20" w:rsidRPr="009B1A37">
        <w:rPr>
          <w:color w:val="000000"/>
        </w:rPr>
        <w:t>u</w:t>
      </w:r>
      <w:r w:rsidR="00E65B7B" w:rsidRPr="009B1A37">
        <w:rPr>
          <w:color w:val="000000"/>
        </w:rPr>
        <w:t xml:space="preserve"> </w:t>
      </w:r>
      <w:r w:rsidRPr="009B1A37">
        <w:rPr>
          <w:color w:val="000000"/>
        </w:rPr>
        <w:t>2001</w:t>
      </w:r>
    </w:p>
    <w:p w14:paraId="5E6A0E3A" w14:textId="77777777" w:rsidR="00D97A44" w:rsidRPr="009B1A37" w:rsidRDefault="00D97A44" w:rsidP="00BE3D48">
      <w:pPr>
        <w:widowControl w:val="0"/>
        <w:spacing w:line="240" w:lineRule="auto"/>
        <w:rPr>
          <w:color w:val="000000"/>
        </w:rPr>
      </w:pPr>
      <w:r w:rsidRPr="009B1A37">
        <w:rPr>
          <w:color w:val="000000"/>
        </w:rPr>
        <w:t xml:space="preserve">Datum </w:t>
      </w:r>
      <w:r w:rsidR="00E65B7B" w:rsidRPr="009B1A37">
        <w:rPr>
          <w:color w:val="000000"/>
        </w:rPr>
        <w:t>posledního</w:t>
      </w:r>
      <w:r w:rsidRPr="009B1A37">
        <w:rPr>
          <w:color w:val="000000"/>
        </w:rPr>
        <w:t xml:space="preserve"> prodloužení</w:t>
      </w:r>
      <w:r w:rsidR="00E65B7B" w:rsidRPr="009B1A37">
        <w:rPr>
          <w:color w:val="000000"/>
        </w:rPr>
        <w:t xml:space="preserve"> registrace</w:t>
      </w:r>
      <w:r w:rsidRPr="009B1A37">
        <w:rPr>
          <w:color w:val="000000"/>
        </w:rPr>
        <w:t>: 7.</w:t>
      </w:r>
      <w:r w:rsidR="00E65B7B" w:rsidRPr="009B1A37">
        <w:rPr>
          <w:color w:val="000000"/>
        </w:rPr>
        <w:t xml:space="preserve"> listopad</w:t>
      </w:r>
      <w:r w:rsidR="00166C20" w:rsidRPr="009B1A37">
        <w:rPr>
          <w:color w:val="000000"/>
        </w:rPr>
        <w:t>u</w:t>
      </w:r>
      <w:r w:rsidR="00E65B7B" w:rsidRPr="009B1A37">
        <w:rPr>
          <w:color w:val="000000"/>
        </w:rPr>
        <w:t xml:space="preserve"> </w:t>
      </w:r>
      <w:r w:rsidRPr="009B1A37">
        <w:rPr>
          <w:color w:val="000000"/>
        </w:rPr>
        <w:t>2006</w:t>
      </w:r>
    </w:p>
    <w:p w14:paraId="25B0ACFA" w14:textId="77777777" w:rsidR="00D97A44" w:rsidRPr="009B1A37" w:rsidRDefault="00D97A44" w:rsidP="00BE3D48">
      <w:pPr>
        <w:widowControl w:val="0"/>
        <w:tabs>
          <w:tab w:val="clear" w:pos="567"/>
        </w:tabs>
        <w:spacing w:line="240" w:lineRule="auto"/>
        <w:rPr>
          <w:color w:val="000000"/>
        </w:rPr>
      </w:pPr>
    </w:p>
    <w:p w14:paraId="05E8A780" w14:textId="77777777" w:rsidR="00D97A44" w:rsidRPr="009B1A37" w:rsidRDefault="00D97A44" w:rsidP="00BE3D48">
      <w:pPr>
        <w:widowControl w:val="0"/>
        <w:tabs>
          <w:tab w:val="clear" w:pos="567"/>
        </w:tabs>
        <w:spacing w:line="240" w:lineRule="auto"/>
        <w:rPr>
          <w:color w:val="000000"/>
        </w:rPr>
      </w:pPr>
    </w:p>
    <w:p w14:paraId="496E8136"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10.</w:t>
      </w:r>
      <w:r w:rsidRPr="009B1A37">
        <w:rPr>
          <w:b/>
          <w:bCs/>
          <w:color w:val="000000"/>
        </w:rPr>
        <w:tab/>
        <w:t>DATUM REVIZE TEXTU</w:t>
      </w:r>
    </w:p>
    <w:p w14:paraId="2F5FD8CC" w14:textId="77777777" w:rsidR="00CB4ABD" w:rsidRPr="009B1A37" w:rsidRDefault="00CB4ABD" w:rsidP="00BE3D48">
      <w:pPr>
        <w:keepNext/>
        <w:widowControl w:val="0"/>
        <w:tabs>
          <w:tab w:val="clear" w:pos="567"/>
        </w:tabs>
        <w:spacing w:line="240" w:lineRule="auto"/>
        <w:ind w:left="567" w:hanging="567"/>
        <w:rPr>
          <w:color w:val="000000"/>
        </w:rPr>
      </w:pPr>
    </w:p>
    <w:p w14:paraId="0B0CDE55" w14:textId="77777777" w:rsidR="006507AD" w:rsidRPr="009B1A37" w:rsidRDefault="006507AD" w:rsidP="00BE3D48">
      <w:pPr>
        <w:widowControl w:val="0"/>
        <w:tabs>
          <w:tab w:val="clear" w:pos="567"/>
        </w:tabs>
        <w:spacing w:line="240" w:lineRule="auto"/>
        <w:ind w:left="567" w:hanging="567"/>
        <w:rPr>
          <w:color w:val="000000"/>
        </w:rPr>
      </w:pPr>
    </w:p>
    <w:p w14:paraId="07BA1CA7" w14:textId="77777777" w:rsidR="009D5AD6" w:rsidRPr="009B1A37" w:rsidRDefault="00CB4ABD" w:rsidP="00BE3D48">
      <w:pPr>
        <w:widowControl w:val="0"/>
        <w:tabs>
          <w:tab w:val="clear" w:pos="567"/>
        </w:tabs>
        <w:spacing w:line="240" w:lineRule="auto"/>
        <w:rPr>
          <w:color w:val="000000"/>
        </w:rPr>
      </w:pPr>
      <w:r w:rsidRPr="009B1A37">
        <w:rPr>
          <w:color w:val="000000"/>
        </w:rPr>
        <w:t>Podrobné informace o</w:t>
      </w:r>
      <w:r w:rsidR="00E65B7B" w:rsidRPr="009B1A37">
        <w:rPr>
          <w:color w:val="000000"/>
        </w:rPr>
        <w:t> </w:t>
      </w:r>
      <w:r w:rsidRPr="009B1A37">
        <w:rPr>
          <w:color w:val="000000"/>
        </w:rPr>
        <w:t xml:space="preserve">tomto </w:t>
      </w:r>
      <w:r w:rsidR="00E65B7B" w:rsidRPr="009B1A37">
        <w:rPr>
          <w:color w:val="000000"/>
        </w:rPr>
        <w:t xml:space="preserve">léčivém </w:t>
      </w:r>
      <w:r w:rsidRPr="009B1A37">
        <w:rPr>
          <w:color w:val="000000"/>
        </w:rPr>
        <w:t xml:space="preserve">přípravku jsou </w:t>
      </w:r>
      <w:r w:rsidR="00E65B7B" w:rsidRPr="009B1A37">
        <w:rPr>
          <w:color w:val="000000"/>
        </w:rPr>
        <w:t xml:space="preserve">k dispozici </w:t>
      </w:r>
      <w:r w:rsidRPr="009B1A37">
        <w:rPr>
          <w:color w:val="000000"/>
        </w:rPr>
        <w:t xml:space="preserve">na webových stránkách Evropské agentury </w:t>
      </w:r>
      <w:r w:rsidR="00E65B7B" w:rsidRPr="009B1A37">
        <w:rPr>
          <w:color w:val="000000"/>
        </w:rPr>
        <w:t xml:space="preserve">pro léčivé přípravky </w:t>
      </w:r>
      <w:r w:rsidR="009D5AD6" w:rsidRPr="009B1A37">
        <w:rPr>
          <w:color w:val="000000"/>
        </w:rPr>
        <w:t>http://www.ema.europa.eu</w:t>
      </w:r>
    </w:p>
    <w:p w14:paraId="09E9E7DF" w14:textId="77777777" w:rsidR="005E2891" w:rsidRPr="009B1A37" w:rsidRDefault="00B346DE" w:rsidP="00BE3D48">
      <w:pPr>
        <w:widowControl w:val="0"/>
        <w:spacing w:line="240" w:lineRule="auto"/>
        <w:rPr>
          <w:lang w:eastAsia="fr-LU"/>
        </w:rPr>
      </w:pPr>
      <w:r w:rsidRPr="009B1A37">
        <w:rPr>
          <w:color w:val="000000"/>
        </w:rPr>
        <w:br w:type="page"/>
      </w:r>
      <w:r w:rsidR="001B24B9" w:rsidRPr="009B1A37">
        <w:rPr>
          <w:noProof/>
          <w:lang w:val="en-GB" w:eastAsia="en-GB"/>
        </w:rPr>
        <w:drawing>
          <wp:inline distT="0" distB="0" distL="0" distR="0" wp14:anchorId="68276E0B" wp14:editId="4BB57E9A">
            <wp:extent cx="198755" cy="174625"/>
            <wp:effectExtent l="0" t="0" r="0" b="0"/>
            <wp:docPr id="4" name="Picture 3"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remansk\AppData\Local\Microsoft\Windows\Temporary Internet Files\Content.Word\BT_1000x858p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5E2891" w:rsidRPr="009B1A37">
        <w:rPr>
          <w:noProof/>
          <w:lang w:eastAsia="fr-LU"/>
        </w:rPr>
        <w:t xml:space="preserve">Tento léčivý přípravek </w:t>
      </w:r>
      <w:r w:rsidR="005E2891" w:rsidRPr="009B1A37">
        <w:rPr>
          <w:lang w:eastAsia="fr-LU"/>
        </w:rPr>
        <w:t>podléhá dalšímu</w:t>
      </w:r>
      <w:r w:rsidR="005E2891" w:rsidRPr="009B1A37">
        <w:rPr>
          <w:noProof/>
          <w:lang w:eastAsia="fr-LU"/>
        </w:rPr>
        <w:t xml:space="preserve"> sledování. </w:t>
      </w:r>
      <w:r w:rsidR="005E2891" w:rsidRPr="009B1A37">
        <w:rPr>
          <w:lang w:eastAsia="fr-LU"/>
        </w:rPr>
        <w:t xml:space="preserve">To umožní rychlé získání nových informací o bezpečnosti. Žádáme </w:t>
      </w:r>
      <w:r w:rsidR="005E2891" w:rsidRPr="009B1A37">
        <w:rPr>
          <w:noProof/>
          <w:lang w:eastAsia="fr-LU"/>
        </w:rPr>
        <w:t>zdravotnické pracovníky, aby hlásili jakákoli podezření na nežádoucí účinky.</w:t>
      </w:r>
      <w:r w:rsidR="005E2891" w:rsidRPr="009B1A37">
        <w:rPr>
          <w:lang w:eastAsia="fr-LU"/>
        </w:rPr>
        <w:t xml:space="preserve"> Podrobnosti o hlášení nežádoucích účinků</w:t>
      </w:r>
      <w:r w:rsidR="005E2891" w:rsidRPr="009B1A37">
        <w:rPr>
          <w:noProof/>
          <w:lang w:eastAsia="fr-LU"/>
        </w:rPr>
        <w:t xml:space="preserve"> viz bod 4.8.</w:t>
      </w:r>
    </w:p>
    <w:p w14:paraId="6D710823" w14:textId="77777777" w:rsidR="005E2891" w:rsidRPr="009B1A37" w:rsidRDefault="005E2891" w:rsidP="00BE3D48">
      <w:pPr>
        <w:widowControl w:val="0"/>
        <w:tabs>
          <w:tab w:val="clear" w:pos="567"/>
        </w:tabs>
        <w:suppressAutoHyphens w:val="0"/>
        <w:spacing w:line="240" w:lineRule="auto"/>
        <w:rPr>
          <w:lang w:eastAsia="fr-LU"/>
        </w:rPr>
      </w:pPr>
    </w:p>
    <w:p w14:paraId="24521469" w14:textId="77777777" w:rsidR="005E2891" w:rsidRPr="009B1A37" w:rsidRDefault="005E2891" w:rsidP="00BE3D48">
      <w:pPr>
        <w:widowControl w:val="0"/>
        <w:tabs>
          <w:tab w:val="clear" w:pos="567"/>
        </w:tabs>
        <w:suppressAutoHyphens w:val="0"/>
        <w:spacing w:line="240" w:lineRule="auto"/>
        <w:rPr>
          <w:lang w:eastAsia="fr-LU"/>
        </w:rPr>
      </w:pPr>
    </w:p>
    <w:p w14:paraId="7BE5D6FC" w14:textId="77777777" w:rsidR="00D97A44" w:rsidRPr="009B1A37" w:rsidRDefault="00D97A44" w:rsidP="00BE3D48">
      <w:pPr>
        <w:widowControl w:val="0"/>
        <w:tabs>
          <w:tab w:val="clear" w:pos="567"/>
        </w:tabs>
        <w:spacing w:line="240" w:lineRule="auto"/>
        <w:ind w:left="567" w:hanging="567"/>
        <w:rPr>
          <w:b/>
          <w:bCs/>
          <w:color w:val="000000"/>
        </w:rPr>
      </w:pPr>
      <w:r w:rsidRPr="009B1A37">
        <w:rPr>
          <w:b/>
          <w:bCs/>
          <w:color w:val="000000"/>
        </w:rPr>
        <w:t>1.</w:t>
      </w:r>
      <w:r w:rsidRPr="009B1A37">
        <w:rPr>
          <w:b/>
          <w:bCs/>
          <w:color w:val="000000"/>
        </w:rPr>
        <w:tab/>
        <w:t>NÁZEV PŘÍPRAVKU</w:t>
      </w:r>
    </w:p>
    <w:p w14:paraId="3B756F64" w14:textId="77777777" w:rsidR="00D97A44" w:rsidRPr="009B1A37" w:rsidRDefault="00D97A44" w:rsidP="00BE3D48">
      <w:pPr>
        <w:pStyle w:val="EndnoteText"/>
        <w:widowControl w:val="0"/>
        <w:tabs>
          <w:tab w:val="clear" w:pos="567"/>
        </w:tabs>
        <w:rPr>
          <w:color w:val="000000"/>
        </w:rPr>
      </w:pPr>
    </w:p>
    <w:p w14:paraId="233F3442" w14:textId="77777777" w:rsidR="00D97A44" w:rsidRPr="009B1A37" w:rsidRDefault="00D97A44" w:rsidP="00BE3D48">
      <w:pPr>
        <w:pStyle w:val="EndnoteText"/>
        <w:widowControl w:val="0"/>
        <w:tabs>
          <w:tab w:val="clear" w:pos="567"/>
        </w:tabs>
        <w:rPr>
          <w:color w:val="000000"/>
        </w:rPr>
      </w:pPr>
      <w:r w:rsidRPr="009B1A37">
        <w:rPr>
          <w:color w:val="000000"/>
        </w:rPr>
        <w:t>Glivec 100 mg potahované tablety</w:t>
      </w:r>
    </w:p>
    <w:p w14:paraId="4AC49527" w14:textId="77777777" w:rsidR="002E4F86" w:rsidRPr="009B1A37" w:rsidRDefault="002E4F86" w:rsidP="00BE3D48">
      <w:pPr>
        <w:pStyle w:val="EndnoteText"/>
        <w:widowControl w:val="0"/>
        <w:tabs>
          <w:tab w:val="clear" w:pos="567"/>
        </w:tabs>
        <w:rPr>
          <w:color w:val="000000"/>
        </w:rPr>
      </w:pPr>
      <w:r w:rsidRPr="009B1A37">
        <w:rPr>
          <w:color w:val="000000"/>
        </w:rPr>
        <w:t>Glivec 400 mg potahované tablety</w:t>
      </w:r>
    </w:p>
    <w:p w14:paraId="729AD673" w14:textId="77777777" w:rsidR="00D97A44" w:rsidRPr="009B1A37" w:rsidRDefault="00D97A44" w:rsidP="00BE3D48">
      <w:pPr>
        <w:pStyle w:val="EndnoteText"/>
        <w:widowControl w:val="0"/>
        <w:tabs>
          <w:tab w:val="clear" w:pos="567"/>
        </w:tabs>
        <w:rPr>
          <w:color w:val="000000"/>
        </w:rPr>
      </w:pPr>
    </w:p>
    <w:p w14:paraId="3921FF73" w14:textId="77777777" w:rsidR="00D97A44" w:rsidRPr="009B1A37" w:rsidRDefault="00D97A44" w:rsidP="00BE3D48">
      <w:pPr>
        <w:pStyle w:val="EndnoteText"/>
        <w:widowControl w:val="0"/>
        <w:tabs>
          <w:tab w:val="clear" w:pos="567"/>
        </w:tabs>
        <w:rPr>
          <w:color w:val="000000"/>
        </w:rPr>
      </w:pPr>
    </w:p>
    <w:p w14:paraId="6851BA6A"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2.</w:t>
      </w:r>
      <w:r w:rsidRPr="009B1A37">
        <w:rPr>
          <w:b/>
          <w:bCs/>
          <w:color w:val="000000"/>
        </w:rPr>
        <w:tab/>
        <w:t>KVALITATIVNÍ A KVANTITATIVNÍ SLOŽENÍ</w:t>
      </w:r>
    </w:p>
    <w:p w14:paraId="226953F8" w14:textId="77777777" w:rsidR="00D97A44" w:rsidRPr="009B1A37" w:rsidRDefault="00D97A44" w:rsidP="00BE3D48">
      <w:pPr>
        <w:keepNext/>
        <w:widowControl w:val="0"/>
        <w:tabs>
          <w:tab w:val="clear" w:pos="567"/>
        </w:tabs>
        <w:spacing w:line="240" w:lineRule="auto"/>
        <w:rPr>
          <w:color w:val="000000"/>
        </w:rPr>
      </w:pPr>
    </w:p>
    <w:p w14:paraId="3DC7144E" w14:textId="77777777" w:rsidR="003638FB" w:rsidRPr="009B1A37" w:rsidRDefault="003638FB" w:rsidP="00BE3D48">
      <w:pPr>
        <w:pStyle w:val="EndnoteText"/>
        <w:keepNext/>
        <w:widowControl w:val="0"/>
        <w:tabs>
          <w:tab w:val="clear" w:pos="567"/>
        </w:tabs>
        <w:rPr>
          <w:color w:val="000000"/>
        </w:rPr>
      </w:pPr>
      <w:r w:rsidRPr="009B1A37">
        <w:rPr>
          <w:color w:val="000000"/>
          <w:u w:val="single"/>
        </w:rPr>
        <w:t>Glivec 100 mg potahované tablety</w:t>
      </w:r>
    </w:p>
    <w:p w14:paraId="1962CB8E" w14:textId="77777777" w:rsidR="00D97A44" w:rsidRPr="009B1A37" w:rsidRDefault="00D97A44" w:rsidP="00BE3D48">
      <w:pPr>
        <w:widowControl w:val="0"/>
        <w:tabs>
          <w:tab w:val="clear" w:pos="567"/>
        </w:tabs>
        <w:spacing w:line="240" w:lineRule="auto"/>
        <w:rPr>
          <w:color w:val="000000"/>
        </w:rPr>
      </w:pPr>
      <w:r w:rsidRPr="009B1A37">
        <w:rPr>
          <w:color w:val="000000"/>
        </w:rPr>
        <w:t>Jedna potahovaná tableta obsahuje imatinibum</w:t>
      </w:r>
      <w:r w:rsidR="00971BB9" w:rsidRPr="009B1A37">
        <w:rPr>
          <w:color w:val="000000"/>
        </w:rPr>
        <w:t xml:space="preserve"> 100</w:t>
      </w:r>
      <w:r w:rsidR="00D80ABA" w:rsidRPr="009B1A37">
        <w:rPr>
          <w:color w:val="000000"/>
        </w:rPr>
        <w:t> </w:t>
      </w:r>
      <w:r w:rsidR="00971BB9" w:rsidRPr="009B1A37">
        <w:rPr>
          <w:color w:val="000000"/>
        </w:rPr>
        <w:t>mg</w:t>
      </w:r>
      <w:r w:rsidRPr="009B1A37">
        <w:rPr>
          <w:color w:val="000000"/>
        </w:rPr>
        <w:t xml:space="preserve"> (jako imatinibi mesilas).</w:t>
      </w:r>
    </w:p>
    <w:p w14:paraId="7E27CA8B" w14:textId="77777777" w:rsidR="003638FB" w:rsidRPr="009B1A37" w:rsidRDefault="003638FB" w:rsidP="00BE3D48">
      <w:pPr>
        <w:widowControl w:val="0"/>
        <w:tabs>
          <w:tab w:val="clear" w:pos="567"/>
        </w:tabs>
        <w:spacing w:line="240" w:lineRule="auto"/>
        <w:rPr>
          <w:color w:val="000000"/>
        </w:rPr>
      </w:pPr>
    </w:p>
    <w:p w14:paraId="57922D08" w14:textId="77777777" w:rsidR="003638FB" w:rsidRPr="009B1A37" w:rsidRDefault="003638FB" w:rsidP="00BE3D48">
      <w:pPr>
        <w:pStyle w:val="EndnoteText"/>
        <w:keepNext/>
        <w:widowControl w:val="0"/>
        <w:tabs>
          <w:tab w:val="clear" w:pos="567"/>
        </w:tabs>
        <w:rPr>
          <w:color w:val="000000"/>
        </w:rPr>
      </w:pPr>
      <w:r w:rsidRPr="009B1A37">
        <w:rPr>
          <w:color w:val="000000"/>
          <w:u w:val="single"/>
        </w:rPr>
        <w:t>Glivec 400 mg potahované tablety</w:t>
      </w:r>
    </w:p>
    <w:p w14:paraId="1DD67389" w14:textId="77777777" w:rsidR="003638FB" w:rsidRPr="009B1A37" w:rsidRDefault="003638FB" w:rsidP="00BE3D48">
      <w:pPr>
        <w:widowControl w:val="0"/>
        <w:tabs>
          <w:tab w:val="clear" w:pos="567"/>
        </w:tabs>
        <w:spacing w:line="240" w:lineRule="auto"/>
        <w:rPr>
          <w:color w:val="000000"/>
        </w:rPr>
      </w:pPr>
      <w:r w:rsidRPr="009B1A37">
        <w:rPr>
          <w:color w:val="000000"/>
        </w:rPr>
        <w:t>Jedna potahovaná tableta obsahuje imatinibum</w:t>
      </w:r>
      <w:r w:rsidR="00971BB9" w:rsidRPr="009B1A37">
        <w:rPr>
          <w:color w:val="000000"/>
        </w:rPr>
        <w:t xml:space="preserve"> 400</w:t>
      </w:r>
      <w:r w:rsidR="00D80ABA" w:rsidRPr="009B1A37">
        <w:rPr>
          <w:color w:val="000000"/>
        </w:rPr>
        <w:t> </w:t>
      </w:r>
      <w:r w:rsidR="00971BB9" w:rsidRPr="009B1A37">
        <w:rPr>
          <w:color w:val="000000"/>
        </w:rPr>
        <w:t>mg</w:t>
      </w:r>
      <w:r w:rsidRPr="009B1A37">
        <w:rPr>
          <w:color w:val="000000"/>
        </w:rPr>
        <w:t xml:space="preserve"> (jako imatinibi mesilas).</w:t>
      </w:r>
    </w:p>
    <w:p w14:paraId="471B0A43" w14:textId="77777777" w:rsidR="00D97A44" w:rsidRPr="009B1A37" w:rsidRDefault="00D97A44" w:rsidP="00BE3D48">
      <w:pPr>
        <w:widowControl w:val="0"/>
        <w:tabs>
          <w:tab w:val="clear" w:pos="567"/>
        </w:tabs>
        <w:spacing w:line="240" w:lineRule="auto"/>
        <w:rPr>
          <w:color w:val="000000"/>
        </w:rPr>
      </w:pPr>
    </w:p>
    <w:p w14:paraId="73658EB8" w14:textId="77777777" w:rsidR="00D97A44" w:rsidRPr="009B1A37" w:rsidRDefault="00D97A44" w:rsidP="00BE3D48">
      <w:pPr>
        <w:widowControl w:val="0"/>
        <w:tabs>
          <w:tab w:val="clear" w:pos="567"/>
        </w:tabs>
        <w:spacing w:line="240" w:lineRule="auto"/>
        <w:rPr>
          <w:color w:val="000000"/>
        </w:rPr>
      </w:pPr>
      <w:r w:rsidRPr="009B1A37">
        <w:rPr>
          <w:color w:val="000000"/>
        </w:rPr>
        <w:t>Úplný seznam pomocných látek viz bod 6.1.</w:t>
      </w:r>
    </w:p>
    <w:p w14:paraId="1A2115A4" w14:textId="77777777" w:rsidR="00D97A44" w:rsidRPr="009B1A37" w:rsidRDefault="00D97A44" w:rsidP="00BE3D48">
      <w:pPr>
        <w:widowControl w:val="0"/>
        <w:tabs>
          <w:tab w:val="clear" w:pos="567"/>
        </w:tabs>
        <w:spacing w:line="240" w:lineRule="auto"/>
        <w:rPr>
          <w:color w:val="000000"/>
        </w:rPr>
      </w:pPr>
    </w:p>
    <w:p w14:paraId="02480488" w14:textId="77777777" w:rsidR="00D97A44" w:rsidRPr="009B1A37" w:rsidRDefault="00D97A44" w:rsidP="00BE3D48">
      <w:pPr>
        <w:widowControl w:val="0"/>
        <w:tabs>
          <w:tab w:val="clear" w:pos="567"/>
        </w:tabs>
        <w:spacing w:line="240" w:lineRule="auto"/>
        <w:rPr>
          <w:color w:val="000000"/>
        </w:rPr>
      </w:pPr>
    </w:p>
    <w:p w14:paraId="1FE2819E"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3.</w:t>
      </w:r>
      <w:r w:rsidRPr="009B1A37">
        <w:rPr>
          <w:b/>
          <w:bCs/>
          <w:color w:val="000000"/>
        </w:rPr>
        <w:tab/>
        <w:t>LÉKOVÁ FORMA</w:t>
      </w:r>
    </w:p>
    <w:p w14:paraId="4F934452" w14:textId="77777777" w:rsidR="00D97A44" w:rsidRPr="009B1A37" w:rsidRDefault="00D97A44" w:rsidP="00BE3D48">
      <w:pPr>
        <w:pStyle w:val="EndnoteText"/>
        <w:keepNext/>
        <w:widowControl w:val="0"/>
        <w:tabs>
          <w:tab w:val="clear" w:pos="567"/>
        </w:tabs>
        <w:rPr>
          <w:color w:val="000000"/>
        </w:rPr>
      </w:pPr>
    </w:p>
    <w:p w14:paraId="5FB0D7ED" w14:textId="77777777" w:rsidR="00D97A44" w:rsidRPr="009B1A37" w:rsidRDefault="00D97A44" w:rsidP="00BE3D48">
      <w:pPr>
        <w:widowControl w:val="0"/>
        <w:tabs>
          <w:tab w:val="clear" w:pos="567"/>
        </w:tabs>
        <w:spacing w:line="240" w:lineRule="auto"/>
        <w:rPr>
          <w:color w:val="000000"/>
        </w:rPr>
      </w:pPr>
      <w:r w:rsidRPr="009B1A37">
        <w:rPr>
          <w:color w:val="000000"/>
        </w:rPr>
        <w:t>Potahovaná tableta</w:t>
      </w:r>
    </w:p>
    <w:p w14:paraId="1E588CA5" w14:textId="77777777" w:rsidR="002751D6" w:rsidRPr="009B1A37" w:rsidRDefault="002751D6" w:rsidP="00BE3D48">
      <w:pPr>
        <w:widowControl w:val="0"/>
        <w:tabs>
          <w:tab w:val="clear" w:pos="567"/>
        </w:tabs>
        <w:spacing w:line="240" w:lineRule="auto"/>
        <w:rPr>
          <w:color w:val="000000"/>
        </w:rPr>
      </w:pPr>
    </w:p>
    <w:p w14:paraId="46185ED9" w14:textId="77777777" w:rsidR="00D97A44" w:rsidRPr="009B1A37" w:rsidRDefault="002751D6" w:rsidP="00BE3D48">
      <w:pPr>
        <w:pStyle w:val="EndnoteText"/>
        <w:keepNext/>
        <w:widowControl w:val="0"/>
        <w:tabs>
          <w:tab w:val="clear" w:pos="567"/>
        </w:tabs>
        <w:rPr>
          <w:color w:val="000000"/>
        </w:rPr>
      </w:pPr>
      <w:r w:rsidRPr="009B1A37">
        <w:rPr>
          <w:color w:val="000000"/>
          <w:u w:val="single"/>
        </w:rPr>
        <w:t>Glivec 100 mg potahované tablety</w:t>
      </w:r>
    </w:p>
    <w:p w14:paraId="2FFB7A8F" w14:textId="77777777" w:rsidR="00D97A44" w:rsidRPr="009B1A37" w:rsidRDefault="00D97A44" w:rsidP="00BE3D48">
      <w:pPr>
        <w:widowControl w:val="0"/>
        <w:tabs>
          <w:tab w:val="clear" w:pos="567"/>
        </w:tabs>
        <w:spacing w:line="240" w:lineRule="auto"/>
        <w:rPr>
          <w:color w:val="000000"/>
        </w:rPr>
      </w:pPr>
      <w:r w:rsidRPr="009B1A37">
        <w:rPr>
          <w:color w:val="000000"/>
        </w:rPr>
        <w:t>Velmi tmavě žluté až hnědooranžové kulaté potahované tablety na jedné straně označené „</w:t>
      </w:r>
      <w:smartTag w:uri="urn:schemas-microsoft-com:office:smarttags" w:element="stockticker">
        <w:r w:rsidRPr="009B1A37">
          <w:rPr>
            <w:color w:val="000000"/>
          </w:rPr>
          <w:t>NVR</w:t>
        </w:r>
      </w:smartTag>
      <w:r w:rsidRPr="009B1A37">
        <w:rPr>
          <w:color w:val="000000"/>
          <w:spacing w:val="-2"/>
        </w:rPr>
        <w:t>“</w:t>
      </w:r>
      <w:r w:rsidRPr="009B1A37">
        <w:rPr>
          <w:color w:val="000000"/>
        </w:rPr>
        <w:t xml:space="preserve"> a „SA</w:t>
      </w:r>
      <w:r w:rsidRPr="009B1A37">
        <w:rPr>
          <w:color w:val="000000"/>
          <w:spacing w:val="-2"/>
        </w:rPr>
        <w:t>“</w:t>
      </w:r>
      <w:r w:rsidRPr="009B1A37">
        <w:rPr>
          <w:color w:val="000000"/>
        </w:rPr>
        <w:t xml:space="preserve"> s půlící rýhou na straně druhé.</w:t>
      </w:r>
    </w:p>
    <w:p w14:paraId="5D997D9D" w14:textId="77777777" w:rsidR="002751D6" w:rsidRPr="009B1A37" w:rsidRDefault="002751D6" w:rsidP="00BE3D48">
      <w:pPr>
        <w:widowControl w:val="0"/>
        <w:tabs>
          <w:tab w:val="clear" w:pos="567"/>
        </w:tabs>
        <w:spacing w:line="240" w:lineRule="auto"/>
        <w:rPr>
          <w:color w:val="000000"/>
        </w:rPr>
      </w:pPr>
    </w:p>
    <w:p w14:paraId="6474DCAE" w14:textId="77777777" w:rsidR="002751D6" w:rsidRPr="009B1A37" w:rsidRDefault="002751D6" w:rsidP="00BE3D48">
      <w:pPr>
        <w:pStyle w:val="EndnoteText"/>
        <w:keepNext/>
        <w:widowControl w:val="0"/>
        <w:tabs>
          <w:tab w:val="clear" w:pos="567"/>
        </w:tabs>
        <w:rPr>
          <w:color w:val="000000"/>
        </w:rPr>
      </w:pPr>
      <w:r w:rsidRPr="009B1A37">
        <w:rPr>
          <w:color w:val="000000"/>
          <w:u w:val="single"/>
        </w:rPr>
        <w:t>Glivec 400 mg potahované tablety</w:t>
      </w:r>
    </w:p>
    <w:p w14:paraId="7242E795" w14:textId="77777777" w:rsidR="00D97A44" w:rsidRPr="009B1A37" w:rsidRDefault="000626F8" w:rsidP="00BE3D48">
      <w:pPr>
        <w:widowControl w:val="0"/>
        <w:tabs>
          <w:tab w:val="clear" w:pos="567"/>
        </w:tabs>
        <w:spacing w:line="240" w:lineRule="auto"/>
        <w:rPr>
          <w:color w:val="000000"/>
        </w:rPr>
      </w:pPr>
      <w:r w:rsidRPr="009B1A37">
        <w:rPr>
          <w:color w:val="000000"/>
        </w:rPr>
        <w:t>Velmi tmavě žluté až hnědooranžové oválné bikonvexní potahované tablety se zkosenými okraji s vyraženým „glivec“ na jedné straně.</w:t>
      </w:r>
    </w:p>
    <w:p w14:paraId="0BBB404F" w14:textId="77777777" w:rsidR="00D97A44" w:rsidRPr="009B1A37" w:rsidRDefault="00D97A44" w:rsidP="00BE3D48">
      <w:pPr>
        <w:widowControl w:val="0"/>
        <w:tabs>
          <w:tab w:val="clear" w:pos="567"/>
        </w:tabs>
        <w:spacing w:line="240" w:lineRule="auto"/>
        <w:rPr>
          <w:color w:val="000000"/>
        </w:rPr>
      </w:pPr>
    </w:p>
    <w:p w14:paraId="299ECFDF" w14:textId="77777777" w:rsidR="00D94F95" w:rsidRPr="009B1A37" w:rsidRDefault="00D94F95" w:rsidP="00BE3D48">
      <w:pPr>
        <w:keepNext/>
        <w:widowControl w:val="0"/>
        <w:tabs>
          <w:tab w:val="clear" w:pos="567"/>
        </w:tabs>
        <w:spacing w:line="240" w:lineRule="auto"/>
        <w:ind w:left="567" w:hanging="567"/>
        <w:rPr>
          <w:b/>
          <w:bCs/>
          <w:caps/>
          <w:color w:val="000000"/>
        </w:rPr>
      </w:pPr>
      <w:r w:rsidRPr="009B1A37">
        <w:rPr>
          <w:b/>
          <w:bCs/>
          <w:caps/>
          <w:color w:val="000000"/>
        </w:rPr>
        <w:t>4.</w:t>
      </w:r>
      <w:r w:rsidRPr="009B1A37">
        <w:rPr>
          <w:b/>
          <w:bCs/>
          <w:caps/>
          <w:color w:val="000000"/>
        </w:rPr>
        <w:tab/>
        <w:t>KLINICKÉ ÚDAJE</w:t>
      </w:r>
    </w:p>
    <w:p w14:paraId="4C996831" w14:textId="77777777" w:rsidR="00D94F95" w:rsidRPr="009B1A37" w:rsidRDefault="00D94F95" w:rsidP="00BE3D48">
      <w:pPr>
        <w:pStyle w:val="EndnoteText"/>
        <w:keepNext/>
        <w:widowControl w:val="0"/>
        <w:tabs>
          <w:tab w:val="clear" w:pos="567"/>
        </w:tabs>
        <w:rPr>
          <w:color w:val="000000"/>
        </w:rPr>
      </w:pPr>
    </w:p>
    <w:p w14:paraId="343EF2E6" w14:textId="77777777" w:rsidR="00D94F95" w:rsidRPr="009B1A37" w:rsidRDefault="00D94F95" w:rsidP="00BE3D48">
      <w:pPr>
        <w:keepNext/>
        <w:widowControl w:val="0"/>
        <w:tabs>
          <w:tab w:val="clear" w:pos="567"/>
        </w:tabs>
        <w:spacing w:line="240" w:lineRule="auto"/>
        <w:ind w:left="567" w:hanging="567"/>
        <w:rPr>
          <w:b/>
          <w:bCs/>
          <w:color w:val="000000"/>
        </w:rPr>
      </w:pPr>
      <w:r w:rsidRPr="009B1A37">
        <w:rPr>
          <w:b/>
          <w:bCs/>
          <w:color w:val="000000"/>
        </w:rPr>
        <w:t>4.1</w:t>
      </w:r>
      <w:r w:rsidRPr="009B1A37">
        <w:rPr>
          <w:b/>
          <w:bCs/>
          <w:color w:val="000000"/>
        </w:rPr>
        <w:tab/>
        <w:t>Terapeutické indikace</w:t>
      </w:r>
    </w:p>
    <w:p w14:paraId="6DF925E3" w14:textId="77777777" w:rsidR="00D94F95" w:rsidRPr="009B1A37" w:rsidRDefault="00D94F95" w:rsidP="00BE3D48">
      <w:pPr>
        <w:pStyle w:val="EndnoteText"/>
        <w:keepNext/>
        <w:widowControl w:val="0"/>
        <w:tabs>
          <w:tab w:val="clear" w:pos="567"/>
        </w:tabs>
        <w:rPr>
          <w:color w:val="000000"/>
        </w:rPr>
      </w:pPr>
    </w:p>
    <w:p w14:paraId="0A2F687C" w14:textId="77777777" w:rsidR="00D94F95" w:rsidRPr="009B1A37" w:rsidRDefault="00D94F95" w:rsidP="00BE3D48">
      <w:pPr>
        <w:pStyle w:val="EndnoteText"/>
        <w:keepNext/>
        <w:widowControl w:val="0"/>
        <w:tabs>
          <w:tab w:val="clear" w:pos="567"/>
        </w:tabs>
        <w:rPr>
          <w:color w:val="000000"/>
        </w:rPr>
      </w:pPr>
      <w:r w:rsidRPr="009B1A37">
        <w:rPr>
          <w:color w:val="000000"/>
        </w:rPr>
        <w:t>Glivec je indikován k léčbě</w:t>
      </w:r>
    </w:p>
    <w:p w14:paraId="57C809A1" w14:textId="77777777" w:rsidR="00D94F95" w:rsidRPr="009B1A37" w:rsidRDefault="00D94F95" w:rsidP="00BE3D48">
      <w:pPr>
        <w:pStyle w:val="EndnoteText"/>
        <w:widowControl w:val="0"/>
        <w:numPr>
          <w:ilvl w:val="0"/>
          <w:numId w:val="10"/>
        </w:numPr>
        <w:tabs>
          <w:tab w:val="clear" w:pos="720"/>
        </w:tabs>
        <w:ind w:left="567" w:hanging="567"/>
        <w:rPr>
          <w:color w:val="000000"/>
        </w:rPr>
      </w:pPr>
      <w:r w:rsidRPr="009B1A37">
        <w:rPr>
          <w:color w:val="000000"/>
        </w:rPr>
        <w:t xml:space="preserve">dospělých a </w:t>
      </w:r>
      <w:r w:rsidR="00B9436F" w:rsidRPr="009B1A37">
        <w:rPr>
          <w:color w:val="000000"/>
        </w:rPr>
        <w:t>pediatrických</w:t>
      </w:r>
      <w:r w:rsidRPr="009B1A37">
        <w:rPr>
          <w:color w:val="000000"/>
        </w:rPr>
        <w:t xml:space="preserve"> pacientů s nově diagnostikovanou Philadelphia chromozom (bcr-abl) pozitivní (Ph+) chronickou myeloidní leukemií (CML), u kterých není transplantace kostní dřeně považována za léčbu první volby.</w:t>
      </w:r>
    </w:p>
    <w:p w14:paraId="30264240" w14:textId="77777777" w:rsidR="00D94F95" w:rsidRPr="009B1A37" w:rsidRDefault="00D94F95" w:rsidP="00BE3D48">
      <w:pPr>
        <w:pStyle w:val="EndnoteText"/>
        <w:widowControl w:val="0"/>
        <w:numPr>
          <w:ilvl w:val="0"/>
          <w:numId w:val="10"/>
        </w:numPr>
        <w:tabs>
          <w:tab w:val="clear" w:pos="720"/>
        </w:tabs>
        <w:ind w:left="567" w:hanging="567"/>
        <w:rPr>
          <w:color w:val="000000"/>
        </w:rPr>
      </w:pPr>
      <w:r w:rsidRPr="009B1A37">
        <w:rPr>
          <w:color w:val="000000"/>
        </w:rPr>
        <w:t xml:space="preserve">dospělých a </w:t>
      </w:r>
      <w:r w:rsidR="00B9436F" w:rsidRPr="009B1A37">
        <w:rPr>
          <w:color w:val="000000"/>
        </w:rPr>
        <w:t>pediatrických</w:t>
      </w:r>
      <w:r w:rsidRPr="009B1A37">
        <w:rPr>
          <w:color w:val="000000"/>
        </w:rPr>
        <w:t xml:space="preserve"> pacientů s Ph+ CML </w:t>
      </w:r>
      <w:r w:rsidR="00BF515B" w:rsidRPr="009B1A37">
        <w:rPr>
          <w:color w:val="000000"/>
        </w:rPr>
        <w:t>v</w:t>
      </w:r>
      <w:r w:rsidRPr="009B1A37">
        <w:rPr>
          <w:color w:val="000000"/>
        </w:rPr>
        <w:t xml:space="preserve"> chronick</w:t>
      </w:r>
      <w:r w:rsidR="00BF515B" w:rsidRPr="009B1A37">
        <w:rPr>
          <w:color w:val="000000"/>
        </w:rPr>
        <w:t>é</w:t>
      </w:r>
      <w:r w:rsidRPr="009B1A37">
        <w:rPr>
          <w:color w:val="000000"/>
        </w:rPr>
        <w:t xml:space="preserve"> fáz</w:t>
      </w:r>
      <w:r w:rsidR="00BF515B" w:rsidRPr="009B1A37">
        <w:rPr>
          <w:color w:val="000000"/>
        </w:rPr>
        <w:t>i</w:t>
      </w:r>
      <w:r w:rsidRPr="009B1A37">
        <w:rPr>
          <w:color w:val="000000"/>
        </w:rPr>
        <w:t xml:space="preserve"> onemocnění, u kterých selhala léčba interferonem-alfa, nebo kteří jsou v akcelerované fázi onemocnění nebo v blastické krizi.</w:t>
      </w:r>
    </w:p>
    <w:p w14:paraId="46C86625" w14:textId="77777777" w:rsidR="00D94F95" w:rsidRPr="009B1A37" w:rsidRDefault="00D94F95" w:rsidP="00BE3D48">
      <w:pPr>
        <w:pStyle w:val="EndnoteText"/>
        <w:widowControl w:val="0"/>
        <w:numPr>
          <w:ilvl w:val="0"/>
          <w:numId w:val="2"/>
        </w:numPr>
        <w:tabs>
          <w:tab w:val="clear" w:pos="720"/>
        </w:tabs>
        <w:ind w:left="567" w:hanging="567"/>
        <w:rPr>
          <w:color w:val="000000"/>
        </w:rPr>
      </w:pPr>
      <w:r w:rsidRPr="009B1A37">
        <w:rPr>
          <w:color w:val="000000"/>
        </w:rPr>
        <w:t xml:space="preserve">dospělých </w:t>
      </w:r>
      <w:r w:rsidR="00AD05C4" w:rsidRPr="009B1A37">
        <w:rPr>
          <w:color w:val="000000"/>
        </w:rPr>
        <w:t xml:space="preserve">a </w:t>
      </w:r>
      <w:r w:rsidR="00B9436F" w:rsidRPr="009B1A37">
        <w:rPr>
          <w:color w:val="000000"/>
        </w:rPr>
        <w:t>pediatrických</w:t>
      </w:r>
      <w:r w:rsidR="00AD05C4" w:rsidRPr="009B1A37">
        <w:rPr>
          <w:color w:val="000000"/>
        </w:rPr>
        <w:t xml:space="preserve"> </w:t>
      </w:r>
      <w:r w:rsidRPr="009B1A37">
        <w:rPr>
          <w:color w:val="000000"/>
        </w:rPr>
        <w:t xml:space="preserve">pacientů s nově diagnostikovanou Philadelphia chromozom pozitivní akutní lymfatickou leukemií (Ph+ </w:t>
      </w:r>
      <w:smartTag w:uri="urn:schemas-microsoft-com:office:smarttags" w:element="stockticker">
        <w:r w:rsidRPr="009B1A37">
          <w:rPr>
            <w:color w:val="000000"/>
          </w:rPr>
          <w:t>ALL</w:t>
        </w:r>
      </w:smartTag>
      <w:r w:rsidRPr="009B1A37">
        <w:rPr>
          <w:color w:val="000000"/>
        </w:rPr>
        <w:t>) doplněnou chemoterapií.</w:t>
      </w:r>
    </w:p>
    <w:p w14:paraId="11036B91" w14:textId="77777777" w:rsidR="00D94F95" w:rsidRPr="009B1A37" w:rsidRDefault="00D94F95" w:rsidP="00BE3D48">
      <w:pPr>
        <w:pStyle w:val="EndnoteText"/>
        <w:widowControl w:val="0"/>
        <w:numPr>
          <w:ilvl w:val="0"/>
          <w:numId w:val="10"/>
        </w:numPr>
        <w:tabs>
          <w:tab w:val="clear" w:pos="720"/>
        </w:tabs>
        <w:ind w:left="567" w:hanging="567"/>
        <w:rPr>
          <w:color w:val="000000"/>
        </w:rPr>
      </w:pPr>
      <w:r w:rsidRPr="009B1A37">
        <w:rPr>
          <w:color w:val="000000"/>
        </w:rPr>
        <w:t xml:space="preserve">dospělých pacientů s recidivující nebo refrakterní Ph+ </w:t>
      </w:r>
      <w:smartTag w:uri="urn:schemas-microsoft-com:office:smarttags" w:element="stockticker">
        <w:r w:rsidRPr="009B1A37">
          <w:rPr>
            <w:color w:val="000000"/>
          </w:rPr>
          <w:t>ALL</w:t>
        </w:r>
      </w:smartTag>
      <w:r w:rsidRPr="009B1A37">
        <w:rPr>
          <w:color w:val="000000"/>
        </w:rPr>
        <w:t xml:space="preserve"> jako monoterapie.</w:t>
      </w:r>
    </w:p>
    <w:p w14:paraId="4B425026" w14:textId="77777777" w:rsidR="00D94F95" w:rsidRPr="009B1A37" w:rsidRDefault="00D94F95" w:rsidP="00BE3D48">
      <w:pPr>
        <w:pStyle w:val="EndnoteText"/>
        <w:widowControl w:val="0"/>
        <w:numPr>
          <w:ilvl w:val="0"/>
          <w:numId w:val="10"/>
        </w:numPr>
        <w:tabs>
          <w:tab w:val="clear" w:pos="720"/>
        </w:tabs>
        <w:ind w:left="567" w:hanging="567"/>
        <w:rPr>
          <w:color w:val="000000"/>
        </w:rPr>
      </w:pPr>
      <w:r w:rsidRPr="009B1A37">
        <w:rPr>
          <w:color w:val="000000"/>
        </w:rPr>
        <w:t>dospělých pacientů s myelodysplastickým/myeloproliferativním onemocněním (</w:t>
      </w:r>
      <w:smartTag w:uri="urn:schemas-microsoft-com:office:smarttags" w:element="stockticker">
        <w:r w:rsidRPr="009B1A37">
          <w:rPr>
            <w:color w:val="000000"/>
          </w:rPr>
          <w:t>MDS</w:t>
        </w:r>
      </w:smartTag>
      <w:r w:rsidRPr="009B1A37">
        <w:rPr>
          <w:color w:val="000000"/>
        </w:rPr>
        <w:t>/MPD) spojeným s </w:t>
      </w:r>
      <w:r w:rsidR="00BF515B" w:rsidRPr="009B1A37">
        <w:rPr>
          <w:color w:val="000000"/>
        </w:rPr>
        <w:t>přeskupením</w:t>
      </w:r>
      <w:r w:rsidRPr="009B1A37">
        <w:rPr>
          <w:color w:val="000000"/>
        </w:rPr>
        <w:t xml:space="preserve"> genu receptoru pro růstový faktor </w:t>
      </w:r>
      <w:r w:rsidR="00BF515B" w:rsidRPr="009B1A37">
        <w:rPr>
          <w:color w:val="000000"/>
        </w:rPr>
        <w:t>trombocytů</w:t>
      </w:r>
      <w:r w:rsidRPr="009B1A37">
        <w:rPr>
          <w:color w:val="000000"/>
        </w:rPr>
        <w:t xml:space="preserve"> (PDGFR).</w:t>
      </w:r>
    </w:p>
    <w:p w14:paraId="4A099DAB" w14:textId="77777777" w:rsidR="00D94F95" w:rsidRPr="009B1A37" w:rsidRDefault="00D94F95" w:rsidP="00BE3D48">
      <w:pPr>
        <w:pStyle w:val="EndnoteText"/>
        <w:widowControl w:val="0"/>
        <w:numPr>
          <w:ilvl w:val="0"/>
          <w:numId w:val="10"/>
        </w:numPr>
        <w:tabs>
          <w:tab w:val="clear" w:pos="720"/>
        </w:tabs>
        <w:ind w:left="567" w:hanging="567"/>
        <w:rPr>
          <w:color w:val="000000"/>
        </w:rPr>
      </w:pPr>
      <w:r w:rsidRPr="009B1A37">
        <w:rPr>
          <w:color w:val="000000"/>
        </w:rPr>
        <w:t>dospělých pacientů s pokročil</w:t>
      </w:r>
      <w:r w:rsidR="00B9436F" w:rsidRPr="009B1A37">
        <w:rPr>
          <w:color w:val="000000"/>
        </w:rPr>
        <w:t>ým</w:t>
      </w:r>
      <w:r w:rsidRPr="009B1A37">
        <w:rPr>
          <w:color w:val="000000"/>
        </w:rPr>
        <w:t xml:space="preserve"> hypereozinofil</w:t>
      </w:r>
      <w:r w:rsidR="00B9436F" w:rsidRPr="009B1A37">
        <w:rPr>
          <w:color w:val="000000"/>
        </w:rPr>
        <w:t>ním syndromem</w:t>
      </w:r>
      <w:r w:rsidRPr="009B1A37">
        <w:rPr>
          <w:color w:val="000000"/>
        </w:rPr>
        <w:t xml:space="preserve"> (HES) a/nebo chronickou eozinofilní leukemií (</w:t>
      </w:r>
      <w:smartTag w:uri="urn:schemas-microsoft-com:office:smarttags" w:element="stockticker">
        <w:r w:rsidRPr="009B1A37">
          <w:rPr>
            <w:color w:val="000000"/>
          </w:rPr>
          <w:t>CEL</w:t>
        </w:r>
      </w:smartTag>
      <w:r w:rsidRPr="009B1A37">
        <w:rPr>
          <w:color w:val="000000"/>
        </w:rPr>
        <w:t>) s přeskupením FIP1L1-PDGFRα.</w:t>
      </w:r>
    </w:p>
    <w:p w14:paraId="6DF2771E" w14:textId="77777777" w:rsidR="00D94F95" w:rsidRPr="009B1A37" w:rsidRDefault="00D94F95" w:rsidP="00BE3D48">
      <w:pPr>
        <w:pStyle w:val="EndnoteText"/>
        <w:widowControl w:val="0"/>
        <w:tabs>
          <w:tab w:val="clear" w:pos="567"/>
        </w:tabs>
        <w:rPr>
          <w:color w:val="000000"/>
        </w:rPr>
      </w:pPr>
    </w:p>
    <w:p w14:paraId="09D0BD7A" w14:textId="77777777" w:rsidR="00D94F95" w:rsidRPr="009B1A37" w:rsidRDefault="00D94F95" w:rsidP="00BE3D48">
      <w:pPr>
        <w:pStyle w:val="EndnoteText"/>
        <w:widowControl w:val="0"/>
        <w:tabs>
          <w:tab w:val="clear" w:pos="567"/>
        </w:tabs>
        <w:rPr>
          <w:color w:val="000000"/>
        </w:rPr>
      </w:pPr>
      <w:r w:rsidRPr="009B1A37">
        <w:rPr>
          <w:color w:val="000000"/>
        </w:rPr>
        <w:t>Účinek Glivecu na výsledek transplantace kostní dřeně nebyl stanoven.</w:t>
      </w:r>
    </w:p>
    <w:p w14:paraId="2801A34D" w14:textId="77777777" w:rsidR="00D94F95" w:rsidRPr="009B1A37" w:rsidRDefault="00D94F95" w:rsidP="00BE3D48">
      <w:pPr>
        <w:widowControl w:val="0"/>
        <w:tabs>
          <w:tab w:val="clear" w:pos="567"/>
        </w:tabs>
        <w:spacing w:line="240" w:lineRule="auto"/>
        <w:rPr>
          <w:color w:val="000000"/>
        </w:rPr>
      </w:pPr>
    </w:p>
    <w:p w14:paraId="61E27A5E" w14:textId="77777777" w:rsidR="00D94F95" w:rsidRPr="009B1A37" w:rsidRDefault="00D94F95" w:rsidP="00BE3D48">
      <w:pPr>
        <w:keepNext/>
        <w:widowControl w:val="0"/>
        <w:tabs>
          <w:tab w:val="clear" w:pos="567"/>
        </w:tabs>
        <w:spacing w:line="240" w:lineRule="auto"/>
      </w:pPr>
      <w:r w:rsidRPr="009B1A37">
        <w:rPr>
          <w:color w:val="000000"/>
        </w:rPr>
        <w:t>Glivec je indikován</w:t>
      </w:r>
    </w:p>
    <w:p w14:paraId="487D473B" w14:textId="77777777" w:rsidR="00D94F95" w:rsidRPr="009B1A37" w:rsidRDefault="00D94F95" w:rsidP="00BE3D48">
      <w:pPr>
        <w:widowControl w:val="0"/>
        <w:numPr>
          <w:ilvl w:val="0"/>
          <w:numId w:val="4"/>
        </w:numPr>
        <w:tabs>
          <w:tab w:val="clear" w:pos="567"/>
          <w:tab w:val="clear" w:pos="780"/>
        </w:tabs>
        <w:spacing w:line="240" w:lineRule="auto"/>
        <w:ind w:left="567" w:hanging="567"/>
        <w:rPr>
          <w:color w:val="000000"/>
        </w:rPr>
      </w:pPr>
      <w:r w:rsidRPr="009B1A37">
        <w:rPr>
          <w:color w:val="000000"/>
        </w:rPr>
        <w:t>k léčbě dospělých pacientů s Kit (CD 117) pozitivními inoperabilními a/nebo metastatickými maligními stromálními nádory zažívacího traktu (GIST).</w:t>
      </w:r>
    </w:p>
    <w:p w14:paraId="09228F88" w14:textId="77777777" w:rsidR="00D94F95" w:rsidRPr="009B1A37" w:rsidRDefault="00D94F95" w:rsidP="00BE3D48">
      <w:pPr>
        <w:widowControl w:val="0"/>
        <w:numPr>
          <w:ilvl w:val="0"/>
          <w:numId w:val="4"/>
        </w:numPr>
        <w:tabs>
          <w:tab w:val="clear" w:pos="567"/>
          <w:tab w:val="clear" w:pos="780"/>
        </w:tabs>
        <w:spacing w:line="240" w:lineRule="auto"/>
        <w:ind w:left="567" w:hanging="567"/>
      </w:pPr>
      <w:r w:rsidRPr="009B1A37">
        <w:rPr>
          <w:color w:val="000000"/>
        </w:rPr>
        <w:t>k adjuvantní léčbě dospělých pacientů s významným rizikem recidivy po resekci Kit (CD117)-pozitivního GIST nádoru. Pacienti s nízkým nebo velmi nízkým rizikem recidivy by neměli adjuvantní léčbu podstoupit.</w:t>
      </w:r>
    </w:p>
    <w:p w14:paraId="0DE919DE" w14:textId="77777777" w:rsidR="00D94F95" w:rsidRPr="009B1A37" w:rsidRDefault="00D94F95" w:rsidP="00BE3D48">
      <w:pPr>
        <w:widowControl w:val="0"/>
        <w:numPr>
          <w:ilvl w:val="0"/>
          <w:numId w:val="4"/>
        </w:numPr>
        <w:tabs>
          <w:tab w:val="clear" w:pos="567"/>
          <w:tab w:val="clear" w:pos="780"/>
        </w:tabs>
        <w:spacing w:line="240" w:lineRule="auto"/>
        <w:ind w:left="567" w:hanging="567"/>
        <w:rPr>
          <w:color w:val="000000"/>
        </w:rPr>
      </w:pPr>
      <w:r w:rsidRPr="009B1A37">
        <w:rPr>
          <w:color w:val="000000"/>
        </w:rPr>
        <w:t>k léčbě dospělých pacientů s inoperabilním dermatofibrosarkomem protuberans (DFSP) a dospělých pacientů s rekurentním a/nebo metastatickým DFSP, kteří nejsou způsobilí operace.</w:t>
      </w:r>
    </w:p>
    <w:p w14:paraId="42921BBC" w14:textId="77777777" w:rsidR="00D94F95" w:rsidRPr="009B1A37" w:rsidRDefault="00D94F95" w:rsidP="00BE3D48">
      <w:pPr>
        <w:widowControl w:val="0"/>
        <w:tabs>
          <w:tab w:val="clear" w:pos="567"/>
        </w:tabs>
        <w:spacing w:line="240" w:lineRule="auto"/>
        <w:rPr>
          <w:color w:val="000000"/>
        </w:rPr>
      </w:pPr>
    </w:p>
    <w:p w14:paraId="7A3EDD13" w14:textId="77777777" w:rsidR="00D94F95" w:rsidRPr="009B1A37" w:rsidRDefault="00D94F95" w:rsidP="00BE3D48">
      <w:pPr>
        <w:pStyle w:val="Text"/>
        <w:widowControl w:val="0"/>
        <w:spacing w:before="0"/>
        <w:jc w:val="left"/>
        <w:rPr>
          <w:color w:val="000000"/>
          <w:sz w:val="22"/>
          <w:szCs w:val="22"/>
          <w:lang w:val="cs-CZ"/>
        </w:rPr>
      </w:pPr>
      <w:r w:rsidRPr="009B1A37">
        <w:rPr>
          <w:color w:val="000000"/>
          <w:sz w:val="22"/>
          <w:szCs w:val="22"/>
          <w:lang w:val="cs-CZ"/>
        </w:rPr>
        <w:t xml:space="preserve">U dospělých a </w:t>
      </w:r>
      <w:r w:rsidR="006E03CF" w:rsidRPr="009B1A37">
        <w:rPr>
          <w:color w:val="000000"/>
          <w:lang w:val="cs-CZ"/>
        </w:rPr>
        <w:t>pediatrických</w:t>
      </w:r>
      <w:r w:rsidRPr="009B1A37">
        <w:rPr>
          <w:color w:val="000000"/>
          <w:sz w:val="22"/>
          <w:szCs w:val="22"/>
          <w:lang w:val="cs-CZ"/>
        </w:rPr>
        <w:t xml:space="preserve"> pacientů je účinnost Glivecu hodnocena podle </w:t>
      </w:r>
      <w:r w:rsidR="006E03CF" w:rsidRPr="009B1A37">
        <w:rPr>
          <w:color w:val="000000"/>
          <w:sz w:val="22"/>
          <w:szCs w:val="22"/>
          <w:lang w:val="cs-CZ"/>
        </w:rPr>
        <w:t xml:space="preserve">výskytu </w:t>
      </w:r>
      <w:r w:rsidRPr="009B1A37">
        <w:rPr>
          <w:color w:val="000000"/>
          <w:sz w:val="22"/>
          <w:szCs w:val="22"/>
          <w:lang w:val="cs-CZ"/>
        </w:rPr>
        <w:t xml:space="preserve">celkové hematologické a cytogenetické odpovědi a přežívání bez progrese onemocnění u CML, podle </w:t>
      </w:r>
      <w:r w:rsidR="006E03CF" w:rsidRPr="009B1A37">
        <w:rPr>
          <w:color w:val="000000"/>
          <w:sz w:val="22"/>
          <w:szCs w:val="22"/>
          <w:lang w:val="cs-CZ"/>
        </w:rPr>
        <w:t>výskytu</w:t>
      </w:r>
      <w:r w:rsidRPr="009B1A37">
        <w:rPr>
          <w:color w:val="000000"/>
          <w:sz w:val="22"/>
          <w:szCs w:val="22"/>
          <w:lang w:val="cs-CZ"/>
        </w:rPr>
        <w:t xml:space="preserve"> hematologické a cytogenetické odpovědi u Ph+ </w:t>
      </w:r>
      <w:smartTag w:uri="urn:schemas-microsoft-com:office:smarttags" w:element="stockticker">
        <w:r w:rsidRPr="009B1A37">
          <w:rPr>
            <w:color w:val="000000"/>
            <w:sz w:val="22"/>
            <w:szCs w:val="22"/>
            <w:lang w:val="cs-CZ"/>
          </w:rPr>
          <w:t>ALL</w:t>
        </w:r>
      </w:smartTag>
      <w:r w:rsidRPr="009B1A37">
        <w:rPr>
          <w:color w:val="000000"/>
          <w:sz w:val="22"/>
          <w:szCs w:val="22"/>
          <w:lang w:val="cs-CZ"/>
        </w:rPr>
        <w:t xml:space="preserve">, </w:t>
      </w:r>
      <w:smartTag w:uri="urn:schemas-microsoft-com:office:smarttags" w:element="stockticker">
        <w:r w:rsidRPr="009B1A37">
          <w:rPr>
            <w:color w:val="000000"/>
            <w:sz w:val="22"/>
            <w:szCs w:val="22"/>
            <w:lang w:val="cs-CZ"/>
          </w:rPr>
          <w:t>MDS</w:t>
        </w:r>
      </w:smartTag>
      <w:r w:rsidRPr="009B1A37">
        <w:rPr>
          <w:color w:val="000000"/>
          <w:sz w:val="22"/>
          <w:szCs w:val="22"/>
          <w:lang w:val="cs-CZ"/>
        </w:rPr>
        <w:t xml:space="preserve">/MPD, podle </w:t>
      </w:r>
      <w:r w:rsidR="006E03CF" w:rsidRPr="009B1A37">
        <w:rPr>
          <w:color w:val="000000"/>
          <w:sz w:val="22"/>
          <w:szCs w:val="22"/>
          <w:lang w:val="cs-CZ"/>
        </w:rPr>
        <w:t>výskytu</w:t>
      </w:r>
      <w:r w:rsidRPr="009B1A37">
        <w:rPr>
          <w:color w:val="000000"/>
          <w:sz w:val="22"/>
          <w:szCs w:val="22"/>
          <w:lang w:val="cs-CZ"/>
        </w:rPr>
        <w:t xml:space="preserve"> hematologické odpovědi u HES/</w:t>
      </w:r>
      <w:smartTag w:uri="urn:schemas-microsoft-com:office:smarttags" w:element="stockticker">
        <w:r w:rsidRPr="009B1A37">
          <w:rPr>
            <w:color w:val="000000"/>
            <w:sz w:val="22"/>
            <w:szCs w:val="22"/>
            <w:lang w:val="cs-CZ"/>
          </w:rPr>
          <w:t>CEL</w:t>
        </w:r>
      </w:smartTag>
      <w:r w:rsidRPr="009B1A37">
        <w:rPr>
          <w:color w:val="000000"/>
          <w:sz w:val="22"/>
          <w:szCs w:val="22"/>
          <w:lang w:val="cs-CZ"/>
        </w:rPr>
        <w:t xml:space="preserve"> a podle </w:t>
      </w:r>
      <w:r w:rsidR="006E03CF" w:rsidRPr="009B1A37">
        <w:rPr>
          <w:color w:val="000000"/>
          <w:sz w:val="22"/>
          <w:szCs w:val="22"/>
          <w:lang w:val="cs-CZ"/>
        </w:rPr>
        <w:t>výskytu</w:t>
      </w:r>
      <w:r w:rsidRPr="009B1A37">
        <w:rPr>
          <w:color w:val="000000"/>
          <w:sz w:val="22"/>
          <w:szCs w:val="22"/>
          <w:lang w:val="cs-CZ"/>
        </w:rPr>
        <w:t xml:space="preserve"> objektivní odpovědi u dospělých pacientů s inoperabilním a/nebo metastatickým GIST a DFSP a na základě přežití bez návratu onemocnění u adjuvantní léčby GIST. Zkušenosti s Glivecem u pacientů s </w:t>
      </w:r>
      <w:smartTag w:uri="urn:schemas-microsoft-com:office:smarttags" w:element="stockticker">
        <w:r w:rsidRPr="009B1A37">
          <w:rPr>
            <w:color w:val="000000"/>
            <w:sz w:val="22"/>
            <w:szCs w:val="22"/>
            <w:lang w:val="cs-CZ"/>
          </w:rPr>
          <w:t>MDS</w:t>
        </w:r>
      </w:smartTag>
      <w:r w:rsidRPr="009B1A37">
        <w:rPr>
          <w:color w:val="000000"/>
          <w:sz w:val="22"/>
          <w:szCs w:val="22"/>
          <w:lang w:val="cs-CZ"/>
        </w:rPr>
        <w:t xml:space="preserve">/MPD spojeným s </w:t>
      </w:r>
      <w:r w:rsidR="006E03CF" w:rsidRPr="009B1A37">
        <w:rPr>
          <w:color w:val="000000"/>
          <w:sz w:val="22"/>
          <w:szCs w:val="22"/>
          <w:lang w:val="cs-CZ"/>
        </w:rPr>
        <w:t>přeskupením</w:t>
      </w:r>
      <w:r w:rsidRPr="009B1A37">
        <w:rPr>
          <w:color w:val="000000"/>
          <w:sz w:val="22"/>
          <w:szCs w:val="22"/>
          <w:lang w:val="cs-CZ"/>
        </w:rPr>
        <w:t xml:space="preserve"> genu receptoru PDGFR jsou velmi omezené (viz bod 5.1). Kromě nově diagnostikované chronické fáze CML nejsou k dispozici žádné kontrolované studie, které by prokázaly klinický přínos nebo prodloužené přežití u těchto uvedených onemocnění.</w:t>
      </w:r>
    </w:p>
    <w:p w14:paraId="58B423AD" w14:textId="77777777" w:rsidR="00D94F95" w:rsidRPr="009B1A37" w:rsidRDefault="00D94F95" w:rsidP="00BE3D48">
      <w:pPr>
        <w:pStyle w:val="Text"/>
        <w:widowControl w:val="0"/>
        <w:spacing w:before="0"/>
        <w:rPr>
          <w:color w:val="000000"/>
          <w:sz w:val="22"/>
          <w:szCs w:val="22"/>
          <w:lang w:val="cs-CZ"/>
        </w:rPr>
      </w:pPr>
    </w:p>
    <w:p w14:paraId="11C994C5" w14:textId="77777777" w:rsidR="00D94F95" w:rsidRPr="009B1A37" w:rsidRDefault="00D94F95" w:rsidP="00BE3D48">
      <w:pPr>
        <w:keepNext/>
        <w:widowControl w:val="0"/>
        <w:tabs>
          <w:tab w:val="clear" w:pos="567"/>
        </w:tabs>
        <w:spacing w:line="240" w:lineRule="auto"/>
        <w:ind w:left="567" w:hanging="567"/>
        <w:rPr>
          <w:b/>
          <w:bCs/>
          <w:color w:val="000000"/>
        </w:rPr>
      </w:pPr>
      <w:r w:rsidRPr="009B1A37">
        <w:rPr>
          <w:b/>
          <w:bCs/>
          <w:color w:val="000000"/>
        </w:rPr>
        <w:t>4.2</w:t>
      </w:r>
      <w:r w:rsidRPr="009B1A37">
        <w:rPr>
          <w:b/>
          <w:bCs/>
          <w:color w:val="000000"/>
        </w:rPr>
        <w:tab/>
        <w:t>Dávkování a způsob podání</w:t>
      </w:r>
    </w:p>
    <w:p w14:paraId="7D5CF2C6" w14:textId="77777777" w:rsidR="00D97A44" w:rsidRPr="009B1A37" w:rsidRDefault="00D97A44" w:rsidP="00BE3D48">
      <w:pPr>
        <w:pStyle w:val="EndnoteText"/>
        <w:keepNext/>
        <w:widowControl w:val="0"/>
        <w:tabs>
          <w:tab w:val="clear" w:pos="567"/>
        </w:tabs>
        <w:rPr>
          <w:color w:val="000000"/>
        </w:rPr>
      </w:pPr>
    </w:p>
    <w:p w14:paraId="71DA9262" w14:textId="77777777" w:rsidR="00D97A44" w:rsidRPr="009B1A37" w:rsidRDefault="00D97A44" w:rsidP="00BE3D48">
      <w:pPr>
        <w:pStyle w:val="EndnoteText"/>
        <w:widowControl w:val="0"/>
        <w:tabs>
          <w:tab w:val="clear" w:pos="567"/>
        </w:tabs>
        <w:rPr>
          <w:color w:val="000000"/>
        </w:rPr>
      </w:pPr>
      <w:r w:rsidRPr="009B1A37">
        <w:rPr>
          <w:color w:val="000000"/>
        </w:rPr>
        <w:t xml:space="preserve">Léčbu </w:t>
      </w:r>
      <w:r w:rsidR="006E03CF" w:rsidRPr="009B1A37">
        <w:rPr>
          <w:color w:val="000000"/>
        </w:rPr>
        <w:t>má</w:t>
      </w:r>
      <w:r w:rsidRPr="009B1A37">
        <w:rPr>
          <w:color w:val="000000"/>
        </w:rPr>
        <w:t xml:space="preserve"> zahájit lékař s odpovídajícími zkušenostmi v léčbě pacientů s hematologickými malignitami a maligními sarkomy.</w:t>
      </w:r>
    </w:p>
    <w:p w14:paraId="692EAE90" w14:textId="77777777" w:rsidR="00D97A44" w:rsidRPr="009B1A37" w:rsidRDefault="00D97A44" w:rsidP="00BE3D48">
      <w:pPr>
        <w:pStyle w:val="EndnoteText"/>
        <w:widowControl w:val="0"/>
        <w:tabs>
          <w:tab w:val="clear" w:pos="567"/>
        </w:tabs>
        <w:rPr>
          <w:color w:val="000000"/>
        </w:rPr>
      </w:pPr>
    </w:p>
    <w:p w14:paraId="3EEBB8FB" w14:textId="77777777" w:rsidR="00A03E4F" w:rsidRPr="009B1A37" w:rsidRDefault="00A03E4F" w:rsidP="00BE3D48">
      <w:pPr>
        <w:widowControl w:val="0"/>
        <w:tabs>
          <w:tab w:val="clear" w:pos="567"/>
        </w:tabs>
        <w:spacing w:line="240" w:lineRule="auto"/>
        <w:rPr>
          <w:color w:val="000000"/>
        </w:rPr>
      </w:pPr>
      <w:r w:rsidRPr="009B1A37">
        <w:rPr>
          <w:color w:val="000000"/>
        </w:rPr>
        <w:t>Pro dávky jiné než 400 mg a 800 mg (viz doporučené dávkování níže) jsou dostupné 100 mg (dělitelné) tablety.</w:t>
      </w:r>
    </w:p>
    <w:p w14:paraId="742459E2" w14:textId="77777777" w:rsidR="00D97A44" w:rsidRPr="009B1A37" w:rsidRDefault="00D97A44" w:rsidP="00BE3D48">
      <w:pPr>
        <w:widowControl w:val="0"/>
        <w:tabs>
          <w:tab w:val="clear" w:pos="567"/>
        </w:tabs>
        <w:spacing w:line="240" w:lineRule="auto"/>
        <w:rPr>
          <w:color w:val="000000"/>
        </w:rPr>
      </w:pPr>
      <w:r w:rsidRPr="009B1A37">
        <w:rPr>
          <w:color w:val="000000"/>
        </w:rPr>
        <w:t>Pro dávku 400 mg a vyšší (viz doporučené dávkování níže) jsou dostupné 400 mg tablety (nedělitelné).</w:t>
      </w:r>
    </w:p>
    <w:p w14:paraId="3199381A" w14:textId="77777777" w:rsidR="00D97A44" w:rsidRPr="009B1A37" w:rsidRDefault="00D97A44" w:rsidP="00BE3D48">
      <w:pPr>
        <w:pStyle w:val="EndnoteText"/>
        <w:widowControl w:val="0"/>
        <w:tabs>
          <w:tab w:val="clear" w:pos="567"/>
        </w:tabs>
        <w:rPr>
          <w:color w:val="000000"/>
        </w:rPr>
      </w:pPr>
    </w:p>
    <w:p w14:paraId="5E0A00CE" w14:textId="77777777" w:rsidR="00D97A44" w:rsidRPr="009B1A37" w:rsidRDefault="00D97A44" w:rsidP="00BE3D48">
      <w:pPr>
        <w:pStyle w:val="EndnoteText"/>
        <w:widowControl w:val="0"/>
        <w:tabs>
          <w:tab w:val="clear" w:pos="567"/>
        </w:tabs>
        <w:rPr>
          <w:color w:val="000000"/>
        </w:rPr>
      </w:pPr>
      <w:r w:rsidRPr="009B1A37">
        <w:rPr>
          <w:color w:val="000000"/>
        </w:rPr>
        <w:t xml:space="preserve">Předepsaná dávka </w:t>
      </w:r>
      <w:r w:rsidR="006E03CF" w:rsidRPr="009B1A37">
        <w:rPr>
          <w:color w:val="000000"/>
        </w:rPr>
        <w:t>má</w:t>
      </w:r>
      <w:r w:rsidRPr="009B1A37">
        <w:rPr>
          <w:color w:val="000000"/>
        </w:rPr>
        <w:t xml:space="preserve"> být podávána perorálně s jídlem a zapíjena velkou sklenicí vody, aby se minimalizovalo riziko gastrointestinálního podráždění. Dávky 400 mg nebo 600 mg </w:t>
      </w:r>
      <w:r w:rsidR="006E03CF" w:rsidRPr="009B1A37">
        <w:rPr>
          <w:color w:val="000000"/>
        </w:rPr>
        <w:t>mají</w:t>
      </w:r>
      <w:r w:rsidRPr="009B1A37">
        <w:rPr>
          <w:color w:val="000000"/>
        </w:rPr>
        <w:t xml:space="preserve"> být podávány jednou denně, zatímco dávka 800 mg </w:t>
      </w:r>
      <w:r w:rsidR="006E03CF" w:rsidRPr="009B1A37">
        <w:rPr>
          <w:color w:val="000000"/>
        </w:rPr>
        <w:t>má</w:t>
      </w:r>
      <w:r w:rsidRPr="009B1A37">
        <w:rPr>
          <w:color w:val="000000"/>
        </w:rPr>
        <w:t xml:space="preserve"> být podávána rozděleně na 400 mg dvakrát denně ráno a večer.</w:t>
      </w:r>
    </w:p>
    <w:p w14:paraId="40CDC3FD" w14:textId="77777777" w:rsidR="00D97A44" w:rsidRPr="009B1A37" w:rsidRDefault="00D97A44" w:rsidP="00BE3D48">
      <w:pPr>
        <w:pStyle w:val="EndnoteText"/>
        <w:widowControl w:val="0"/>
        <w:tabs>
          <w:tab w:val="clear" w:pos="567"/>
        </w:tabs>
        <w:rPr>
          <w:color w:val="000000"/>
        </w:rPr>
      </w:pPr>
    </w:p>
    <w:p w14:paraId="30E4A2FE" w14:textId="77777777" w:rsidR="00D97A44" w:rsidRPr="009B1A37" w:rsidRDefault="00D97A44" w:rsidP="00BE3D48">
      <w:pPr>
        <w:pStyle w:val="BodyText"/>
        <w:widowControl w:val="0"/>
        <w:spacing w:line="240" w:lineRule="auto"/>
        <w:rPr>
          <w:b w:val="0"/>
          <w:i w:val="0"/>
          <w:color w:val="000000"/>
        </w:rPr>
      </w:pPr>
      <w:r w:rsidRPr="009B1A37">
        <w:rPr>
          <w:b w:val="0"/>
          <w:i w:val="0"/>
          <w:color w:val="000000"/>
        </w:rPr>
        <w:t xml:space="preserve">Pacientům, kteří nemohou polykat celé potahované tablety je možné tablety rozpustit ve sklenici </w:t>
      </w:r>
      <w:r w:rsidR="00397A30" w:rsidRPr="009B1A37">
        <w:rPr>
          <w:b w:val="0"/>
          <w:i w:val="0"/>
          <w:color w:val="000000"/>
        </w:rPr>
        <w:t xml:space="preserve">neperlivé </w:t>
      </w:r>
      <w:r w:rsidRPr="009B1A37">
        <w:rPr>
          <w:b w:val="0"/>
          <w:i w:val="0"/>
          <w:color w:val="000000"/>
        </w:rPr>
        <w:t>vody nebo jablečného džusu. Požadovaný počet tablet by měl být dán do odpovídajícího množství nápoje (přibližně 50 ml pro 100 mg tabletu a 200 ml pro 400 mg tabletu) a zamíchán lžící. Suspenze musí být požita neprodleně po kompletním rozpadnutí tablety(tablet).</w:t>
      </w:r>
    </w:p>
    <w:p w14:paraId="4E4DBB32" w14:textId="77777777" w:rsidR="00D97A44" w:rsidRPr="009B1A37" w:rsidRDefault="00D97A44" w:rsidP="00BE3D48">
      <w:pPr>
        <w:pStyle w:val="BodyText"/>
        <w:widowControl w:val="0"/>
        <w:spacing w:line="240" w:lineRule="auto"/>
        <w:rPr>
          <w:b w:val="0"/>
          <w:bCs w:val="0"/>
          <w:i w:val="0"/>
          <w:iCs w:val="0"/>
          <w:color w:val="000000"/>
        </w:rPr>
      </w:pPr>
    </w:p>
    <w:p w14:paraId="17134D99" w14:textId="77777777" w:rsidR="00D94F95" w:rsidRPr="009B1A37" w:rsidRDefault="00D94F95" w:rsidP="00BE3D48">
      <w:pPr>
        <w:pStyle w:val="BodyText"/>
        <w:keepNext/>
        <w:widowControl w:val="0"/>
        <w:spacing w:line="240" w:lineRule="auto"/>
        <w:rPr>
          <w:b w:val="0"/>
          <w:bCs w:val="0"/>
          <w:i w:val="0"/>
          <w:iCs w:val="0"/>
          <w:color w:val="000000"/>
          <w:u w:val="single"/>
        </w:rPr>
      </w:pPr>
      <w:r w:rsidRPr="009B1A37">
        <w:rPr>
          <w:b w:val="0"/>
          <w:bCs w:val="0"/>
          <w:i w:val="0"/>
          <w:iCs w:val="0"/>
          <w:color w:val="000000"/>
          <w:u w:val="single"/>
        </w:rPr>
        <w:t>Dávkování u CML u dospělých pacientů</w:t>
      </w:r>
    </w:p>
    <w:p w14:paraId="5A94B7A7" w14:textId="77777777" w:rsidR="00D94F95" w:rsidRPr="009B1A37" w:rsidRDefault="00D94F95" w:rsidP="00BE3D48">
      <w:pPr>
        <w:spacing w:line="240" w:lineRule="auto"/>
      </w:pPr>
      <w:r w:rsidRPr="009B1A37">
        <w:t xml:space="preserve">Doporučená dávka Glivecu je pro </w:t>
      </w:r>
      <w:r w:rsidR="00CB0ABF" w:rsidRPr="009B1A37">
        <w:t xml:space="preserve">dospělé </w:t>
      </w:r>
      <w:r w:rsidRPr="009B1A37">
        <w:t>pacienty v chronické fázi CML 400 mg/den. Chronická fáze CML je definována dosažením všech následujících kriterií: blasty v krvi a kostní dřeni &lt; 15</w:t>
      </w:r>
      <w:r w:rsidR="004B270C" w:rsidRPr="009B1A37">
        <w:t> </w:t>
      </w:r>
      <w:r w:rsidRPr="009B1A37">
        <w:t>%, basofily v periferní krvi &lt; 20</w:t>
      </w:r>
      <w:r w:rsidR="004B270C" w:rsidRPr="009B1A37">
        <w:t> </w:t>
      </w:r>
      <w:r w:rsidRPr="009B1A37">
        <w:t xml:space="preserve">%, </w:t>
      </w:r>
      <w:r w:rsidR="00367D59" w:rsidRPr="009B1A37">
        <w:t>trombocyty</w:t>
      </w:r>
      <w:r w:rsidRPr="009B1A37">
        <w:t xml:space="preserve"> &gt; 100 x 10</w:t>
      </w:r>
      <w:r w:rsidRPr="009B1A37">
        <w:rPr>
          <w:vertAlign w:val="superscript"/>
        </w:rPr>
        <w:t>9</w:t>
      </w:r>
      <w:r w:rsidRPr="009B1A37">
        <w:t>/l.</w:t>
      </w:r>
    </w:p>
    <w:p w14:paraId="1656700A" w14:textId="77777777" w:rsidR="00D94F95" w:rsidRPr="009B1A37" w:rsidRDefault="00D94F95" w:rsidP="00BE3D48">
      <w:pPr>
        <w:pStyle w:val="BodyText"/>
        <w:widowControl w:val="0"/>
        <w:spacing w:line="240" w:lineRule="auto"/>
        <w:rPr>
          <w:b w:val="0"/>
          <w:bCs w:val="0"/>
          <w:i w:val="0"/>
          <w:iCs w:val="0"/>
          <w:color w:val="000000"/>
        </w:rPr>
      </w:pPr>
    </w:p>
    <w:p w14:paraId="0D14F877" w14:textId="77777777" w:rsidR="00D94F95" w:rsidRPr="009B1A37" w:rsidRDefault="00D94F95" w:rsidP="00BE3D48">
      <w:pPr>
        <w:pStyle w:val="BodyText"/>
        <w:widowControl w:val="0"/>
        <w:spacing w:line="240" w:lineRule="auto"/>
        <w:rPr>
          <w:b w:val="0"/>
          <w:bCs w:val="0"/>
          <w:i w:val="0"/>
          <w:iCs w:val="0"/>
          <w:color w:val="000000"/>
        </w:rPr>
      </w:pPr>
      <w:r w:rsidRPr="009B1A37">
        <w:rPr>
          <w:b w:val="0"/>
          <w:bCs w:val="0"/>
          <w:i w:val="0"/>
          <w:iCs w:val="0"/>
          <w:color w:val="000000"/>
        </w:rPr>
        <w:t>U</w:t>
      </w:r>
      <w:r w:rsidR="00A07DA3" w:rsidRPr="009B1A37">
        <w:rPr>
          <w:b w:val="0"/>
          <w:bCs w:val="0"/>
          <w:i w:val="0"/>
          <w:iCs w:val="0"/>
          <w:color w:val="000000"/>
        </w:rPr>
        <w:t> </w:t>
      </w:r>
      <w:r w:rsidR="00CB0ABF" w:rsidRPr="009B1A37">
        <w:rPr>
          <w:b w:val="0"/>
          <w:bCs w:val="0"/>
          <w:i w:val="0"/>
          <w:iCs w:val="0"/>
          <w:color w:val="000000"/>
        </w:rPr>
        <w:t xml:space="preserve">dospělých </w:t>
      </w:r>
      <w:r w:rsidRPr="009B1A37">
        <w:rPr>
          <w:b w:val="0"/>
          <w:bCs w:val="0"/>
          <w:i w:val="0"/>
          <w:iCs w:val="0"/>
          <w:color w:val="000000"/>
        </w:rPr>
        <w:t xml:space="preserve">pacientů s akcelerovanou fází je doporučená dávka Glivecu 600 mg/den. Akcelerovaná fáze onemocnění je určena přítomností kteréhokoli z následujících projevů: blasty v krvi nebo kostní dřeni </w:t>
      </w:r>
      <w:r w:rsidRPr="009B1A37">
        <w:rPr>
          <w:rFonts w:ascii="Symbol" w:hAnsi="Symbol"/>
          <w:b w:val="0"/>
          <w:bCs w:val="0"/>
          <w:i w:val="0"/>
          <w:iCs w:val="0"/>
          <w:color w:val="000000"/>
        </w:rPr>
        <w:t></w:t>
      </w:r>
      <w:r w:rsidRPr="009B1A37">
        <w:rPr>
          <w:b w:val="0"/>
          <w:bCs w:val="0"/>
          <w:i w:val="0"/>
          <w:iCs w:val="0"/>
          <w:color w:val="000000"/>
        </w:rPr>
        <w:t> 15</w:t>
      </w:r>
      <w:r w:rsidR="004B270C" w:rsidRPr="009B1A37">
        <w:rPr>
          <w:b w:val="0"/>
          <w:bCs w:val="0"/>
          <w:i w:val="0"/>
          <w:iCs w:val="0"/>
          <w:color w:val="000000"/>
        </w:rPr>
        <w:t> </w:t>
      </w:r>
      <w:r w:rsidRPr="009B1A37">
        <w:rPr>
          <w:b w:val="0"/>
          <w:bCs w:val="0"/>
          <w:i w:val="0"/>
          <w:iCs w:val="0"/>
          <w:color w:val="000000"/>
        </w:rPr>
        <w:t>% ale &lt; 30</w:t>
      </w:r>
      <w:r w:rsidR="004B270C" w:rsidRPr="009B1A37">
        <w:rPr>
          <w:b w:val="0"/>
          <w:bCs w:val="0"/>
          <w:i w:val="0"/>
          <w:iCs w:val="0"/>
          <w:color w:val="000000"/>
        </w:rPr>
        <w:t> </w:t>
      </w:r>
      <w:r w:rsidRPr="009B1A37">
        <w:rPr>
          <w:b w:val="0"/>
          <w:bCs w:val="0"/>
          <w:i w:val="0"/>
          <w:iCs w:val="0"/>
          <w:color w:val="000000"/>
        </w:rPr>
        <w:t xml:space="preserve">%, blasty a promyelocyty v krvi nebo kostní dřeni </w:t>
      </w:r>
      <w:r w:rsidRPr="009B1A37">
        <w:rPr>
          <w:rFonts w:ascii="Symbol" w:hAnsi="Symbol"/>
          <w:b w:val="0"/>
          <w:bCs w:val="0"/>
          <w:i w:val="0"/>
          <w:iCs w:val="0"/>
          <w:color w:val="000000"/>
        </w:rPr>
        <w:t></w:t>
      </w:r>
      <w:r w:rsidRPr="009B1A37">
        <w:rPr>
          <w:b w:val="0"/>
          <w:bCs w:val="0"/>
          <w:i w:val="0"/>
          <w:iCs w:val="0"/>
          <w:color w:val="000000"/>
        </w:rPr>
        <w:t> 30</w:t>
      </w:r>
      <w:r w:rsidR="004B270C" w:rsidRPr="009B1A37">
        <w:rPr>
          <w:b w:val="0"/>
          <w:bCs w:val="0"/>
          <w:i w:val="0"/>
          <w:iCs w:val="0"/>
          <w:color w:val="000000"/>
        </w:rPr>
        <w:t> </w:t>
      </w:r>
      <w:r w:rsidRPr="009B1A37">
        <w:rPr>
          <w:b w:val="0"/>
          <w:bCs w:val="0"/>
          <w:i w:val="0"/>
          <w:iCs w:val="0"/>
          <w:color w:val="000000"/>
        </w:rPr>
        <w:t>% (za předpokladu &lt; 30</w:t>
      </w:r>
      <w:r w:rsidR="004B270C" w:rsidRPr="009B1A37">
        <w:rPr>
          <w:b w:val="0"/>
          <w:bCs w:val="0"/>
          <w:i w:val="0"/>
          <w:iCs w:val="0"/>
          <w:color w:val="000000"/>
        </w:rPr>
        <w:t> </w:t>
      </w:r>
      <w:r w:rsidRPr="009B1A37">
        <w:rPr>
          <w:b w:val="0"/>
          <w:bCs w:val="0"/>
          <w:i w:val="0"/>
          <w:iCs w:val="0"/>
          <w:color w:val="000000"/>
        </w:rPr>
        <w:t xml:space="preserve">% blastů), basofily v periferní krvi </w:t>
      </w:r>
      <w:r w:rsidRPr="009B1A37">
        <w:rPr>
          <w:rFonts w:ascii="Symbol" w:hAnsi="Symbol"/>
          <w:b w:val="0"/>
          <w:bCs w:val="0"/>
          <w:i w:val="0"/>
          <w:iCs w:val="0"/>
          <w:color w:val="000000"/>
        </w:rPr>
        <w:t></w:t>
      </w:r>
      <w:r w:rsidRPr="009B1A37">
        <w:rPr>
          <w:b w:val="0"/>
          <w:bCs w:val="0"/>
          <w:i w:val="0"/>
          <w:iCs w:val="0"/>
          <w:color w:val="000000"/>
        </w:rPr>
        <w:t> 20</w:t>
      </w:r>
      <w:r w:rsidR="004B270C" w:rsidRPr="009B1A37">
        <w:rPr>
          <w:b w:val="0"/>
          <w:bCs w:val="0"/>
          <w:i w:val="0"/>
          <w:iCs w:val="0"/>
          <w:color w:val="000000"/>
        </w:rPr>
        <w:t> </w:t>
      </w:r>
      <w:r w:rsidRPr="009B1A37">
        <w:rPr>
          <w:b w:val="0"/>
          <w:bCs w:val="0"/>
          <w:i w:val="0"/>
          <w:iCs w:val="0"/>
          <w:color w:val="000000"/>
        </w:rPr>
        <w:t xml:space="preserve">%, </w:t>
      </w:r>
      <w:r w:rsidR="00367D59" w:rsidRPr="009B1A37">
        <w:rPr>
          <w:b w:val="0"/>
          <w:bCs w:val="0"/>
          <w:i w:val="0"/>
          <w:iCs w:val="0"/>
          <w:color w:val="000000"/>
        </w:rPr>
        <w:t>trombocyty</w:t>
      </w:r>
      <w:r w:rsidRPr="009B1A37">
        <w:rPr>
          <w:b w:val="0"/>
          <w:bCs w:val="0"/>
          <w:i w:val="0"/>
          <w:iCs w:val="0"/>
          <w:color w:val="000000"/>
        </w:rPr>
        <w:t>&lt; 100 x 10</w:t>
      </w:r>
      <w:r w:rsidRPr="009B1A37">
        <w:rPr>
          <w:b w:val="0"/>
          <w:bCs w:val="0"/>
          <w:i w:val="0"/>
          <w:iCs w:val="0"/>
          <w:color w:val="000000"/>
          <w:vertAlign w:val="superscript"/>
        </w:rPr>
        <w:t>9</w:t>
      </w:r>
      <w:r w:rsidRPr="009B1A37">
        <w:rPr>
          <w:b w:val="0"/>
          <w:bCs w:val="0"/>
          <w:i w:val="0"/>
          <w:iCs w:val="0"/>
          <w:color w:val="000000"/>
        </w:rPr>
        <w:t>/l bez vztahu k léčbě.</w:t>
      </w:r>
    </w:p>
    <w:p w14:paraId="788CB5FC" w14:textId="77777777" w:rsidR="00D94F95" w:rsidRPr="009B1A37" w:rsidRDefault="00D94F95" w:rsidP="00BE3D48">
      <w:pPr>
        <w:pStyle w:val="BodyText"/>
        <w:widowControl w:val="0"/>
        <w:spacing w:line="240" w:lineRule="auto"/>
        <w:rPr>
          <w:b w:val="0"/>
          <w:bCs w:val="0"/>
          <w:i w:val="0"/>
          <w:iCs w:val="0"/>
          <w:color w:val="000000"/>
        </w:rPr>
      </w:pPr>
    </w:p>
    <w:p w14:paraId="492E6CB2" w14:textId="77777777" w:rsidR="00D94F95" w:rsidRPr="009B1A37" w:rsidRDefault="00D94F95" w:rsidP="00BE3D48">
      <w:pPr>
        <w:pStyle w:val="BodyText"/>
        <w:widowControl w:val="0"/>
        <w:spacing w:line="240" w:lineRule="auto"/>
        <w:rPr>
          <w:b w:val="0"/>
          <w:bCs w:val="0"/>
          <w:i w:val="0"/>
          <w:iCs w:val="0"/>
          <w:color w:val="000000"/>
        </w:rPr>
      </w:pPr>
      <w:r w:rsidRPr="009B1A37">
        <w:rPr>
          <w:b w:val="0"/>
          <w:bCs w:val="0"/>
          <w:i w:val="0"/>
          <w:iCs w:val="0"/>
          <w:color w:val="000000"/>
        </w:rPr>
        <w:t>U</w:t>
      </w:r>
      <w:r w:rsidR="00A07DA3" w:rsidRPr="009B1A37">
        <w:rPr>
          <w:b w:val="0"/>
          <w:bCs w:val="0"/>
          <w:i w:val="0"/>
          <w:iCs w:val="0"/>
          <w:color w:val="000000"/>
        </w:rPr>
        <w:t> </w:t>
      </w:r>
      <w:r w:rsidR="00CB0ABF" w:rsidRPr="009B1A37">
        <w:rPr>
          <w:b w:val="0"/>
          <w:bCs w:val="0"/>
          <w:i w:val="0"/>
          <w:iCs w:val="0"/>
          <w:color w:val="000000"/>
        </w:rPr>
        <w:t xml:space="preserve">dospělých </w:t>
      </w:r>
      <w:r w:rsidRPr="009B1A37">
        <w:rPr>
          <w:b w:val="0"/>
          <w:bCs w:val="0"/>
          <w:i w:val="0"/>
          <w:iCs w:val="0"/>
          <w:color w:val="000000"/>
        </w:rPr>
        <w:t xml:space="preserve">pacientů v blastické krizi je doporučená dávka Glivecu 600 mg/den. Blastická krize je definována počtem blastů v krvi nebo kostní dřeni </w:t>
      </w:r>
      <w:r w:rsidRPr="009B1A37">
        <w:rPr>
          <w:rFonts w:ascii="Symbol" w:hAnsi="Symbol"/>
          <w:b w:val="0"/>
          <w:bCs w:val="0"/>
          <w:i w:val="0"/>
          <w:iCs w:val="0"/>
          <w:color w:val="000000"/>
        </w:rPr>
        <w:t></w:t>
      </w:r>
      <w:r w:rsidRPr="009B1A37">
        <w:rPr>
          <w:b w:val="0"/>
          <w:bCs w:val="0"/>
          <w:i w:val="0"/>
          <w:iCs w:val="0"/>
          <w:color w:val="000000"/>
        </w:rPr>
        <w:t> 30</w:t>
      </w:r>
      <w:r w:rsidR="004B270C" w:rsidRPr="009B1A37">
        <w:rPr>
          <w:b w:val="0"/>
          <w:bCs w:val="0"/>
          <w:i w:val="0"/>
          <w:iCs w:val="0"/>
          <w:color w:val="000000"/>
        </w:rPr>
        <w:t> </w:t>
      </w:r>
      <w:r w:rsidRPr="009B1A37">
        <w:rPr>
          <w:b w:val="0"/>
          <w:bCs w:val="0"/>
          <w:i w:val="0"/>
          <w:iCs w:val="0"/>
          <w:color w:val="000000"/>
        </w:rPr>
        <w:t>% nebo extramedulárním postižením jiným než hepatosplenomegalií.</w:t>
      </w:r>
    </w:p>
    <w:p w14:paraId="150CD517" w14:textId="77777777" w:rsidR="00D94F95" w:rsidRPr="009B1A37" w:rsidRDefault="00D94F95" w:rsidP="00BE3D48">
      <w:pPr>
        <w:pStyle w:val="EndnoteText"/>
        <w:widowControl w:val="0"/>
        <w:tabs>
          <w:tab w:val="clear" w:pos="567"/>
        </w:tabs>
        <w:rPr>
          <w:color w:val="000000"/>
        </w:rPr>
      </w:pPr>
    </w:p>
    <w:p w14:paraId="28578077" w14:textId="77777777" w:rsidR="00D94F95" w:rsidRPr="009B1A37" w:rsidRDefault="00D94F95" w:rsidP="00BE3D48">
      <w:pPr>
        <w:pStyle w:val="EndnoteText"/>
        <w:widowControl w:val="0"/>
        <w:tabs>
          <w:tab w:val="clear" w:pos="567"/>
        </w:tabs>
        <w:rPr>
          <w:color w:val="000000"/>
        </w:rPr>
      </w:pPr>
      <w:r w:rsidRPr="009B1A37">
        <w:rPr>
          <w:color w:val="000000"/>
        </w:rPr>
        <w:t xml:space="preserve">Trvání léčby: V klinických studiích pokračovala léčba Glivecem do progrese onemocnění. </w:t>
      </w:r>
      <w:r w:rsidR="00367D59" w:rsidRPr="009B1A37">
        <w:rPr>
          <w:color w:val="000000"/>
        </w:rPr>
        <w:t xml:space="preserve">Vliv </w:t>
      </w:r>
      <w:r w:rsidRPr="009B1A37">
        <w:rPr>
          <w:color w:val="000000"/>
        </w:rPr>
        <w:t xml:space="preserve">zastavení léčby po dosažení kompletní cytogenetické odpovědi nebyl </w:t>
      </w:r>
      <w:r w:rsidR="00367D59" w:rsidRPr="009B1A37">
        <w:rPr>
          <w:color w:val="000000"/>
        </w:rPr>
        <w:t>hodnocen</w:t>
      </w:r>
      <w:r w:rsidRPr="009B1A37">
        <w:rPr>
          <w:color w:val="000000"/>
        </w:rPr>
        <w:t>.</w:t>
      </w:r>
    </w:p>
    <w:p w14:paraId="3FE8160B" w14:textId="77777777" w:rsidR="00D94F95" w:rsidRPr="009B1A37" w:rsidRDefault="00D94F95" w:rsidP="00BE3D48">
      <w:pPr>
        <w:pStyle w:val="EndnoteText"/>
        <w:widowControl w:val="0"/>
        <w:tabs>
          <w:tab w:val="clear" w:pos="567"/>
        </w:tabs>
        <w:rPr>
          <w:color w:val="000000"/>
        </w:rPr>
      </w:pPr>
    </w:p>
    <w:p w14:paraId="45A28268" w14:textId="77777777" w:rsidR="00D94F95" w:rsidRPr="009B1A37" w:rsidRDefault="00D94F95" w:rsidP="00BE3D48">
      <w:pPr>
        <w:pStyle w:val="EndnoteText"/>
        <w:widowControl w:val="0"/>
        <w:tabs>
          <w:tab w:val="clear" w:pos="567"/>
        </w:tabs>
        <w:rPr>
          <w:color w:val="000000"/>
        </w:rPr>
      </w:pPr>
      <w:r w:rsidRPr="009B1A37">
        <w:rPr>
          <w:color w:val="000000"/>
        </w:rPr>
        <w:t>U pacientů v chronické fázi onemocnění je možno uvažovat o vzestupu dávky ze 400 mg na 600 mg nebo 800 mg, u pacientů s akcelerovanou fází onemocnění nebo v blastické krizi je možné zvýšit dávku ze 600 mg na maximum 800 mg (podáváno 2krát denně 400 mg), při absenci závažných nežádoucích účinků nebo závažné neutropeni</w:t>
      </w:r>
      <w:r w:rsidR="00512703" w:rsidRPr="009B1A37">
        <w:rPr>
          <w:color w:val="000000"/>
        </w:rPr>
        <w:t>e</w:t>
      </w:r>
      <w:r w:rsidRPr="009B1A37">
        <w:rPr>
          <w:color w:val="000000"/>
        </w:rPr>
        <w:t xml:space="preserve"> či trombocytopeni</w:t>
      </w:r>
      <w:r w:rsidR="00512703" w:rsidRPr="009B1A37">
        <w:rPr>
          <w:color w:val="000000"/>
        </w:rPr>
        <w:t>e</w:t>
      </w:r>
      <w:r w:rsidRPr="009B1A37">
        <w:rPr>
          <w:color w:val="000000"/>
        </w:rPr>
        <w:t xml:space="preserve"> nesouvisející s leukemií, za následujících okolností: při progresi onemocnění (kdykoliv); pokud nebylo </w:t>
      </w:r>
      <w:r w:rsidR="00512703" w:rsidRPr="009B1A37">
        <w:rPr>
          <w:color w:val="000000"/>
        </w:rPr>
        <w:t>alespoň</w:t>
      </w:r>
      <w:r w:rsidRPr="009B1A37">
        <w:rPr>
          <w:color w:val="000000"/>
        </w:rPr>
        <w:t xml:space="preserve"> po 3 měsících léčby dosaženo uspokojivé hematologické odpovědi; pokud nebylo po 12 měsících léčby dosaženo cytogenetické odpovědi; nebo při ztrátě předtím dosažené hematologické a/nebo cytogenetické odpovědi. Při zvyšování podávané dávky </w:t>
      </w:r>
      <w:r w:rsidR="00512703" w:rsidRPr="009B1A37">
        <w:rPr>
          <w:color w:val="000000"/>
        </w:rPr>
        <w:t>mají</w:t>
      </w:r>
      <w:r w:rsidRPr="009B1A37">
        <w:rPr>
          <w:color w:val="000000"/>
        </w:rPr>
        <w:t xml:space="preserve"> být pacienti pečlivě sledováni pro možnost zvýšeného výskytu nežádoucích </w:t>
      </w:r>
      <w:r w:rsidR="00512703" w:rsidRPr="009B1A37">
        <w:rPr>
          <w:color w:val="000000"/>
        </w:rPr>
        <w:t xml:space="preserve">účinků </w:t>
      </w:r>
      <w:r w:rsidRPr="009B1A37">
        <w:rPr>
          <w:color w:val="000000"/>
        </w:rPr>
        <w:t>při vyšších dávkách.</w:t>
      </w:r>
    </w:p>
    <w:p w14:paraId="0671A487" w14:textId="77777777" w:rsidR="00D94F95" w:rsidRPr="009B1A37" w:rsidRDefault="00D94F95" w:rsidP="00BE3D48">
      <w:pPr>
        <w:pStyle w:val="EndnoteText"/>
        <w:widowControl w:val="0"/>
        <w:tabs>
          <w:tab w:val="clear" w:pos="567"/>
        </w:tabs>
        <w:rPr>
          <w:color w:val="000000"/>
        </w:rPr>
      </w:pPr>
    </w:p>
    <w:p w14:paraId="50C1933A" w14:textId="77777777" w:rsidR="00D94F95" w:rsidRPr="009B1A37" w:rsidRDefault="00D94F95" w:rsidP="00BE3D48">
      <w:pPr>
        <w:pStyle w:val="BodyText"/>
        <w:keepNext/>
        <w:widowControl w:val="0"/>
        <w:spacing w:line="240" w:lineRule="auto"/>
        <w:rPr>
          <w:b w:val="0"/>
          <w:bCs w:val="0"/>
          <w:i w:val="0"/>
          <w:iCs w:val="0"/>
          <w:color w:val="000000"/>
          <w:u w:val="single"/>
        </w:rPr>
      </w:pPr>
      <w:r w:rsidRPr="009B1A37">
        <w:rPr>
          <w:b w:val="0"/>
          <w:bCs w:val="0"/>
          <w:i w:val="0"/>
          <w:iCs w:val="0"/>
          <w:color w:val="000000"/>
          <w:u w:val="single"/>
        </w:rPr>
        <w:t>Dávkování u CML u dětí</w:t>
      </w:r>
    </w:p>
    <w:p w14:paraId="2D39FD26" w14:textId="77777777" w:rsidR="00D94F95" w:rsidRPr="009B1A37" w:rsidRDefault="00D94F95" w:rsidP="00BE3D48">
      <w:pPr>
        <w:pStyle w:val="EndnoteText"/>
        <w:widowControl w:val="0"/>
        <w:tabs>
          <w:tab w:val="clear" w:pos="567"/>
        </w:tabs>
        <w:rPr>
          <w:color w:val="000000"/>
        </w:rPr>
      </w:pPr>
      <w:r w:rsidRPr="009B1A37">
        <w:rPr>
          <w:color w:val="000000"/>
        </w:rPr>
        <w:t>Dávkování pro děti by mělo být stanoveno podle tělesného povrchu (mg/m</w:t>
      </w:r>
      <w:r w:rsidRPr="009B1A37">
        <w:rPr>
          <w:color w:val="000000"/>
          <w:vertAlign w:val="superscript"/>
        </w:rPr>
        <w:t>2</w:t>
      </w:r>
      <w:r w:rsidRPr="009B1A37">
        <w:rPr>
          <w:color w:val="000000"/>
        </w:rPr>
        <w:t>). Dávka 340 mg/m</w:t>
      </w:r>
      <w:r w:rsidRPr="009B1A37">
        <w:rPr>
          <w:color w:val="000000"/>
          <w:vertAlign w:val="superscript"/>
        </w:rPr>
        <w:t>2</w:t>
      </w:r>
      <w:r w:rsidRPr="009B1A37">
        <w:rPr>
          <w:color w:val="000000"/>
        </w:rPr>
        <w:t xml:space="preserve"> denně se doporučuje dětem s chronickou fází CML nebo v pokročilé fázi CML (nepřekročit celkovou dávku 800 mg). Lé</w:t>
      </w:r>
      <w:r w:rsidR="00512703" w:rsidRPr="009B1A37">
        <w:rPr>
          <w:color w:val="000000"/>
        </w:rPr>
        <w:t xml:space="preserve">čbu lze </w:t>
      </w:r>
      <w:r w:rsidRPr="009B1A37">
        <w:rPr>
          <w:color w:val="000000"/>
        </w:rPr>
        <w:t>podáv</w:t>
      </w:r>
      <w:r w:rsidR="00512703" w:rsidRPr="009B1A37">
        <w:rPr>
          <w:color w:val="000000"/>
        </w:rPr>
        <w:t>at</w:t>
      </w:r>
      <w:r w:rsidRPr="009B1A37">
        <w:rPr>
          <w:color w:val="000000"/>
        </w:rPr>
        <w:t xml:space="preserve"> jednou denně nebo může být celková denní dávka rozdělena do dvou částí – jedna </w:t>
      </w:r>
      <w:r w:rsidR="00512703" w:rsidRPr="009B1A37">
        <w:rPr>
          <w:color w:val="000000"/>
        </w:rPr>
        <w:t xml:space="preserve">se podává </w:t>
      </w:r>
      <w:r w:rsidRPr="009B1A37">
        <w:rPr>
          <w:color w:val="000000"/>
        </w:rPr>
        <w:t xml:space="preserve">ráno a druhá večer. Doporučené dávkování je v současnosti založeno na malém počtu </w:t>
      </w:r>
      <w:r w:rsidR="00512703" w:rsidRPr="009B1A37">
        <w:rPr>
          <w:color w:val="000000"/>
        </w:rPr>
        <w:t xml:space="preserve">pediatrických </w:t>
      </w:r>
      <w:r w:rsidRPr="009B1A37">
        <w:rPr>
          <w:color w:val="000000"/>
        </w:rPr>
        <w:t xml:space="preserve">pacientů (viz body </w:t>
      </w:r>
      <w:smartTag w:uri="urn:schemas-microsoft-com:office:smarttags" w:element="metricconverter">
        <w:smartTagPr>
          <w:attr w:name="ProductID" w:val="5.1 a"/>
        </w:smartTagPr>
        <w:r w:rsidRPr="009B1A37">
          <w:rPr>
            <w:color w:val="000000"/>
          </w:rPr>
          <w:t>5.1 a</w:t>
        </w:r>
      </w:smartTag>
      <w:r w:rsidRPr="009B1A37">
        <w:rPr>
          <w:color w:val="000000"/>
        </w:rPr>
        <w:t xml:space="preserve"> 5.2). S léčbou dětí do 2 let věku nejsou zkušenosti.</w:t>
      </w:r>
    </w:p>
    <w:p w14:paraId="24B175EB" w14:textId="77777777" w:rsidR="00D94F95" w:rsidRPr="009B1A37" w:rsidRDefault="00D94F95" w:rsidP="00BE3D48">
      <w:pPr>
        <w:pStyle w:val="EndnoteText"/>
        <w:widowControl w:val="0"/>
        <w:tabs>
          <w:tab w:val="clear" w:pos="567"/>
        </w:tabs>
        <w:rPr>
          <w:color w:val="000000"/>
        </w:rPr>
      </w:pPr>
    </w:p>
    <w:p w14:paraId="47058D6A" w14:textId="77777777" w:rsidR="00D94F95" w:rsidRPr="009B1A37" w:rsidRDefault="00D94F95" w:rsidP="00BE3D48">
      <w:pPr>
        <w:pStyle w:val="EndnoteText"/>
        <w:widowControl w:val="0"/>
        <w:tabs>
          <w:tab w:val="clear" w:pos="567"/>
        </w:tabs>
        <w:rPr>
          <w:color w:val="000000"/>
        </w:rPr>
      </w:pPr>
      <w:r w:rsidRPr="009B1A37">
        <w:rPr>
          <w:color w:val="000000"/>
        </w:rPr>
        <w:t xml:space="preserve">U dětí je možno uvažovat o </w:t>
      </w:r>
      <w:r w:rsidR="00512703" w:rsidRPr="009B1A37">
        <w:rPr>
          <w:color w:val="000000"/>
        </w:rPr>
        <w:t xml:space="preserve">zvýšení </w:t>
      </w:r>
      <w:r w:rsidRPr="009B1A37">
        <w:rPr>
          <w:color w:val="000000"/>
        </w:rPr>
        <w:t>dávky z 340 mg/m</w:t>
      </w:r>
      <w:r w:rsidRPr="009B1A37">
        <w:rPr>
          <w:color w:val="000000"/>
          <w:vertAlign w:val="superscript"/>
        </w:rPr>
        <w:t>2</w:t>
      </w:r>
      <w:r w:rsidRPr="009B1A37">
        <w:rPr>
          <w:color w:val="000000"/>
        </w:rPr>
        <w:t xml:space="preserve"> denně na 570 mg/m</w:t>
      </w:r>
      <w:r w:rsidRPr="009B1A37">
        <w:rPr>
          <w:color w:val="000000"/>
          <w:vertAlign w:val="superscript"/>
        </w:rPr>
        <w:t>2</w:t>
      </w:r>
      <w:r w:rsidRPr="009B1A37">
        <w:rPr>
          <w:color w:val="000000"/>
        </w:rPr>
        <w:t xml:space="preserve"> denně (nepřekročit celkovou dávku 800 mg) při absenci závažných nežádoucích účinků nebo závažné neutropeni</w:t>
      </w:r>
      <w:r w:rsidR="00512703" w:rsidRPr="009B1A37">
        <w:rPr>
          <w:color w:val="000000"/>
        </w:rPr>
        <w:t>e</w:t>
      </w:r>
      <w:r w:rsidRPr="009B1A37">
        <w:rPr>
          <w:color w:val="000000"/>
        </w:rPr>
        <w:t xml:space="preserve"> či trombocytopeni</w:t>
      </w:r>
      <w:r w:rsidR="00512703" w:rsidRPr="009B1A37">
        <w:rPr>
          <w:color w:val="000000"/>
        </w:rPr>
        <w:t>e</w:t>
      </w:r>
      <w:r w:rsidRPr="009B1A37">
        <w:rPr>
          <w:color w:val="000000"/>
        </w:rPr>
        <w:t xml:space="preserve"> nesouvisející s leukemií za následujících okolností: při progresi onemocnění (kdykoliv), pokud nebylo </w:t>
      </w:r>
      <w:r w:rsidR="00512703" w:rsidRPr="009B1A37">
        <w:rPr>
          <w:color w:val="000000"/>
        </w:rPr>
        <w:t xml:space="preserve">alespoň </w:t>
      </w:r>
      <w:r w:rsidRPr="009B1A37">
        <w:rPr>
          <w:color w:val="000000"/>
        </w:rPr>
        <w:t xml:space="preserve">po 3 měsících léčby dosaženo uspokojivé hematologické odpovědi, pokud nebylo po 12 měsících léčby dosaženo cytogenetické odpovědi, nebo při ztrátě před tím dosažené hematologické a/nebo cytogenetické odpovědi. Při zvyšování podávané dávky </w:t>
      </w:r>
      <w:r w:rsidR="00512703" w:rsidRPr="009B1A37">
        <w:rPr>
          <w:color w:val="000000"/>
        </w:rPr>
        <w:t>mají</w:t>
      </w:r>
      <w:r w:rsidRPr="009B1A37">
        <w:rPr>
          <w:color w:val="000000"/>
        </w:rPr>
        <w:t xml:space="preserve"> být pacienti pečlivě sledováni pro možnost zvýšeného výskytu nežádoucích </w:t>
      </w:r>
      <w:r w:rsidR="00512703" w:rsidRPr="009B1A37">
        <w:rPr>
          <w:color w:val="000000"/>
        </w:rPr>
        <w:t xml:space="preserve">účinků </w:t>
      </w:r>
      <w:r w:rsidRPr="009B1A37">
        <w:rPr>
          <w:color w:val="000000"/>
        </w:rPr>
        <w:t>při vyšších dávkách.</w:t>
      </w:r>
    </w:p>
    <w:p w14:paraId="3B0EFB91" w14:textId="77777777" w:rsidR="00D94F95" w:rsidRPr="009B1A37" w:rsidRDefault="00D94F95" w:rsidP="00BE3D48">
      <w:pPr>
        <w:pStyle w:val="EndnoteText"/>
        <w:widowControl w:val="0"/>
        <w:tabs>
          <w:tab w:val="clear" w:pos="567"/>
        </w:tabs>
        <w:rPr>
          <w:color w:val="000000"/>
        </w:rPr>
      </w:pPr>
    </w:p>
    <w:p w14:paraId="48D5BE45" w14:textId="77777777" w:rsidR="00D94F95" w:rsidRPr="009B1A37" w:rsidRDefault="00D94F95" w:rsidP="00BE3D48">
      <w:pPr>
        <w:pStyle w:val="EndnoteText"/>
        <w:keepNext/>
        <w:widowControl w:val="0"/>
        <w:tabs>
          <w:tab w:val="clear" w:pos="567"/>
        </w:tabs>
        <w:rPr>
          <w:color w:val="000000"/>
          <w:u w:val="single"/>
        </w:rPr>
      </w:pPr>
      <w:r w:rsidRPr="009B1A37">
        <w:rPr>
          <w:color w:val="000000"/>
          <w:u w:val="single"/>
        </w:rPr>
        <w:t>Dávkování u Ph+ ALL</w:t>
      </w:r>
      <w:r w:rsidR="00AD05C4" w:rsidRPr="009B1A37">
        <w:rPr>
          <w:color w:val="000000"/>
          <w:u w:val="single"/>
        </w:rPr>
        <w:t xml:space="preserve"> u dospělých pacientů</w:t>
      </w:r>
    </w:p>
    <w:p w14:paraId="4AF139AD" w14:textId="77777777" w:rsidR="00D94F95" w:rsidRPr="009B1A37" w:rsidRDefault="00D94F95" w:rsidP="00BE3D48">
      <w:pPr>
        <w:pStyle w:val="EndnoteText"/>
        <w:widowControl w:val="0"/>
        <w:tabs>
          <w:tab w:val="clear" w:pos="567"/>
        </w:tabs>
        <w:rPr>
          <w:color w:val="000000"/>
        </w:rPr>
      </w:pPr>
      <w:r w:rsidRPr="009B1A37">
        <w:rPr>
          <w:color w:val="000000"/>
        </w:rPr>
        <w:t>U</w:t>
      </w:r>
      <w:r w:rsidR="00A07DA3" w:rsidRPr="009B1A37">
        <w:rPr>
          <w:color w:val="000000"/>
        </w:rPr>
        <w:t> </w:t>
      </w:r>
      <w:r w:rsidR="00CB0ABF" w:rsidRPr="009B1A37">
        <w:rPr>
          <w:color w:val="000000"/>
        </w:rPr>
        <w:t xml:space="preserve">dospělých </w:t>
      </w:r>
      <w:r w:rsidRPr="009B1A37">
        <w:rPr>
          <w:color w:val="000000"/>
        </w:rPr>
        <w:t xml:space="preserve">pacientů s Ph+ </w:t>
      </w:r>
      <w:smartTag w:uri="urn:schemas-microsoft-com:office:smarttags" w:element="stockticker">
        <w:r w:rsidRPr="009B1A37">
          <w:rPr>
            <w:color w:val="000000"/>
          </w:rPr>
          <w:t>ALL</w:t>
        </w:r>
      </w:smartTag>
      <w:r w:rsidRPr="009B1A37">
        <w:rPr>
          <w:color w:val="000000"/>
        </w:rPr>
        <w:t xml:space="preserve"> je doporučená dávka Glivecu 600 mg/den. Hematolog</w:t>
      </w:r>
      <w:r w:rsidR="00512703" w:rsidRPr="009B1A37">
        <w:rPr>
          <w:color w:val="000000"/>
        </w:rPr>
        <w:t>ové se specializací na</w:t>
      </w:r>
      <w:r w:rsidRPr="009B1A37">
        <w:rPr>
          <w:color w:val="000000"/>
        </w:rPr>
        <w:t xml:space="preserve"> léčbu tohoto onemocnění </w:t>
      </w:r>
      <w:r w:rsidR="00512703" w:rsidRPr="009B1A37">
        <w:rPr>
          <w:color w:val="000000"/>
        </w:rPr>
        <w:t>mají</w:t>
      </w:r>
      <w:r w:rsidRPr="009B1A37">
        <w:rPr>
          <w:color w:val="000000"/>
        </w:rPr>
        <w:t xml:space="preserve"> terapii sledovat během všech fází péče.</w:t>
      </w:r>
    </w:p>
    <w:p w14:paraId="233E8F2C" w14:textId="77777777" w:rsidR="00D94F95" w:rsidRPr="009B1A37" w:rsidRDefault="00D94F95" w:rsidP="00BE3D48">
      <w:pPr>
        <w:pStyle w:val="EndnoteText"/>
        <w:widowControl w:val="0"/>
        <w:tabs>
          <w:tab w:val="clear" w:pos="567"/>
        </w:tabs>
        <w:rPr>
          <w:color w:val="000000"/>
        </w:rPr>
      </w:pPr>
    </w:p>
    <w:p w14:paraId="32073EFC" w14:textId="77777777" w:rsidR="00D94F95" w:rsidRPr="009B1A37" w:rsidRDefault="00D94F95" w:rsidP="00BE3D48">
      <w:pPr>
        <w:pStyle w:val="EndnoteText"/>
        <w:widowControl w:val="0"/>
        <w:tabs>
          <w:tab w:val="clear" w:pos="567"/>
        </w:tabs>
        <w:rPr>
          <w:color w:val="000000"/>
        </w:rPr>
      </w:pPr>
      <w:r w:rsidRPr="009B1A37">
        <w:rPr>
          <w:color w:val="000000"/>
        </w:rPr>
        <w:t xml:space="preserve">Léčebný režim: Podle dosavadních údajů byla prokázána účinnost a bezpečnost Glivecu u dospělých pacientů s nově diagnostikovanou Ph+ </w:t>
      </w:r>
      <w:smartTag w:uri="urn:schemas-microsoft-com:office:smarttags" w:element="stockticker">
        <w:r w:rsidRPr="009B1A37">
          <w:rPr>
            <w:color w:val="000000"/>
          </w:rPr>
          <w:t>ALL</w:t>
        </w:r>
      </w:smartTag>
      <w:r w:rsidRPr="009B1A37">
        <w:rPr>
          <w:color w:val="000000"/>
        </w:rPr>
        <w:t>, pokud se podával v dávce 600 mg/den v kombinaci s chemoterapií v indukční fázi, v konsolidační a udržovací fázi po chemoterapii (viz bod 5.1). Délka léčby Glivecem se může lišit s vybraným léčebným programem, ale obecně delší expozice Glivecu přináší lepší výsledky.</w:t>
      </w:r>
    </w:p>
    <w:p w14:paraId="5B0825A2" w14:textId="77777777" w:rsidR="00D94F95" w:rsidRPr="009B1A37" w:rsidRDefault="00D94F95" w:rsidP="00BE3D48">
      <w:pPr>
        <w:pStyle w:val="EndnoteText"/>
        <w:widowControl w:val="0"/>
        <w:tabs>
          <w:tab w:val="clear" w:pos="567"/>
        </w:tabs>
        <w:rPr>
          <w:color w:val="000000"/>
        </w:rPr>
      </w:pPr>
    </w:p>
    <w:p w14:paraId="62989AC1" w14:textId="77777777" w:rsidR="00D94F95" w:rsidRPr="009B1A37" w:rsidRDefault="00D94F95" w:rsidP="00BE3D48">
      <w:pPr>
        <w:pStyle w:val="EndnoteText"/>
        <w:widowControl w:val="0"/>
        <w:tabs>
          <w:tab w:val="clear" w:pos="567"/>
        </w:tabs>
        <w:rPr>
          <w:color w:val="000000"/>
        </w:rPr>
      </w:pPr>
      <w:r w:rsidRPr="009B1A37">
        <w:rPr>
          <w:color w:val="000000"/>
        </w:rPr>
        <w:t xml:space="preserve">Pro dospělé pacienty s recidivující nebo refrakterní Ph+ </w:t>
      </w:r>
      <w:smartTag w:uri="urn:schemas-microsoft-com:office:smarttags" w:element="stockticker">
        <w:r w:rsidRPr="009B1A37">
          <w:rPr>
            <w:color w:val="000000"/>
          </w:rPr>
          <w:t>ALL</w:t>
        </w:r>
      </w:smartTag>
      <w:r w:rsidRPr="009B1A37">
        <w:rPr>
          <w:color w:val="000000"/>
        </w:rPr>
        <w:t xml:space="preserve"> je monoterapie Glivecem při dávce 600 mg/den bezpečná, účinná a </w:t>
      </w:r>
      <w:r w:rsidR="00512703" w:rsidRPr="009B1A37">
        <w:rPr>
          <w:color w:val="000000"/>
        </w:rPr>
        <w:t>lze ji podávat do</w:t>
      </w:r>
      <w:r w:rsidRPr="009B1A37">
        <w:rPr>
          <w:color w:val="000000"/>
        </w:rPr>
        <w:t xml:space="preserve"> progrese onemocnění.</w:t>
      </w:r>
    </w:p>
    <w:p w14:paraId="1375D554" w14:textId="77777777" w:rsidR="00AD05C4" w:rsidRPr="009B1A37" w:rsidRDefault="00AD05C4" w:rsidP="00BE3D48">
      <w:pPr>
        <w:pStyle w:val="EndnoteText"/>
        <w:widowControl w:val="0"/>
        <w:tabs>
          <w:tab w:val="clear" w:pos="567"/>
        </w:tabs>
        <w:rPr>
          <w:color w:val="000000"/>
          <w:u w:val="single"/>
        </w:rPr>
      </w:pPr>
    </w:p>
    <w:p w14:paraId="2A85AA9E" w14:textId="77777777" w:rsidR="00AD05C4" w:rsidRPr="009B1A37" w:rsidRDefault="00AD05C4" w:rsidP="00BE3D48">
      <w:pPr>
        <w:pStyle w:val="EndnoteText"/>
        <w:keepNext/>
        <w:widowControl w:val="0"/>
        <w:tabs>
          <w:tab w:val="clear" w:pos="567"/>
        </w:tabs>
        <w:rPr>
          <w:color w:val="000000"/>
          <w:u w:val="single"/>
        </w:rPr>
      </w:pPr>
      <w:r w:rsidRPr="009B1A37">
        <w:rPr>
          <w:color w:val="000000"/>
          <w:u w:val="single"/>
        </w:rPr>
        <w:t>Dávkování u Ph+ ALL u dětí</w:t>
      </w:r>
    </w:p>
    <w:p w14:paraId="64EF4497" w14:textId="77777777" w:rsidR="00AD05C4" w:rsidRPr="009B1A37" w:rsidRDefault="00AD05C4" w:rsidP="00BE3D48">
      <w:pPr>
        <w:pStyle w:val="EndnoteText"/>
        <w:widowControl w:val="0"/>
        <w:tabs>
          <w:tab w:val="clear" w:pos="567"/>
        </w:tabs>
        <w:rPr>
          <w:color w:val="000000"/>
          <w:u w:val="single"/>
        </w:rPr>
      </w:pPr>
      <w:r w:rsidRPr="009B1A37">
        <w:rPr>
          <w:color w:val="000000"/>
        </w:rPr>
        <w:t>Dávkování pro děti má být stanoveno podle tělesného povrchu (mg/m</w:t>
      </w:r>
      <w:r w:rsidRPr="009B1A37">
        <w:rPr>
          <w:color w:val="000000"/>
          <w:vertAlign w:val="superscript"/>
        </w:rPr>
        <w:t>2</w:t>
      </w:r>
      <w:r w:rsidRPr="009B1A37">
        <w:rPr>
          <w:color w:val="000000"/>
        </w:rPr>
        <w:t>). U dětí s Ph+ ALL se doporučuje dávka 340 mg/m</w:t>
      </w:r>
      <w:r w:rsidRPr="009B1A37">
        <w:rPr>
          <w:color w:val="000000"/>
          <w:vertAlign w:val="superscript"/>
        </w:rPr>
        <w:t>2</w:t>
      </w:r>
      <w:r w:rsidRPr="009B1A37">
        <w:rPr>
          <w:color w:val="000000"/>
        </w:rPr>
        <w:t xml:space="preserve"> denně </w:t>
      </w:r>
      <w:r w:rsidRPr="009B1A37">
        <w:rPr>
          <w:color w:val="000000"/>
          <w:u w:val="single"/>
        </w:rPr>
        <w:t>(</w:t>
      </w:r>
      <w:r w:rsidRPr="009B1A37">
        <w:rPr>
          <w:color w:val="000000"/>
        </w:rPr>
        <w:t>nepřekročit celkovou dávku 600 mg).</w:t>
      </w:r>
    </w:p>
    <w:p w14:paraId="4A2742DA" w14:textId="77777777" w:rsidR="00D94F95" w:rsidRPr="009B1A37" w:rsidRDefault="00D94F95" w:rsidP="00BE3D48">
      <w:pPr>
        <w:pStyle w:val="EndnoteText"/>
        <w:widowControl w:val="0"/>
        <w:tabs>
          <w:tab w:val="clear" w:pos="567"/>
        </w:tabs>
        <w:rPr>
          <w:color w:val="000000"/>
          <w:u w:val="single"/>
        </w:rPr>
      </w:pPr>
    </w:p>
    <w:p w14:paraId="5F3C718C" w14:textId="77777777" w:rsidR="00D94F95" w:rsidRPr="009B1A37" w:rsidRDefault="00D94F95" w:rsidP="00BE3D48">
      <w:pPr>
        <w:pStyle w:val="EndnoteText"/>
        <w:keepNext/>
        <w:widowControl w:val="0"/>
        <w:tabs>
          <w:tab w:val="clear" w:pos="567"/>
        </w:tabs>
        <w:rPr>
          <w:color w:val="000000"/>
          <w:u w:val="single"/>
        </w:rPr>
      </w:pPr>
      <w:r w:rsidRPr="009B1A37">
        <w:rPr>
          <w:color w:val="000000"/>
          <w:u w:val="single"/>
        </w:rPr>
        <w:t xml:space="preserve">Dávkování u </w:t>
      </w:r>
      <w:smartTag w:uri="urn:schemas-microsoft-com:office:smarttags" w:element="stockticker">
        <w:r w:rsidRPr="009B1A37">
          <w:rPr>
            <w:color w:val="000000"/>
            <w:u w:val="single"/>
          </w:rPr>
          <w:t>MDS</w:t>
        </w:r>
      </w:smartTag>
      <w:r w:rsidRPr="009B1A37">
        <w:rPr>
          <w:color w:val="000000"/>
          <w:u w:val="single"/>
        </w:rPr>
        <w:t>/MPD</w:t>
      </w:r>
    </w:p>
    <w:p w14:paraId="2CDCE539" w14:textId="77777777" w:rsidR="00D94F95" w:rsidRPr="009B1A37" w:rsidRDefault="00D94F95" w:rsidP="00BE3D48">
      <w:pPr>
        <w:pStyle w:val="EndnoteText"/>
        <w:widowControl w:val="0"/>
        <w:tabs>
          <w:tab w:val="clear" w:pos="567"/>
        </w:tabs>
        <w:rPr>
          <w:color w:val="000000"/>
        </w:rPr>
      </w:pPr>
      <w:r w:rsidRPr="009B1A37">
        <w:rPr>
          <w:color w:val="000000"/>
        </w:rPr>
        <w:t>U</w:t>
      </w:r>
      <w:r w:rsidR="00A07DA3" w:rsidRPr="009B1A37">
        <w:rPr>
          <w:color w:val="000000"/>
        </w:rPr>
        <w:t> </w:t>
      </w:r>
      <w:r w:rsidR="00CB0ABF" w:rsidRPr="009B1A37">
        <w:rPr>
          <w:color w:val="000000"/>
        </w:rPr>
        <w:t xml:space="preserve">dospělých </w:t>
      </w:r>
      <w:r w:rsidRPr="009B1A37">
        <w:rPr>
          <w:color w:val="000000"/>
        </w:rPr>
        <w:t>pacientů s </w:t>
      </w:r>
      <w:smartTag w:uri="urn:schemas-microsoft-com:office:smarttags" w:element="stockticker">
        <w:r w:rsidRPr="009B1A37">
          <w:rPr>
            <w:color w:val="000000"/>
          </w:rPr>
          <w:t>MDS</w:t>
        </w:r>
      </w:smartTag>
      <w:r w:rsidRPr="009B1A37">
        <w:rPr>
          <w:color w:val="000000"/>
        </w:rPr>
        <w:t>/MPD je doporučená dávka Glivecu 400 mg/den.</w:t>
      </w:r>
    </w:p>
    <w:p w14:paraId="31527B9F" w14:textId="77777777" w:rsidR="00D94F95" w:rsidRPr="009B1A37" w:rsidRDefault="00D94F95" w:rsidP="00BE3D48">
      <w:pPr>
        <w:pStyle w:val="EndnoteText"/>
        <w:widowControl w:val="0"/>
        <w:tabs>
          <w:tab w:val="clear" w:pos="567"/>
        </w:tabs>
        <w:rPr>
          <w:color w:val="000000"/>
        </w:rPr>
      </w:pPr>
    </w:p>
    <w:p w14:paraId="445D5A47" w14:textId="77777777" w:rsidR="00D94F95" w:rsidRPr="009B1A37" w:rsidRDefault="00D94F95" w:rsidP="00BE3D48">
      <w:pPr>
        <w:pStyle w:val="EndnoteText"/>
        <w:widowControl w:val="0"/>
        <w:tabs>
          <w:tab w:val="clear" w:pos="567"/>
        </w:tabs>
        <w:rPr>
          <w:color w:val="000000"/>
        </w:rPr>
      </w:pPr>
      <w:r w:rsidRPr="009B1A37">
        <w:rPr>
          <w:color w:val="000000"/>
        </w:rPr>
        <w:t>Trvání léčby: V jediné dosud provedené klinické studii pokračovala léčba Glivecem do progrese onemocnění (viz bod 5.1). V čase analýzy byl medián trvání léčby 47 měsíců (24 dnů – 60 měsíců).</w:t>
      </w:r>
    </w:p>
    <w:p w14:paraId="4C5D35A0" w14:textId="77777777" w:rsidR="00D94F95" w:rsidRPr="009B1A37" w:rsidRDefault="00D94F95" w:rsidP="00BE3D48">
      <w:pPr>
        <w:pStyle w:val="EndnoteText"/>
        <w:widowControl w:val="0"/>
        <w:tabs>
          <w:tab w:val="clear" w:pos="567"/>
        </w:tabs>
        <w:rPr>
          <w:color w:val="000000"/>
        </w:rPr>
      </w:pPr>
    </w:p>
    <w:p w14:paraId="2EDF212E" w14:textId="77777777" w:rsidR="00D94F95" w:rsidRPr="009B1A37" w:rsidRDefault="00D94F95" w:rsidP="00BE3D48">
      <w:pPr>
        <w:pStyle w:val="EndnoteText"/>
        <w:keepNext/>
        <w:widowControl w:val="0"/>
        <w:tabs>
          <w:tab w:val="clear" w:pos="567"/>
        </w:tabs>
        <w:rPr>
          <w:color w:val="000000"/>
          <w:u w:val="single"/>
        </w:rPr>
      </w:pPr>
      <w:r w:rsidRPr="009B1A37">
        <w:rPr>
          <w:color w:val="000000"/>
          <w:u w:val="single"/>
        </w:rPr>
        <w:t>Dávkování u HES/</w:t>
      </w:r>
      <w:smartTag w:uri="urn:schemas-microsoft-com:office:smarttags" w:element="stockticker">
        <w:r w:rsidRPr="009B1A37">
          <w:rPr>
            <w:color w:val="000000"/>
            <w:u w:val="single"/>
          </w:rPr>
          <w:t>CEL</w:t>
        </w:r>
      </w:smartTag>
    </w:p>
    <w:p w14:paraId="4108A453" w14:textId="77777777" w:rsidR="00D94F95" w:rsidRPr="009B1A37" w:rsidRDefault="00D94F95" w:rsidP="00BE3D48">
      <w:pPr>
        <w:pStyle w:val="Text"/>
        <w:widowControl w:val="0"/>
        <w:spacing w:before="0"/>
        <w:jc w:val="left"/>
        <w:rPr>
          <w:color w:val="000000"/>
          <w:sz w:val="22"/>
          <w:szCs w:val="22"/>
          <w:lang w:val="cs-CZ"/>
        </w:rPr>
      </w:pPr>
      <w:r w:rsidRPr="009B1A37">
        <w:rPr>
          <w:color w:val="000000"/>
          <w:sz w:val="22"/>
          <w:szCs w:val="22"/>
          <w:lang w:val="cs-CZ"/>
        </w:rPr>
        <w:t>U</w:t>
      </w:r>
      <w:r w:rsidR="00A07DA3" w:rsidRPr="009B1A37">
        <w:rPr>
          <w:color w:val="000000"/>
          <w:sz w:val="22"/>
          <w:szCs w:val="22"/>
          <w:lang w:val="cs-CZ"/>
        </w:rPr>
        <w:t> </w:t>
      </w:r>
      <w:r w:rsidR="00CB0ABF" w:rsidRPr="009B1A37">
        <w:rPr>
          <w:color w:val="000000"/>
          <w:sz w:val="22"/>
          <w:szCs w:val="22"/>
          <w:lang w:val="cs-CZ"/>
        </w:rPr>
        <w:t xml:space="preserve">dospělých </w:t>
      </w:r>
      <w:r w:rsidRPr="009B1A37">
        <w:rPr>
          <w:color w:val="000000"/>
          <w:sz w:val="22"/>
          <w:szCs w:val="22"/>
          <w:lang w:val="cs-CZ"/>
        </w:rPr>
        <w:t>pacientů s HES/</w:t>
      </w:r>
      <w:smartTag w:uri="urn:schemas-microsoft-com:office:smarttags" w:element="stockticker">
        <w:r w:rsidRPr="009B1A37">
          <w:rPr>
            <w:color w:val="000000"/>
            <w:sz w:val="22"/>
            <w:szCs w:val="22"/>
            <w:lang w:val="cs-CZ"/>
          </w:rPr>
          <w:t>CEL</w:t>
        </w:r>
      </w:smartTag>
      <w:r w:rsidRPr="009B1A37">
        <w:rPr>
          <w:color w:val="000000"/>
          <w:sz w:val="22"/>
          <w:szCs w:val="22"/>
          <w:lang w:val="cs-CZ"/>
        </w:rPr>
        <w:t xml:space="preserve"> je doporučená dávka Glivecu 100 mg/den.</w:t>
      </w:r>
    </w:p>
    <w:p w14:paraId="0394C9FD" w14:textId="77777777" w:rsidR="00D94F95" w:rsidRPr="009B1A37" w:rsidRDefault="00D94F95" w:rsidP="00BE3D48">
      <w:pPr>
        <w:pStyle w:val="Text"/>
        <w:widowControl w:val="0"/>
        <w:spacing w:before="0"/>
        <w:jc w:val="left"/>
        <w:rPr>
          <w:color w:val="000000"/>
          <w:sz w:val="22"/>
          <w:szCs w:val="22"/>
          <w:lang w:val="cs-CZ"/>
        </w:rPr>
      </w:pPr>
    </w:p>
    <w:p w14:paraId="7E15AD79" w14:textId="77777777" w:rsidR="00D94F95" w:rsidRPr="009B1A37" w:rsidRDefault="00D94F95" w:rsidP="00BE3D48">
      <w:pPr>
        <w:pStyle w:val="EndnoteText"/>
        <w:widowControl w:val="0"/>
        <w:tabs>
          <w:tab w:val="clear" w:pos="567"/>
        </w:tabs>
        <w:rPr>
          <w:color w:val="000000"/>
        </w:rPr>
      </w:pPr>
      <w:r w:rsidRPr="009B1A37">
        <w:rPr>
          <w:color w:val="000000"/>
        </w:rPr>
        <w:t>Zvýšení dávky ze 100 mg na 400 mg lze zvažovat při absenci nežádoucích účinků léčiva, a jestliže je při hodnocení léčby prokázána nedostatečná odpověď na léčbu.</w:t>
      </w:r>
    </w:p>
    <w:p w14:paraId="20ACEE80" w14:textId="77777777" w:rsidR="00D94F95" w:rsidRPr="009B1A37" w:rsidRDefault="00D94F95" w:rsidP="00BE3D48">
      <w:pPr>
        <w:pStyle w:val="EndnoteText"/>
        <w:widowControl w:val="0"/>
        <w:tabs>
          <w:tab w:val="clear" w:pos="567"/>
        </w:tabs>
        <w:rPr>
          <w:color w:val="000000"/>
        </w:rPr>
      </w:pPr>
    </w:p>
    <w:p w14:paraId="25465B93" w14:textId="77777777" w:rsidR="00D94F95" w:rsidRPr="009B1A37" w:rsidRDefault="00D94F95" w:rsidP="00BE3D48">
      <w:pPr>
        <w:pStyle w:val="EndnoteText"/>
        <w:widowControl w:val="0"/>
        <w:tabs>
          <w:tab w:val="clear" w:pos="567"/>
        </w:tabs>
        <w:rPr>
          <w:color w:val="000000"/>
          <w:u w:val="single"/>
        </w:rPr>
      </w:pPr>
      <w:r w:rsidRPr="009B1A37">
        <w:rPr>
          <w:color w:val="000000"/>
        </w:rPr>
        <w:t xml:space="preserve">Léčba </w:t>
      </w:r>
      <w:r w:rsidR="009A13EC" w:rsidRPr="009B1A37">
        <w:rPr>
          <w:color w:val="000000"/>
        </w:rPr>
        <w:t>má</w:t>
      </w:r>
      <w:r w:rsidRPr="009B1A37">
        <w:rPr>
          <w:color w:val="000000"/>
        </w:rPr>
        <w:t xml:space="preserve"> pokračovat tak dlouho, dokud je pro pacienta přínosná.</w:t>
      </w:r>
    </w:p>
    <w:p w14:paraId="1733DD4A" w14:textId="77777777" w:rsidR="00D94F95" w:rsidRPr="009B1A37" w:rsidRDefault="00D94F95" w:rsidP="00BE3D48">
      <w:pPr>
        <w:pStyle w:val="EndnoteText"/>
        <w:widowControl w:val="0"/>
        <w:tabs>
          <w:tab w:val="clear" w:pos="567"/>
        </w:tabs>
        <w:rPr>
          <w:color w:val="000000"/>
          <w:u w:val="single"/>
        </w:rPr>
      </w:pPr>
    </w:p>
    <w:p w14:paraId="3BBD0CEA" w14:textId="77777777" w:rsidR="00D94F95" w:rsidRPr="009B1A37" w:rsidRDefault="00D94F95" w:rsidP="00BE3D48">
      <w:pPr>
        <w:pStyle w:val="EndnoteText"/>
        <w:keepNext/>
        <w:widowControl w:val="0"/>
        <w:tabs>
          <w:tab w:val="clear" w:pos="567"/>
        </w:tabs>
        <w:rPr>
          <w:color w:val="000000"/>
          <w:u w:val="single"/>
        </w:rPr>
      </w:pPr>
      <w:r w:rsidRPr="009B1A37">
        <w:rPr>
          <w:color w:val="000000"/>
          <w:u w:val="single"/>
        </w:rPr>
        <w:t>Dávkování u GIST</w:t>
      </w:r>
    </w:p>
    <w:p w14:paraId="5EA54D37" w14:textId="77777777" w:rsidR="00D94F95" w:rsidRPr="009B1A37" w:rsidRDefault="00D94F95" w:rsidP="00BE3D48">
      <w:pPr>
        <w:pStyle w:val="EndnoteText"/>
        <w:widowControl w:val="0"/>
        <w:tabs>
          <w:tab w:val="clear" w:pos="567"/>
        </w:tabs>
        <w:rPr>
          <w:color w:val="000000"/>
        </w:rPr>
      </w:pPr>
      <w:r w:rsidRPr="009B1A37">
        <w:rPr>
          <w:color w:val="000000"/>
        </w:rPr>
        <w:t>U</w:t>
      </w:r>
      <w:r w:rsidR="00A07DA3" w:rsidRPr="009B1A37">
        <w:rPr>
          <w:color w:val="000000"/>
        </w:rPr>
        <w:t> </w:t>
      </w:r>
      <w:r w:rsidR="00CB0ABF" w:rsidRPr="009B1A37">
        <w:rPr>
          <w:color w:val="000000"/>
        </w:rPr>
        <w:t xml:space="preserve">dospělých </w:t>
      </w:r>
      <w:r w:rsidRPr="009B1A37">
        <w:rPr>
          <w:color w:val="000000"/>
        </w:rPr>
        <w:t>pacientů s inoperabilním a/nebo metastatickým maligním GIST je doporučená dávka Glivecu 400 mg/den.</w:t>
      </w:r>
    </w:p>
    <w:p w14:paraId="06901984" w14:textId="77777777" w:rsidR="00D94F95" w:rsidRPr="009B1A37" w:rsidRDefault="00D94F95" w:rsidP="00BE3D48">
      <w:pPr>
        <w:pStyle w:val="EndnoteText"/>
        <w:widowControl w:val="0"/>
        <w:tabs>
          <w:tab w:val="clear" w:pos="567"/>
        </w:tabs>
        <w:rPr>
          <w:color w:val="000000"/>
        </w:rPr>
      </w:pPr>
    </w:p>
    <w:p w14:paraId="612F8AF5" w14:textId="77777777" w:rsidR="00D94F95" w:rsidRPr="009B1A37" w:rsidRDefault="00D94F95" w:rsidP="00BE3D48">
      <w:pPr>
        <w:pStyle w:val="EndnoteText"/>
        <w:widowControl w:val="0"/>
        <w:tabs>
          <w:tab w:val="clear" w:pos="567"/>
        </w:tabs>
        <w:rPr>
          <w:color w:val="000000"/>
        </w:rPr>
      </w:pPr>
      <w:r w:rsidRPr="009B1A37">
        <w:rPr>
          <w:color w:val="000000"/>
        </w:rPr>
        <w:t>Existuje pouze omezené množství údajů o účinku zvýšení dávky ze 400 mg na 600 mg nebo 800 mg u pacientů s progresí při užívání nižší dávky (viz bod 5.1).</w:t>
      </w:r>
    </w:p>
    <w:p w14:paraId="77F2C712" w14:textId="77777777" w:rsidR="00D94F95" w:rsidRPr="009B1A37" w:rsidRDefault="00D94F95" w:rsidP="00BE3D48">
      <w:pPr>
        <w:pStyle w:val="EndnoteText"/>
        <w:widowControl w:val="0"/>
        <w:tabs>
          <w:tab w:val="clear" w:pos="567"/>
        </w:tabs>
        <w:rPr>
          <w:color w:val="000000"/>
        </w:rPr>
      </w:pPr>
    </w:p>
    <w:p w14:paraId="37CBF739" w14:textId="77777777" w:rsidR="00D94F95" w:rsidRPr="009B1A37" w:rsidRDefault="00D94F95" w:rsidP="00BE3D48">
      <w:pPr>
        <w:pStyle w:val="EndnoteText"/>
        <w:widowControl w:val="0"/>
        <w:tabs>
          <w:tab w:val="clear" w:pos="567"/>
        </w:tabs>
        <w:rPr>
          <w:color w:val="000000"/>
        </w:rPr>
      </w:pPr>
      <w:r w:rsidRPr="009B1A37">
        <w:rPr>
          <w:color w:val="000000"/>
        </w:rPr>
        <w:t>Trvání léčby: v klinických studiích pokračovala léčba pacientů s GIST do progrese onemocnění. V době analýzy byl medián trvání léčby 7 měsíců (7 dní až 13 měsíců). Efekt zastavení léčby po dosažení odpovědi nebyl studován.</w:t>
      </w:r>
    </w:p>
    <w:p w14:paraId="26D81EF3" w14:textId="77777777" w:rsidR="00D94F95" w:rsidRPr="009B1A37" w:rsidRDefault="00D94F95" w:rsidP="00BE3D48">
      <w:pPr>
        <w:pStyle w:val="EndnoteText"/>
        <w:widowControl w:val="0"/>
        <w:tabs>
          <w:tab w:val="clear" w:pos="567"/>
        </w:tabs>
        <w:rPr>
          <w:color w:val="000000"/>
        </w:rPr>
      </w:pPr>
    </w:p>
    <w:p w14:paraId="4C281091" w14:textId="77777777" w:rsidR="00D94F95" w:rsidRPr="009B1A37" w:rsidRDefault="00D94F95" w:rsidP="00BE3D48">
      <w:pPr>
        <w:pStyle w:val="EndnoteText"/>
        <w:widowControl w:val="0"/>
        <w:tabs>
          <w:tab w:val="clear" w:pos="567"/>
        </w:tabs>
        <w:rPr>
          <w:color w:val="000000"/>
          <w:u w:val="single"/>
        </w:rPr>
      </w:pPr>
      <w:r w:rsidRPr="009B1A37">
        <w:rPr>
          <w:color w:val="000000"/>
        </w:rPr>
        <w:t xml:space="preserve">Doporučená dávka Glivecu </w:t>
      </w:r>
      <w:r w:rsidR="009A13EC" w:rsidRPr="009B1A37">
        <w:rPr>
          <w:color w:val="000000"/>
        </w:rPr>
        <w:t xml:space="preserve">k </w:t>
      </w:r>
      <w:r w:rsidRPr="009B1A37">
        <w:rPr>
          <w:color w:val="000000"/>
        </w:rPr>
        <w:t>adjuvantní léčb</w:t>
      </w:r>
      <w:r w:rsidR="009A13EC" w:rsidRPr="009B1A37">
        <w:rPr>
          <w:color w:val="000000"/>
        </w:rPr>
        <w:t>ě</w:t>
      </w:r>
      <w:r w:rsidRPr="009B1A37">
        <w:rPr>
          <w:color w:val="000000"/>
        </w:rPr>
        <w:t xml:space="preserve"> dospělých pacientů po resekci GIST je 400 mg/den. Optimální délka trvání léčby dosud není stanovena. Délka léčby v klinických studiích, které byly podkladem pro tuto indikaci, byla </w:t>
      </w:r>
      <w:r w:rsidR="00A1338A" w:rsidRPr="009B1A37">
        <w:rPr>
          <w:color w:val="000000"/>
        </w:rPr>
        <w:t>36</w:t>
      </w:r>
      <w:r w:rsidRPr="009B1A37">
        <w:rPr>
          <w:color w:val="000000"/>
        </w:rPr>
        <w:t> měsíců</w:t>
      </w:r>
      <w:r w:rsidR="00A1338A" w:rsidRPr="009B1A37">
        <w:rPr>
          <w:color w:val="000000"/>
        </w:rPr>
        <w:t xml:space="preserve"> (viz bod 5.1)</w:t>
      </w:r>
      <w:r w:rsidRPr="009B1A37">
        <w:rPr>
          <w:color w:val="000000"/>
        </w:rPr>
        <w:t>.</w:t>
      </w:r>
    </w:p>
    <w:p w14:paraId="38105EAC" w14:textId="77777777" w:rsidR="00D94F95" w:rsidRPr="009B1A37" w:rsidRDefault="00D94F95" w:rsidP="00BE3D48">
      <w:pPr>
        <w:pStyle w:val="EndnoteText"/>
        <w:widowControl w:val="0"/>
        <w:tabs>
          <w:tab w:val="clear" w:pos="567"/>
        </w:tabs>
        <w:rPr>
          <w:color w:val="000000"/>
          <w:u w:val="single"/>
        </w:rPr>
      </w:pPr>
    </w:p>
    <w:p w14:paraId="670CB7B6" w14:textId="77777777" w:rsidR="00D94F95" w:rsidRPr="009B1A37" w:rsidRDefault="00D94F95" w:rsidP="00BE3D48">
      <w:pPr>
        <w:pStyle w:val="EndnoteText"/>
        <w:keepNext/>
        <w:widowControl w:val="0"/>
        <w:tabs>
          <w:tab w:val="clear" w:pos="567"/>
        </w:tabs>
        <w:rPr>
          <w:color w:val="000000"/>
          <w:u w:val="single"/>
        </w:rPr>
      </w:pPr>
      <w:r w:rsidRPr="009B1A37">
        <w:rPr>
          <w:color w:val="000000"/>
          <w:u w:val="single"/>
        </w:rPr>
        <w:t>Dávkování u DFSP</w:t>
      </w:r>
    </w:p>
    <w:p w14:paraId="6DF0A90A" w14:textId="77777777" w:rsidR="00D94F95" w:rsidRPr="009B1A37" w:rsidRDefault="00D94F95" w:rsidP="00BE3D48">
      <w:pPr>
        <w:pStyle w:val="EndnoteText"/>
        <w:widowControl w:val="0"/>
        <w:tabs>
          <w:tab w:val="clear" w:pos="567"/>
        </w:tabs>
        <w:rPr>
          <w:color w:val="000000"/>
        </w:rPr>
      </w:pPr>
      <w:r w:rsidRPr="009B1A37">
        <w:rPr>
          <w:color w:val="000000"/>
        </w:rPr>
        <w:t>U</w:t>
      </w:r>
      <w:r w:rsidR="00A07DA3" w:rsidRPr="009B1A37">
        <w:rPr>
          <w:color w:val="000000"/>
        </w:rPr>
        <w:t> </w:t>
      </w:r>
      <w:r w:rsidR="00CB0ABF" w:rsidRPr="009B1A37">
        <w:rPr>
          <w:color w:val="000000"/>
        </w:rPr>
        <w:t xml:space="preserve">dospělých </w:t>
      </w:r>
      <w:r w:rsidRPr="009B1A37">
        <w:rPr>
          <w:color w:val="000000"/>
        </w:rPr>
        <w:t>pacientů s DFSP je doporučená dávka Glivecu 800 mg/den.</w:t>
      </w:r>
    </w:p>
    <w:p w14:paraId="4491E25D" w14:textId="77777777" w:rsidR="00D94F95" w:rsidRPr="009B1A37" w:rsidRDefault="00D94F95" w:rsidP="00BE3D48">
      <w:pPr>
        <w:pStyle w:val="EndnoteText"/>
        <w:widowControl w:val="0"/>
        <w:tabs>
          <w:tab w:val="clear" w:pos="567"/>
        </w:tabs>
        <w:rPr>
          <w:color w:val="000000"/>
        </w:rPr>
      </w:pPr>
    </w:p>
    <w:p w14:paraId="2BA5DBD5" w14:textId="77777777" w:rsidR="00D94F95" w:rsidRPr="009B1A37" w:rsidRDefault="00D94F95" w:rsidP="00BE3D48">
      <w:pPr>
        <w:pStyle w:val="EndnoteText"/>
        <w:keepNext/>
        <w:widowControl w:val="0"/>
        <w:tabs>
          <w:tab w:val="clear" w:pos="567"/>
        </w:tabs>
        <w:rPr>
          <w:color w:val="000000"/>
          <w:u w:val="single"/>
        </w:rPr>
      </w:pPr>
      <w:r w:rsidRPr="009B1A37">
        <w:rPr>
          <w:color w:val="000000"/>
          <w:u w:val="single"/>
        </w:rPr>
        <w:t xml:space="preserve">Úprava dávkování </w:t>
      </w:r>
      <w:r w:rsidR="009A13EC" w:rsidRPr="009B1A37">
        <w:rPr>
          <w:color w:val="000000"/>
          <w:u w:val="single"/>
        </w:rPr>
        <w:t>kvůli</w:t>
      </w:r>
      <w:r w:rsidRPr="009B1A37">
        <w:rPr>
          <w:color w:val="000000"/>
          <w:u w:val="single"/>
        </w:rPr>
        <w:t xml:space="preserve"> nežádoucí</w:t>
      </w:r>
      <w:r w:rsidR="009A13EC" w:rsidRPr="009B1A37">
        <w:rPr>
          <w:color w:val="000000"/>
          <w:u w:val="single"/>
        </w:rPr>
        <w:t>m</w:t>
      </w:r>
      <w:r w:rsidRPr="009B1A37">
        <w:rPr>
          <w:color w:val="000000"/>
          <w:u w:val="single"/>
        </w:rPr>
        <w:t xml:space="preserve"> účink</w:t>
      </w:r>
      <w:r w:rsidR="009A13EC" w:rsidRPr="009B1A37">
        <w:rPr>
          <w:color w:val="000000"/>
          <w:u w:val="single"/>
        </w:rPr>
        <w:t>ům</w:t>
      </w:r>
    </w:p>
    <w:p w14:paraId="14EF5040" w14:textId="77777777" w:rsidR="00D94F95" w:rsidRPr="009B1A37" w:rsidRDefault="00D94F95" w:rsidP="00BE3D48">
      <w:pPr>
        <w:pStyle w:val="EndnoteText"/>
        <w:keepNext/>
        <w:widowControl w:val="0"/>
        <w:tabs>
          <w:tab w:val="clear" w:pos="567"/>
        </w:tabs>
        <w:rPr>
          <w:i/>
          <w:iCs/>
          <w:color w:val="000000"/>
        </w:rPr>
      </w:pPr>
      <w:r w:rsidRPr="009B1A37">
        <w:rPr>
          <w:i/>
          <w:iCs/>
          <w:color w:val="000000"/>
        </w:rPr>
        <w:t>Nehematologické nežádoucí účinky</w:t>
      </w:r>
    </w:p>
    <w:p w14:paraId="3BE660DF" w14:textId="77777777" w:rsidR="00D94F95" w:rsidRPr="009B1A37" w:rsidRDefault="00D94F95" w:rsidP="00BE3D48">
      <w:pPr>
        <w:pStyle w:val="EndnoteText"/>
        <w:widowControl w:val="0"/>
        <w:tabs>
          <w:tab w:val="clear" w:pos="567"/>
        </w:tabs>
        <w:rPr>
          <w:color w:val="000000"/>
        </w:rPr>
      </w:pPr>
      <w:r w:rsidRPr="009B1A37">
        <w:rPr>
          <w:color w:val="000000"/>
        </w:rPr>
        <w:t xml:space="preserve">Jestliže se při léčbě Glivecem vyskytnou závažné nehematologické nežádoucí účinky, musí být léčba do jejich </w:t>
      </w:r>
      <w:r w:rsidR="009A13EC" w:rsidRPr="009B1A37">
        <w:rPr>
          <w:color w:val="000000"/>
        </w:rPr>
        <w:t xml:space="preserve">odeznění </w:t>
      </w:r>
      <w:r w:rsidRPr="009B1A37">
        <w:rPr>
          <w:color w:val="000000"/>
        </w:rPr>
        <w:t>přerušena. Potom může být léčba přiměřeně obnovena v závislosti na počáteční závažnosti příhody.</w:t>
      </w:r>
    </w:p>
    <w:p w14:paraId="101F18A4" w14:textId="77777777" w:rsidR="00D94F95" w:rsidRPr="009B1A37" w:rsidRDefault="00D94F95" w:rsidP="00BE3D48">
      <w:pPr>
        <w:pStyle w:val="EndnoteText"/>
        <w:widowControl w:val="0"/>
        <w:tabs>
          <w:tab w:val="clear" w:pos="567"/>
        </w:tabs>
        <w:rPr>
          <w:color w:val="000000"/>
        </w:rPr>
      </w:pPr>
    </w:p>
    <w:p w14:paraId="140105F3" w14:textId="77777777" w:rsidR="00D94F95" w:rsidRPr="009B1A37" w:rsidRDefault="00D94F95" w:rsidP="00BE3D48">
      <w:pPr>
        <w:pStyle w:val="EndnoteText"/>
        <w:widowControl w:val="0"/>
        <w:tabs>
          <w:tab w:val="clear" w:pos="567"/>
        </w:tabs>
        <w:rPr>
          <w:color w:val="000000"/>
        </w:rPr>
      </w:pPr>
      <w:r w:rsidRPr="009B1A37">
        <w:rPr>
          <w:color w:val="000000"/>
        </w:rPr>
        <w:t xml:space="preserve">Při zvýšení hladiny bilirubinu &gt; 3násobek stanoveného horního limitu normálu (IULN) nebo při zvýšení hladin jaterních transamináz &gt; 5násobek IULN </w:t>
      </w:r>
      <w:r w:rsidR="009A13EC" w:rsidRPr="009B1A37">
        <w:rPr>
          <w:color w:val="000000"/>
        </w:rPr>
        <w:t>má</w:t>
      </w:r>
      <w:r w:rsidRPr="009B1A37">
        <w:rPr>
          <w:color w:val="000000"/>
        </w:rPr>
        <w:t xml:space="preserve"> by být léčba Glivecem přerušena, dokud se hladiny bilirubinu nevrátí k &lt; 1,5násobku IULN a hladiny transamináz k &lt; 2,5násobku IULN. Léčba Glivecem potom může pokračovat nižšími denními dávkami. U dospělých </w:t>
      </w:r>
      <w:r w:rsidR="009A13EC" w:rsidRPr="009B1A37">
        <w:rPr>
          <w:color w:val="000000"/>
        </w:rPr>
        <w:t>má</w:t>
      </w:r>
      <w:r w:rsidRPr="009B1A37">
        <w:rPr>
          <w:color w:val="000000"/>
        </w:rPr>
        <w:t xml:space="preserve"> být dávka snížena ze 400 na 300 mg nebo ze 600 na 400 mg nebo z 800 mg na 600 mg a u dětí ze 340 na 260 mg/m</w:t>
      </w:r>
      <w:r w:rsidRPr="009B1A37">
        <w:rPr>
          <w:color w:val="000000"/>
          <w:vertAlign w:val="superscript"/>
        </w:rPr>
        <w:t>2</w:t>
      </w:r>
      <w:r w:rsidRPr="009B1A37">
        <w:rPr>
          <w:color w:val="000000"/>
        </w:rPr>
        <w:t>/den.</w:t>
      </w:r>
    </w:p>
    <w:p w14:paraId="064E01DD" w14:textId="77777777" w:rsidR="00D94F95" w:rsidRPr="009B1A37" w:rsidRDefault="00D94F95" w:rsidP="00BE3D48">
      <w:pPr>
        <w:pStyle w:val="EndnoteText"/>
        <w:widowControl w:val="0"/>
        <w:tabs>
          <w:tab w:val="clear" w:pos="567"/>
        </w:tabs>
        <w:rPr>
          <w:color w:val="000000"/>
        </w:rPr>
      </w:pPr>
    </w:p>
    <w:p w14:paraId="79AA32CE" w14:textId="77777777" w:rsidR="00D94F95" w:rsidRPr="009B1A37" w:rsidRDefault="00D94F95" w:rsidP="00BE3D48">
      <w:pPr>
        <w:pStyle w:val="EndnoteText"/>
        <w:keepNext/>
        <w:widowControl w:val="0"/>
        <w:tabs>
          <w:tab w:val="clear" w:pos="567"/>
        </w:tabs>
        <w:rPr>
          <w:i/>
          <w:iCs/>
          <w:color w:val="000000"/>
        </w:rPr>
      </w:pPr>
      <w:r w:rsidRPr="009B1A37">
        <w:rPr>
          <w:i/>
          <w:iCs/>
          <w:color w:val="000000"/>
        </w:rPr>
        <w:t>Hematologické nežádoucí účinky</w:t>
      </w:r>
    </w:p>
    <w:p w14:paraId="116BF988" w14:textId="77777777" w:rsidR="00D94F95" w:rsidRPr="009B1A37" w:rsidRDefault="00D94F95" w:rsidP="00BE3D48">
      <w:pPr>
        <w:pStyle w:val="EndnoteText"/>
        <w:widowControl w:val="0"/>
        <w:tabs>
          <w:tab w:val="clear" w:pos="567"/>
        </w:tabs>
        <w:rPr>
          <w:color w:val="000000"/>
        </w:rPr>
      </w:pPr>
      <w:r w:rsidRPr="009B1A37">
        <w:rPr>
          <w:color w:val="000000"/>
        </w:rPr>
        <w:t>Při závažné neutropenii nebo trombocytopenii se doporučuje snížení dávky nebo přerušení léčby tak, jak je uvedeno v následující tabulce.</w:t>
      </w:r>
    </w:p>
    <w:p w14:paraId="76509112" w14:textId="77777777" w:rsidR="00D94F95" w:rsidRPr="009B1A37" w:rsidRDefault="00D94F95" w:rsidP="00BE3D48">
      <w:pPr>
        <w:pStyle w:val="EndnoteText"/>
        <w:widowControl w:val="0"/>
        <w:tabs>
          <w:tab w:val="clear" w:pos="567"/>
        </w:tabs>
        <w:rPr>
          <w:color w:val="000000"/>
        </w:rPr>
      </w:pPr>
    </w:p>
    <w:p w14:paraId="0BDA685D" w14:textId="77777777" w:rsidR="00D94F95" w:rsidRPr="009B1A37" w:rsidRDefault="00D94F95" w:rsidP="00BE3D48">
      <w:pPr>
        <w:pStyle w:val="EndnoteText"/>
        <w:keepNext/>
        <w:widowControl w:val="0"/>
        <w:tabs>
          <w:tab w:val="clear" w:pos="567"/>
        </w:tabs>
        <w:rPr>
          <w:color w:val="000000"/>
        </w:rPr>
      </w:pPr>
      <w:r w:rsidRPr="009B1A37">
        <w:rPr>
          <w:color w:val="000000"/>
        </w:rPr>
        <w:t>Úprava dávkování při neutropenii nebo trombocytopenii:</w:t>
      </w:r>
    </w:p>
    <w:p w14:paraId="54E25EF9" w14:textId="77777777" w:rsidR="00D94F95" w:rsidRPr="009B1A37" w:rsidRDefault="00D94F95" w:rsidP="00BE3D48">
      <w:pPr>
        <w:pStyle w:val="EndnoteText"/>
        <w:keepNext/>
        <w:widowControl w:val="0"/>
        <w:tabs>
          <w:tab w:val="clear" w:pos="567"/>
        </w:tabs>
        <w:rPr>
          <w:color w:val="000000"/>
        </w:rPr>
      </w:pPr>
    </w:p>
    <w:tbl>
      <w:tblPr>
        <w:tblW w:w="0" w:type="auto"/>
        <w:tblInd w:w="-20" w:type="dxa"/>
        <w:tblLayout w:type="fixed"/>
        <w:tblLook w:val="0000" w:firstRow="0" w:lastRow="0" w:firstColumn="0" w:lastColumn="0" w:noHBand="0" w:noVBand="0"/>
      </w:tblPr>
      <w:tblGrid>
        <w:gridCol w:w="2376"/>
        <w:gridCol w:w="2400"/>
        <w:gridCol w:w="4444"/>
      </w:tblGrid>
      <w:tr w:rsidR="00D94F95" w:rsidRPr="009B1A37" w14:paraId="7611DF83" w14:textId="77777777" w:rsidTr="000E0B78">
        <w:trPr>
          <w:cantSplit/>
        </w:trPr>
        <w:tc>
          <w:tcPr>
            <w:tcW w:w="2376" w:type="dxa"/>
            <w:tcBorders>
              <w:top w:val="single" w:sz="4" w:space="0" w:color="000000"/>
              <w:left w:val="single" w:sz="4" w:space="0" w:color="000000"/>
              <w:bottom w:val="single" w:sz="4" w:space="0" w:color="000000"/>
            </w:tcBorders>
          </w:tcPr>
          <w:p w14:paraId="0B62503A" w14:textId="77777777" w:rsidR="00D94F95" w:rsidRPr="009B1A37" w:rsidRDefault="00D94F95" w:rsidP="00BE3D48">
            <w:pPr>
              <w:pStyle w:val="EndnoteText"/>
              <w:keepNext/>
              <w:widowControl w:val="0"/>
              <w:tabs>
                <w:tab w:val="clear" w:pos="567"/>
              </w:tabs>
              <w:snapToGrid w:val="0"/>
              <w:rPr>
                <w:color w:val="000000"/>
              </w:rPr>
            </w:pPr>
            <w:r w:rsidRPr="009B1A37">
              <w:rPr>
                <w:color w:val="000000"/>
              </w:rPr>
              <w:t>HES/</w:t>
            </w:r>
            <w:smartTag w:uri="urn:schemas-microsoft-com:office:smarttags" w:element="stockticker">
              <w:r w:rsidRPr="009B1A37">
                <w:rPr>
                  <w:color w:val="000000"/>
                </w:rPr>
                <w:t>CEL</w:t>
              </w:r>
            </w:smartTag>
            <w:r w:rsidRPr="009B1A37">
              <w:rPr>
                <w:color w:val="000000"/>
              </w:rPr>
              <w:t xml:space="preserve"> (zahajovací dávka 100 mg)</w:t>
            </w:r>
          </w:p>
        </w:tc>
        <w:tc>
          <w:tcPr>
            <w:tcW w:w="2400" w:type="dxa"/>
            <w:tcBorders>
              <w:top w:val="single" w:sz="4" w:space="0" w:color="000000"/>
              <w:left w:val="single" w:sz="4" w:space="0" w:color="000000"/>
              <w:bottom w:val="single" w:sz="4" w:space="0" w:color="000000"/>
            </w:tcBorders>
          </w:tcPr>
          <w:p w14:paraId="55AC6569" w14:textId="77777777" w:rsidR="00D94F95" w:rsidRPr="009B1A37" w:rsidRDefault="00D94F95" w:rsidP="00BE3D48">
            <w:pPr>
              <w:pStyle w:val="Table"/>
              <w:keepLines w:val="0"/>
              <w:widowControl w:val="0"/>
              <w:suppressLineNumbers/>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ANC &lt; 1,0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/l</w:t>
            </w:r>
          </w:p>
          <w:p w14:paraId="51BB4AA7" w14:textId="77777777" w:rsidR="00D94F95" w:rsidRPr="009B1A37" w:rsidRDefault="00D94F95" w:rsidP="00BE3D48">
            <w:pPr>
              <w:pStyle w:val="Table"/>
              <w:keepLines w:val="0"/>
              <w:widowControl w:val="0"/>
              <w:suppressLineNumbers/>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a/nebo</w:t>
            </w:r>
          </w:p>
          <w:p w14:paraId="192BDCE2" w14:textId="77777777" w:rsidR="00D94F95" w:rsidRPr="009B1A37" w:rsidRDefault="009A13EC" w:rsidP="00BE3D48">
            <w:pPr>
              <w:pStyle w:val="Table"/>
              <w:keepLines w:val="0"/>
              <w:widowControl w:val="0"/>
              <w:suppressLineNumbers/>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trombocyty</w:t>
            </w:r>
            <w:r w:rsidR="00D94F95" w:rsidRPr="009B1A37">
              <w:rPr>
                <w:rFonts w:ascii="Times New Roman" w:hAnsi="Times New Roman" w:cs="Times New Roman"/>
                <w:color w:val="000000"/>
                <w:sz w:val="22"/>
                <w:szCs w:val="22"/>
                <w:lang w:val="cs-CZ"/>
              </w:rPr>
              <w:t xml:space="preserve"> &lt; 50 x 10</w:t>
            </w:r>
            <w:r w:rsidR="00D94F95" w:rsidRPr="009B1A37">
              <w:rPr>
                <w:rFonts w:ascii="Times New Roman" w:hAnsi="Times New Roman" w:cs="Times New Roman"/>
                <w:color w:val="000000"/>
                <w:sz w:val="22"/>
                <w:szCs w:val="22"/>
                <w:vertAlign w:val="superscript"/>
                <w:lang w:val="cs-CZ"/>
              </w:rPr>
              <w:t>9</w:t>
            </w:r>
            <w:r w:rsidR="00D94F95" w:rsidRPr="009B1A37">
              <w:rPr>
                <w:rFonts w:ascii="Times New Roman" w:hAnsi="Times New Roman" w:cs="Times New Roman"/>
                <w:color w:val="000000"/>
                <w:sz w:val="22"/>
                <w:szCs w:val="22"/>
                <w:lang w:val="cs-CZ"/>
              </w:rPr>
              <w:t>/l</w:t>
            </w:r>
          </w:p>
        </w:tc>
        <w:tc>
          <w:tcPr>
            <w:tcW w:w="4444" w:type="dxa"/>
            <w:tcBorders>
              <w:top w:val="single" w:sz="4" w:space="0" w:color="000000"/>
              <w:left w:val="single" w:sz="4" w:space="0" w:color="000000"/>
              <w:bottom w:val="single" w:sz="4" w:space="0" w:color="000000"/>
              <w:right w:val="single" w:sz="4" w:space="0" w:color="000000"/>
            </w:tcBorders>
          </w:tcPr>
          <w:p w14:paraId="42C59960" w14:textId="77777777" w:rsidR="00D94F95" w:rsidRPr="009B1A37" w:rsidRDefault="00D94F95" w:rsidP="00BE3D48">
            <w:pPr>
              <w:pStyle w:val="Table"/>
              <w:keepLines w:val="0"/>
              <w:widowControl w:val="0"/>
              <w:suppressLineNumbers/>
              <w:tabs>
                <w:tab w:val="clear" w:pos="284"/>
                <w:tab w:val="clear" w:pos="567"/>
              </w:tabs>
              <w:snapToGrid w:val="0"/>
              <w:spacing w:before="0" w:after="0"/>
              <w:ind w:left="489" w:hanging="489"/>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1.</w:t>
            </w:r>
            <w:r w:rsidRPr="009B1A37">
              <w:rPr>
                <w:rFonts w:ascii="Times New Roman" w:hAnsi="Times New Roman" w:cs="Times New Roman"/>
                <w:color w:val="000000"/>
                <w:sz w:val="22"/>
                <w:szCs w:val="22"/>
                <w:lang w:val="cs-CZ"/>
              </w:rPr>
              <w:tab/>
              <w:t xml:space="preserve">Přerušte podávání Glivecu, dokud není ANC </w:t>
            </w:r>
            <w:r w:rsidRPr="009B1A37">
              <w:rPr>
                <w:rFonts w:ascii="Symbol" w:hAnsi="Symbol"/>
                <w:color w:val="000000"/>
                <w:sz w:val="22"/>
                <w:szCs w:val="22"/>
                <w:lang w:val="cs-CZ"/>
              </w:rPr>
              <w:t></w:t>
            </w:r>
            <w:r w:rsidRPr="009B1A37">
              <w:rPr>
                <w:rFonts w:ascii="Times New Roman" w:hAnsi="Times New Roman" w:cs="Times New Roman"/>
                <w:color w:val="000000"/>
                <w:sz w:val="22"/>
                <w:szCs w:val="22"/>
                <w:lang w:val="cs-CZ"/>
              </w:rPr>
              <w:t> 1,5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 xml:space="preserve">/l a </w:t>
            </w:r>
            <w:r w:rsidR="009A13EC" w:rsidRPr="009B1A37">
              <w:rPr>
                <w:rFonts w:ascii="Times New Roman" w:hAnsi="Times New Roman" w:cs="Times New Roman"/>
                <w:color w:val="000000"/>
                <w:sz w:val="22"/>
                <w:szCs w:val="22"/>
                <w:lang w:val="cs-CZ"/>
              </w:rPr>
              <w:t>trombocyty</w:t>
            </w:r>
            <w:r w:rsidRPr="009B1A37">
              <w:rPr>
                <w:rFonts w:ascii="Symbol" w:hAnsi="Symbol"/>
                <w:color w:val="000000"/>
                <w:sz w:val="22"/>
                <w:szCs w:val="22"/>
                <w:lang w:val="cs-CZ"/>
              </w:rPr>
              <w:t></w:t>
            </w:r>
            <w:r w:rsidRPr="009B1A37">
              <w:rPr>
                <w:rFonts w:ascii="Times New Roman" w:hAnsi="Times New Roman" w:cs="Times New Roman"/>
                <w:color w:val="000000"/>
                <w:sz w:val="22"/>
                <w:szCs w:val="22"/>
                <w:lang w:val="cs-CZ"/>
              </w:rPr>
              <w:t> 75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/l.</w:t>
            </w:r>
          </w:p>
          <w:p w14:paraId="3199D875" w14:textId="77777777" w:rsidR="00D94F95" w:rsidRPr="009B1A37" w:rsidRDefault="00D94F95" w:rsidP="00BE3D48">
            <w:pPr>
              <w:pStyle w:val="Table"/>
              <w:keepLines w:val="0"/>
              <w:widowControl w:val="0"/>
              <w:suppressLineNumbers/>
              <w:tabs>
                <w:tab w:val="clear" w:pos="284"/>
                <w:tab w:val="clear" w:pos="567"/>
              </w:tabs>
              <w:spacing w:before="0" w:after="0"/>
              <w:ind w:left="489" w:hanging="489"/>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2.</w:t>
            </w:r>
            <w:r w:rsidRPr="009B1A37">
              <w:rPr>
                <w:rFonts w:ascii="Times New Roman" w:hAnsi="Times New Roman" w:cs="Times New Roman"/>
                <w:color w:val="000000"/>
                <w:sz w:val="22"/>
                <w:szCs w:val="22"/>
                <w:lang w:val="cs-CZ"/>
              </w:rPr>
              <w:tab/>
              <w:t xml:space="preserve">Obnovte léčbu Glivecem na úroveň předchozí dávky (tj. před </w:t>
            </w:r>
            <w:r w:rsidR="009A13EC" w:rsidRPr="009B1A37">
              <w:rPr>
                <w:rFonts w:ascii="Times New Roman" w:hAnsi="Times New Roman" w:cs="Times New Roman"/>
                <w:color w:val="000000"/>
                <w:sz w:val="22"/>
                <w:szCs w:val="22"/>
                <w:lang w:val="cs-CZ"/>
              </w:rPr>
              <w:t>zá</w:t>
            </w:r>
            <w:r w:rsidRPr="009B1A37">
              <w:rPr>
                <w:rFonts w:ascii="Times New Roman" w:hAnsi="Times New Roman" w:cs="Times New Roman"/>
                <w:color w:val="000000"/>
                <w:sz w:val="22"/>
                <w:szCs w:val="22"/>
                <w:lang w:val="cs-CZ"/>
              </w:rPr>
              <w:t>v</w:t>
            </w:r>
            <w:r w:rsidR="009A13EC" w:rsidRPr="009B1A37">
              <w:rPr>
                <w:rFonts w:ascii="Times New Roman" w:hAnsi="Times New Roman" w:cs="Times New Roman"/>
                <w:color w:val="000000"/>
                <w:sz w:val="22"/>
                <w:szCs w:val="22"/>
                <w:lang w:val="cs-CZ"/>
              </w:rPr>
              <w:t>a</w:t>
            </w:r>
            <w:r w:rsidRPr="009B1A37">
              <w:rPr>
                <w:rFonts w:ascii="Times New Roman" w:hAnsi="Times New Roman" w:cs="Times New Roman"/>
                <w:color w:val="000000"/>
                <w:sz w:val="22"/>
                <w:szCs w:val="22"/>
                <w:lang w:val="cs-CZ"/>
              </w:rPr>
              <w:t xml:space="preserve">žnými nežádoucími </w:t>
            </w:r>
            <w:r w:rsidR="009A13EC" w:rsidRPr="009B1A37">
              <w:rPr>
                <w:rFonts w:ascii="Times New Roman" w:hAnsi="Times New Roman" w:cs="Times New Roman"/>
                <w:color w:val="000000"/>
                <w:sz w:val="22"/>
                <w:szCs w:val="22"/>
                <w:lang w:val="cs-CZ"/>
              </w:rPr>
              <w:t>účinky</w:t>
            </w:r>
            <w:r w:rsidRPr="009B1A37">
              <w:rPr>
                <w:rFonts w:ascii="Times New Roman" w:hAnsi="Times New Roman" w:cs="Times New Roman"/>
                <w:color w:val="000000"/>
                <w:sz w:val="22"/>
                <w:szCs w:val="22"/>
                <w:lang w:val="cs-CZ"/>
              </w:rPr>
              <w:t>).</w:t>
            </w:r>
          </w:p>
        </w:tc>
      </w:tr>
      <w:tr w:rsidR="00D94F95" w:rsidRPr="009B1A37" w14:paraId="1F95BB1D" w14:textId="77777777" w:rsidTr="000E0B78">
        <w:trPr>
          <w:cantSplit/>
        </w:trPr>
        <w:tc>
          <w:tcPr>
            <w:tcW w:w="2376" w:type="dxa"/>
            <w:tcBorders>
              <w:top w:val="single" w:sz="4" w:space="0" w:color="000000"/>
              <w:left w:val="single" w:sz="4" w:space="0" w:color="000000"/>
              <w:bottom w:val="single" w:sz="4" w:space="0" w:color="000000"/>
            </w:tcBorders>
          </w:tcPr>
          <w:p w14:paraId="26B88AB8" w14:textId="77777777" w:rsidR="00D94F95" w:rsidRPr="009B1A37" w:rsidRDefault="00D94F95" w:rsidP="00BE3D48">
            <w:pPr>
              <w:pStyle w:val="EndnoteText"/>
              <w:widowControl w:val="0"/>
              <w:tabs>
                <w:tab w:val="clear" w:pos="567"/>
              </w:tabs>
              <w:snapToGrid w:val="0"/>
              <w:rPr>
                <w:color w:val="000000"/>
              </w:rPr>
            </w:pPr>
            <w:r w:rsidRPr="009B1A37">
              <w:rPr>
                <w:color w:val="000000"/>
              </w:rPr>
              <w:t xml:space="preserve">Chronická fáze CML, </w:t>
            </w:r>
            <w:smartTag w:uri="urn:schemas-microsoft-com:office:smarttags" w:element="stockticker">
              <w:r w:rsidRPr="009B1A37">
                <w:rPr>
                  <w:color w:val="000000"/>
                </w:rPr>
                <w:t>MDS</w:t>
              </w:r>
            </w:smartTag>
            <w:r w:rsidRPr="009B1A37">
              <w:rPr>
                <w:color w:val="000000"/>
              </w:rPr>
              <w:t>/MPD a GIST (zahajovací dávka 400 mg)</w:t>
            </w:r>
          </w:p>
          <w:p w14:paraId="10AE7E80" w14:textId="77777777" w:rsidR="00D94F95" w:rsidRPr="009B1A37" w:rsidRDefault="00D94F95" w:rsidP="00BE3D48">
            <w:pPr>
              <w:pStyle w:val="EndnoteText"/>
              <w:widowControl w:val="0"/>
              <w:tabs>
                <w:tab w:val="clear" w:pos="567"/>
              </w:tabs>
              <w:rPr>
                <w:color w:val="000000"/>
              </w:rPr>
            </w:pPr>
            <w:r w:rsidRPr="009B1A37">
              <w:rPr>
                <w:color w:val="000000"/>
              </w:rPr>
              <w:t>HES/</w:t>
            </w:r>
            <w:smartTag w:uri="urn:schemas-microsoft-com:office:smarttags" w:element="stockticker">
              <w:r w:rsidRPr="009B1A37">
                <w:rPr>
                  <w:color w:val="000000"/>
                </w:rPr>
                <w:t>CEL</w:t>
              </w:r>
            </w:smartTag>
            <w:r w:rsidRPr="009B1A37">
              <w:rPr>
                <w:color w:val="000000"/>
              </w:rPr>
              <w:t xml:space="preserve"> (</w:t>
            </w:r>
            <w:r w:rsidR="009A13EC" w:rsidRPr="009B1A37">
              <w:rPr>
                <w:color w:val="000000"/>
              </w:rPr>
              <w:t>v dávce</w:t>
            </w:r>
            <w:r w:rsidRPr="009B1A37">
              <w:rPr>
                <w:color w:val="000000"/>
              </w:rPr>
              <w:t xml:space="preserve"> 400 mg)</w:t>
            </w:r>
          </w:p>
        </w:tc>
        <w:tc>
          <w:tcPr>
            <w:tcW w:w="2400" w:type="dxa"/>
            <w:tcBorders>
              <w:top w:val="single" w:sz="4" w:space="0" w:color="000000"/>
              <w:left w:val="single" w:sz="4" w:space="0" w:color="000000"/>
              <w:bottom w:val="single" w:sz="4" w:space="0" w:color="000000"/>
            </w:tcBorders>
          </w:tcPr>
          <w:p w14:paraId="1137BD2F" w14:textId="77777777" w:rsidR="00D94F95" w:rsidRPr="009B1A37" w:rsidRDefault="00D94F95" w:rsidP="00BE3D48">
            <w:pPr>
              <w:pStyle w:val="Table"/>
              <w:keepNext w:val="0"/>
              <w:keepLines w:val="0"/>
              <w:widowControl w:val="0"/>
              <w:suppressLineNumbers/>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ANC &lt; 1,0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/l</w:t>
            </w:r>
          </w:p>
          <w:p w14:paraId="22616EE5" w14:textId="77777777" w:rsidR="00D94F95" w:rsidRPr="009B1A37" w:rsidRDefault="00D94F95" w:rsidP="00BE3D48">
            <w:pPr>
              <w:pStyle w:val="Table"/>
              <w:keepNext w:val="0"/>
              <w:keepLines w:val="0"/>
              <w:widowControl w:val="0"/>
              <w:suppressLineNumbers/>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a/nebo</w:t>
            </w:r>
          </w:p>
          <w:p w14:paraId="0EE81139" w14:textId="77777777" w:rsidR="00D94F95" w:rsidRPr="009B1A37" w:rsidRDefault="009A13EC" w:rsidP="00BE3D48">
            <w:pPr>
              <w:pStyle w:val="EndnoteText"/>
              <w:widowControl w:val="0"/>
              <w:tabs>
                <w:tab w:val="clear" w:pos="567"/>
              </w:tabs>
              <w:rPr>
                <w:color w:val="000000"/>
              </w:rPr>
            </w:pPr>
            <w:r w:rsidRPr="009B1A37">
              <w:rPr>
                <w:color w:val="000000"/>
              </w:rPr>
              <w:t>trombocyty</w:t>
            </w:r>
            <w:r w:rsidR="00D94F95" w:rsidRPr="009B1A37">
              <w:rPr>
                <w:color w:val="000000"/>
              </w:rPr>
              <w:t>&lt; 50 x 10</w:t>
            </w:r>
            <w:r w:rsidR="00D94F95" w:rsidRPr="009B1A37">
              <w:rPr>
                <w:color w:val="000000"/>
                <w:vertAlign w:val="superscript"/>
              </w:rPr>
              <w:t>9</w:t>
            </w:r>
            <w:r w:rsidR="00D94F95" w:rsidRPr="009B1A37">
              <w:rPr>
                <w:color w:val="000000"/>
              </w:rPr>
              <w:t>/l</w:t>
            </w:r>
          </w:p>
        </w:tc>
        <w:tc>
          <w:tcPr>
            <w:tcW w:w="4444" w:type="dxa"/>
            <w:tcBorders>
              <w:top w:val="single" w:sz="4" w:space="0" w:color="000000"/>
              <w:left w:val="single" w:sz="4" w:space="0" w:color="000000"/>
              <w:bottom w:val="single" w:sz="4" w:space="0" w:color="000000"/>
              <w:right w:val="single" w:sz="4" w:space="0" w:color="000000"/>
            </w:tcBorders>
          </w:tcPr>
          <w:p w14:paraId="77E97CDD" w14:textId="77777777" w:rsidR="00D94F95" w:rsidRPr="009B1A37" w:rsidRDefault="00D94F95" w:rsidP="00BE3D48">
            <w:pPr>
              <w:pStyle w:val="Table"/>
              <w:keepNext w:val="0"/>
              <w:keepLines w:val="0"/>
              <w:widowControl w:val="0"/>
              <w:suppressLineNumbers/>
              <w:tabs>
                <w:tab w:val="clear" w:pos="284"/>
                <w:tab w:val="clear" w:pos="567"/>
              </w:tabs>
              <w:snapToGrid w:val="0"/>
              <w:spacing w:before="0" w:after="0"/>
              <w:ind w:left="489" w:hanging="489"/>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1.</w:t>
            </w:r>
            <w:r w:rsidRPr="009B1A37">
              <w:rPr>
                <w:rFonts w:ascii="Times New Roman" w:hAnsi="Times New Roman" w:cs="Times New Roman"/>
                <w:color w:val="000000"/>
                <w:sz w:val="22"/>
                <w:szCs w:val="22"/>
                <w:lang w:val="cs-CZ"/>
              </w:rPr>
              <w:tab/>
              <w:t xml:space="preserve">Přerušte podávání Glivecu, dokud není ANC </w:t>
            </w:r>
            <w:r w:rsidRPr="009B1A37">
              <w:rPr>
                <w:rFonts w:ascii="Symbol" w:hAnsi="Symbol"/>
                <w:color w:val="000000"/>
                <w:sz w:val="22"/>
                <w:szCs w:val="22"/>
                <w:lang w:val="cs-CZ"/>
              </w:rPr>
              <w:t></w:t>
            </w:r>
            <w:r w:rsidRPr="009B1A37">
              <w:rPr>
                <w:rFonts w:ascii="Times New Roman" w:hAnsi="Times New Roman" w:cs="Times New Roman"/>
                <w:color w:val="000000"/>
                <w:sz w:val="22"/>
                <w:szCs w:val="22"/>
                <w:lang w:val="cs-CZ"/>
              </w:rPr>
              <w:t> 1,5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 xml:space="preserve">/l a </w:t>
            </w:r>
            <w:r w:rsidR="009A13EC" w:rsidRPr="009B1A37">
              <w:rPr>
                <w:rFonts w:ascii="Times New Roman" w:hAnsi="Times New Roman" w:cs="Times New Roman"/>
                <w:color w:val="000000"/>
                <w:sz w:val="22"/>
                <w:szCs w:val="22"/>
                <w:lang w:val="cs-CZ"/>
              </w:rPr>
              <w:t>trombocyty</w:t>
            </w:r>
            <w:r w:rsidRPr="009B1A37">
              <w:rPr>
                <w:rFonts w:ascii="Symbol" w:hAnsi="Symbol"/>
                <w:color w:val="000000"/>
                <w:sz w:val="22"/>
                <w:szCs w:val="22"/>
                <w:lang w:val="cs-CZ"/>
              </w:rPr>
              <w:t></w:t>
            </w:r>
            <w:r w:rsidRPr="009B1A37">
              <w:rPr>
                <w:rFonts w:ascii="Times New Roman" w:hAnsi="Times New Roman" w:cs="Times New Roman"/>
                <w:color w:val="000000"/>
                <w:sz w:val="22"/>
                <w:szCs w:val="22"/>
                <w:lang w:val="cs-CZ"/>
              </w:rPr>
              <w:t> 75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/l.</w:t>
            </w:r>
          </w:p>
          <w:p w14:paraId="53681D39" w14:textId="77777777" w:rsidR="00D94F95" w:rsidRPr="009B1A37" w:rsidRDefault="00D94F95" w:rsidP="00BE3D48">
            <w:pPr>
              <w:pStyle w:val="Table"/>
              <w:keepNext w:val="0"/>
              <w:keepLines w:val="0"/>
              <w:widowControl w:val="0"/>
              <w:suppressLineNumbers/>
              <w:tabs>
                <w:tab w:val="clear" w:pos="284"/>
                <w:tab w:val="clear" w:pos="567"/>
              </w:tabs>
              <w:spacing w:before="0" w:after="0"/>
              <w:ind w:left="489" w:hanging="489"/>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2.</w:t>
            </w:r>
            <w:r w:rsidRPr="009B1A37">
              <w:rPr>
                <w:rFonts w:ascii="Times New Roman" w:hAnsi="Times New Roman" w:cs="Times New Roman"/>
                <w:color w:val="000000"/>
                <w:sz w:val="22"/>
                <w:szCs w:val="22"/>
                <w:lang w:val="cs-CZ"/>
              </w:rPr>
              <w:tab/>
              <w:t xml:space="preserve">Obnovte léčbu Glivecem na úroveň předchozí dávky (tj. před </w:t>
            </w:r>
            <w:r w:rsidR="009A13EC" w:rsidRPr="009B1A37">
              <w:rPr>
                <w:rFonts w:ascii="Times New Roman" w:hAnsi="Times New Roman" w:cs="Times New Roman"/>
                <w:color w:val="000000"/>
                <w:sz w:val="22"/>
                <w:szCs w:val="22"/>
                <w:lang w:val="cs-CZ"/>
              </w:rPr>
              <w:t>zá</w:t>
            </w:r>
            <w:r w:rsidRPr="009B1A37">
              <w:rPr>
                <w:rFonts w:ascii="Times New Roman" w:hAnsi="Times New Roman" w:cs="Times New Roman"/>
                <w:color w:val="000000"/>
                <w:sz w:val="22"/>
                <w:szCs w:val="22"/>
                <w:lang w:val="cs-CZ"/>
              </w:rPr>
              <w:t>v</w:t>
            </w:r>
            <w:r w:rsidR="009A13EC" w:rsidRPr="009B1A37">
              <w:rPr>
                <w:rFonts w:ascii="Times New Roman" w:hAnsi="Times New Roman" w:cs="Times New Roman"/>
                <w:color w:val="000000"/>
                <w:sz w:val="22"/>
                <w:szCs w:val="22"/>
                <w:lang w:val="cs-CZ"/>
              </w:rPr>
              <w:t>a</w:t>
            </w:r>
            <w:r w:rsidRPr="009B1A37">
              <w:rPr>
                <w:rFonts w:ascii="Times New Roman" w:hAnsi="Times New Roman" w:cs="Times New Roman"/>
                <w:color w:val="000000"/>
                <w:sz w:val="22"/>
                <w:szCs w:val="22"/>
                <w:lang w:val="cs-CZ"/>
              </w:rPr>
              <w:t xml:space="preserve">žnými nežádoucími </w:t>
            </w:r>
            <w:r w:rsidR="009A13EC" w:rsidRPr="009B1A37">
              <w:rPr>
                <w:rFonts w:ascii="Times New Roman" w:hAnsi="Times New Roman" w:cs="Times New Roman"/>
                <w:color w:val="000000"/>
                <w:sz w:val="22"/>
                <w:szCs w:val="22"/>
                <w:lang w:val="cs-CZ"/>
              </w:rPr>
              <w:t>účinky</w:t>
            </w:r>
            <w:r w:rsidRPr="009B1A37">
              <w:rPr>
                <w:rFonts w:ascii="Times New Roman" w:hAnsi="Times New Roman" w:cs="Times New Roman"/>
                <w:color w:val="000000"/>
                <w:sz w:val="22"/>
                <w:szCs w:val="22"/>
                <w:lang w:val="cs-CZ"/>
              </w:rPr>
              <w:t>).</w:t>
            </w:r>
          </w:p>
          <w:p w14:paraId="5C36061F" w14:textId="77777777" w:rsidR="00D94F95" w:rsidRPr="009B1A37" w:rsidRDefault="00D94F95" w:rsidP="00BE3D48">
            <w:pPr>
              <w:pStyle w:val="EndnoteText"/>
              <w:widowControl w:val="0"/>
              <w:tabs>
                <w:tab w:val="clear" w:pos="567"/>
              </w:tabs>
              <w:ind w:left="489" w:hanging="489"/>
              <w:rPr>
                <w:color w:val="000000"/>
              </w:rPr>
            </w:pPr>
            <w:r w:rsidRPr="009B1A37">
              <w:rPr>
                <w:color w:val="000000"/>
              </w:rPr>
              <w:t>3.</w:t>
            </w:r>
            <w:r w:rsidRPr="009B1A37">
              <w:rPr>
                <w:color w:val="000000"/>
              </w:rPr>
              <w:tab/>
              <w:t>V případě opakování ANC &lt; 1,0 x 10</w:t>
            </w:r>
            <w:r w:rsidRPr="009B1A37">
              <w:rPr>
                <w:color w:val="000000"/>
                <w:vertAlign w:val="superscript"/>
              </w:rPr>
              <w:t>9</w:t>
            </w:r>
            <w:r w:rsidRPr="009B1A37">
              <w:rPr>
                <w:color w:val="000000"/>
              </w:rPr>
              <w:t xml:space="preserve">/l a/nebo </w:t>
            </w:r>
            <w:r w:rsidR="009A13EC" w:rsidRPr="009B1A37">
              <w:rPr>
                <w:color w:val="000000"/>
              </w:rPr>
              <w:t>trombocytů</w:t>
            </w:r>
            <w:r w:rsidRPr="009B1A37">
              <w:rPr>
                <w:color w:val="000000"/>
              </w:rPr>
              <w:t>k &lt; 50 x 10</w:t>
            </w:r>
            <w:r w:rsidRPr="009B1A37">
              <w:rPr>
                <w:color w:val="000000"/>
                <w:vertAlign w:val="superscript"/>
              </w:rPr>
              <w:t>9</w:t>
            </w:r>
            <w:r w:rsidRPr="009B1A37">
              <w:rPr>
                <w:color w:val="000000"/>
              </w:rPr>
              <w:t xml:space="preserve">/l, opakujte bod </w:t>
            </w:r>
            <w:smartTag w:uri="urn:schemas-microsoft-com:office:smarttags" w:element="metricconverter">
              <w:smartTagPr>
                <w:attr w:name="ProductID" w:val="1 a"/>
              </w:smartTagPr>
              <w:r w:rsidRPr="009B1A37">
                <w:rPr>
                  <w:color w:val="000000"/>
                </w:rPr>
                <w:t>1 a</w:t>
              </w:r>
            </w:smartTag>
            <w:r w:rsidRPr="009B1A37">
              <w:rPr>
                <w:color w:val="000000"/>
              </w:rPr>
              <w:t xml:space="preserve"> léčbu Glivecem obnovte sníženou dávkou 300 mg.</w:t>
            </w:r>
          </w:p>
        </w:tc>
      </w:tr>
      <w:tr w:rsidR="00D94F95" w:rsidRPr="009B1A37" w14:paraId="382A8725" w14:textId="77777777" w:rsidTr="000E0B78">
        <w:trPr>
          <w:cantSplit/>
        </w:trPr>
        <w:tc>
          <w:tcPr>
            <w:tcW w:w="2376" w:type="dxa"/>
            <w:tcBorders>
              <w:top w:val="single" w:sz="4" w:space="0" w:color="000000"/>
              <w:left w:val="single" w:sz="4" w:space="0" w:color="000000"/>
              <w:bottom w:val="single" w:sz="4" w:space="0" w:color="000000"/>
            </w:tcBorders>
          </w:tcPr>
          <w:p w14:paraId="4E3817EF" w14:textId="77777777" w:rsidR="00D94F95" w:rsidRPr="009B1A37" w:rsidRDefault="00D94F95" w:rsidP="00BE3D48">
            <w:pPr>
              <w:pStyle w:val="EndnoteText"/>
              <w:widowControl w:val="0"/>
              <w:tabs>
                <w:tab w:val="clear" w:pos="567"/>
              </w:tabs>
              <w:snapToGrid w:val="0"/>
              <w:rPr>
                <w:color w:val="000000"/>
              </w:rPr>
            </w:pPr>
            <w:r w:rsidRPr="009B1A37">
              <w:rPr>
                <w:color w:val="000000"/>
              </w:rPr>
              <w:t>Chronická fáze CML u dětí (dávka 340 mg/m</w:t>
            </w:r>
            <w:r w:rsidRPr="009B1A37">
              <w:rPr>
                <w:color w:val="000000"/>
                <w:vertAlign w:val="superscript"/>
              </w:rPr>
              <w:t>2</w:t>
            </w:r>
            <w:r w:rsidRPr="009B1A37">
              <w:rPr>
                <w:color w:val="000000"/>
              </w:rPr>
              <w:t>)</w:t>
            </w:r>
          </w:p>
        </w:tc>
        <w:tc>
          <w:tcPr>
            <w:tcW w:w="2400" w:type="dxa"/>
            <w:tcBorders>
              <w:top w:val="single" w:sz="4" w:space="0" w:color="000000"/>
              <w:left w:val="single" w:sz="4" w:space="0" w:color="000000"/>
              <w:bottom w:val="single" w:sz="4" w:space="0" w:color="000000"/>
            </w:tcBorders>
          </w:tcPr>
          <w:p w14:paraId="58FB01D7" w14:textId="77777777" w:rsidR="00D94F95" w:rsidRPr="009B1A37" w:rsidRDefault="00D94F95" w:rsidP="00BE3D48">
            <w:pPr>
              <w:pStyle w:val="Table"/>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ANC &lt; 1,0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/l</w:t>
            </w:r>
          </w:p>
          <w:p w14:paraId="30828307" w14:textId="77777777" w:rsidR="00D94F95" w:rsidRPr="009B1A37" w:rsidRDefault="00D94F95" w:rsidP="00BE3D48">
            <w:pPr>
              <w:pStyle w:val="Table"/>
              <w:widowControl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a/nebo</w:t>
            </w:r>
          </w:p>
          <w:p w14:paraId="19E968EE" w14:textId="77777777" w:rsidR="00D94F95" w:rsidRPr="009B1A37" w:rsidRDefault="009A13EC" w:rsidP="00BE3D48">
            <w:pPr>
              <w:pStyle w:val="Table"/>
              <w:widowControl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trombocyty</w:t>
            </w:r>
            <w:r w:rsidR="00D94F95" w:rsidRPr="009B1A37">
              <w:rPr>
                <w:rFonts w:ascii="Times New Roman" w:hAnsi="Times New Roman" w:cs="Times New Roman"/>
                <w:color w:val="000000"/>
                <w:sz w:val="22"/>
                <w:szCs w:val="22"/>
                <w:lang w:val="cs-CZ"/>
              </w:rPr>
              <w:t>&lt; 50 x 10</w:t>
            </w:r>
            <w:r w:rsidR="00D94F95" w:rsidRPr="009B1A37">
              <w:rPr>
                <w:rFonts w:ascii="Times New Roman" w:hAnsi="Times New Roman" w:cs="Times New Roman"/>
                <w:color w:val="000000"/>
                <w:sz w:val="22"/>
                <w:szCs w:val="22"/>
                <w:vertAlign w:val="superscript"/>
                <w:lang w:val="cs-CZ"/>
              </w:rPr>
              <w:t>9</w:t>
            </w:r>
            <w:r w:rsidR="00D94F95" w:rsidRPr="009B1A37">
              <w:rPr>
                <w:rFonts w:ascii="Times New Roman" w:hAnsi="Times New Roman" w:cs="Times New Roman"/>
                <w:color w:val="000000"/>
                <w:sz w:val="22"/>
                <w:szCs w:val="22"/>
                <w:lang w:val="cs-CZ"/>
              </w:rPr>
              <w:t>/l</w:t>
            </w:r>
          </w:p>
          <w:p w14:paraId="2A6B2D95" w14:textId="77777777" w:rsidR="00D94F95" w:rsidRPr="009B1A37" w:rsidRDefault="00D94F95" w:rsidP="00BE3D48">
            <w:pPr>
              <w:pStyle w:val="Table"/>
              <w:keepNext w:val="0"/>
              <w:keepLines w:val="0"/>
              <w:widowControl w:val="0"/>
              <w:suppressLineNumbers/>
              <w:spacing w:before="0" w:after="0"/>
              <w:rPr>
                <w:rFonts w:ascii="Times New Roman" w:hAnsi="Times New Roman" w:cs="Times New Roman"/>
                <w:color w:val="000000"/>
                <w:sz w:val="22"/>
                <w:szCs w:val="22"/>
                <w:lang w:val="cs-CZ"/>
              </w:rPr>
            </w:pPr>
          </w:p>
        </w:tc>
        <w:tc>
          <w:tcPr>
            <w:tcW w:w="4444" w:type="dxa"/>
            <w:tcBorders>
              <w:top w:val="single" w:sz="4" w:space="0" w:color="000000"/>
              <w:left w:val="single" w:sz="4" w:space="0" w:color="000000"/>
              <w:bottom w:val="single" w:sz="4" w:space="0" w:color="000000"/>
              <w:right w:val="single" w:sz="4" w:space="0" w:color="000000"/>
            </w:tcBorders>
          </w:tcPr>
          <w:p w14:paraId="6CC06CAA" w14:textId="77777777" w:rsidR="00D94F95" w:rsidRPr="009B1A37" w:rsidRDefault="00D94F95" w:rsidP="00BE3D48">
            <w:pPr>
              <w:pStyle w:val="Table"/>
              <w:keepNext w:val="0"/>
              <w:keepLines w:val="0"/>
              <w:widowControl w:val="0"/>
              <w:suppressLineNumbers/>
              <w:tabs>
                <w:tab w:val="clear" w:pos="284"/>
                <w:tab w:val="clear" w:pos="567"/>
              </w:tabs>
              <w:snapToGrid w:val="0"/>
              <w:spacing w:before="0" w:after="0"/>
              <w:ind w:left="489" w:hanging="489"/>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1.</w:t>
            </w:r>
            <w:r w:rsidRPr="009B1A37">
              <w:rPr>
                <w:rFonts w:ascii="Times New Roman" w:hAnsi="Times New Roman" w:cs="Times New Roman"/>
                <w:color w:val="000000"/>
                <w:sz w:val="22"/>
                <w:szCs w:val="22"/>
                <w:lang w:val="cs-CZ"/>
              </w:rPr>
              <w:tab/>
              <w:t xml:space="preserve">Přerušte podávání Glivecu, dokud není ANC </w:t>
            </w:r>
            <w:r w:rsidRPr="009B1A37">
              <w:rPr>
                <w:rFonts w:ascii="Symbol" w:hAnsi="Symbol"/>
                <w:color w:val="000000"/>
                <w:sz w:val="22"/>
                <w:szCs w:val="22"/>
                <w:lang w:val="cs-CZ"/>
              </w:rPr>
              <w:t></w:t>
            </w:r>
            <w:r w:rsidRPr="009B1A37">
              <w:rPr>
                <w:rFonts w:ascii="Times New Roman" w:hAnsi="Times New Roman" w:cs="Times New Roman"/>
                <w:color w:val="000000"/>
                <w:sz w:val="22"/>
                <w:szCs w:val="22"/>
                <w:lang w:val="cs-CZ"/>
              </w:rPr>
              <w:t> 1,5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 xml:space="preserve">/l a </w:t>
            </w:r>
            <w:r w:rsidR="009A13EC" w:rsidRPr="009B1A37">
              <w:rPr>
                <w:rFonts w:ascii="Times New Roman" w:hAnsi="Times New Roman" w:cs="Times New Roman"/>
                <w:color w:val="000000"/>
                <w:sz w:val="22"/>
                <w:szCs w:val="22"/>
                <w:lang w:val="cs-CZ"/>
              </w:rPr>
              <w:t>trombocyty</w:t>
            </w:r>
            <w:r w:rsidRPr="009B1A37">
              <w:rPr>
                <w:rFonts w:ascii="Symbol" w:hAnsi="Symbol"/>
                <w:color w:val="000000"/>
                <w:sz w:val="22"/>
                <w:szCs w:val="22"/>
                <w:lang w:val="cs-CZ"/>
              </w:rPr>
              <w:t></w:t>
            </w:r>
            <w:r w:rsidRPr="009B1A37">
              <w:rPr>
                <w:rFonts w:ascii="Times New Roman" w:hAnsi="Times New Roman" w:cs="Times New Roman"/>
                <w:color w:val="000000"/>
                <w:sz w:val="22"/>
                <w:szCs w:val="22"/>
                <w:lang w:val="cs-CZ"/>
              </w:rPr>
              <w:t> 75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/l.</w:t>
            </w:r>
          </w:p>
          <w:p w14:paraId="2D15B729" w14:textId="77777777" w:rsidR="00D94F95" w:rsidRPr="009B1A37" w:rsidRDefault="00D94F95" w:rsidP="00BE3D48">
            <w:pPr>
              <w:pStyle w:val="Table"/>
              <w:keepNext w:val="0"/>
              <w:keepLines w:val="0"/>
              <w:widowControl w:val="0"/>
              <w:suppressLineNumbers/>
              <w:tabs>
                <w:tab w:val="clear" w:pos="284"/>
                <w:tab w:val="clear" w:pos="567"/>
              </w:tabs>
              <w:spacing w:before="0" w:after="0"/>
              <w:ind w:left="489" w:hanging="489"/>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2.</w:t>
            </w:r>
            <w:r w:rsidRPr="009B1A37">
              <w:rPr>
                <w:rFonts w:ascii="Times New Roman" w:hAnsi="Times New Roman" w:cs="Times New Roman"/>
                <w:color w:val="000000"/>
                <w:sz w:val="22"/>
                <w:szCs w:val="22"/>
                <w:lang w:val="cs-CZ"/>
              </w:rPr>
              <w:tab/>
              <w:t xml:space="preserve">Obnovte léčbu Glivecem na úroveň předchozí dávky (tj. před </w:t>
            </w:r>
            <w:r w:rsidR="009A13EC" w:rsidRPr="009B1A37">
              <w:rPr>
                <w:rFonts w:ascii="Times New Roman" w:hAnsi="Times New Roman" w:cs="Times New Roman"/>
                <w:color w:val="000000"/>
                <w:sz w:val="22"/>
                <w:szCs w:val="22"/>
                <w:lang w:val="cs-CZ"/>
              </w:rPr>
              <w:t>zá</w:t>
            </w:r>
            <w:r w:rsidRPr="009B1A37">
              <w:rPr>
                <w:rFonts w:ascii="Times New Roman" w:hAnsi="Times New Roman" w:cs="Times New Roman"/>
                <w:color w:val="000000"/>
                <w:sz w:val="22"/>
                <w:szCs w:val="22"/>
                <w:lang w:val="cs-CZ"/>
              </w:rPr>
              <w:t>v</w:t>
            </w:r>
            <w:r w:rsidR="009A13EC" w:rsidRPr="009B1A37">
              <w:rPr>
                <w:rFonts w:ascii="Times New Roman" w:hAnsi="Times New Roman" w:cs="Times New Roman"/>
                <w:color w:val="000000"/>
                <w:sz w:val="22"/>
                <w:szCs w:val="22"/>
                <w:lang w:val="cs-CZ"/>
              </w:rPr>
              <w:t>a</w:t>
            </w:r>
            <w:r w:rsidRPr="009B1A37">
              <w:rPr>
                <w:rFonts w:ascii="Times New Roman" w:hAnsi="Times New Roman" w:cs="Times New Roman"/>
                <w:color w:val="000000"/>
                <w:sz w:val="22"/>
                <w:szCs w:val="22"/>
                <w:lang w:val="cs-CZ"/>
              </w:rPr>
              <w:t xml:space="preserve">žnými nežádoucími </w:t>
            </w:r>
            <w:r w:rsidR="009A13EC" w:rsidRPr="009B1A37">
              <w:rPr>
                <w:rFonts w:ascii="Times New Roman" w:hAnsi="Times New Roman" w:cs="Times New Roman"/>
                <w:color w:val="000000"/>
                <w:sz w:val="22"/>
                <w:szCs w:val="22"/>
                <w:lang w:val="cs-CZ"/>
              </w:rPr>
              <w:t>účinky</w:t>
            </w:r>
            <w:r w:rsidRPr="009B1A37">
              <w:rPr>
                <w:rFonts w:ascii="Times New Roman" w:hAnsi="Times New Roman" w:cs="Times New Roman"/>
                <w:color w:val="000000"/>
                <w:sz w:val="22"/>
                <w:szCs w:val="22"/>
                <w:lang w:val="cs-CZ"/>
              </w:rPr>
              <w:t>).</w:t>
            </w:r>
          </w:p>
          <w:p w14:paraId="35206E0C" w14:textId="77777777" w:rsidR="00D94F95" w:rsidRPr="009B1A37" w:rsidRDefault="00D94F95" w:rsidP="00BE3D48">
            <w:pPr>
              <w:pStyle w:val="Table"/>
              <w:keepNext w:val="0"/>
              <w:keepLines w:val="0"/>
              <w:widowControl w:val="0"/>
              <w:suppressLineNumbers/>
              <w:tabs>
                <w:tab w:val="clear" w:pos="284"/>
                <w:tab w:val="clear" w:pos="567"/>
              </w:tabs>
              <w:spacing w:before="0" w:after="0"/>
              <w:ind w:left="489" w:hanging="489"/>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3.</w:t>
            </w:r>
            <w:r w:rsidRPr="009B1A37">
              <w:rPr>
                <w:rFonts w:ascii="Times New Roman" w:hAnsi="Times New Roman" w:cs="Times New Roman"/>
                <w:color w:val="000000"/>
                <w:sz w:val="22"/>
                <w:szCs w:val="22"/>
                <w:lang w:val="cs-CZ"/>
              </w:rPr>
              <w:tab/>
              <w:t>V případě opakování ANC &lt; 1,0 x10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 xml:space="preserve">/l a/nebo </w:t>
            </w:r>
            <w:r w:rsidR="009A13EC" w:rsidRPr="009B1A37">
              <w:rPr>
                <w:rFonts w:ascii="Times New Roman" w:hAnsi="Times New Roman" w:cs="Times New Roman"/>
                <w:color w:val="000000"/>
                <w:sz w:val="22"/>
                <w:szCs w:val="22"/>
                <w:lang w:val="cs-CZ"/>
              </w:rPr>
              <w:t>trombocytů</w:t>
            </w:r>
            <w:r w:rsidRPr="009B1A37">
              <w:rPr>
                <w:rFonts w:ascii="Times New Roman" w:hAnsi="Times New Roman" w:cs="Times New Roman"/>
                <w:color w:val="000000"/>
                <w:sz w:val="22"/>
                <w:szCs w:val="22"/>
                <w:lang w:val="cs-CZ"/>
              </w:rPr>
              <w:t>&lt; 50 x10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/l, opakujte bod 1 a léčbu Glivecem obnovte sníženou dávkou 260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w:t>
            </w:r>
          </w:p>
        </w:tc>
      </w:tr>
      <w:tr w:rsidR="00D94F95" w:rsidRPr="009B1A37" w14:paraId="42DB4FEF" w14:textId="77777777" w:rsidTr="000E0B78">
        <w:trPr>
          <w:cantSplit/>
        </w:trPr>
        <w:tc>
          <w:tcPr>
            <w:tcW w:w="2376" w:type="dxa"/>
            <w:tcBorders>
              <w:top w:val="single" w:sz="4" w:space="0" w:color="000000"/>
              <w:left w:val="single" w:sz="4" w:space="0" w:color="000000"/>
            </w:tcBorders>
          </w:tcPr>
          <w:p w14:paraId="528F668A" w14:textId="77777777" w:rsidR="00D94F95" w:rsidRPr="009B1A37" w:rsidRDefault="00D94F95" w:rsidP="00BE3D48">
            <w:pPr>
              <w:pStyle w:val="EndnoteText"/>
              <w:widowControl w:val="0"/>
              <w:tabs>
                <w:tab w:val="clear" w:pos="567"/>
              </w:tabs>
              <w:snapToGrid w:val="0"/>
              <w:rPr>
                <w:color w:val="000000"/>
              </w:rPr>
            </w:pPr>
            <w:r w:rsidRPr="009B1A37">
              <w:rPr>
                <w:color w:val="000000"/>
              </w:rPr>
              <w:t xml:space="preserve">Akcelerovaná fáze CML a blastická krize a Ph+ </w:t>
            </w:r>
            <w:smartTag w:uri="urn:schemas-microsoft-com:office:smarttags" w:element="stockticker">
              <w:r w:rsidRPr="009B1A37">
                <w:rPr>
                  <w:color w:val="000000"/>
                </w:rPr>
                <w:t>ALL</w:t>
              </w:r>
            </w:smartTag>
            <w:r w:rsidRPr="009B1A37">
              <w:rPr>
                <w:color w:val="000000"/>
              </w:rPr>
              <w:t xml:space="preserve"> (počáteční dávka 600 mg)</w:t>
            </w:r>
          </w:p>
        </w:tc>
        <w:tc>
          <w:tcPr>
            <w:tcW w:w="2400" w:type="dxa"/>
            <w:tcBorders>
              <w:top w:val="single" w:sz="4" w:space="0" w:color="000000"/>
              <w:left w:val="single" w:sz="4" w:space="0" w:color="000000"/>
            </w:tcBorders>
          </w:tcPr>
          <w:p w14:paraId="625D9CA4" w14:textId="77777777" w:rsidR="00D94F95" w:rsidRPr="009B1A37" w:rsidRDefault="00D94F95" w:rsidP="00BE3D48">
            <w:pPr>
              <w:pStyle w:val="Table"/>
              <w:keepNext w:val="0"/>
              <w:keepLines w:val="0"/>
              <w:widowControl w:val="0"/>
              <w:suppressLineNumbers/>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vertAlign w:val="superscript"/>
                <w:lang w:val="cs-CZ"/>
              </w:rPr>
              <w:t>a</w:t>
            </w:r>
            <w:r w:rsidRPr="009B1A37">
              <w:rPr>
                <w:rFonts w:ascii="Times New Roman" w:hAnsi="Times New Roman" w:cs="Times New Roman"/>
                <w:color w:val="000000"/>
                <w:sz w:val="22"/>
                <w:szCs w:val="22"/>
                <w:lang w:val="cs-CZ"/>
              </w:rPr>
              <w:t>ANC &lt; 0,5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/l</w:t>
            </w:r>
          </w:p>
          <w:p w14:paraId="3C4F179F" w14:textId="77777777" w:rsidR="00D94F95" w:rsidRPr="009B1A37" w:rsidRDefault="00D94F95" w:rsidP="00BE3D48">
            <w:pPr>
              <w:pStyle w:val="Table"/>
              <w:keepNext w:val="0"/>
              <w:keepLines w:val="0"/>
              <w:widowControl w:val="0"/>
              <w:suppressLineNumbers/>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a/nebo</w:t>
            </w:r>
          </w:p>
          <w:p w14:paraId="4149F2A6" w14:textId="77777777" w:rsidR="00D94F95" w:rsidRPr="009B1A37" w:rsidRDefault="009A13EC" w:rsidP="00BE3D48">
            <w:pPr>
              <w:pStyle w:val="EndnoteText"/>
              <w:widowControl w:val="0"/>
              <w:tabs>
                <w:tab w:val="clear" w:pos="567"/>
              </w:tabs>
              <w:rPr>
                <w:color w:val="000000"/>
              </w:rPr>
            </w:pPr>
            <w:r w:rsidRPr="009B1A37">
              <w:rPr>
                <w:color w:val="000000"/>
              </w:rPr>
              <w:t>trombocyty</w:t>
            </w:r>
            <w:r w:rsidR="00D94F95" w:rsidRPr="009B1A37">
              <w:rPr>
                <w:color w:val="000000"/>
              </w:rPr>
              <w:t>&lt; 10 x 10</w:t>
            </w:r>
            <w:r w:rsidR="00D94F95" w:rsidRPr="009B1A37">
              <w:rPr>
                <w:color w:val="000000"/>
                <w:vertAlign w:val="superscript"/>
              </w:rPr>
              <w:t>9</w:t>
            </w:r>
            <w:r w:rsidR="00D94F95" w:rsidRPr="009B1A37">
              <w:rPr>
                <w:color w:val="000000"/>
              </w:rPr>
              <w:t>/l</w:t>
            </w:r>
          </w:p>
        </w:tc>
        <w:tc>
          <w:tcPr>
            <w:tcW w:w="4444" w:type="dxa"/>
            <w:tcBorders>
              <w:top w:val="single" w:sz="4" w:space="0" w:color="000000"/>
              <w:left w:val="single" w:sz="4" w:space="0" w:color="000000"/>
              <w:right w:val="single" w:sz="4" w:space="0" w:color="000000"/>
            </w:tcBorders>
          </w:tcPr>
          <w:p w14:paraId="4CEE9382" w14:textId="77777777" w:rsidR="00D94F95" w:rsidRPr="009B1A37" w:rsidRDefault="00D94F95" w:rsidP="00BE3D48">
            <w:pPr>
              <w:pStyle w:val="Table"/>
              <w:keepNext w:val="0"/>
              <w:keepLines w:val="0"/>
              <w:widowControl w:val="0"/>
              <w:suppressLineNumbers/>
              <w:tabs>
                <w:tab w:val="clear" w:pos="284"/>
                <w:tab w:val="clear" w:pos="567"/>
              </w:tabs>
              <w:snapToGrid w:val="0"/>
              <w:spacing w:before="0" w:after="0"/>
              <w:ind w:left="489" w:hanging="489"/>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1.</w:t>
            </w:r>
            <w:r w:rsidRPr="009B1A37">
              <w:rPr>
                <w:rFonts w:ascii="Times New Roman" w:hAnsi="Times New Roman" w:cs="Times New Roman"/>
                <w:color w:val="000000"/>
                <w:sz w:val="22"/>
                <w:szCs w:val="22"/>
                <w:lang w:val="cs-CZ"/>
              </w:rPr>
              <w:tab/>
              <w:t>Zjistěte, zda cytopenie souvisí s leukemií (aspirací kostní dřeně nebo biopsií).</w:t>
            </w:r>
          </w:p>
          <w:p w14:paraId="779DCDD2" w14:textId="77777777" w:rsidR="00D94F95" w:rsidRPr="009B1A37" w:rsidRDefault="00D94F95" w:rsidP="00BE3D48">
            <w:pPr>
              <w:pStyle w:val="Table"/>
              <w:keepNext w:val="0"/>
              <w:keepLines w:val="0"/>
              <w:widowControl w:val="0"/>
              <w:suppressLineNumbers/>
              <w:tabs>
                <w:tab w:val="clear" w:pos="284"/>
                <w:tab w:val="clear" w:pos="567"/>
              </w:tabs>
              <w:spacing w:before="0" w:after="0"/>
              <w:ind w:left="489" w:hanging="489"/>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2.</w:t>
            </w:r>
            <w:r w:rsidRPr="009B1A37">
              <w:rPr>
                <w:rFonts w:ascii="Times New Roman" w:hAnsi="Times New Roman" w:cs="Times New Roman"/>
                <w:color w:val="000000"/>
                <w:sz w:val="22"/>
                <w:szCs w:val="22"/>
                <w:lang w:val="cs-CZ"/>
              </w:rPr>
              <w:tab/>
              <w:t>Pokud cytopenie nesouvisí s leukemií, snižte dávku Glivecu na 400 mg.</w:t>
            </w:r>
          </w:p>
          <w:p w14:paraId="7BEDEB32" w14:textId="77777777" w:rsidR="00D94F95" w:rsidRPr="009B1A37" w:rsidRDefault="00D94F95" w:rsidP="00BE3D48">
            <w:pPr>
              <w:pStyle w:val="Table"/>
              <w:keepNext w:val="0"/>
              <w:keepLines w:val="0"/>
              <w:widowControl w:val="0"/>
              <w:suppressLineNumbers/>
              <w:tabs>
                <w:tab w:val="clear" w:pos="284"/>
                <w:tab w:val="clear" w:pos="567"/>
              </w:tabs>
              <w:spacing w:before="0" w:after="0"/>
              <w:ind w:left="489" w:hanging="489"/>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3.</w:t>
            </w:r>
            <w:r w:rsidRPr="009B1A37">
              <w:rPr>
                <w:rFonts w:ascii="Times New Roman" w:hAnsi="Times New Roman" w:cs="Times New Roman"/>
                <w:color w:val="000000"/>
                <w:sz w:val="22"/>
                <w:szCs w:val="22"/>
                <w:lang w:val="cs-CZ"/>
              </w:rPr>
              <w:tab/>
              <w:t>Pokud cytopenie přetrvává po 2 týdny, snižte dále dávku na 300 mg.</w:t>
            </w:r>
          </w:p>
          <w:p w14:paraId="7164CB62" w14:textId="77777777" w:rsidR="00D94F95" w:rsidRPr="009B1A37" w:rsidRDefault="00D94F95" w:rsidP="00BE3D48">
            <w:pPr>
              <w:pStyle w:val="EndnoteText"/>
              <w:widowControl w:val="0"/>
              <w:tabs>
                <w:tab w:val="clear" w:pos="567"/>
              </w:tabs>
              <w:ind w:left="489" w:hanging="489"/>
              <w:rPr>
                <w:color w:val="000000"/>
              </w:rPr>
            </w:pPr>
            <w:r w:rsidRPr="009B1A37">
              <w:rPr>
                <w:color w:val="000000"/>
              </w:rPr>
              <w:t>4.</w:t>
            </w:r>
            <w:r w:rsidRPr="009B1A37">
              <w:rPr>
                <w:color w:val="000000"/>
              </w:rPr>
              <w:tab/>
              <w:t xml:space="preserve">Pokud cytopenie přetrvává po 4 týdny a stále nesouvisí s leukemií, přerušte podávání Glivecu dokud není ANC </w:t>
            </w:r>
            <w:r w:rsidRPr="009B1A37">
              <w:rPr>
                <w:rFonts w:ascii="Symbol" w:hAnsi="Symbol"/>
                <w:color w:val="000000"/>
              </w:rPr>
              <w:t></w:t>
            </w:r>
            <w:r w:rsidRPr="009B1A37">
              <w:rPr>
                <w:color w:val="000000"/>
              </w:rPr>
              <w:t> 1 x 10</w:t>
            </w:r>
            <w:r w:rsidRPr="009B1A37">
              <w:rPr>
                <w:color w:val="000000"/>
                <w:vertAlign w:val="superscript"/>
              </w:rPr>
              <w:t>9</w:t>
            </w:r>
            <w:r w:rsidRPr="009B1A37">
              <w:rPr>
                <w:color w:val="000000"/>
              </w:rPr>
              <w:t xml:space="preserve">/l a </w:t>
            </w:r>
            <w:r w:rsidR="009A13EC" w:rsidRPr="009B1A37">
              <w:rPr>
                <w:color w:val="000000"/>
              </w:rPr>
              <w:t>trombocyty</w:t>
            </w:r>
            <w:r w:rsidRPr="009B1A37">
              <w:rPr>
                <w:rFonts w:ascii="Symbol" w:hAnsi="Symbol"/>
                <w:color w:val="000000"/>
              </w:rPr>
              <w:t></w:t>
            </w:r>
            <w:r w:rsidRPr="009B1A37">
              <w:rPr>
                <w:color w:val="000000"/>
              </w:rPr>
              <w:t> 20 x 10</w:t>
            </w:r>
            <w:r w:rsidRPr="009B1A37">
              <w:rPr>
                <w:color w:val="000000"/>
                <w:vertAlign w:val="superscript"/>
              </w:rPr>
              <w:t>9</w:t>
            </w:r>
            <w:r w:rsidRPr="009B1A37">
              <w:rPr>
                <w:color w:val="000000"/>
              </w:rPr>
              <w:t>/l, potom obnovte léčbu dávkou 300 mg.</w:t>
            </w:r>
          </w:p>
        </w:tc>
      </w:tr>
      <w:tr w:rsidR="00D94F95" w:rsidRPr="009B1A37" w14:paraId="3133F15F" w14:textId="77777777" w:rsidTr="000E0B78">
        <w:trPr>
          <w:cantSplit/>
        </w:trPr>
        <w:tc>
          <w:tcPr>
            <w:tcW w:w="2376" w:type="dxa"/>
            <w:tcBorders>
              <w:top w:val="single" w:sz="4" w:space="0" w:color="000000"/>
              <w:left w:val="single" w:sz="4" w:space="0" w:color="000000"/>
            </w:tcBorders>
          </w:tcPr>
          <w:p w14:paraId="72965BDD" w14:textId="77777777" w:rsidR="00D94F95" w:rsidRPr="009B1A37" w:rsidRDefault="00D94F95" w:rsidP="00BE3D48">
            <w:pPr>
              <w:pStyle w:val="EndnoteText"/>
              <w:widowControl w:val="0"/>
              <w:tabs>
                <w:tab w:val="clear" w:pos="567"/>
              </w:tabs>
              <w:snapToGrid w:val="0"/>
              <w:rPr>
                <w:color w:val="000000"/>
              </w:rPr>
            </w:pPr>
            <w:r w:rsidRPr="009B1A37">
              <w:rPr>
                <w:color w:val="000000"/>
              </w:rPr>
              <w:t>Akcelerovaná fáze CML a blastická krize u dětí (počáteční dávka 340 mg/m</w:t>
            </w:r>
            <w:r w:rsidRPr="009B1A37">
              <w:rPr>
                <w:color w:val="000000"/>
                <w:vertAlign w:val="superscript"/>
              </w:rPr>
              <w:t>2</w:t>
            </w:r>
            <w:r w:rsidRPr="009B1A37">
              <w:rPr>
                <w:color w:val="000000"/>
              </w:rPr>
              <w:t>)</w:t>
            </w:r>
          </w:p>
        </w:tc>
        <w:tc>
          <w:tcPr>
            <w:tcW w:w="2400" w:type="dxa"/>
            <w:tcBorders>
              <w:top w:val="single" w:sz="4" w:space="0" w:color="000000"/>
              <w:left w:val="single" w:sz="4" w:space="0" w:color="000000"/>
            </w:tcBorders>
          </w:tcPr>
          <w:p w14:paraId="0D4F1789" w14:textId="77777777" w:rsidR="00D94F95" w:rsidRPr="009B1A37" w:rsidRDefault="00D94F95" w:rsidP="00BE3D48">
            <w:pPr>
              <w:pStyle w:val="Table"/>
              <w:keepNext w:val="0"/>
              <w:keepLines w:val="0"/>
              <w:widowControl w:val="0"/>
              <w:suppressLineNumbers/>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vertAlign w:val="superscript"/>
                <w:lang w:val="cs-CZ"/>
              </w:rPr>
              <w:t>a</w:t>
            </w:r>
            <w:r w:rsidRPr="009B1A37">
              <w:rPr>
                <w:rFonts w:ascii="Times New Roman" w:hAnsi="Times New Roman" w:cs="Times New Roman"/>
                <w:color w:val="000000"/>
                <w:sz w:val="22"/>
                <w:szCs w:val="22"/>
                <w:lang w:val="cs-CZ"/>
              </w:rPr>
              <w:t>ANC &lt; 0,5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/l</w:t>
            </w:r>
          </w:p>
          <w:p w14:paraId="2E46AC20" w14:textId="77777777" w:rsidR="00D94F95" w:rsidRPr="009B1A37" w:rsidRDefault="00D94F95" w:rsidP="00BE3D48">
            <w:pPr>
              <w:pStyle w:val="Table"/>
              <w:keepNext w:val="0"/>
              <w:keepLines w:val="0"/>
              <w:widowControl w:val="0"/>
              <w:suppressLineNumbers/>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a/nebo</w:t>
            </w:r>
          </w:p>
          <w:p w14:paraId="68461ACB" w14:textId="77777777" w:rsidR="00D94F95" w:rsidRPr="009B1A37" w:rsidRDefault="009A13EC" w:rsidP="00BE3D48">
            <w:pPr>
              <w:pStyle w:val="EndnoteText"/>
              <w:widowControl w:val="0"/>
              <w:tabs>
                <w:tab w:val="clear" w:pos="567"/>
              </w:tabs>
              <w:rPr>
                <w:color w:val="000000"/>
              </w:rPr>
            </w:pPr>
            <w:r w:rsidRPr="009B1A37">
              <w:rPr>
                <w:color w:val="000000"/>
              </w:rPr>
              <w:t>trombocyty</w:t>
            </w:r>
            <w:r w:rsidR="00D94F95" w:rsidRPr="009B1A37">
              <w:rPr>
                <w:color w:val="000000"/>
              </w:rPr>
              <w:t>&lt; 10 x 10</w:t>
            </w:r>
            <w:r w:rsidR="00D94F95" w:rsidRPr="009B1A37">
              <w:rPr>
                <w:color w:val="000000"/>
                <w:vertAlign w:val="superscript"/>
              </w:rPr>
              <w:t>9</w:t>
            </w:r>
            <w:r w:rsidR="00D94F95" w:rsidRPr="009B1A37">
              <w:rPr>
                <w:color w:val="000000"/>
              </w:rPr>
              <w:t>/l</w:t>
            </w:r>
          </w:p>
        </w:tc>
        <w:tc>
          <w:tcPr>
            <w:tcW w:w="4444" w:type="dxa"/>
            <w:tcBorders>
              <w:top w:val="single" w:sz="4" w:space="0" w:color="000000"/>
              <w:left w:val="single" w:sz="4" w:space="0" w:color="000000"/>
              <w:right w:val="single" w:sz="4" w:space="0" w:color="000000"/>
            </w:tcBorders>
          </w:tcPr>
          <w:p w14:paraId="647ECF69" w14:textId="77777777" w:rsidR="00D94F95" w:rsidRPr="009B1A37" w:rsidRDefault="00D94F95" w:rsidP="00BE3D48">
            <w:pPr>
              <w:pStyle w:val="Table"/>
              <w:keepNext w:val="0"/>
              <w:keepLines w:val="0"/>
              <w:widowControl w:val="0"/>
              <w:suppressLineNumbers/>
              <w:tabs>
                <w:tab w:val="clear" w:pos="284"/>
                <w:tab w:val="clear" w:pos="567"/>
              </w:tabs>
              <w:snapToGrid w:val="0"/>
              <w:spacing w:before="0" w:after="0"/>
              <w:ind w:left="489" w:hanging="489"/>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1.</w:t>
            </w:r>
            <w:r w:rsidRPr="009B1A37">
              <w:rPr>
                <w:rFonts w:ascii="Times New Roman" w:hAnsi="Times New Roman" w:cs="Times New Roman"/>
                <w:color w:val="000000"/>
                <w:sz w:val="22"/>
                <w:szCs w:val="22"/>
                <w:lang w:val="cs-CZ"/>
              </w:rPr>
              <w:tab/>
              <w:t>Zjistěte, zda cytopenie souvisí s leukemií (aspirací kostní dřeně nebo biopsií).</w:t>
            </w:r>
          </w:p>
          <w:p w14:paraId="6FE7DE09" w14:textId="77777777" w:rsidR="00D94F95" w:rsidRPr="009B1A37" w:rsidRDefault="00D94F95" w:rsidP="00BE3D48">
            <w:pPr>
              <w:pStyle w:val="Table"/>
              <w:keepNext w:val="0"/>
              <w:keepLines w:val="0"/>
              <w:widowControl w:val="0"/>
              <w:suppressLineNumbers/>
              <w:tabs>
                <w:tab w:val="clear" w:pos="284"/>
                <w:tab w:val="clear" w:pos="567"/>
              </w:tabs>
              <w:spacing w:before="0" w:after="0"/>
              <w:ind w:left="489" w:hanging="489"/>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2.</w:t>
            </w:r>
            <w:r w:rsidRPr="009B1A37">
              <w:rPr>
                <w:rFonts w:ascii="Times New Roman" w:hAnsi="Times New Roman" w:cs="Times New Roman"/>
                <w:color w:val="000000"/>
                <w:sz w:val="22"/>
                <w:szCs w:val="22"/>
                <w:lang w:val="cs-CZ"/>
              </w:rPr>
              <w:tab/>
              <w:t>Pokud cytopenie nesouvisí s leukemií, snižte dávku Glivecu na 260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w:t>
            </w:r>
          </w:p>
          <w:p w14:paraId="2D3DF8E1" w14:textId="77777777" w:rsidR="00D94F95" w:rsidRPr="009B1A37" w:rsidRDefault="00D94F95" w:rsidP="00BE3D48">
            <w:pPr>
              <w:pStyle w:val="Table"/>
              <w:keepNext w:val="0"/>
              <w:keepLines w:val="0"/>
              <w:widowControl w:val="0"/>
              <w:suppressLineNumbers/>
              <w:tabs>
                <w:tab w:val="clear" w:pos="284"/>
                <w:tab w:val="clear" w:pos="567"/>
              </w:tabs>
              <w:spacing w:before="0" w:after="0"/>
              <w:ind w:left="489" w:hanging="489"/>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3.</w:t>
            </w:r>
            <w:r w:rsidRPr="009B1A37">
              <w:rPr>
                <w:rFonts w:ascii="Times New Roman" w:hAnsi="Times New Roman" w:cs="Times New Roman"/>
                <w:color w:val="000000"/>
                <w:sz w:val="22"/>
                <w:szCs w:val="22"/>
                <w:lang w:val="cs-CZ"/>
              </w:rPr>
              <w:tab/>
              <w:t>Pokud cytopenie přetrvává po 2 týdny, snižte dále dávku na 200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w:t>
            </w:r>
          </w:p>
          <w:p w14:paraId="3D81A216" w14:textId="77777777" w:rsidR="00D94F95" w:rsidRPr="009B1A37" w:rsidRDefault="00D94F95" w:rsidP="00BE3D48">
            <w:pPr>
              <w:pStyle w:val="EndnoteText"/>
              <w:widowControl w:val="0"/>
              <w:tabs>
                <w:tab w:val="clear" w:pos="567"/>
              </w:tabs>
              <w:ind w:left="489" w:hanging="489"/>
              <w:rPr>
                <w:color w:val="000000"/>
              </w:rPr>
            </w:pPr>
            <w:r w:rsidRPr="009B1A37">
              <w:rPr>
                <w:color w:val="000000"/>
              </w:rPr>
              <w:t>4.</w:t>
            </w:r>
            <w:r w:rsidRPr="009B1A37">
              <w:rPr>
                <w:color w:val="000000"/>
              </w:rPr>
              <w:tab/>
              <w:t xml:space="preserve">Pokud cytopenie přetrvává po 4 týdny a stále nesouvisí s leukemií, přerušte podávání Glivecu, dokud není ANC </w:t>
            </w:r>
            <w:r w:rsidRPr="009B1A37">
              <w:rPr>
                <w:rFonts w:ascii="Symbol" w:hAnsi="Symbol"/>
                <w:color w:val="000000"/>
              </w:rPr>
              <w:t></w:t>
            </w:r>
            <w:r w:rsidRPr="009B1A37">
              <w:rPr>
                <w:color w:val="000000"/>
              </w:rPr>
              <w:t> 1 x 10</w:t>
            </w:r>
            <w:r w:rsidRPr="009B1A37">
              <w:rPr>
                <w:color w:val="000000"/>
                <w:vertAlign w:val="superscript"/>
              </w:rPr>
              <w:t>9</w:t>
            </w:r>
            <w:r w:rsidRPr="009B1A37">
              <w:rPr>
                <w:color w:val="000000"/>
              </w:rPr>
              <w:t xml:space="preserve">/l a </w:t>
            </w:r>
            <w:r w:rsidR="009A13EC" w:rsidRPr="009B1A37">
              <w:rPr>
                <w:color w:val="000000"/>
              </w:rPr>
              <w:t>trombocyty</w:t>
            </w:r>
            <w:r w:rsidRPr="009B1A37">
              <w:rPr>
                <w:rFonts w:ascii="Symbol" w:hAnsi="Symbol"/>
                <w:color w:val="000000"/>
              </w:rPr>
              <w:t></w:t>
            </w:r>
            <w:r w:rsidRPr="009B1A37">
              <w:rPr>
                <w:color w:val="000000"/>
              </w:rPr>
              <w:t> 20 x 10</w:t>
            </w:r>
            <w:r w:rsidRPr="009B1A37">
              <w:rPr>
                <w:color w:val="000000"/>
                <w:vertAlign w:val="superscript"/>
              </w:rPr>
              <w:t>9</w:t>
            </w:r>
            <w:r w:rsidRPr="009B1A37">
              <w:rPr>
                <w:color w:val="000000"/>
              </w:rPr>
              <w:t>/l, potom obnovte léčbu dávkou 200 mg/m</w:t>
            </w:r>
            <w:r w:rsidRPr="009B1A37">
              <w:rPr>
                <w:color w:val="000000"/>
                <w:vertAlign w:val="superscript"/>
              </w:rPr>
              <w:t>2</w:t>
            </w:r>
            <w:r w:rsidRPr="009B1A37">
              <w:rPr>
                <w:color w:val="000000"/>
              </w:rPr>
              <w:t>.</w:t>
            </w:r>
          </w:p>
        </w:tc>
      </w:tr>
      <w:tr w:rsidR="00D94F95" w:rsidRPr="009B1A37" w14:paraId="569A8FED" w14:textId="77777777" w:rsidTr="000E0B78">
        <w:trPr>
          <w:cantSplit/>
        </w:trPr>
        <w:tc>
          <w:tcPr>
            <w:tcW w:w="2376" w:type="dxa"/>
            <w:tcBorders>
              <w:top w:val="single" w:sz="4" w:space="0" w:color="000000"/>
              <w:left w:val="single" w:sz="4" w:space="0" w:color="000000"/>
            </w:tcBorders>
          </w:tcPr>
          <w:p w14:paraId="30BF9903" w14:textId="77777777" w:rsidR="00D94F95" w:rsidRPr="009B1A37" w:rsidRDefault="00D94F95" w:rsidP="00BE3D48">
            <w:pPr>
              <w:pStyle w:val="Table"/>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DFSP</w:t>
            </w:r>
          </w:p>
          <w:p w14:paraId="415DD737" w14:textId="77777777" w:rsidR="00D94F95" w:rsidRPr="009B1A37" w:rsidRDefault="00D94F95" w:rsidP="00BE3D48">
            <w:pPr>
              <w:pStyle w:val="EndnoteText"/>
              <w:widowControl w:val="0"/>
              <w:tabs>
                <w:tab w:val="clear" w:pos="567"/>
              </w:tabs>
              <w:rPr>
                <w:color w:val="000000"/>
              </w:rPr>
            </w:pPr>
            <w:r w:rsidRPr="009B1A37">
              <w:rPr>
                <w:color w:val="000000"/>
              </w:rPr>
              <w:t>(při dávce 800 mg)</w:t>
            </w:r>
          </w:p>
        </w:tc>
        <w:tc>
          <w:tcPr>
            <w:tcW w:w="2400" w:type="dxa"/>
            <w:tcBorders>
              <w:top w:val="single" w:sz="4" w:space="0" w:color="000000"/>
              <w:left w:val="single" w:sz="4" w:space="0" w:color="000000"/>
            </w:tcBorders>
          </w:tcPr>
          <w:p w14:paraId="48162BA0" w14:textId="77777777" w:rsidR="00D94F95" w:rsidRPr="009B1A37" w:rsidRDefault="00D94F95" w:rsidP="00BE3D48">
            <w:pPr>
              <w:pStyle w:val="Table"/>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ANC &lt; 1,0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/l</w:t>
            </w:r>
          </w:p>
          <w:p w14:paraId="15948061" w14:textId="77777777" w:rsidR="00D94F95" w:rsidRPr="009B1A37" w:rsidRDefault="00D94F95" w:rsidP="00BE3D48">
            <w:pPr>
              <w:pStyle w:val="Table"/>
              <w:widowControl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a/nebo</w:t>
            </w:r>
          </w:p>
          <w:p w14:paraId="7D0DC840" w14:textId="77777777" w:rsidR="00D94F95" w:rsidRPr="009B1A37" w:rsidRDefault="009A13EC" w:rsidP="00BE3D48">
            <w:pPr>
              <w:pStyle w:val="Table"/>
              <w:keepNext w:val="0"/>
              <w:keepLines w:val="0"/>
              <w:widowControl w:val="0"/>
              <w:suppressLineNumbers/>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trombocyty</w:t>
            </w:r>
            <w:r w:rsidR="00D94F95" w:rsidRPr="009B1A37">
              <w:rPr>
                <w:rFonts w:ascii="Times New Roman" w:hAnsi="Times New Roman" w:cs="Times New Roman"/>
                <w:color w:val="000000"/>
                <w:sz w:val="22"/>
                <w:szCs w:val="22"/>
                <w:lang w:val="cs-CZ"/>
              </w:rPr>
              <w:t>&lt; 50 x 10</w:t>
            </w:r>
            <w:r w:rsidR="00D94F95" w:rsidRPr="009B1A37">
              <w:rPr>
                <w:rFonts w:ascii="Times New Roman" w:hAnsi="Times New Roman" w:cs="Times New Roman"/>
                <w:color w:val="000000"/>
                <w:sz w:val="22"/>
                <w:szCs w:val="22"/>
                <w:vertAlign w:val="superscript"/>
                <w:lang w:val="cs-CZ"/>
              </w:rPr>
              <w:t>9</w:t>
            </w:r>
            <w:r w:rsidR="00D94F95" w:rsidRPr="009B1A37">
              <w:rPr>
                <w:rFonts w:ascii="Times New Roman" w:hAnsi="Times New Roman" w:cs="Times New Roman"/>
                <w:color w:val="000000"/>
                <w:sz w:val="22"/>
                <w:szCs w:val="22"/>
                <w:lang w:val="cs-CZ"/>
              </w:rPr>
              <w:t>/l</w:t>
            </w:r>
          </w:p>
        </w:tc>
        <w:tc>
          <w:tcPr>
            <w:tcW w:w="4444" w:type="dxa"/>
            <w:tcBorders>
              <w:top w:val="single" w:sz="4" w:space="0" w:color="000000"/>
              <w:left w:val="single" w:sz="4" w:space="0" w:color="000000"/>
              <w:right w:val="single" w:sz="4" w:space="0" w:color="000000"/>
            </w:tcBorders>
          </w:tcPr>
          <w:p w14:paraId="14C8363D" w14:textId="77777777" w:rsidR="00D94F95" w:rsidRPr="009B1A37" w:rsidRDefault="00D94F95" w:rsidP="00BE3D48">
            <w:pPr>
              <w:pStyle w:val="EndnoteText"/>
              <w:widowControl w:val="0"/>
              <w:tabs>
                <w:tab w:val="clear" w:pos="567"/>
                <w:tab w:val="left" w:pos="3053"/>
              </w:tabs>
              <w:snapToGrid w:val="0"/>
              <w:ind w:left="489" w:hanging="489"/>
              <w:rPr>
                <w:color w:val="000000"/>
              </w:rPr>
            </w:pPr>
            <w:r w:rsidRPr="009B1A37">
              <w:rPr>
                <w:color w:val="000000"/>
              </w:rPr>
              <w:t>1.</w:t>
            </w:r>
            <w:r w:rsidRPr="009B1A37">
              <w:rPr>
                <w:color w:val="000000"/>
              </w:rPr>
              <w:tab/>
              <w:t xml:space="preserve">Přerušte podávání Glivecu, dokud není ANC </w:t>
            </w:r>
            <w:r w:rsidRPr="009B1A37">
              <w:rPr>
                <w:rFonts w:ascii="Symbol" w:hAnsi="Symbol"/>
                <w:color w:val="000000"/>
              </w:rPr>
              <w:t></w:t>
            </w:r>
            <w:r w:rsidRPr="009B1A37">
              <w:rPr>
                <w:color w:val="000000"/>
              </w:rPr>
              <w:t> 1,5 x 10</w:t>
            </w:r>
            <w:r w:rsidRPr="009B1A37">
              <w:rPr>
                <w:color w:val="000000"/>
                <w:vertAlign w:val="superscript"/>
              </w:rPr>
              <w:t>9</w:t>
            </w:r>
            <w:r w:rsidRPr="009B1A37">
              <w:rPr>
                <w:color w:val="000000"/>
              </w:rPr>
              <w:t xml:space="preserve">/l a </w:t>
            </w:r>
            <w:r w:rsidR="009A13EC" w:rsidRPr="009B1A37">
              <w:rPr>
                <w:color w:val="000000"/>
              </w:rPr>
              <w:t>trombocyty</w:t>
            </w:r>
            <w:r w:rsidRPr="009B1A37">
              <w:rPr>
                <w:rFonts w:ascii="Symbol" w:hAnsi="Symbol"/>
                <w:color w:val="000000"/>
              </w:rPr>
              <w:t></w:t>
            </w:r>
            <w:r w:rsidRPr="009B1A37">
              <w:rPr>
                <w:color w:val="000000"/>
              </w:rPr>
              <w:t> 75 x 10</w:t>
            </w:r>
            <w:r w:rsidRPr="009B1A37">
              <w:rPr>
                <w:color w:val="000000"/>
                <w:vertAlign w:val="superscript"/>
              </w:rPr>
              <w:t>9</w:t>
            </w:r>
            <w:r w:rsidRPr="009B1A37">
              <w:rPr>
                <w:color w:val="000000"/>
              </w:rPr>
              <w:t>/l.</w:t>
            </w:r>
          </w:p>
          <w:p w14:paraId="5FD586B8" w14:textId="77777777" w:rsidR="00D94F95" w:rsidRPr="009B1A37" w:rsidRDefault="00D94F95" w:rsidP="00BE3D48">
            <w:pPr>
              <w:pStyle w:val="EndnoteText"/>
              <w:widowControl w:val="0"/>
              <w:tabs>
                <w:tab w:val="clear" w:pos="567"/>
                <w:tab w:val="left" w:pos="3053"/>
              </w:tabs>
              <w:ind w:left="489" w:hanging="489"/>
              <w:rPr>
                <w:color w:val="000000"/>
              </w:rPr>
            </w:pPr>
            <w:r w:rsidRPr="009B1A37">
              <w:rPr>
                <w:color w:val="000000"/>
              </w:rPr>
              <w:t>2.</w:t>
            </w:r>
            <w:r w:rsidRPr="009B1A37">
              <w:rPr>
                <w:color w:val="000000"/>
              </w:rPr>
              <w:tab/>
              <w:t>Obnovte léčbu Glivecem v dávce 600 mg.</w:t>
            </w:r>
          </w:p>
          <w:p w14:paraId="1D9E2267" w14:textId="77777777" w:rsidR="00D94F95" w:rsidRPr="009B1A37" w:rsidRDefault="00D94F95" w:rsidP="00BE3D48">
            <w:pPr>
              <w:pStyle w:val="Table"/>
              <w:keepNext w:val="0"/>
              <w:keepLines w:val="0"/>
              <w:widowControl w:val="0"/>
              <w:suppressLineNumbers/>
              <w:tabs>
                <w:tab w:val="clear" w:pos="284"/>
                <w:tab w:val="clear" w:pos="567"/>
                <w:tab w:val="left" w:pos="2400"/>
                <w:tab w:val="left" w:pos="3055"/>
              </w:tabs>
              <w:spacing w:before="0" w:after="0"/>
              <w:ind w:left="489" w:hanging="489"/>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3.</w:t>
            </w:r>
            <w:r w:rsidRPr="009B1A37">
              <w:rPr>
                <w:rFonts w:ascii="Times New Roman" w:hAnsi="Times New Roman" w:cs="Times New Roman"/>
                <w:color w:val="000000"/>
                <w:sz w:val="22"/>
                <w:szCs w:val="22"/>
                <w:lang w:val="cs-CZ"/>
              </w:rPr>
              <w:tab/>
              <w:t>V případě opakování ANC &lt; 1,0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 xml:space="preserve">/l a/nebo </w:t>
            </w:r>
            <w:r w:rsidR="009A13EC" w:rsidRPr="009B1A37">
              <w:rPr>
                <w:rFonts w:ascii="Times New Roman" w:hAnsi="Times New Roman" w:cs="Times New Roman"/>
                <w:color w:val="000000"/>
                <w:sz w:val="22"/>
                <w:szCs w:val="22"/>
                <w:lang w:val="cs-CZ"/>
              </w:rPr>
              <w:t>trombocytů</w:t>
            </w:r>
            <w:r w:rsidRPr="009B1A37">
              <w:rPr>
                <w:rFonts w:ascii="Times New Roman" w:hAnsi="Times New Roman" w:cs="Times New Roman"/>
                <w:color w:val="000000"/>
                <w:sz w:val="22"/>
                <w:szCs w:val="22"/>
                <w:lang w:val="cs-CZ"/>
              </w:rPr>
              <w:t>k</w:t>
            </w:r>
            <w:r w:rsidRPr="009B1A37">
              <w:rPr>
                <w:color w:val="000000"/>
                <w:lang w:val="cs-CZ"/>
              </w:rPr>
              <w:t> </w:t>
            </w:r>
            <w:r w:rsidRPr="009B1A37">
              <w:rPr>
                <w:rFonts w:ascii="Times New Roman" w:hAnsi="Times New Roman" w:cs="Times New Roman"/>
                <w:color w:val="000000"/>
                <w:sz w:val="22"/>
                <w:szCs w:val="22"/>
                <w:lang w:val="cs-CZ"/>
              </w:rPr>
              <w:t>&lt; 50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 xml:space="preserve">/l, opakujte </w:t>
            </w:r>
            <w:r w:rsidR="00A11398" w:rsidRPr="009B1A37">
              <w:rPr>
                <w:rFonts w:ascii="Times New Roman" w:hAnsi="Times New Roman" w:cs="Times New Roman"/>
                <w:color w:val="000000"/>
                <w:sz w:val="22"/>
                <w:szCs w:val="22"/>
                <w:lang w:val="cs-CZ"/>
              </w:rPr>
              <w:t>krok</w:t>
            </w:r>
            <w:r w:rsidRPr="009B1A37">
              <w:rPr>
                <w:rFonts w:ascii="Times New Roman" w:hAnsi="Times New Roman" w:cs="Times New Roman"/>
                <w:color w:val="000000"/>
                <w:sz w:val="22"/>
                <w:szCs w:val="22"/>
                <w:lang w:val="cs-CZ"/>
              </w:rPr>
              <w:t> 1 a léčbu Glivecem obnovte se sníženou dávkou 400 mg.</w:t>
            </w:r>
          </w:p>
        </w:tc>
      </w:tr>
      <w:tr w:rsidR="00D94F95" w:rsidRPr="009B1A37" w14:paraId="750DBDE6" w14:textId="77777777" w:rsidTr="000E0B78">
        <w:trPr>
          <w:cantSplit/>
        </w:trPr>
        <w:tc>
          <w:tcPr>
            <w:tcW w:w="9220" w:type="dxa"/>
            <w:gridSpan w:val="3"/>
            <w:tcBorders>
              <w:top w:val="single" w:sz="4" w:space="0" w:color="000000"/>
              <w:left w:val="single" w:sz="4" w:space="0" w:color="000000"/>
              <w:right w:val="single" w:sz="4" w:space="0" w:color="000000"/>
            </w:tcBorders>
          </w:tcPr>
          <w:p w14:paraId="02904E05" w14:textId="77777777" w:rsidR="00D94F95" w:rsidRPr="009B1A37" w:rsidRDefault="00D94F95" w:rsidP="00EB4FF7">
            <w:pPr>
              <w:pStyle w:val="EndnoteText"/>
              <w:keepNext/>
              <w:widowControl w:val="0"/>
              <w:tabs>
                <w:tab w:val="clear" w:pos="567"/>
              </w:tabs>
              <w:snapToGrid w:val="0"/>
              <w:rPr>
                <w:color w:val="000000"/>
              </w:rPr>
            </w:pPr>
            <w:r w:rsidRPr="009B1A37">
              <w:rPr>
                <w:color w:val="000000"/>
              </w:rPr>
              <w:t>ANC = absolutní počet neutrofilů</w:t>
            </w:r>
          </w:p>
        </w:tc>
      </w:tr>
      <w:tr w:rsidR="00D94F95" w:rsidRPr="009B1A37" w14:paraId="176A2F76" w14:textId="77777777" w:rsidTr="000E0B78">
        <w:trPr>
          <w:cantSplit/>
        </w:trPr>
        <w:tc>
          <w:tcPr>
            <w:tcW w:w="9220" w:type="dxa"/>
            <w:gridSpan w:val="3"/>
            <w:tcBorders>
              <w:left w:val="single" w:sz="4" w:space="0" w:color="000000"/>
              <w:bottom w:val="single" w:sz="4" w:space="0" w:color="000000"/>
              <w:right w:val="single" w:sz="4" w:space="0" w:color="000000"/>
            </w:tcBorders>
          </w:tcPr>
          <w:p w14:paraId="2B3B2794" w14:textId="77777777" w:rsidR="00D94F95" w:rsidRPr="009B1A37" w:rsidRDefault="00D94F95" w:rsidP="00BE3D48">
            <w:pPr>
              <w:pStyle w:val="EndnoteText"/>
              <w:widowControl w:val="0"/>
              <w:tabs>
                <w:tab w:val="clear" w:pos="567"/>
              </w:tabs>
              <w:snapToGrid w:val="0"/>
            </w:pPr>
            <w:r w:rsidRPr="009B1A37">
              <w:rPr>
                <w:color w:val="000000"/>
                <w:vertAlign w:val="superscript"/>
              </w:rPr>
              <w:t>a</w:t>
            </w:r>
            <w:r w:rsidRPr="009B1A37">
              <w:rPr>
                <w:color w:val="000000"/>
              </w:rPr>
              <w:t xml:space="preserve"> výskyt </w:t>
            </w:r>
            <w:r w:rsidR="00C663D2" w:rsidRPr="009B1A37">
              <w:rPr>
                <w:color w:val="000000"/>
              </w:rPr>
              <w:t xml:space="preserve">alespoň </w:t>
            </w:r>
            <w:r w:rsidRPr="009B1A37">
              <w:rPr>
                <w:color w:val="000000"/>
              </w:rPr>
              <w:t>po 1 měsíci léčby</w:t>
            </w:r>
          </w:p>
        </w:tc>
      </w:tr>
    </w:tbl>
    <w:p w14:paraId="5FAB7B69" w14:textId="77777777" w:rsidR="000C75E6" w:rsidRPr="009B1A37" w:rsidRDefault="000C75E6" w:rsidP="00BE3D48">
      <w:pPr>
        <w:pStyle w:val="EndnoteText"/>
        <w:widowControl w:val="0"/>
        <w:tabs>
          <w:tab w:val="clear" w:pos="567"/>
        </w:tabs>
      </w:pPr>
    </w:p>
    <w:p w14:paraId="50AA582A" w14:textId="77777777" w:rsidR="000C75E6" w:rsidRPr="009B1A37" w:rsidRDefault="000C75E6" w:rsidP="00BE3D48">
      <w:pPr>
        <w:pStyle w:val="EndnoteText"/>
        <w:keepNext/>
        <w:widowControl w:val="0"/>
        <w:tabs>
          <w:tab w:val="clear" w:pos="567"/>
        </w:tabs>
        <w:rPr>
          <w:u w:val="single"/>
        </w:rPr>
      </w:pPr>
      <w:r w:rsidRPr="009B1A37">
        <w:rPr>
          <w:u w:val="single"/>
        </w:rPr>
        <w:t>Zvláštní populace</w:t>
      </w:r>
    </w:p>
    <w:p w14:paraId="3205281D" w14:textId="77777777" w:rsidR="000C75E6" w:rsidRPr="009B1A37" w:rsidRDefault="00C663D2" w:rsidP="00BE3D48">
      <w:pPr>
        <w:pStyle w:val="EndnoteText"/>
        <w:widowControl w:val="0"/>
        <w:tabs>
          <w:tab w:val="clear" w:pos="567"/>
        </w:tabs>
        <w:rPr>
          <w:color w:val="000000"/>
        </w:rPr>
      </w:pPr>
      <w:r w:rsidRPr="009B1A37">
        <w:rPr>
          <w:i/>
          <w:color w:val="000000"/>
        </w:rPr>
        <w:t>Pou</w:t>
      </w:r>
      <w:r w:rsidR="000C75E6" w:rsidRPr="009B1A37">
        <w:rPr>
          <w:i/>
          <w:color w:val="000000"/>
        </w:rPr>
        <w:t>žití u dětí</w:t>
      </w:r>
      <w:r w:rsidR="000C75E6" w:rsidRPr="009B1A37">
        <w:rPr>
          <w:color w:val="000000"/>
        </w:rPr>
        <w:t xml:space="preserve">: Nejsou žádné zkušenosti s podáváním u dětí s CML mladších než 2 roky </w:t>
      </w:r>
      <w:r w:rsidR="00AD05C4" w:rsidRPr="009B1A37">
        <w:rPr>
          <w:color w:val="000000"/>
        </w:rPr>
        <w:t xml:space="preserve">a u dětí s Ph+ </w:t>
      </w:r>
      <w:smartTag w:uri="urn:schemas-microsoft-com:office:smarttags" w:element="stockticker">
        <w:r w:rsidR="00AD05C4" w:rsidRPr="009B1A37">
          <w:rPr>
            <w:color w:val="000000"/>
          </w:rPr>
          <w:t>ALL</w:t>
        </w:r>
      </w:smartTag>
      <w:r w:rsidR="00AD05C4" w:rsidRPr="009B1A37">
        <w:rPr>
          <w:color w:val="000000"/>
        </w:rPr>
        <w:t xml:space="preserve"> mladších než 1 rok </w:t>
      </w:r>
      <w:r w:rsidR="000C75E6" w:rsidRPr="009B1A37">
        <w:rPr>
          <w:color w:val="000000"/>
        </w:rPr>
        <w:t xml:space="preserve">(viz bod 5.1). </w:t>
      </w:r>
      <w:r w:rsidR="00AD05C4" w:rsidRPr="009B1A37">
        <w:rPr>
          <w:color w:val="000000"/>
        </w:rPr>
        <w:t>Z</w:t>
      </w:r>
      <w:r w:rsidR="000C75E6" w:rsidRPr="009B1A37">
        <w:rPr>
          <w:color w:val="000000"/>
        </w:rPr>
        <w:t>kušenosti u dětí s </w:t>
      </w:r>
      <w:smartTag w:uri="urn:schemas-microsoft-com:office:smarttags" w:element="stockticker">
        <w:r w:rsidR="000C75E6" w:rsidRPr="009B1A37">
          <w:rPr>
            <w:color w:val="000000"/>
          </w:rPr>
          <w:t>MDS</w:t>
        </w:r>
      </w:smartTag>
      <w:r w:rsidR="000C75E6" w:rsidRPr="009B1A37">
        <w:rPr>
          <w:color w:val="000000"/>
        </w:rPr>
        <w:t>/MPD</w:t>
      </w:r>
      <w:r w:rsidR="00C40427" w:rsidRPr="009B1A37">
        <w:rPr>
          <w:color w:val="000000"/>
        </w:rPr>
        <w:t>,</w:t>
      </w:r>
      <w:r w:rsidR="000C75E6" w:rsidRPr="009B1A37">
        <w:rPr>
          <w:color w:val="000000"/>
        </w:rPr>
        <w:t xml:space="preserve"> DFSP</w:t>
      </w:r>
      <w:r w:rsidR="00C40427" w:rsidRPr="009B1A37">
        <w:rPr>
          <w:color w:val="000000"/>
        </w:rPr>
        <w:t>, GIST a HES/</w:t>
      </w:r>
      <w:smartTag w:uri="urn:schemas-microsoft-com:office:smarttags" w:element="stockticker">
        <w:r w:rsidR="00C40427" w:rsidRPr="009B1A37">
          <w:rPr>
            <w:color w:val="000000"/>
          </w:rPr>
          <w:t>CEL</w:t>
        </w:r>
      </w:smartTag>
      <w:r w:rsidR="00C40427" w:rsidRPr="009B1A37">
        <w:rPr>
          <w:color w:val="000000"/>
        </w:rPr>
        <w:t xml:space="preserve"> </w:t>
      </w:r>
      <w:r w:rsidR="000C75E6" w:rsidRPr="009B1A37">
        <w:rPr>
          <w:color w:val="000000"/>
        </w:rPr>
        <w:t>jsou velmi omezené.</w:t>
      </w:r>
    </w:p>
    <w:p w14:paraId="0AE0A6BF" w14:textId="77777777" w:rsidR="00C40427" w:rsidRPr="009B1A37" w:rsidRDefault="00C40427" w:rsidP="00BE3D48">
      <w:pPr>
        <w:widowControl w:val="0"/>
        <w:spacing w:line="240" w:lineRule="auto"/>
        <w:rPr>
          <w:color w:val="000000"/>
        </w:rPr>
      </w:pPr>
    </w:p>
    <w:p w14:paraId="6769A86E" w14:textId="77777777" w:rsidR="00C40427" w:rsidRPr="009B1A37" w:rsidRDefault="00C40427" w:rsidP="00BE3D48">
      <w:pPr>
        <w:widowControl w:val="0"/>
        <w:spacing w:line="240" w:lineRule="auto"/>
        <w:rPr>
          <w:color w:val="000000"/>
        </w:rPr>
      </w:pPr>
      <w:r w:rsidRPr="009B1A37">
        <w:rPr>
          <w:color w:val="000000"/>
        </w:rPr>
        <w:t>Bezpečnost a účinnost imatinibu u dětí mladších než 18</w:t>
      </w:r>
      <w:r w:rsidRPr="009B1A37">
        <w:t xml:space="preserve"> let </w:t>
      </w:r>
      <w:r w:rsidRPr="009B1A37">
        <w:rPr>
          <w:color w:val="000000"/>
        </w:rPr>
        <w:t xml:space="preserve">s MDS/MPD, DFSP, GIST a HES/CEL </w:t>
      </w:r>
      <w:r w:rsidRPr="009B1A37">
        <w:t>nebyla v</w:t>
      </w:r>
      <w:r w:rsidRPr="009B1A37">
        <w:rPr>
          <w:color w:val="000000"/>
        </w:rPr>
        <w:t> klinických studiích stanovena. V současnosti dostupné publikované údaje jsou shrnuty v bodě 5.1, ale na jejich základě nelze učinit žádná doporučení ohledně dávkování.</w:t>
      </w:r>
    </w:p>
    <w:p w14:paraId="5B6F62E5" w14:textId="77777777" w:rsidR="00C40427" w:rsidRPr="009B1A37" w:rsidRDefault="00C40427" w:rsidP="00BE3D48">
      <w:pPr>
        <w:pStyle w:val="EndnoteText"/>
        <w:widowControl w:val="0"/>
        <w:tabs>
          <w:tab w:val="clear" w:pos="567"/>
        </w:tabs>
        <w:rPr>
          <w:color w:val="000000"/>
        </w:rPr>
      </w:pPr>
    </w:p>
    <w:p w14:paraId="5B31CA59" w14:textId="77777777" w:rsidR="000C75E6" w:rsidRPr="009B1A37" w:rsidRDefault="00C663D2" w:rsidP="00BE3D48">
      <w:pPr>
        <w:pStyle w:val="EndnoteText"/>
        <w:widowControl w:val="0"/>
        <w:tabs>
          <w:tab w:val="clear" w:pos="567"/>
        </w:tabs>
        <w:rPr>
          <w:color w:val="000000"/>
        </w:rPr>
      </w:pPr>
      <w:r w:rsidRPr="009B1A37">
        <w:rPr>
          <w:i/>
          <w:color w:val="000000"/>
        </w:rPr>
        <w:t>Porucha funkce jater</w:t>
      </w:r>
      <w:r w:rsidR="000C75E6" w:rsidRPr="009B1A37">
        <w:rPr>
          <w:i/>
          <w:color w:val="000000"/>
        </w:rPr>
        <w:t>:</w:t>
      </w:r>
      <w:r w:rsidR="000C75E6" w:rsidRPr="009B1A37">
        <w:rPr>
          <w:color w:val="000000"/>
        </w:rPr>
        <w:t xml:space="preserve"> Imatinib je metabolizován především játry. Pacientům s </w:t>
      </w:r>
      <w:r w:rsidRPr="009B1A37">
        <w:rPr>
          <w:color w:val="000000"/>
        </w:rPr>
        <w:t>lehkou</w:t>
      </w:r>
      <w:r w:rsidR="000C75E6" w:rsidRPr="009B1A37">
        <w:rPr>
          <w:color w:val="000000"/>
        </w:rPr>
        <w:t xml:space="preserve">, středně těžkou nebo těžkou dysfunkcí jater </w:t>
      </w:r>
      <w:r w:rsidRPr="009B1A37">
        <w:rPr>
          <w:color w:val="000000"/>
        </w:rPr>
        <w:t>má</w:t>
      </w:r>
      <w:r w:rsidR="000C75E6" w:rsidRPr="009B1A37">
        <w:rPr>
          <w:color w:val="000000"/>
        </w:rPr>
        <w:t xml:space="preserve"> být podávána minimální doporučená dávka 400 mg denně. Dávka může být snížena, pokud není tolerována (viz body 4.4, </w:t>
      </w:r>
      <w:smartTag w:uri="urn:schemas-microsoft-com:office:smarttags" w:element="metricconverter">
        <w:smartTagPr>
          <w:attr w:name="ProductID" w:val="4.8 a"/>
        </w:smartTagPr>
        <w:r w:rsidR="000C75E6" w:rsidRPr="009B1A37">
          <w:rPr>
            <w:color w:val="000000"/>
          </w:rPr>
          <w:t>4.8 a</w:t>
        </w:r>
      </w:smartTag>
      <w:r w:rsidR="000C75E6" w:rsidRPr="009B1A37">
        <w:rPr>
          <w:color w:val="000000"/>
        </w:rPr>
        <w:t xml:space="preserve"> 5.2).</w:t>
      </w:r>
    </w:p>
    <w:p w14:paraId="202CAC66" w14:textId="77777777" w:rsidR="000C75E6" w:rsidRPr="009B1A37" w:rsidRDefault="000C75E6" w:rsidP="00BE3D48">
      <w:pPr>
        <w:pStyle w:val="EndnoteText"/>
        <w:widowControl w:val="0"/>
        <w:tabs>
          <w:tab w:val="clear" w:pos="567"/>
        </w:tabs>
        <w:rPr>
          <w:color w:val="000000"/>
        </w:rPr>
      </w:pPr>
    </w:p>
    <w:p w14:paraId="6CDE8664" w14:textId="77777777" w:rsidR="000C75E6" w:rsidRPr="009B1A37" w:rsidRDefault="000C75E6" w:rsidP="00EB4FF7">
      <w:pPr>
        <w:pStyle w:val="Text"/>
        <w:keepNext/>
        <w:widowControl w:val="0"/>
        <w:spacing w:before="0"/>
        <w:jc w:val="left"/>
        <w:rPr>
          <w:color w:val="000000"/>
          <w:sz w:val="22"/>
          <w:szCs w:val="22"/>
          <w:lang w:val="cs-CZ"/>
        </w:rPr>
      </w:pPr>
      <w:r w:rsidRPr="009B1A37">
        <w:rPr>
          <w:color w:val="000000"/>
          <w:sz w:val="22"/>
          <w:szCs w:val="22"/>
          <w:lang w:val="cs-CZ"/>
        </w:rPr>
        <w:t>Klasifikace dysfunkce jater:</w:t>
      </w:r>
    </w:p>
    <w:p w14:paraId="2FD69327" w14:textId="77777777" w:rsidR="000C75E6" w:rsidRPr="009B1A37" w:rsidRDefault="000C75E6" w:rsidP="00EB4FF7">
      <w:pPr>
        <w:pStyle w:val="Text"/>
        <w:keepNext/>
        <w:widowControl w:val="0"/>
        <w:spacing w:before="0"/>
        <w:jc w:val="left"/>
        <w:rPr>
          <w:color w:val="000000"/>
          <w:sz w:val="22"/>
          <w:szCs w:val="22"/>
          <w:lang w:val="cs-CZ"/>
        </w:rPr>
      </w:pPr>
    </w:p>
    <w:tbl>
      <w:tblPr>
        <w:tblW w:w="0" w:type="auto"/>
        <w:tblInd w:w="-20" w:type="dxa"/>
        <w:tblLayout w:type="fixed"/>
        <w:tblLook w:val="0000" w:firstRow="0" w:lastRow="0" w:firstColumn="0" w:lastColumn="0" w:noHBand="0" w:noVBand="0"/>
      </w:tblPr>
      <w:tblGrid>
        <w:gridCol w:w="3369"/>
        <w:gridCol w:w="5958"/>
      </w:tblGrid>
      <w:tr w:rsidR="000C75E6" w:rsidRPr="009B1A37" w14:paraId="51F57AE2" w14:textId="77777777" w:rsidTr="00EB4FF7">
        <w:trPr>
          <w:cantSplit/>
        </w:trPr>
        <w:tc>
          <w:tcPr>
            <w:tcW w:w="3369" w:type="dxa"/>
            <w:tcBorders>
              <w:top w:val="single" w:sz="4" w:space="0" w:color="000000"/>
              <w:left w:val="single" w:sz="4" w:space="0" w:color="000000"/>
              <w:bottom w:val="single" w:sz="4" w:space="0" w:color="000000"/>
            </w:tcBorders>
          </w:tcPr>
          <w:p w14:paraId="55D81D80" w14:textId="77777777" w:rsidR="000C75E6" w:rsidRPr="009B1A37" w:rsidRDefault="000C75E6" w:rsidP="00EB4FF7">
            <w:pPr>
              <w:pStyle w:val="Text"/>
              <w:keepNext/>
              <w:widowControl w:val="0"/>
              <w:snapToGrid w:val="0"/>
              <w:spacing w:before="0"/>
              <w:jc w:val="left"/>
              <w:rPr>
                <w:color w:val="000000"/>
                <w:sz w:val="22"/>
                <w:szCs w:val="22"/>
                <w:lang w:val="cs-CZ"/>
              </w:rPr>
            </w:pPr>
            <w:r w:rsidRPr="009B1A37">
              <w:rPr>
                <w:color w:val="000000"/>
                <w:sz w:val="22"/>
                <w:szCs w:val="22"/>
                <w:lang w:val="cs-CZ"/>
              </w:rPr>
              <w:t>Dysfunkce jater</w:t>
            </w:r>
          </w:p>
        </w:tc>
        <w:tc>
          <w:tcPr>
            <w:tcW w:w="5958" w:type="dxa"/>
            <w:tcBorders>
              <w:top w:val="single" w:sz="4" w:space="0" w:color="000000"/>
              <w:left w:val="single" w:sz="4" w:space="0" w:color="000000"/>
              <w:bottom w:val="single" w:sz="4" w:space="0" w:color="000000"/>
              <w:right w:val="single" w:sz="4" w:space="0" w:color="000000"/>
            </w:tcBorders>
          </w:tcPr>
          <w:p w14:paraId="5EF0ABA3" w14:textId="77777777" w:rsidR="000C75E6" w:rsidRPr="009B1A37" w:rsidRDefault="000C75E6" w:rsidP="00EB4FF7">
            <w:pPr>
              <w:pStyle w:val="Text"/>
              <w:keepNext/>
              <w:widowControl w:val="0"/>
              <w:snapToGrid w:val="0"/>
              <w:spacing w:before="0"/>
              <w:jc w:val="left"/>
              <w:rPr>
                <w:color w:val="000000"/>
                <w:sz w:val="22"/>
                <w:szCs w:val="22"/>
                <w:lang w:val="cs-CZ"/>
              </w:rPr>
            </w:pPr>
            <w:r w:rsidRPr="009B1A37">
              <w:rPr>
                <w:color w:val="000000"/>
                <w:sz w:val="22"/>
                <w:szCs w:val="22"/>
                <w:lang w:val="cs-CZ"/>
              </w:rPr>
              <w:t>Vyšetření jaterních funkcí</w:t>
            </w:r>
          </w:p>
        </w:tc>
      </w:tr>
      <w:tr w:rsidR="000C75E6" w:rsidRPr="009B1A37" w14:paraId="112622B6" w14:textId="77777777" w:rsidTr="00EB4FF7">
        <w:trPr>
          <w:cantSplit/>
        </w:trPr>
        <w:tc>
          <w:tcPr>
            <w:tcW w:w="3369" w:type="dxa"/>
            <w:tcBorders>
              <w:top w:val="single" w:sz="4" w:space="0" w:color="000000"/>
              <w:left w:val="single" w:sz="4" w:space="0" w:color="000000"/>
              <w:bottom w:val="single" w:sz="4" w:space="0" w:color="000000"/>
            </w:tcBorders>
          </w:tcPr>
          <w:p w14:paraId="517814CE" w14:textId="77777777" w:rsidR="000C75E6" w:rsidRPr="009B1A37" w:rsidRDefault="00C663D2" w:rsidP="00EB4FF7">
            <w:pPr>
              <w:pStyle w:val="Text"/>
              <w:keepNext/>
              <w:widowControl w:val="0"/>
              <w:snapToGrid w:val="0"/>
              <w:spacing w:before="0"/>
              <w:jc w:val="left"/>
              <w:rPr>
                <w:color w:val="000000"/>
                <w:sz w:val="22"/>
                <w:szCs w:val="22"/>
                <w:lang w:val="cs-CZ"/>
              </w:rPr>
            </w:pPr>
            <w:r w:rsidRPr="009B1A37">
              <w:rPr>
                <w:color w:val="000000"/>
                <w:sz w:val="22"/>
                <w:szCs w:val="22"/>
                <w:lang w:val="cs-CZ"/>
              </w:rPr>
              <w:t>Lehká</w:t>
            </w:r>
          </w:p>
        </w:tc>
        <w:tc>
          <w:tcPr>
            <w:tcW w:w="5958" w:type="dxa"/>
            <w:tcBorders>
              <w:top w:val="single" w:sz="4" w:space="0" w:color="000000"/>
              <w:left w:val="single" w:sz="4" w:space="0" w:color="000000"/>
              <w:bottom w:val="single" w:sz="4" w:space="0" w:color="000000"/>
              <w:right w:val="single" w:sz="4" w:space="0" w:color="000000"/>
            </w:tcBorders>
          </w:tcPr>
          <w:p w14:paraId="06C30179" w14:textId="77777777" w:rsidR="000C75E6" w:rsidRPr="009B1A37" w:rsidRDefault="000C75E6" w:rsidP="00EB4FF7">
            <w:pPr>
              <w:keepNext/>
              <w:widowControl w:val="0"/>
              <w:snapToGrid w:val="0"/>
              <w:spacing w:line="240" w:lineRule="auto"/>
              <w:rPr>
                <w:color w:val="000000"/>
              </w:rPr>
            </w:pPr>
            <w:r w:rsidRPr="009B1A37">
              <w:rPr>
                <w:color w:val="000000"/>
              </w:rPr>
              <w:t>Celkový bilirubin: = 1,5 ULN</w:t>
            </w:r>
          </w:p>
          <w:p w14:paraId="021C423F" w14:textId="77777777" w:rsidR="000C75E6" w:rsidRPr="009B1A37" w:rsidRDefault="000C75E6" w:rsidP="00EB4FF7">
            <w:pPr>
              <w:pStyle w:val="Text"/>
              <w:keepNext/>
              <w:widowControl w:val="0"/>
              <w:spacing w:before="0"/>
              <w:jc w:val="left"/>
              <w:rPr>
                <w:color w:val="000000"/>
                <w:sz w:val="22"/>
                <w:szCs w:val="22"/>
                <w:lang w:val="cs-CZ"/>
              </w:rPr>
            </w:pPr>
            <w:r w:rsidRPr="009B1A37">
              <w:rPr>
                <w:color w:val="000000"/>
                <w:sz w:val="22"/>
                <w:szCs w:val="22"/>
                <w:lang w:val="cs-CZ"/>
              </w:rPr>
              <w:t>AST: &gt; ULN (může být normální nebo &lt; ULN, pokud celkový bilirubin je &gt; ULN)</w:t>
            </w:r>
          </w:p>
        </w:tc>
      </w:tr>
      <w:tr w:rsidR="000C75E6" w:rsidRPr="009B1A37" w14:paraId="67B20B33" w14:textId="77777777" w:rsidTr="00EB4FF7">
        <w:trPr>
          <w:cantSplit/>
        </w:trPr>
        <w:tc>
          <w:tcPr>
            <w:tcW w:w="3369" w:type="dxa"/>
            <w:tcBorders>
              <w:top w:val="single" w:sz="4" w:space="0" w:color="000000"/>
              <w:left w:val="single" w:sz="4" w:space="0" w:color="000000"/>
              <w:bottom w:val="single" w:sz="4" w:space="0" w:color="000000"/>
            </w:tcBorders>
          </w:tcPr>
          <w:p w14:paraId="7F0E5FF4" w14:textId="77777777" w:rsidR="000C75E6" w:rsidRPr="009B1A37" w:rsidRDefault="000C75E6" w:rsidP="00EB4FF7">
            <w:pPr>
              <w:pStyle w:val="Text"/>
              <w:keepNext/>
              <w:widowControl w:val="0"/>
              <w:snapToGrid w:val="0"/>
              <w:spacing w:before="0"/>
              <w:jc w:val="left"/>
              <w:rPr>
                <w:color w:val="000000"/>
                <w:sz w:val="22"/>
                <w:szCs w:val="22"/>
                <w:lang w:val="cs-CZ"/>
              </w:rPr>
            </w:pPr>
            <w:r w:rsidRPr="009B1A37">
              <w:rPr>
                <w:color w:val="000000"/>
                <w:sz w:val="22"/>
                <w:szCs w:val="22"/>
                <w:lang w:val="cs-CZ"/>
              </w:rPr>
              <w:t>Středně těžká</w:t>
            </w:r>
          </w:p>
        </w:tc>
        <w:tc>
          <w:tcPr>
            <w:tcW w:w="5958" w:type="dxa"/>
            <w:tcBorders>
              <w:top w:val="single" w:sz="4" w:space="0" w:color="000000"/>
              <w:left w:val="single" w:sz="4" w:space="0" w:color="000000"/>
              <w:bottom w:val="single" w:sz="4" w:space="0" w:color="000000"/>
              <w:right w:val="single" w:sz="4" w:space="0" w:color="000000"/>
            </w:tcBorders>
          </w:tcPr>
          <w:p w14:paraId="6584218E" w14:textId="77777777" w:rsidR="000C75E6" w:rsidRPr="009B1A37" w:rsidRDefault="000C75E6" w:rsidP="00EB4FF7">
            <w:pPr>
              <w:keepNext/>
              <w:widowControl w:val="0"/>
              <w:spacing w:line="240" w:lineRule="auto"/>
              <w:rPr>
                <w:snapToGrid w:val="0"/>
                <w:color w:val="000000"/>
              </w:rPr>
            </w:pPr>
            <w:r w:rsidRPr="009B1A37">
              <w:rPr>
                <w:snapToGrid w:val="0"/>
                <w:color w:val="000000"/>
              </w:rPr>
              <w:t>Celkový bilirubin: &gt; 1,5</w:t>
            </w:r>
            <w:r w:rsidRPr="009B1A37">
              <w:rPr>
                <w:color w:val="000000"/>
              </w:rPr>
              <w:t>–</w:t>
            </w:r>
            <w:r w:rsidRPr="009B1A37">
              <w:rPr>
                <w:snapToGrid w:val="0"/>
                <w:color w:val="000000"/>
              </w:rPr>
              <w:t>3,0 ULN</w:t>
            </w:r>
          </w:p>
          <w:p w14:paraId="19081FA0" w14:textId="77777777" w:rsidR="000C75E6" w:rsidRPr="009B1A37" w:rsidRDefault="000C75E6" w:rsidP="00EB4FF7">
            <w:pPr>
              <w:keepNext/>
              <w:widowControl w:val="0"/>
              <w:snapToGrid w:val="0"/>
              <w:spacing w:line="240" w:lineRule="auto"/>
              <w:rPr>
                <w:color w:val="000000"/>
              </w:rPr>
            </w:pPr>
            <w:r w:rsidRPr="009B1A37">
              <w:rPr>
                <w:snapToGrid w:val="0"/>
                <w:color w:val="000000"/>
              </w:rPr>
              <w:t>AST: jakákoliv</w:t>
            </w:r>
          </w:p>
        </w:tc>
      </w:tr>
      <w:tr w:rsidR="000C75E6" w:rsidRPr="009B1A37" w14:paraId="61B25A6B" w14:textId="77777777" w:rsidTr="00EB4FF7">
        <w:trPr>
          <w:cantSplit/>
        </w:trPr>
        <w:tc>
          <w:tcPr>
            <w:tcW w:w="3369" w:type="dxa"/>
            <w:tcBorders>
              <w:top w:val="single" w:sz="4" w:space="0" w:color="000000"/>
              <w:left w:val="single" w:sz="4" w:space="0" w:color="000000"/>
              <w:bottom w:val="single" w:sz="4" w:space="0" w:color="000000"/>
            </w:tcBorders>
          </w:tcPr>
          <w:p w14:paraId="346487B5" w14:textId="77777777" w:rsidR="000C75E6" w:rsidRPr="009B1A37" w:rsidRDefault="000C75E6" w:rsidP="00EB4FF7">
            <w:pPr>
              <w:pStyle w:val="Text"/>
              <w:keepNext/>
              <w:widowControl w:val="0"/>
              <w:snapToGrid w:val="0"/>
              <w:spacing w:before="0"/>
              <w:jc w:val="left"/>
              <w:rPr>
                <w:color w:val="000000"/>
                <w:lang w:val="cs-CZ"/>
              </w:rPr>
            </w:pPr>
            <w:r w:rsidRPr="009B1A37">
              <w:rPr>
                <w:color w:val="000000"/>
                <w:sz w:val="22"/>
                <w:szCs w:val="22"/>
                <w:lang w:val="cs-CZ"/>
              </w:rPr>
              <w:t>Těžká</w:t>
            </w:r>
          </w:p>
        </w:tc>
        <w:tc>
          <w:tcPr>
            <w:tcW w:w="5958" w:type="dxa"/>
            <w:tcBorders>
              <w:top w:val="single" w:sz="4" w:space="0" w:color="000000"/>
              <w:left w:val="single" w:sz="4" w:space="0" w:color="000000"/>
              <w:bottom w:val="single" w:sz="4" w:space="0" w:color="000000"/>
              <w:right w:val="single" w:sz="4" w:space="0" w:color="000000"/>
            </w:tcBorders>
          </w:tcPr>
          <w:p w14:paraId="0FB6FEFA" w14:textId="77777777" w:rsidR="000C75E6" w:rsidRPr="009B1A37" w:rsidRDefault="000C75E6" w:rsidP="00EB4FF7">
            <w:pPr>
              <w:keepNext/>
              <w:widowControl w:val="0"/>
              <w:snapToGrid w:val="0"/>
              <w:spacing w:line="240" w:lineRule="auto"/>
              <w:rPr>
                <w:color w:val="000000"/>
              </w:rPr>
            </w:pPr>
            <w:r w:rsidRPr="009B1A37">
              <w:rPr>
                <w:color w:val="000000"/>
              </w:rPr>
              <w:t>Celkový bilirubin: &gt; 3–10 ULN</w:t>
            </w:r>
          </w:p>
          <w:p w14:paraId="7A607696" w14:textId="77777777" w:rsidR="000C75E6" w:rsidRPr="009B1A37" w:rsidRDefault="000C75E6" w:rsidP="00EB4FF7">
            <w:pPr>
              <w:pStyle w:val="Text"/>
              <w:keepNext/>
              <w:widowControl w:val="0"/>
              <w:spacing w:before="0"/>
              <w:jc w:val="left"/>
              <w:rPr>
                <w:color w:val="000000"/>
                <w:sz w:val="22"/>
                <w:szCs w:val="22"/>
                <w:lang w:val="cs-CZ"/>
              </w:rPr>
            </w:pPr>
            <w:r w:rsidRPr="009B1A37">
              <w:rPr>
                <w:color w:val="000000"/>
                <w:sz w:val="22"/>
                <w:szCs w:val="22"/>
                <w:lang w:val="cs-CZ"/>
              </w:rPr>
              <w:t>AST: jakákoliv</w:t>
            </w:r>
          </w:p>
        </w:tc>
      </w:tr>
    </w:tbl>
    <w:p w14:paraId="12439384" w14:textId="77777777" w:rsidR="000C75E6" w:rsidRPr="009B1A37" w:rsidRDefault="000C75E6" w:rsidP="00EB4FF7">
      <w:pPr>
        <w:pStyle w:val="Text"/>
        <w:keepNext/>
        <w:widowControl w:val="0"/>
        <w:spacing w:before="0"/>
        <w:jc w:val="left"/>
        <w:rPr>
          <w:color w:val="000000"/>
          <w:sz w:val="22"/>
          <w:szCs w:val="22"/>
          <w:lang w:val="cs-CZ"/>
        </w:rPr>
      </w:pPr>
      <w:r w:rsidRPr="009B1A37">
        <w:rPr>
          <w:color w:val="000000"/>
          <w:sz w:val="22"/>
          <w:szCs w:val="22"/>
          <w:lang w:val="cs-CZ"/>
        </w:rPr>
        <w:t>ULN = horní hranice normy</w:t>
      </w:r>
    </w:p>
    <w:p w14:paraId="457EDDDC" w14:textId="77777777" w:rsidR="000C75E6" w:rsidRPr="009B1A37" w:rsidRDefault="000C75E6" w:rsidP="00EB4FF7">
      <w:pPr>
        <w:widowControl w:val="0"/>
        <w:autoSpaceDE w:val="0"/>
        <w:spacing w:line="240" w:lineRule="auto"/>
        <w:ind w:left="992" w:hanging="992"/>
        <w:rPr>
          <w:color w:val="000000"/>
        </w:rPr>
      </w:pPr>
      <w:r w:rsidRPr="009B1A37">
        <w:rPr>
          <w:rFonts w:eastAsia="MS Mincho"/>
          <w:color w:val="000000"/>
        </w:rPr>
        <w:t xml:space="preserve">AST = </w:t>
      </w:r>
      <w:r w:rsidRPr="009B1A37">
        <w:rPr>
          <w:color w:val="000000"/>
        </w:rPr>
        <w:t>aspartátaminotransferáza</w:t>
      </w:r>
    </w:p>
    <w:p w14:paraId="2F120F86" w14:textId="77777777" w:rsidR="000C75E6" w:rsidRPr="009B1A37" w:rsidRDefault="000C75E6" w:rsidP="00BE3D48">
      <w:pPr>
        <w:pStyle w:val="EndnoteText"/>
        <w:widowControl w:val="0"/>
        <w:tabs>
          <w:tab w:val="clear" w:pos="567"/>
        </w:tabs>
        <w:rPr>
          <w:color w:val="000000"/>
        </w:rPr>
      </w:pPr>
    </w:p>
    <w:p w14:paraId="62EA4FE9" w14:textId="77777777" w:rsidR="000C75E6" w:rsidRPr="009B1A37" w:rsidRDefault="00C663D2" w:rsidP="00BE3D48">
      <w:pPr>
        <w:pStyle w:val="EndnoteText"/>
        <w:widowControl w:val="0"/>
        <w:tabs>
          <w:tab w:val="clear" w:pos="567"/>
        </w:tabs>
        <w:rPr>
          <w:color w:val="000000"/>
        </w:rPr>
      </w:pPr>
      <w:r w:rsidRPr="009B1A37">
        <w:rPr>
          <w:i/>
          <w:color w:val="000000"/>
        </w:rPr>
        <w:t>Porucha funkce jater</w:t>
      </w:r>
      <w:r w:rsidR="000C75E6" w:rsidRPr="009B1A37">
        <w:rPr>
          <w:i/>
          <w:color w:val="000000"/>
        </w:rPr>
        <w:t>:</w:t>
      </w:r>
      <w:r w:rsidR="000C75E6" w:rsidRPr="009B1A37">
        <w:rPr>
          <w:color w:val="000000"/>
        </w:rPr>
        <w:t xml:space="preserve"> U pacientů s dysfunkcí ledvin nebo u dialyzovaných pacientů má být použita počáteční minimální dávka 400 mg denně. U těchto pacientů se však doporučuje opatrnost. Pokud dávka není tolerována, může být snížena. Pokud je tolerována, může být v případě nedostatečné účinnosti zvýšena (viz bod</w:t>
      </w:r>
      <w:r w:rsidRPr="009B1A37">
        <w:rPr>
          <w:color w:val="000000"/>
        </w:rPr>
        <w:t>y</w:t>
      </w:r>
      <w:r w:rsidR="000C75E6" w:rsidRPr="009B1A37">
        <w:rPr>
          <w:color w:val="000000"/>
        </w:rPr>
        <w:t xml:space="preserve"> </w:t>
      </w:r>
      <w:smartTag w:uri="urn:schemas-microsoft-com:office:smarttags" w:element="metricconverter">
        <w:smartTagPr>
          <w:attr w:name="ProductID" w:val="4.4 a"/>
        </w:smartTagPr>
        <w:r w:rsidR="000C75E6" w:rsidRPr="009B1A37">
          <w:rPr>
            <w:color w:val="000000"/>
          </w:rPr>
          <w:t>4.4 a</w:t>
        </w:r>
      </w:smartTag>
      <w:r w:rsidR="000C75E6" w:rsidRPr="009B1A37">
        <w:rPr>
          <w:color w:val="000000"/>
        </w:rPr>
        <w:t xml:space="preserve"> 5.2).</w:t>
      </w:r>
    </w:p>
    <w:p w14:paraId="52087B61" w14:textId="77777777" w:rsidR="000C75E6" w:rsidRPr="009B1A37" w:rsidRDefault="000C75E6" w:rsidP="00BE3D48">
      <w:pPr>
        <w:pStyle w:val="EndnoteText"/>
        <w:widowControl w:val="0"/>
        <w:tabs>
          <w:tab w:val="clear" w:pos="567"/>
        </w:tabs>
        <w:rPr>
          <w:color w:val="000000"/>
        </w:rPr>
      </w:pPr>
    </w:p>
    <w:p w14:paraId="2A721AFF" w14:textId="77777777" w:rsidR="000C75E6" w:rsidRPr="009B1A37" w:rsidRDefault="000C75E6" w:rsidP="00BE3D48">
      <w:pPr>
        <w:pStyle w:val="EndnoteText"/>
        <w:widowControl w:val="0"/>
        <w:tabs>
          <w:tab w:val="clear" w:pos="567"/>
        </w:tabs>
        <w:rPr>
          <w:color w:val="000000"/>
        </w:rPr>
      </w:pPr>
      <w:r w:rsidRPr="009B1A37">
        <w:rPr>
          <w:i/>
          <w:color w:val="000000"/>
        </w:rPr>
        <w:t xml:space="preserve">Starší </w:t>
      </w:r>
      <w:r w:rsidR="00C663D2" w:rsidRPr="009B1A37">
        <w:rPr>
          <w:i/>
          <w:color w:val="000000"/>
        </w:rPr>
        <w:t>pacienti</w:t>
      </w:r>
      <w:r w:rsidRPr="009B1A37">
        <w:rPr>
          <w:i/>
          <w:color w:val="000000"/>
        </w:rPr>
        <w:t>:</w:t>
      </w:r>
      <w:r w:rsidRPr="009B1A37">
        <w:rPr>
          <w:color w:val="000000"/>
        </w:rPr>
        <w:t xml:space="preserve"> U starších </w:t>
      </w:r>
      <w:r w:rsidR="00C663D2" w:rsidRPr="009B1A37">
        <w:rPr>
          <w:color w:val="000000"/>
        </w:rPr>
        <w:t>pacientů</w:t>
      </w:r>
      <w:r w:rsidRPr="009B1A37">
        <w:rPr>
          <w:color w:val="000000"/>
        </w:rPr>
        <w:t xml:space="preserve"> nebyla farmakokinetika imatinibu cíleně studována. V klinických studiích, které zahrnovaly 20</w:t>
      </w:r>
      <w:r w:rsidR="004B270C" w:rsidRPr="009B1A37">
        <w:rPr>
          <w:color w:val="000000"/>
        </w:rPr>
        <w:t> </w:t>
      </w:r>
      <w:r w:rsidRPr="009B1A37">
        <w:rPr>
          <w:color w:val="000000"/>
        </w:rPr>
        <w:t xml:space="preserve">% pacientů ve věku 65 let a starších, nebyly u dospělých pacientů pozorovány významné rozdíly ve farmakokinetice v závislosti na věku. U starších </w:t>
      </w:r>
      <w:r w:rsidR="00C663D2" w:rsidRPr="009B1A37">
        <w:rPr>
          <w:color w:val="000000"/>
        </w:rPr>
        <w:t>pacientů</w:t>
      </w:r>
      <w:r w:rsidRPr="009B1A37">
        <w:rPr>
          <w:color w:val="000000"/>
        </w:rPr>
        <w:t xml:space="preserve"> není nutné doporučovat zvláštní dávkování.</w:t>
      </w:r>
    </w:p>
    <w:p w14:paraId="76826B8B" w14:textId="77777777" w:rsidR="000C75E6" w:rsidRPr="009B1A37" w:rsidRDefault="000C75E6" w:rsidP="00BE3D48">
      <w:pPr>
        <w:pStyle w:val="EndnoteText"/>
        <w:widowControl w:val="0"/>
        <w:tabs>
          <w:tab w:val="clear" w:pos="567"/>
        </w:tabs>
        <w:rPr>
          <w:color w:val="000000"/>
        </w:rPr>
      </w:pPr>
    </w:p>
    <w:p w14:paraId="0464BB92" w14:textId="77777777" w:rsidR="00EA5993" w:rsidRPr="009B1A37" w:rsidRDefault="00EA5993" w:rsidP="00BE3D48">
      <w:pPr>
        <w:keepNext/>
        <w:widowControl w:val="0"/>
        <w:tabs>
          <w:tab w:val="clear" w:pos="567"/>
        </w:tabs>
        <w:spacing w:line="240" w:lineRule="auto"/>
        <w:ind w:left="567" w:hanging="567"/>
        <w:rPr>
          <w:b/>
          <w:bCs/>
          <w:color w:val="000000"/>
        </w:rPr>
      </w:pPr>
      <w:r w:rsidRPr="009B1A37">
        <w:rPr>
          <w:b/>
          <w:bCs/>
          <w:color w:val="000000"/>
        </w:rPr>
        <w:t>4.3</w:t>
      </w:r>
      <w:r w:rsidRPr="009B1A37">
        <w:rPr>
          <w:b/>
          <w:bCs/>
          <w:color w:val="000000"/>
        </w:rPr>
        <w:tab/>
        <w:t>Kontraindikace</w:t>
      </w:r>
    </w:p>
    <w:p w14:paraId="277C7E1F" w14:textId="77777777" w:rsidR="00EA5993" w:rsidRPr="009B1A37" w:rsidRDefault="00EA5993" w:rsidP="00BE3D48">
      <w:pPr>
        <w:pStyle w:val="EndnoteText"/>
        <w:keepNext/>
        <w:widowControl w:val="0"/>
        <w:tabs>
          <w:tab w:val="clear" w:pos="567"/>
        </w:tabs>
        <w:rPr>
          <w:color w:val="000000"/>
        </w:rPr>
      </w:pPr>
    </w:p>
    <w:p w14:paraId="6DFF39EF" w14:textId="77777777" w:rsidR="00EA5993" w:rsidRPr="009B1A37" w:rsidRDefault="00EA5993" w:rsidP="00BE3D48">
      <w:pPr>
        <w:pStyle w:val="EndnoteText"/>
        <w:widowControl w:val="0"/>
        <w:tabs>
          <w:tab w:val="clear" w:pos="567"/>
        </w:tabs>
        <w:rPr>
          <w:color w:val="000000"/>
        </w:rPr>
      </w:pPr>
      <w:r w:rsidRPr="009B1A37">
        <w:rPr>
          <w:color w:val="000000"/>
        </w:rPr>
        <w:t>Hypersenzitivita na léčivou látku nebo na kteroukoli pomocnou látku uvedenou v bodě 6.1.</w:t>
      </w:r>
    </w:p>
    <w:p w14:paraId="735E7B62" w14:textId="77777777" w:rsidR="00EA5993" w:rsidRPr="009B1A37" w:rsidRDefault="00EA5993" w:rsidP="00BE3D48">
      <w:pPr>
        <w:pStyle w:val="EndnoteText"/>
        <w:widowControl w:val="0"/>
        <w:tabs>
          <w:tab w:val="clear" w:pos="567"/>
        </w:tabs>
        <w:rPr>
          <w:color w:val="000000"/>
        </w:rPr>
      </w:pPr>
    </w:p>
    <w:p w14:paraId="0AB05EA8" w14:textId="77777777" w:rsidR="00EA5993" w:rsidRPr="009B1A37" w:rsidRDefault="00EA5993" w:rsidP="00BE3D48">
      <w:pPr>
        <w:keepNext/>
        <w:widowControl w:val="0"/>
        <w:tabs>
          <w:tab w:val="clear" w:pos="567"/>
        </w:tabs>
        <w:spacing w:line="240" w:lineRule="auto"/>
        <w:ind w:left="567" w:hanging="567"/>
        <w:rPr>
          <w:b/>
          <w:bCs/>
          <w:color w:val="000000"/>
        </w:rPr>
      </w:pPr>
      <w:r w:rsidRPr="009B1A37">
        <w:rPr>
          <w:b/>
          <w:bCs/>
          <w:color w:val="000000"/>
        </w:rPr>
        <w:t>4.4</w:t>
      </w:r>
      <w:r w:rsidRPr="009B1A37">
        <w:rPr>
          <w:b/>
          <w:bCs/>
          <w:color w:val="000000"/>
        </w:rPr>
        <w:tab/>
        <w:t>Zvláštní upozornění a opatření pro použití</w:t>
      </w:r>
    </w:p>
    <w:p w14:paraId="2B2C16D8" w14:textId="77777777" w:rsidR="00EA5993" w:rsidRPr="009B1A37" w:rsidRDefault="00EA5993" w:rsidP="00BE3D48">
      <w:pPr>
        <w:pStyle w:val="EndnoteText"/>
        <w:keepNext/>
        <w:widowControl w:val="0"/>
        <w:tabs>
          <w:tab w:val="clear" w:pos="567"/>
        </w:tabs>
        <w:rPr>
          <w:color w:val="000000"/>
        </w:rPr>
      </w:pPr>
    </w:p>
    <w:p w14:paraId="55751EB4" w14:textId="77777777" w:rsidR="00EA5993" w:rsidRPr="009B1A37" w:rsidRDefault="00EA5993" w:rsidP="00BE3D48">
      <w:pPr>
        <w:pStyle w:val="EndnoteText"/>
        <w:widowControl w:val="0"/>
        <w:tabs>
          <w:tab w:val="clear" w:pos="567"/>
          <w:tab w:val="left" w:pos="7655"/>
        </w:tabs>
        <w:rPr>
          <w:color w:val="000000"/>
        </w:rPr>
      </w:pPr>
      <w:r w:rsidRPr="009B1A37">
        <w:rPr>
          <w:color w:val="000000"/>
        </w:rPr>
        <w:t xml:space="preserve">Pokud je Glivec podáván společně s jinými léčivými přípravky, je možné očekávat lékové interakce. </w:t>
      </w:r>
      <w:r w:rsidRPr="009B1A37">
        <w:t>Při užívání Glivecu s</w:t>
      </w:r>
      <w:r w:rsidRPr="009B1A37">
        <w:rPr>
          <w:color w:val="000000"/>
        </w:rPr>
        <w:t> inhibitory proteáz, azolovými antimykotiky, některými makrolidy (viz bod 4.5)</w:t>
      </w:r>
      <w:r w:rsidRPr="009B1A37">
        <w:t xml:space="preserve">, substráty CYP3A4 s úzkým terapeutickým </w:t>
      </w:r>
      <w:r w:rsidR="00D65C17" w:rsidRPr="009B1A37">
        <w:t>oknem</w:t>
      </w:r>
      <w:r w:rsidRPr="009B1A37">
        <w:t xml:space="preserve"> (např. cyklosporin, pimozid, takrolimus, sirolimus, ergotamin, diergotamin, fentanyl, alfentanil, terf</w:t>
      </w:r>
      <w:r w:rsidR="00D65C17" w:rsidRPr="009B1A37">
        <w:t>e</w:t>
      </w:r>
      <w:r w:rsidRPr="009B1A37">
        <w:t>nadin, bortezomib, docetaxel, chinidin) nebo warfarinem a jinými deriváty kumarinu je nutné dbát opatrnosti (viz bod 4.5).</w:t>
      </w:r>
    </w:p>
    <w:p w14:paraId="0927CF1D" w14:textId="77777777" w:rsidR="00EA5993" w:rsidRPr="009B1A37" w:rsidRDefault="00EA5993" w:rsidP="00BE3D48">
      <w:pPr>
        <w:pStyle w:val="EndnoteText"/>
        <w:widowControl w:val="0"/>
        <w:tabs>
          <w:tab w:val="clear" w:pos="567"/>
          <w:tab w:val="left" w:pos="7655"/>
        </w:tabs>
        <w:rPr>
          <w:color w:val="000000"/>
        </w:rPr>
      </w:pPr>
    </w:p>
    <w:p w14:paraId="57413857" w14:textId="77777777" w:rsidR="00EA5993" w:rsidRPr="009B1A37" w:rsidRDefault="00EA5993" w:rsidP="00BE3D48">
      <w:pPr>
        <w:pStyle w:val="EndnoteText"/>
        <w:widowControl w:val="0"/>
        <w:tabs>
          <w:tab w:val="clear" w:pos="567"/>
          <w:tab w:val="left" w:pos="7655"/>
        </w:tabs>
        <w:rPr>
          <w:color w:val="000000"/>
        </w:rPr>
      </w:pPr>
      <w:r w:rsidRPr="009B1A37">
        <w:rPr>
          <w:color w:val="000000"/>
        </w:rPr>
        <w:t xml:space="preserve">Souběžné užívání imatinibu a léčivých přípravků, které indukují CYP3A4 (např. dexamethason, fenytoin, karbamazepin, rifampicin, fenobarbital nebo </w:t>
      </w:r>
      <w:r w:rsidRPr="009B1A37">
        <w:rPr>
          <w:i/>
          <w:iCs/>
          <w:color w:val="000000"/>
        </w:rPr>
        <w:t>Hypericum perforatum</w:t>
      </w:r>
      <w:r w:rsidRPr="009B1A37">
        <w:rPr>
          <w:color w:val="000000"/>
        </w:rPr>
        <w:t xml:space="preserve">, také známé jako třezalka tečkovaná) mohou významně snižovat hladinu Glivecu a potenciálně zvyšovat riziko selhání léčby Proto se </w:t>
      </w:r>
      <w:r w:rsidR="00D65C17" w:rsidRPr="009B1A37">
        <w:rPr>
          <w:color w:val="000000"/>
        </w:rPr>
        <w:t>má</w:t>
      </w:r>
      <w:r w:rsidRPr="009B1A37">
        <w:rPr>
          <w:color w:val="000000"/>
        </w:rPr>
        <w:t xml:space="preserve"> zabránit souběžnému užívání silných induktorů CYP3A4 a imatinibu (viz bod 4.5).</w:t>
      </w:r>
    </w:p>
    <w:p w14:paraId="7C1B5345" w14:textId="77777777" w:rsidR="00EA5993" w:rsidRPr="009B1A37" w:rsidRDefault="00EA5993" w:rsidP="00BE3D48">
      <w:pPr>
        <w:pStyle w:val="EndnoteText"/>
        <w:widowControl w:val="0"/>
        <w:tabs>
          <w:tab w:val="clear" w:pos="567"/>
          <w:tab w:val="left" w:pos="7655"/>
        </w:tabs>
        <w:rPr>
          <w:color w:val="000000"/>
        </w:rPr>
      </w:pPr>
    </w:p>
    <w:p w14:paraId="3F566CF6" w14:textId="77777777" w:rsidR="00EA5993" w:rsidRPr="009B1A37" w:rsidRDefault="00EA5993" w:rsidP="00BE3D48">
      <w:pPr>
        <w:pStyle w:val="EndnoteText"/>
        <w:keepNext/>
        <w:widowControl w:val="0"/>
        <w:tabs>
          <w:tab w:val="clear" w:pos="567"/>
          <w:tab w:val="left" w:pos="7655"/>
        </w:tabs>
        <w:rPr>
          <w:color w:val="000000"/>
          <w:u w:val="single"/>
        </w:rPr>
      </w:pPr>
      <w:r w:rsidRPr="009B1A37">
        <w:rPr>
          <w:color w:val="000000"/>
          <w:u w:val="single"/>
        </w:rPr>
        <w:t>Hypotyreóza</w:t>
      </w:r>
    </w:p>
    <w:p w14:paraId="719EEC9C" w14:textId="77777777" w:rsidR="00EA5993" w:rsidRPr="009B1A37" w:rsidRDefault="00EA5993" w:rsidP="00BE3D48">
      <w:pPr>
        <w:pStyle w:val="EndnoteText"/>
        <w:widowControl w:val="0"/>
        <w:tabs>
          <w:tab w:val="clear" w:pos="567"/>
          <w:tab w:val="left" w:pos="7655"/>
        </w:tabs>
        <w:rPr>
          <w:color w:val="000000"/>
        </w:rPr>
      </w:pPr>
      <w:r w:rsidRPr="009B1A37">
        <w:rPr>
          <w:color w:val="000000"/>
        </w:rPr>
        <w:t>Během léčby Glivecem byly hlášeny klinické případy hypotyreózy u pacientů, kterým byla provedena tyreoidektomie a kteří byli substitučně léčeni levothyroxinem (viz bod 4.5). U těchto pacientů je třeba důkladně kontrolovat hladiny tyreotropního hormonu (TSH).</w:t>
      </w:r>
    </w:p>
    <w:p w14:paraId="78E8154E" w14:textId="77777777" w:rsidR="00EA5993" w:rsidRPr="009B1A37" w:rsidRDefault="00EA5993" w:rsidP="00BE3D48">
      <w:pPr>
        <w:pStyle w:val="EndnoteText"/>
        <w:widowControl w:val="0"/>
        <w:tabs>
          <w:tab w:val="clear" w:pos="567"/>
          <w:tab w:val="left" w:pos="7655"/>
        </w:tabs>
        <w:rPr>
          <w:color w:val="000000"/>
        </w:rPr>
      </w:pPr>
    </w:p>
    <w:p w14:paraId="7A863C41" w14:textId="77777777" w:rsidR="00EA5993" w:rsidRPr="009B1A37" w:rsidRDefault="00EA5993" w:rsidP="00BE3D48">
      <w:pPr>
        <w:pStyle w:val="EndnoteText"/>
        <w:keepNext/>
        <w:widowControl w:val="0"/>
        <w:tabs>
          <w:tab w:val="clear" w:pos="567"/>
          <w:tab w:val="left" w:pos="7655"/>
        </w:tabs>
        <w:rPr>
          <w:color w:val="000000"/>
          <w:u w:val="single"/>
        </w:rPr>
      </w:pPr>
      <w:r w:rsidRPr="009B1A37">
        <w:rPr>
          <w:color w:val="000000"/>
          <w:u w:val="single"/>
        </w:rPr>
        <w:t>Hepatotoxicita</w:t>
      </w:r>
    </w:p>
    <w:p w14:paraId="0AC2919D" w14:textId="77777777" w:rsidR="00EA5993" w:rsidRPr="009B1A37" w:rsidRDefault="00EA5993" w:rsidP="00BE3D48">
      <w:pPr>
        <w:pStyle w:val="EndnoteText"/>
        <w:widowControl w:val="0"/>
        <w:tabs>
          <w:tab w:val="clear" w:pos="567"/>
        </w:tabs>
        <w:rPr>
          <w:color w:val="000000"/>
        </w:rPr>
      </w:pPr>
      <w:r w:rsidRPr="009B1A37">
        <w:rPr>
          <w:color w:val="000000"/>
        </w:rPr>
        <w:t>Glivec je metabolizován převážně játry a pouze 13</w:t>
      </w:r>
      <w:r w:rsidR="004B270C" w:rsidRPr="009B1A37">
        <w:rPr>
          <w:color w:val="000000"/>
        </w:rPr>
        <w:t> </w:t>
      </w:r>
      <w:r w:rsidRPr="009B1A37">
        <w:rPr>
          <w:color w:val="000000"/>
        </w:rPr>
        <w:t>% je vylučováno ledvinami. U pacientů s dysfunkcí jater (</w:t>
      </w:r>
      <w:r w:rsidR="00D65C17" w:rsidRPr="009B1A37">
        <w:rPr>
          <w:color w:val="000000"/>
        </w:rPr>
        <w:t>lehkou</w:t>
      </w:r>
      <w:r w:rsidRPr="009B1A37">
        <w:rPr>
          <w:color w:val="000000"/>
        </w:rPr>
        <w:t xml:space="preserve">, středně </w:t>
      </w:r>
      <w:r w:rsidR="00D65C17" w:rsidRPr="009B1A37">
        <w:rPr>
          <w:color w:val="000000"/>
        </w:rPr>
        <w:t>těžkou</w:t>
      </w:r>
      <w:r w:rsidRPr="009B1A37">
        <w:rPr>
          <w:color w:val="000000"/>
        </w:rPr>
        <w:t xml:space="preserve"> nebo </w:t>
      </w:r>
      <w:r w:rsidR="00D65C17" w:rsidRPr="009B1A37">
        <w:rPr>
          <w:color w:val="000000"/>
        </w:rPr>
        <w:t>těžkou</w:t>
      </w:r>
      <w:r w:rsidRPr="009B1A37">
        <w:rPr>
          <w:color w:val="000000"/>
        </w:rPr>
        <w:t xml:space="preserve">) </w:t>
      </w:r>
      <w:r w:rsidR="00D65C17" w:rsidRPr="009B1A37">
        <w:rPr>
          <w:color w:val="000000"/>
        </w:rPr>
        <w:t>má</w:t>
      </w:r>
      <w:r w:rsidRPr="009B1A37">
        <w:rPr>
          <w:color w:val="000000"/>
        </w:rPr>
        <w:t xml:space="preserve"> být pečlivě sledován počet krevních elementů v periferní krvi a jaterní enzymy (viz body 4.2, </w:t>
      </w:r>
      <w:smartTag w:uri="urn:schemas-microsoft-com:office:smarttags" w:element="metricconverter">
        <w:smartTagPr>
          <w:attr w:name="ProductID" w:val="4.8 a"/>
        </w:smartTagPr>
        <w:r w:rsidRPr="009B1A37">
          <w:rPr>
            <w:color w:val="000000"/>
          </w:rPr>
          <w:t>4.8 a</w:t>
        </w:r>
      </w:smartTag>
      <w:r w:rsidRPr="009B1A37">
        <w:rPr>
          <w:color w:val="000000"/>
        </w:rPr>
        <w:t xml:space="preserve"> 5.2). Je nutné si uvědomit, že pacienti s GIST mohou mít jaterní metastázy, které mohou vést ke zhoršení jaterních funkcí.</w:t>
      </w:r>
    </w:p>
    <w:p w14:paraId="6558DB39" w14:textId="77777777" w:rsidR="00EA5993" w:rsidRPr="009B1A37" w:rsidRDefault="00EA5993" w:rsidP="00BE3D48">
      <w:pPr>
        <w:pStyle w:val="EndnoteText"/>
        <w:widowControl w:val="0"/>
        <w:tabs>
          <w:tab w:val="clear" w:pos="567"/>
        </w:tabs>
        <w:rPr>
          <w:color w:val="000000"/>
        </w:rPr>
      </w:pPr>
    </w:p>
    <w:p w14:paraId="1CDEF379" w14:textId="77777777" w:rsidR="00EA5993" w:rsidRPr="009B1A37" w:rsidRDefault="00EA5993" w:rsidP="00BE3D48">
      <w:pPr>
        <w:pStyle w:val="EndnoteText"/>
        <w:widowControl w:val="0"/>
        <w:tabs>
          <w:tab w:val="clear" w:pos="567"/>
        </w:tabs>
        <w:rPr>
          <w:color w:val="000000"/>
        </w:rPr>
      </w:pPr>
      <w:r w:rsidRPr="009B1A37">
        <w:rPr>
          <w:color w:val="000000"/>
        </w:rPr>
        <w:t xml:space="preserve">Při léčbě imatinibem byly pozorovány případy jaterního poškození včetně jaterního selhání a jaterní nekrózy. Pokud bylo podávání imatinibu kombinováno s vysokodávkovými chemoterapeutickými režimy, byl zjištěn nárůst závažných jaterních reakcí. Jaterní funkce </w:t>
      </w:r>
      <w:r w:rsidR="00D65C17" w:rsidRPr="009B1A37">
        <w:rPr>
          <w:color w:val="000000"/>
        </w:rPr>
        <w:t>mají</w:t>
      </w:r>
      <w:r w:rsidRPr="009B1A37">
        <w:rPr>
          <w:color w:val="000000"/>
        </w:rPr>
        <w:t xml:space="preserve"> být pečlivě monitorovány, jestliže se imatinib kombinuje s chemoterapeutickými režimy, o kterých je také známo, že bývají spojeny s poruchou jaterních funkcí (viz bod</w:t>
      </w:r>
      <w:r w:rsidR="00D65C17" w:rsidRPr="009B1A37">
        <w:rPr>
          <w:color w:val="000000"/>
        </w:rPr>
        <w:t>y</w:t>
      </w:r>
      <w:r w:rsidRPr="009B1A37">
        <w:rPr>
          <w:color w:val="000000"/>
        </w:rPr>
        <w:t xml:space="preserve"> </w:t>
      </w:r>
      <w:smartTag w:uri="urn:schemas-microsoft-com:office:smarttags" w:element="metricconverter">
        <w:smartTagPr>
          <w:attr w:name="ProductID" w:val="4.5 a"/>
        </w:smartTagPr>
        <w:r w:rsidRPr="009B1A37">
          <w:rPr>
            <w:color w:val="000000"/>
          </w:rPr>
          <w:t>4.5 a</w:t>
        </w:r>
      </w:smartTag>
      <w:r w:rsidRPr="009B1A37">
        <w:rPr>
          <w:color w:val="000000"/>
        </w:rPr>
        <w:t xml:space="preserve"> 4.8).</w:t>
      </w:r>
    </w:p>
    <w:p w14:paraId="302F33A9" w14:textId="77777777" w:rsidR="00EA5993" w:rsidRPr="009B1A37" w:rsidRDefault="00EA5993" w:rsidP="00BE3D48">
      <w:pPr>
        <w:pStyle w:val="EndnoteText"/>
        <w:widowControl w:val="0"/>
        <w:tabs>
          <w:tab w:val="clear" w:pos="567"/>
        </w:tabs>
        <w:rPr>
          <w:color w:val="000000"/>
        </w:rPr>
      </w:pPr>
    </w:p>
    <w:p w14:paraId="1DDDB7E8" w14:textId="77777777" w:rsidR="00EA5993" w:rsidRPr="009B1A37" w:rsidRDefault="00EA5993" w:rsidP="00BE3D48">
      <w:pPr>
        <w:pStyle w:val="EndnoteText"/>
        <w:keepNext/>
        <w:widowControl w:val="0"/>
        <w:tabs>
          <w:tab w:val="clear" w:pos="567"/>
        </w:tabs>
        <w:rPr>
          <w:color w:val="000000"/>
          <w:u w:val="single"/>
        </w:rPr>
      </w:pPr>
      <w:r w:rsidRPr="009B1A37">
        <w:rPr>
          <w:color w:val="000000"/>
          <w:u w:val="single"/>
        </w:rPr>
        <w:t>Retence tekutin</w:t>
      </w:r>
    </w:p>
    <w:p w14:paraId="5DE50D21" w14:textId="77777777" w:rsidR="00EA5993" w:rsidRPr="009B1A37" w:rsidRDefault="00EA5993" w:rsidP="00BE3D48">
      <w:pPr>
        <w:pStyle w:val="EndnoteText"/>
        <w:widowControl w:val="0"/>
        <w:tabs>
          <w:tab w:val="clear" w:pos="567"/>
        </w:tabs>
        <w:rPr>
          <w:color w:val="000000"/>
        </w:rPr>
      </w:pPr>
      <w:r w:rsidRPr="009B1A37">
        <w:rPr>
          <w:color w:val="000000"/>
        </w:rPr>
        <w:t>Výskyt závažné retence tekutin (pleurální výpotek, edém, plicní edém, ascites, povrchový edém) byl hlášen přibližně u 2,5</w:t>
      </w:r>
      <w:r w:rsidR="004B270C" w:rsidRPr="009B1A37">
        <w:rPr>
          <w:color w:val="000000"/>
        </w:rPr>
        <w:t> </w:t>
      </w:r>
      <w:r w:rsidRPr="009B1A37">
        <w:rPr>
          <w:color w:val="000000"/>
        </w:rPr>
        <w:t xml:space="preserve">% nově diagnostikovaných pacientů s CML užívajících Glivec. Proto se velice doporučuje pravidelné vážení pacientů. Neočekávaný, rychlý nárůst tělesné hmotnosti </w:t>
      </w:r>
      <w:r w:rsidR="00D65C17" w:rsidRPr="009B1A37">
        <w:rPr>
          <w:color w:val="000000"/>
        </w:rPr>
        <w:t>má</w:t>
      </w:r>
      <w:r w:rsidRPr="009B1A37">
        <w:rPr>
          <w:color w:val="000000"/>
        </w:rPr>
        <w:t xml:space="preserve"> být pečlivě vyšetřen, a pokud je to nezbytné, </w:t>
      </w:r>
      <w:r w:rsidR="00D65C17" w:rsidRPr="009B1A37">
        <w:rPr>
          <w:color w:val="000000"/>
        </w:rPr>
        <w:t>mají být</w:t>
      </w:r>
      <w:r w:rsidRPr="009B1A37">
        <w:rPr>
          <w:color w:val="000000"/>
        </w:rPr>
        <w:t xml:space="preserve"> zavedena příslušná podpůrná a léčebná opatření. V klinických studiích byl zvýšený výskyt těchto příhod u starších </w:t>
      </w:r>
      <w:r w:rsidR="00D65C17" w:rsidRPr="009B1A37">
        <w:rPr>
          <w:color w:val="000000"/>
        </w:rPr>
        <w:t xml:space="preserve">pacientů </w:t>
      </w:r>
      <w:r w:rsidRPr="009B1A37">
        <w:rPr>
          <w:color w:val="000000"/>
        </w:rPr>
        <w:t>a u pacientů se srdečním onemocněním v anamnéze. Proto je nutné pacientům se srdeční dysfunkcí věnovat zvýšenou pozornost.</w:t>
      </w:r>
    </w:p>
    <w:p w14:paraId="3735A0A0" w14:textId="77777777" w:rsidR="00EA5993" w:rsidRPr="009B1A37" w:rsidRDefault="00EA5993" w:rsidP="00BE3D48">
      <w:pPr>
        <w:pStyle w:val="EndnoteText"/>
        <w:widowControl w:val="0"/>
        <w:tabs>
          <w:tab w:val="clear" w:pos="567"/>
        </w:tabs>
        <w:rPr>
          <w:color w:val="000000"/>
          <w:u w:val="single"/>
        </w:rPr>
      </w:pPr>
    </w:p>
    <w:p w14:paraId="1F5FFAB6" w14:textId="77777777" w:rsidR="00EA5993" w:rsidRPr="009B1A37" w:rsidRDefault="00EA5993" w:rsidP="00BE3D48">
      <w:pPr>
        <w:pStyle w:val="EndnoteText"/>
        <w:keepNext/>
        <w:widowControl w:val="0"/>
        <w:tabs>
          <w:tab w:val="clear" w:pos="567"/>
        </w:tabs>
        <w:rPr>
          <w:color w:val="000000"/>
        </w:rPr>
      </w:pPr>
      <w:r w:rsidRPr="009B1A37">
        <w:rPr>
          <w:color w:val="000000"/>
          <w:u w:val="single"/>
        </w:rPr>
        <w:t>Pacienti se srdečním onemocněním</w:t>
      </w:r>
    </w:p>
    <w:p w14:paraId="4021D0C3" w14:textId="77777777" w:rsidR="00EA5993" w:rsidRPr="009B1A37" w:rsidRDefault="00EA5993" w:rsidP="00BE3D48">
      <w:pPr>
        <w:pStyle w:val="EndnoteText"/>
        <w:widowControl w:val="0"/>
        <w:tabs>
          <w:tab w:val="clear" w:pos="567"/>
        </w:tabs>
        <w:rPr>
          <w:color w:val="000000"/>
        </w:rPr>
      </w:pPr>
      <w:r w:rsidRPr="009B1A37">
        <w:rPr>
          <w:color w:val="000000"/>
        </w:rPr>
        <w:t xml:space="preserve">Pacienti se srdečním onemocněním, s rizikovými faktory vzniku srdečního selhání nebo renálním selháním v anamnéze </w:t>
      </w:r>
      <w:r w:rsidR="00D65C17" w:rsidRPr="009B1A37">
        <w:rPr>
          <w:color w:val="000000"/>
        </w:rPr>
        <w:t>mají</w:t>
      </w:r>
      <w:r w:rsidRPr="009B1A37">
        <w:rPr>
          <w:color w:val="000000"/>
        </w:rPr>
        <w:t xml:space="preserve"> být pečlivě sledováni, a každý pacient s</w:t>
      </w:r>
      <w:r w:rsidR="00D65C17" w:rsidRPr="009B1A37">
        <w:rPr>
          <w:color w:val="000000"/>
        </w:rPr>
        <w:t>e známkami nebo</w:t>
      </w:r>
      <w:r w:rsidRPr="009B1A37">
        <w:rPr>
          <w:color w:val="000000"/>
        </w:rPr>
        <w:t xml:space="preserve"> příznaky shodnými s příznaky srdečního nebo renálního selhání </w:t>
      </w:r>
      <w:r w:rsidR="00D65C17" w:rsidRPr="009B1A37">
        <w:rPr>
          <w:color w:val="000000"/>
        </w:rPr>
        <w:t>má</w:t>
      </w:r>
      <w:r w:rsidRPr="009B1A37">
        <w:rPr>
          <w:color w:val="000000"/>
        </w:rPr>
        <w:t xml:space="preserve"> být vyšetřen a léčen.</w:t>
      </w:r>
    </w:p>
    <w:p w14:paraId="6C52AEF7" w14:textId="77777777" w:rsidR="00EA5993" w:rsidRPr="009B1A37" w:rsidRDefault="00EA5993" w:rsidP="00BE3D48">
      <w:pPr>
        <w:pStyle w:val="EndnoteText"/>
        <w:widowControl w:val="0"/>
        <w:tabs>
          <w:tab w:val="clear" w:pos="567"/>
        </w:tabs>
        <w:rPr>
          <w:color w:val="000000"/>
        </w:rPr>
      </w:pPr>
    </w:p>
    <w:p w14:paraId="3B0F29AD" w14:textId="77777777" w:rsidR="00EA5993" w:rsidRPr="009B1A37" w:rsidRDefault="00EA5993" w:rsidP="00BE3D48">
      <w:pPr>
        <w:pStyle w:val="EndnoteText"/>
        <w:widowControl w:val="0"/>
        <w:tabs>
          <w:tab w:val="clear" w:pos="567"/>
        </w:tabs>
        <w:rPr>
          <w:color w:val="000000"/>
        </w:rPr>
      </w:pPr>
      <w:r w:rsidRPr="009B1A37">
        <w:rPr>
          <w:color w:val="000000"/>
        </w:rPr>
        <w:t xml:space="preserve">U pacientů s hypereosinofilním syndromem (HES) s okultní infiltrací HES buněk do myokardu byly ojedinělé případy kardiogenního šoku či dysfunkce levé komory spojeny s degranulací HES buněk po zahájení léčby imatinibem. Dle hlášení byl stav reverzibilní při podávání systémových kortikosteroidů, zavedení opatření k podpoře cirkulace a dočasném vysazení imatinibu. Protože byly hlášeny méně časté kardiální nežádoucí účinky při podávání Glivecu, </w:t>
      </w:r>
      <w:r w:rsidR="00D65C17" w:rsidRPr="009B1A37">
        <w:rPr>
          <w:color w:val="000000"/>
        </w:rPr>
        <w:t>má</w:t>
      </w:r>
      <w:r w:rsidRPr="009B1A37">
        <w:rPr>
          <w:color w:val="000000"/>
        </w:rPr>
        <w:t xml:space="preserve"> být před zahájením léčby pečlivě zváženo stanovení prospěchu/rizika léčby imatinibem u pacientů s HES/</w:t>
      </w:r>
      <w:smartTag w:uri="urn:schemas-microsoft-com:office:smarttags" w:element="stockticker">
        <w:r w:rsidRPr="009B1A37">
          <w:rPr>
            <w:color w:val="000000"/>
          </w:rPr>
          <w:t>CEL</w:t>
        </w:r>
      </w:smartTag>
      <w:r w:rsidRPr="009B1A37">
        <w:rPr>
          <w:color w:val="000000"/>
        </w:rPr>
        <w:t>.</w:t>
      </w:r>
    </w:p>
    <w:p w14:paraId="4FBE93B6" w14:textId="77777777" w:rsidR="00EA5993" w:rsidRPr="009B1A37" w:rsidRDefault="00EA5993" w:rsidP="00BE3D48">
      <w:pPr>
        <w:pStyle w:val="EndnoteText"/>
        <w:widowControl w:val="0"/>
        <w:tabs>
          <w:tab w:val="clear" w:pos="567"/>
        </w:tabs>
        <w:rPr>
          <w:color w:val="000000"/>
        </w:rPr>
      </w:pPr>
    </w:p>
    <w:p w14:paraId="5D3579FE" w14:textId="77777777" w:rsidR="00EA5993" w:rsidRPr="009B1A37" w:rsidRDefault="00EA5993" w:rsidP="00BE3D48">
      <w:pPr>
        <w:pStyle w:val="EndnoteText"/>
        <w:widowControl w:val="0"/>
        <w:tabs>
          <w:tab w:val="clear" w:pos="567"/>
        </w:tabs>
        <w:rPr>
          <w:color w:val="000000"/>
        </w:rPr>
      </w:pPr>
      <w:r w:rsidRPr="009B1A37">
        <w:rPr>
          <w:color w:val="000000"/>
        </w:rPr>
        <w:t>Myelodysplastické/myeloproliferativní onemocnění s </w:t>
      </w:r>
      <w:r w:rsidR="00D65C17" w:rsidRPr="009B1A37">
        <w:rPr>
          <w:color w:val="000000"/>
        </w:rPr>
        <w:t>přeskupením</w:t>
      </w:r>
      <w:r w:rsidRPr="009B1A37">
        <w:rPr>
          <w:color w:val="000000"/>
        </w:rPr>
        <w:t xml:space="preserve"> genu receptoru PDGFR by mohlo být spojeno s vysokými hladinami eosinofilů. Proto se </w:t>
      </w:r>
      <w:r w:rsidR="00D65C17" w:rsidRPr="009B1A37">
        <w:rPr>
          <w:color w:val="000000"/>
        </w:rPr>
        <w:t>má</w:t>
      </w:r>
      <w:r w:rsidRPr="009B1A37">
        <w:rPr>
          <w:color w:val="000000"/>
        </w:rPr>
        <w:t xml:space="preserve"> před podáním Glivecu pacientům s HES/</w:t>
      </w:r>
      <w:smartTag w:uri="urn:schemas-microsoft-com:office:smarttags" w:element="stockticker">
        <w:r w:rsidRPr="009B1A37">
          <w:rPr>
            <w:color w:val="000000"/>
          </w:rPr>
          <w:t>CEL</w:t>
        </w:r>
      </w:smartTag>
      <w:r w:rsidRPr="009B1A37">
        <w:rPr>
          <w:color w:val="000000"/>
        </w:rPr>
        <w:t xml:space="preserve"> a pacientům s </w:t>
      </w:r>
      <w:smartTag w:uri="urn:schemas-microsoft-com:office:smarttags" w:element="stockticker">
        <w:r w:rsidRPr="009B1A37">
          <w:rPr>
            <w:color w:val="000000"/>
          </w:rPr>
          <w:t>MDS</w:t>
        </w:r>
      </w:smartTag>
      <w:r w:rsidRPr="009B1A37">
        <w:rPr>
          <w:color w:val="000000"/>
        </w:rPr>
        <w:t xml:space="preserve">/MPD spojeným s vysokými hladinami eosinofilů zvážit vyšetření kardiologem, provedení echokardiogramu a stanovení troponinu v séru. Pokud je výsledek kteréhokoli vyšetření abnormální, </w:t>
      </w:r>
      <w:r w:rsidR="00D65C17" w:rsidRPr="009B1A37">
        <w:rPr>
          <w:color w:val="000000"/>
        </w:rPr>
        <w:t>má</w:t>
      </w:r>
      <w:r w:rsidRPr="009B1A37">
        <w:rPr>
          <w:color w:val="000000"/>
        </w:rPr>
        <w:t xml:space="preserve"> být zváženo </w:t>
      </w:r>
      <w:r w:rsidR="00D65C17" w:rsidRPr="009B1A37">
        <w:rPr>
          <w:color w:val="000000"/>
        </w:rPr>
        <w:t>sledování</w:t>
      </w:r>
      <w:r w:rsidRPr="009B1A37">
        <w:rPr>
          <w:color w:val="000000"/>
        </w:rPr>
        <w:t xml:space="preserve"> kardiologem a profylaktické podávání systémových kortikosteroidů (1</w:t>
      </w:r>
      <w:r w:rsidRPr="009B1A37">
        <w:rPr>
          <w:color w:val="000000"/>
        </w:rPr>
        <w:noBreakHyphen/>
        <w:t>2 mg/kg) po dobu jednoho až dvou týdnů souběžně se zahájením léčby imatinibem.</w:t>
      </w:r>
    </w:p>
    <w:p w14:paraId="6795ED0C" w14:textId="77777777" w:rsidR="00EA5993" w:rsidRPr="009B1A37" w:rsidRDefault="00EA5993" w:rsidP="00BE3D48">
      <w:pPr>
        <w:pStyle w:val="EndnoteText"/>
        <w:widowControl w:val="0"/>
        <w:tabs>
          <w:tab w:val="clear" w:pos="567"/>
        </w:tabs>
        <w:rPr>
          <w:color w:val="000000"/>
          <w:u w:val="single"/>
        </w:rPr>
      </w:pPr>
    </w:p>
    <w:p w14:paraId="7DB3D526" w14:textId="77777777" w:rsidR="00EA5993" w:rsidRPr="009B1A37" w:rsidRDefault="00EA5993" w:rsidP="00BE3D48">
      <w:pPr>
        <w:pStyle w:val="EndnoteText"/>
        <w:keepNext/>
        <w:widowControl w:val="0"/>
        <w:tabs>
          <w:tab w:val="clear" w:pos="567"/>
        </w:tabs>
        <w:rPr>
          <w:color w:val="000000"/>
        </w:rPr>
      </w:pPr>
      <w:r w:rsidRPr="009B1A37">
        <w:rPr>
          <w:color w:val="000000"/>
          <w:u w:val="single"/>
        </w:rPr>
        <w:t>Gastrointestinální krvácení</w:t>
      </w:r>
    </w:p>
    <w:p w14:paraId="7705134E" w14:textId="77777777" w:rsidR="00EA5993" w:rsidRPr="009B1A37" w:rsidRDefault="00EA5993" w:rsidP="00BE3D48">
      <w:pPr>
        <w:pStyle w:val="EndnoteText"/>
        <w:widowControl w:val="0"/>
        <w:tabs>
          <w:tab w:val="clear" w:pos="567"/>
        </w:tabs>
        <w:rPr>
          <w:color w:val="000000"/>
        </w:rPr>
      </w:pPr>
      <w:r w:rsidRPr="009B1A37">
        <w:rPr>
          <w:color w:val="000000"/>
        </w:rPr>
        <w:t>Ve studii u pacientů s inoperabilním a/nebo metastatickým GIST bylo hlášeno jak gastrointestinální, tak i intratumorózní krvácení (viz bod 4.8). Na základě dostupných údajů nebyly identifikovány žádné predispoziční faktory (např.</w:t>
      </w:r>
      <w:r w:rsidR="00A12785" w:rsidRPr="009B1A37">
        <w:rPr>
          <w:color w:val="000000"/>
        </w:rPr>
        <w:t xml:space="preserve"> </w:t>
      </w:r>
      <w:r w:rsidRPr="009B1A37">
        <w:rPr>
          <w:color w:val="000000"/>
        </w:rPr>
        <w:t xml:space="preserve">velikost nádoru, lokalizace nádoru, poruchy koagulace), které by zařadily pacienty s GIST do skupiny s vyšším rizikem kteréhokoli typu krvácení. Protože je zvýšená vaskularizace a sklon ke krvácivosti součástí povahy a klinického průběhu GIST, </w:t>
      </w:r>
      <w:r w:rsidR="00FA3EC1" w:rsidRPr="009B1A37">
        <w:rPr>
          <w:color w:val="000000"/>
        </w:rPr>
        <w:t>má</w:t>
      </w:r>
      <w:r w:rsidRPr="009B1A37">
        <w:rPr>
          <w:color w:val="000000"/>
        </w:rPr>
        <w:t xml:space="preserve"> být u všech pacientů použit standardní postup pro monitorování a zvládání krvácení.</w:t>
      </w:r>
    </w:p>
    <w:p w14:paraId="18C284F5" w14:textId="77777777" w:rsidR="005E2891" w:rsidRPr="009B1A37" w:rsidRDefault="005E2891" w:rsidP="00BE3D48">
      <w:pPr>
        <w:pStyle w:val="EndnoteText"/>
        <w:widowControl w:val="0"/>
        <w:tabs>
          <w:tab w:val="clear" w:pos="567"/>
        </w:tabs>
      </w:pPr>
    </w:p>
    <w:p w14:paraId="79737AF3" w14:textId="77777777" w:rsidR="005E2891" w:rsidRPr="009B1A37" w:rsidRDefault="005E2891" w:rsidP="00BE3D48">
      <w:pPr>
        <w:pStyle w:val="EndnoteText"/>
        <w:widowControl w:val="0"/>
        <w:tabs>
          <w:tab w:val="clear" w:pos="567"/>
        </w:tabs>
        <w:rPr>
          <w:snapToGrid w:val="0"/>
        </w:rPr>
      </w:pPr>
      <w:r w:rsidRPr="009B1A37">
        <w:t>V postmarketingovém období byla u</w:t>
      </w:r>
      <w:r w:rsidRPr="009B1A37">
        <w:rPr>
          <w:color w:val="000000"/>
        </w:rPr>
        <w:t> </w:t>
      </w:r>
      <w:r w:rsidRPr="009B1A37">
        <w:t>pacientů s</w:t>
      </w:r>
      <w:r w:rsidRPr="009B1A37">
        <w:rPr>
          <w:color w:val="000000"/>
        </w:rPr>
        <w:t> </w:t>
      </w:r>
      <w:r w:rsidRPr="009B1A37">
        <w:t>CML, ALL a jinými onemocněními hlášena také gastrická antrální vaskulární ektázie (GAVE), vzácný typ gastrointestinálního krvácení (viz bod 4.8). V případě potřeby může být léčba přípravkem Glivec ukončena.</w:t>
      </w:r>
    </w:p>
    <w:p w14:paraId="5E40B536" w14:textId="77777777" w:rsidR="00EA5993" w:rsidRPr="009B1A37" w:rsidRDefault="00EA5993" w:rsidP="00BE3D48">
      <w:pPr>
        <w:pStyle w:val="EndnoteText"/>
        <w:widowControl w:val="0"/>
        <w:tabs>
          <w:tab w:val="clear" w:pos="567"/>
        </w:tabs>
        <w:rPr>
          <w:color w:val="000000"/>
          <w:u w:val="single"/>
        </w:rPr>
      </w:pPr>
    </w:p>
    <w:p w14:paraId="7374B90C" w14:textId="77777777" w:rsidR="00EA5993" w:rsidRPr="009B1A37" w:rsidRDefault="00EA5993" w:rsidP="00BE3D48">
      <w:pPr>
        <w:pStyle w:val="EndnoteText"/>
        <w:keepNext/>
        <w:widowControl w:val="0"/>
        <w:tabs>
          <w:tab w:val="clear" w:pos="567"/>
        </w:tabs>
        <w:rPr>
          <w:color w:val="000000"/>
        </w:rPr>
      </w:pPr>
      <w:r w:rsidRPr="009B1A37">
        <w:rPr>
          <w:color w:val="000000"/>
          <w:u w:val="single"/>
        </w:rPr>
        <w:t>Syndrom nádorového rozpadu</w:t>
      </w:r>
    </w:p>
    <w:p w14:paraId="5FEBF8CB" w14:textId="77777777" w:rsidR="00D270F6" w:rsidRPr="009B1A37" w:rsidRDefault="00EA5993" w:rsidP="00BE3D48">
      <w:pPr>
        <w:pStyle w:val="EndnoteText"/>
        <w:widowControl w:val="0"/>
        <w:tabs>
          <w:tab w:val="clear" w:pos="567"/>
        </w:tabs>
        <w:rPr>
          <w:snapToGrid w:val="0"/>
          <w:color w:val="000000"/>
        </w:rPr>
      </w:pPr>
      <w:r w:rsidRPr="009B1A37">
        <w:rPr>
          <w:snapToGrid w:val="0"/>
          <w:color w:val="000000"/>
        </w:rPr>
        <w:t xml:space="preserve">Před </w:t>
      </w:r>
      <w:r w:rsidR="00FA3EC1" w:rsidRPr="009B1A37">
        <w:rPr>
          <w:snapToGrid w:val="0"/>
          <w:color w:val="000000"/>
        </w:rPr>
        <w:t>zahájením</w:t>
      </w:r>
      <w:r w:rsidRPr="009B1A37">
        <w:rPr>
          <w:snapToGrid w:val="0"/>
          <w:color w:val="000000"/>
        </w:rPr>
        <w:t xml:space="preserve"> léčby přípravkem Glivec je doporučená úprava klinicky významné dehydratace a léčba vysokých hladin kyseliny močové z</w:t>
      </w:r>
      <w:r w:rsidRPr="009B1A37">
        <w:rPr>
          <w:color w:val="000000"/>
        </w:rPr>
        <w:t> </w:t>
      </w:r>
      <w:r w:rsidRPr="009B1A37">
        <w:rPr>
          <w:snapToGrid w:val="0"/>
          <w:color w:val="000000"/>
        </w:rPr>
        <w:t>důvodu možného výskytu syndromu nádorového rozpadu (TLS) (viz bod 4.8).</w:t>
      </w:r>
    </w:p>
    <w:p w14:paraId="7AB47243" w14:textId="77777777" w:rsidR="00D270F6" w:rsidRPr="009B1A37" w:rsidRDefault="00D270F6" w:rsidP="00BE3D48">
      <w:pPr>
        <w:pStyle w:val="EndnoteText"/>
        <w:widowControl w:val="0"/>
        <w:tabs>
          <w:tab w:val="clear" w:pos="567"/>
        </w:tabs>
        <w:rPr>
          <w:snapToGrid w:val="0"/>
          <w:color w:val="000000"/>
        </w:rPr>
      </w:pPr>
    </w:p>
    <w:p w14:paraId="77907178" w14:textId="77777777" w:rsidR="00D270F6" w:rsidRPr="009B1A37" w:rsidRDefault="00D270F6" w:rsidP="00BE3D48">
      <w:pPr>
        <w:pStyle w:val="EndnoteText"/>
        <w:keepNext/>
        <w:widowControl w:val="0"/>
        <w:tabs>
          <w:tab w:val="clear" w:pos="567"/>
        </w:tabs>
        <w:rPr>
          <w:snapToGrid w:val="0"/>
          <w:color w:val="000000"/>
          <w:u w:val="single"/>
        </w:rPr>
      </w:pPr>
      <w:r w:rsidRPr="009B1A37">
        <w:rPr>
          <w:snapToGrid w:val="0"/>
          <w:color w:val="000000"/>
          <w:u w:val="single"/>
        </w:rPr>
        <w:t>Reaktivace hepatitidy B</w:t>
      </w:r>
    </w:p>
    <w:p w14:paraId="7B5DEF9E" w14:textId="77777777" w:rsidR="00D270F6" w:rsidRPr="009B1A37" w:rsidRDefault="00D270F6" w:rsidP="00BE3D48">
      <w:pPr>
        <w:pStyle w:val="EndnoteText"/>
        <w:widowControl w:val="0"/>
        <w:tabs>
          <w:tab w:val="clear" w:pos="567"/>
        </w:tabs>
        <w:rPr>
          <w:snapToGrid w:val="0"/>
          <w:color w:val="000000"/>
        </w:rPr>
      </w:pPr>
      <w:r w:rsidRPr="009B1A37">
        <w:rPr>
          <w:snapToGrid w:val="0"/>
          <w:color w:val="000000"/>
        </w:rPr>
        <w:t>U pacientů, kteří jsou chronickými nosiči hepatitidy B, dochází k reaktivaci po zahájení léčby inhibitory tyrosinkinázy bcr-abl. Některé případy vyústily v akutní selhání jater nebo ve fulminantní hepatitidu vedoucí k transplantaci jater nebo došlo k úmrtí pacienta.</w:t>
      </w:r>
    </w:p>
    <w:p w14:paraId="5DBE774F" w14:textId="77777777" w:rsidR="00D270F6" w:rsidRPr="009B1A37" w:rsidRDefault="00D270F6" w:rsidP="00BE3D48">
      <w:pPr>
        <w:pStyle w:val="EndnoteText"/>
        <w:widowControl w:val="0"/>
        <w:tabs>
          <w:tab w:val="clear" w:pos="567"/>
        </w:tabs>
        <w:rPr>
          <w:snapToGrid w:val="0"/>
          <w:color w:val="000000"/>
        </w:rPr>
      </w:pPr>
    </w:p>
    <w:p w14:paraId="6EF3F5BA" w14:textId="77777777" w:rsidR="00D270F6" w:rsidRPr="009B1A37" w:rsidRDefault="00D270F6" w:rsidP="00BE3D48">
      <w:pPr>
        <w:pStyle w:val="EndnoteText"/>
        <w:widowControl w:val="0"/>
        <w:tabs>
          <w:tab w:val="clear" w:pos="567"/>
        </w:tabs>
        <w:rPr>
          <w:snapToGrid w:val="0"/>
          <w:color w:val="000000"/>
        </w:rPr>
      </w:pPr>
      <w:r w:rsidRPr="009B1A37">
        <w:rPr>
          <w:snapToGrid w:val="0"/>
          <w:color w:val="000000"/>
        </w:rPr>
        <w:t>Před zahájením léčby přípravkem GLIVEC mají být pacienti vyšetřeni na infekci HBV. Před zahájením léčby u pacientů s pozitivní sérologií hepatitidy B (včetně těch s aktivním onemocněním) a u pacientů, u kterých v průběhu léčby vyjde pozitivní test infekce HBV, je třeba se obrátit na odborníky na onemocnění jater a léčbu hepatitidy B. Nosiči HBV, kteří potřebují léčbu přípravkem GLIVEC, mají být po celou dobu léčby a několik měsíců po jejím ukončení pečlivě sledováni s ohledem na možný výskyt známek a příznaků aktivní infekce HBV (viz bod</w:t>
      </w:r>
      <w:r w:rsidR="003104BF" w:rsidRPr="009B1A37">
        <w:rPr>
          <w:snapToGrid w:val="0"/>
          <w:color w:val="000000"/>
        </w:rPr>
        <w:t> </w:t>
      </w:r>
      <w:r w:rsidRPr="009B1A37">
        <w:rPr>
          <w:snapToGrid w:val="0"/>
          <w:color w:val="000000"/>
        </w:rPr>
        <w:t>4.8).</w:t>
      </w:r>
    </w:p>
    <w:p w14:paraId="2026CD38" w14:textId="77777777" w:rsidR="00904EDA" w:rsidRPr="009B1A37" w:rsidRDefault="00904EDA" w:rsidP="00BE3D48">
      <w:pPr>
        <w:pStyle w:val="EndnoteText"/>
        <w:widowControl w:val="0"/>
        <w:tabs>
          <w:tab w:val="clear" w:pos="567"/>
        </w:tabs>
        <w:rPr>
          <w:snapToGrid w:val="0"/>
        </w:rPr>
      </w:pPr>
    </w:p>
    <w:p w14:paraId="0B9B9F82" w14:textId="77777777" w:rsidR="00AD1512" w:rsidRPr="009B1A37" w:rsidRDefault="00904EDA" w:rsidP="00BE3D48">
      <w:pPr>
        <w:pStyle w:val="EndnoteText"/>
        <w:keepNext/>
        <w:widowControl w:val="0"/>
        <w:tabs>
          <w:tab w:val="clear" w:pos="567"/>
        </w:tabs>
        <w:rPr>
          <w:snapToGrid w:val="0"/>
        </w:rPr>
      </w:pPr>
      <w:r w:rsidRPr="009B1A37">
        <w:rPr>
          <w:u w:val="single"/>
        </w:rPr>
        <w:t>Fototoxicita</w:t>
      </w:r>
    </w:p>
    <w:p w14:paraId="6C43009C" w14:textId="77777777" w:rsidR="00904EDA" w:rsidRPr="009B1A37" w:rsidRDefault="00904EDA" w:rsidP="00BE3D48">
      <w:pPr>
        <w:pStyle w:val="EndnoteText"/>
        <w:widowControl w:val="0"/>
        <w:tabs>
          <w:tab w:val="clear" w:pos="567"/>
        </w:tabs>
        <w:rPr>
          <w:snapToGrid w:val="0"/>
        </w:rPr>
      </w:pPr>
      <w:r w:rsidRPr="009B1A37">
        <w:rPr>
          <w:snapToGrid w:val="0"/>
        </w:rPr>
        <w:t>Z důvodu možného rizika fototoxicity spojeného s léčbou imatinibem je třeba se vyhnout nebo minimalizovat přímou expozici slunečnímu záření. Pacienti mají být o tomto riziku poučeni a mají používat ochranný oděv a opalovací krém s vysokým ochranným faktorem proti slunečnímu záření (OF).</w:t>
      </w:r>
    </w:p>
    <w:p w14:paraId="617B5E53" w14:textId="77777777" w:rsidR="00EA5993" w:rsidRPr="009B1A37" w:rsidRDefault="00EA5993" w:rsidP="00BE3D48">
      <w:pPr>
        <w:pStyle w:val="EndnoteText"/>
        <w:widowControl w:val="0"/>
        <w:tabs>
          <w:tab w:val="clear" w:pos="567"/>
        </w:tabs>
      </w:pPr>
    </w:p>
    <w:p w14:paraId="54DE8785" w14:textId="77777777" w:rsidR="00A12785" w:rsidRPr="009B1A37" w:rsidRDefault="00A12785" w:rsidP="00BE3D48">
      <w:pPr>
        <w:pStyle w:val="EndnoteText"/>
        <w:keepNext/>
        <w:widowControl w:val="0"/>
        <w:tabs>
          <w:tab w:val="clear" w:pos="567"/>
        </w:tabs>
        <w:rPr>
          <w:u w:val="single"/>
        </w:rPr>
      </w:pPr>
      <w:r w:rsidRPr="009B1A37">
        <w:rPr>
          <w:u w:val="single"/>
        </w:rPr>
        <w:t>Trombotická mikroangiopatie</w:t>
      </w:r>
    </w:p>
    <w:p w14:paraId="7801CC55" w14:textId="77777777" w:rsidR="00A12785" w:rsidRPr="009B1A37" w:rsidRDefault="00A12785" w:rsidP="00BE3D48">
      <w:pPr>
        <w:pStyle w:val="EndnoteText"/>
        <w:widowControl w:val="0"/>
        <w:tabs>
          <w:tab w:val="clear" w:pos="567"/>
        </w:tabs>
        <w:rPr>
          <w:snapToGrid w:val="0"/>
          <w:color w:val="000000"/>
        </w:rPr>
      </w:pPr>
      <w:r w:rsidRPr="009B1A37">
        <w:t>Inhibitory tyrosinkinázy BCR-ABL, včetně případů souvisejících s užíváním přípravku Glivec, jsou spojovány s výskytem trombotické mikroangiopatie (TMA) (viz bod</w:t>
      </w:r>
      <w:r w:rsidR="00570E90" w:rsidRPr="009B1A37">
        <w:t> </w:t>
      </w:r>
      <w:r w:rsidRPr="009B1A37">
        <w:t>4.8). Pokud se u pacienta, který užívá přípravek Glivec, vyskytnou laboratorní nebo klinické nálezy spojené s TMA, má se léčba přerušit a mají se důkladně vyhodnotit příznaky TMA včetně aktivity ADAMTS13 a stanovení anti-ADAMTS13 protilátek. Pokud je protilátka proti ADAMTS13 zvýšená ve spojení s nízkou aktivitou ADAMTS13, léčba přípravkem Glivec nemá být obnovena.</w:t>
      </w:r>
    </w:p>
    <w:p w14:paraId="7808E2F8" w14:textId="77777777" w:rsidR="00A12785" w:rsidRPr="009B1A37" w:rsidRDefault="00A12785" w:rsidP="00BE3D48">
      <w:pPr>
        <w:pStyle w:val="EndnoteText"/>
        <w:widowControl w:val="0"/>
        <w:tabs>
          <w:tab w:val="clear" w:pos="567"/>
        </w:tabs>
        <w:rPr>
          <w:snapToGrid w:val="0"/>
          <w:color w:val="000000"/>
        </w:rPr>
      </w:pPr>
    </w:p>
    <w:p w14:paraId="07F83B4F" w14:textId="77777777" w:rsidR="00EA5993" w:rsidRPr="009B1A37" w:rsidRDefault="00EA5993" w:rsidP="00BE3D48">
      <w:pPr>
        <w:pStyle w:val="EndnoteText"/>
        <w:keepNext/>
        <w:widowControl w:val="0"/>
        <w:tabs>
          <w:tab w:val="clear" w:pos="567"/>
        </w:tabs>
        <w:rPr>
          <w:color w:val="000000"/>
          <w:u w:val="single"/>
        </w:rPr>
      </w:pPr>
      <w:r w:rsidRPr="009B1A37">
        <w:rPr>
          <w:color w:val="000000"/>
          <w:u w:val="single"/>
        </w:rPr>
        <w:t>Laboratorní testy</w:t>
      </w:r>
    </w:p>
    <w:p w14:paraId="5907F8E0" w14:textId="77777777" w:rsidR="00EA5993" w:rsidRPr="009B1A37" w:rsidRDefault="00EA5993" w:rsidP="00BE3D48">
      <w:pPr>
        <w:pStyle w:val="EndnoteText"/>
        <w:widowControl w:val="0"/>
        <w:tabs>
          <w:tab w:val="clear" w:pos="567"/>
        </w:tabs>
        <w:rPr>
          <w:color w:val="000000"/>
        </w:rPr>
      </w:pPr>
      <w:r w:rsidRPr="009B1A37">
        <w:rPr>
          <w:color w:val="000000"/>
        </w:rPr>
        <w:t>Během léčby Glivecem musí být pravidelně vyšetřován kompletní krevní obraz. Léčba Glivecem u pacientů s CML byla doprovázena výskytem neutropenie nebo trombocytopenie. Avšak výskyt těchto cytopenií pravděpodobně souvisí se st</w:t>
      </w:r>
      <w:r w:rsidR="00FA3EC1" w:rsidRPr="009B1A37">
        <w:rPr>
          <w:color w:val="000000"/>
        </w:rPr>
        <w:t>a</w:t>
      </w:r>
      <w:r w:rsidRPr="009B1A37">
        <w:rPr>
          <w:color w:val="000000"/>
        </w:rPr>
        <w:t>diem léčeného onemocnění a byl častější u pacientů s akcelerovanou fází CML nebo v blastické krizi než u pacientů s chronickou fází CML. Léčba Glivecem může být přerušena nebo dávky mohou být sníženy, jak je doporučeno v bod</w:t>
      </w:r>
      <w:r w:rsidR="00FA3EC1" w:rsidRPr="009B1A37">
        <w:rPr>
          <w:color w:val="000000"/>
        </w:rPr>
        <w:t>ě</w:t>
      </w:r>
      <w:r w:rsidRPr="009B1A37">
        <w:rPr>
          <w:color w:val="000000"/>
        </w:rPr>
        <w:t xml:space="preserve"> 4.2.</w:t>
      </w:r>
    </w:p>
    <w:p w14:paraId="21E3858A" w14:textId="77777777" w:rsidR="00EA5993" w:rsidRPr="009B1A37" w:rsidRDefault="00EA5993" w:rsidP="00BE3D48">
      <w:pPr>
        <w:pStyle w:val="EndnoteText"/>
        <w:widowControl w:val="0"/>
        <w:tabs>
          <w:tab w:val="clear" w:pos="567"/>
        </w:tabs>
        <w:rPr>
          <w:color w:val="000000"/>
        </w:rPr>
      </w:pPr>
    </w:p>
    <w:p w14:paraId="3086C2A5" w14:textId="77777777" w:rsidR="00EA5993" w:rsidRPr="009B1A37" w:rsidRDefault="00EA5993" w:rsidP="00BE3D48">
      <w:pPr>
        <w:pStyle w:val="EndnoteText"/>
        <w:widowControl w:val="0"/>
        <w:tabs>
          <w:tab w:val="clear" w:pos="567"/>
        </w:tabs>
        <w:rPr>
          <w:color w:val="000000"/>
        </w:rPr>
      </w:pPr>
      <w:r w:rsidRPr="009B1A37">
        <w:rPr>
          <w:color w:val="000000"/>
        </w:rPr>
        <w:t xml:space="preserve">U pacientů užívajících Glivec </w:t>
      </w:r>
      <w:r w:rsidR="00FA3EC1" w:rsidRPr="009B1A37">
        <w:rPr>
          <w:color w:val="000000"/>
        </w:rPr>
        <w:t>mají</w:t>
      </w:r>
      <w:r w:rsidRPr="009B1A37">
        <w:rPr>
          <w:color w:val="000000"/>
        </w:rPr>
        <w:t xml:space="preserve"> být pravidelně monitorovány jaterní funkce (transaminázy, bilirubin, alkalická fosfatáza).</w:t>
      </w:r>
    </w:p>
    <w:p w14:paraId="3CE600AB" w14:textId="77777777" w:rsidR="00EA5993" w:rsidRPr="009B1A37" w:rsidRDefault="00EA5993" w:rsidP="00BE3D48">
      <w:pPr>
        <w:pStyle w:val="EndnoteText"/>
        <w:widowControl w:val="0"/>
        <w:tabs>
          <w:tab w:val="clear" w:pos="567"/>
        </w:tabs>
        <w:rPr>
          <w:color w:val="000000"/>
        </w:rPr>
      </w:pPr>
    </w:p>
    <w:p w14:paraId="5EB479F5" w14:textId="77777777" w:rsidR="00EA5993" w:rsidRPr="009B1A37" w:rsidRDefault="00EA5993" w:rsidP="00BE3D48">
      <w:pPr>
        <w:pStyle w:val="EndnoteText"/>
        <w:widowControl w:val="0"/>
        <w:tabs>
          <w:tab w:val="clear" w:pos="567"/>
        </w:tabs>
        <w:rPr>
          <w:color w:val="000000"/>
        </w:rPr>
      </w:pPr>
      <w:r w:rsidRPr="009B1A37">
        <w:rPr>
          <w:color w:val="000000"/>
        </w:rPr>
        <w:t>U pacientů s poruchou renálních funkcí je expozice imatinib</w:t>
      </w:r>
      <w:r w:rsidR="00FA3EC1" w:rsidRPr="009B1A37">
        <w:rPr>
          <w:color w:val="000000"/>
        </w:rPr>
        <w:t>u</w:t>
      </w:r>
      <w:r w:rsidRPr="009B1A37">
        <w:rPr>
          <w:color w:val="000000"/>
        </w:rPr>
        <w:t xml:space="preserve"> v plazmě patrně vyšší, než u pacientů s normální funkcí ledvin, pravděpodobně v důsledku zvýšené hladiny alfa-</w:t>
      </w:r>
      <w:r w:rsidR="00FA3EC1" w:rsidRPr="009B1A37">
        <w:rPr>
          <w:color w:val="000000"/>
        </w:rPr>
        <w:t>kyselého</w:t>
      </w:r>
      <w:r w:rsidRPr="009B1A37">
        <w:rPr>
          <w:color w:val="000000"/>
        </w:rPr>
        <w:t xml:space="preserve"> gly</w:t>
      </w:r>
      <w:r w:rsidR="002F04EE" w:rsidRPr="009B1A37">
        <w:rPr>
          <w:color w:val="000000"/>
        </w:rPr>
        <w:t>k</w:t>
      </w:r>
      <w:r w:rsidRPr="009B1A37">
        <w:rPr>
          <w:color w:val="000000"/>
        </w:rPr>
        <w:t xml:space="preserve">oproteinu (AGP) a vazby imatinibu na proteiny u těchto pacientů. Pacientům s renální nedostatečností </w:t>
      </w:r>
      <w:r w:rsidR="002F04EE" w:rsidRPr="009B1A37">
        <w:rPr>
          <w:color w:val="000000"/>
        </w:rPr>
        <w:t>se má</w:t>
      </w:r>
      <w:r w:rsidRPr="009B1A37">
        <w:rPr>
          <w:color w:val="000000"/>
        </w:rPr>
        <w:t xml:space="preserve"> podávat minimální zahajovací dávka. Pacienti s </w:t>
      </w:r>
      <w:r w:rsidR="002F04EE" w:rsidRPr="009B1A37">
        <w:rPr>
          <w:color w:val="000000"/>
        </w:rPr>
        <w:t xml:space="preserve">těžkou </w:t>
      </w:r>
      <w:r w:rsidRPr="009B1A37">
        <w:rPr>
          <w:color w:val="000000"/>
        </w:rPr>
        <w:t xml:space="preserve">renální nedostatečností </w:t>
      </w:r>
      <w:r w:rsidR="002F04EE" w:rsidRPr="009B1A37">
        <w:rPr>
          <w:color w:val="000000"/>
        </w:rPr>
        <w:t>mají</w:t>
      </w:r>
      <w:r w:rsidRPr="009B1A37">
        <w:rPr>
          <w:color w:val="000000"/>
        </w:rPr>
        <w:t xml:space="preserve"> být léčeni s opatrností. Pokud není dávka imatinibu tolerována, může být snížena (viz body </w:t>
      </w:r>
      <w:smartTag w:uri="urn:schemas-microsoft-com:office:smarttags" w:element="metricconverter">
        <w:smartTagPr>
          <w:attr w:name="ProductID" w:val="4.2 a"/>
        </w:smartTagPr>
        <w:r w:rsidRPr="009B1A37">
          <w:rPr>
            <w:color w:val="000000"/>
          </w:rPr>
          <w:t>4.2 a</w:t>
        </w:r>
      </w:smartTag>
      <w:r w:rsidRPr="009B1A37">
        <w:rPr>
          <w:color w:val="000000"/>
        </w:rPr>
        <w:t xml:space="preserve"> 5.2).</w:t>
      </w:r>
    </w:p>
    <w:p w14:paraId="4CB7A40A" w14:textId="77777777" w:rsidR="008913CE" w:rsidRPr="009B1A37" w:rsidRDefault="008913CE" w:rsidP="00BE3D48">
      <w:pPr>
        <w:pStyle w:val="EndnoteText"/>
        <w:widowControl w:val="0"/>
        <w:tabs>
          <w:tab w:val="clear" w:pos="567"/>
        </w:tabs>
        <w:rPr>
          <w:color w:val="000000"/>
        </w:rPr>
      </w:pPr>
    </w:p>
    <w:p w14:paraId="3C1CED06" w14:textId="77777777" w:rsidR="008913CE" w:rsidRPr="009B1A37" w:rsidRDefault="008913CE" w:rsidP="00BE3D48">
      <w:pPr>
        <w:pStyle w:val="EndnoteText"/>
        <w:widowControl w:val="0"/>
        <w:tabs>
          <w:tab w:val="clear" w:pos="567"/>
        </w:tabs>
        <w:rPr>
          <w:color w:val="000000"/>
        </w:rPr>
      </w:pPr>
      <w:r w:rsidRPr="009B1A37">
        <w:rPr>
          <w:color w:val="000000"/>
        </w:rPr>
        <w:t>Dlouhodobá léčba imatinibem může být spojená s klinicky významným omezením renálních funkcí. Proto mají být renální funkce před zahájením léčby imatinibem vyhodnoceny a během léčby pečlivě sledovány, pozornost má být věnována pacientům, u nichž se projevují rizikové faktory pro renální dysfunkci. Pokud je zjištěna renální dysfunkce, musí být předepsána vhodná opatření a léčba, která je v souladu se standardními léčebnými doporučeními.</w:t>
      </w:r>
    </w:p>
    <w:p w14:paraId="3CBDCD68" w14:textId="77777777" w:rsidR="00EA5993" w:rsidRPr="009B1A37" w:rsidRDefault="00EA5993" w:rsidP="00BE3D48">
      <w:pPr>
        <w:pStyle w:val="EndnoteText"/>
        <w:widowControl w:val="0"/>
        <w:tabs>
          <w:tab w:val="clear" w:pos="567"/>
        </w:tabs>
        <w:rPr>
          <w:color w:val="000000"/>
        </w:rPr>
      </w:pPr>
    </w:p>
    <w:p w14:paraId="587DDA88" w14:textId="77777777" w:rsidR="00EA5993" w:rsidRPr="009B1A37" w:rsidRDefault="00EA5993" w:rsidP="00BE3D48">
      <w:pPr>
        <w:pStyle w:val="EndnoteText"/>
        <w:keepNext/>
        <w:widowControl w:val="0"/>
        <w:tabs>
          <w:tab w:val="clear" w:pos="567"/>
        </w:tabs>
        <w:rPr>
          <w:color w:val="000000"/>
          <w:u w:val="single"/>
        </w:rPr>
      </w:pPr>
      <w:r w:rsidRPr="009B1A37">
        <w:rPr>
          <w:color w:val="000000"/>
          <w:u w:val="single"/>
        </w:rPr>
        <w:t>Pediatrická populace</w:t>
      </w:r>
    </w:p>
    <w:p w14:paraId="6F3585BF" w14:textId="77777777" w:rsidR="00EA5993" w:rsidRPr="009B1A37" w:rsidRDefault="00EA5993" w:rsidP="00BE3D48">
      <w:pPr>
        <w:pStyle w:val="EndnoteText"/>
        <w:widowControl w:val="0"/>
        <w:tabs>
          <w:tab w:val="clear" w:pos="567"/>
        </w:tabs>
        <w:rPr>
          <w:color w:val="000000"/>
        </w:rPr>
      </w:pPr>
      <w:r w:rsidRPr="009B1A37">
        <w:rPr>
          <w:color w:val="000000"/>
        </w:rPr>
        <w:t xml:space="preserve">U dětí a jedinců v prepubertálním věku (preadolescentů) užívajících imatinib byly hlášené případy retardace růstu. </w:t>
      </w:r>
      <w:r w:rsidR="00293B73" w:rsidRPr="009B1A37">
        <w:rPr>
          <w:color w:val="000000"/>
        </w:rPr>
        <w:t xml:space="preserve">V observační studii provedené u pediatrických pacientů s CML byl ve dvou malých podskupinách bez ohledu na </w:t>
      </w:r>
      <w:r w:rsidR="00C82AC7" w:rsidRPr="009B1A37">
        <w:rPr>
          <w:color w:val="000000"/>
        </w:rPr>
        <w:t xml:space="preserve">stupeň </w:t>
      </w:r>
      <w:r w:rsidR="00293B73" w:rsidRPr="009B1A37">
        <w:rPr>
          <w:color w:val="000000"/>
        </w:rPr>
        <w:t>pubertální</w:t>
      </w:r>
      <w:r w:rsidR="00C82AC7" w:rsidRPr="009B1A37">
        <w:rPr>
          <w:color w:val="000000"/>
        </w:rPr>
        <w:t>ho</w:t>
      </w:r>
      <w:r w:rsidR="00293B73" w:rsidRPr="009B1A37">
        <w:rPr>
          <w:color w:val="000000"/>
        </w:rPr>
        <w:t xml:space="preserve"> </w:t>
      </w:r>
      <w:r w:rsidR="00C82AC7" w:rsidRPr="009B1A37">
        <w:rPr>
          <w:color w:val="000000"/>
        </w:rPr>
        <w:t>vývoje</w:t>
      </w:r>
      <w:r w:rsidR="00293B73" w:rsidRPr="009B1A37">
        <w:rPr>
          <w:color w:val="000000"/>
        </w:rPr>
        <w:t xml:space="preserve"> a pohlaví po 12 a 24 měsících léčby hlášen </w:t>
      </w:r>
      <w:r w:rsidR="00FB51D0" w:rsidRPr="009B1A37">
        <w:rPr>
          <w:color w:val="000000"/>
        </w:rPr>
        <w:t>statisticky významný</w:t>
      </w:r>
      <w:r w:rsidR="00C30394" w:rsidRPr="009B1A37">
        <w:rPr>
          <w:color w:val="000000"/>
        </w:rPr>
        <w:t xml:space="preserve"> pokles </w:t>
      </w:r>
      <w:r w:rsidR="00FB51D0" w:rsidRPr="009B1A37">
        <w:rPr>
          <w:color w:val="000000"/>
        </w:rPr>
        <w:t>(</w:t>
      </w:r>
      <w:r w:rsidR="00C82AC7" w:rsidRPr="009B1A37">
        <w:rPr>
          <w:color w:val="000000"/>
        </w:rPr>
        <w:t xml:space="preserve">ale </w:t>
      </w:r>
      <w:r w:rsidR="00FB51D0" w:rsidRPr="009B1A37">
        <w:rPr>
          <w:color w:val="000000"/>
        </w:rPr>
        <w:t xml:space="preserve">s nejistým klinickým významem) </w:t>
      </w:r>
      <w:r w:rsidR="00C30394" w:rsidRPr="009B1A37">
        <w:rPr>
          <w:color w:val="000000"/>
        </w:rPr>
        <w:t>skóre směrodatné odchylky střední výšky</w:t>
      </w:r>
      <w:r w:rsidR="00293B73" w:rsidRPr="009B1A37">
        <w:rPr>
          <w:color w:val="000000"/>
        </w:rPr>
        <w:t>. D</w:t>
      </w:r>
      <w:r w:rsidRPr="009B1A37">
        <w:rPr>
          <w:color w:val="000000"/>
        </w:rPr>
        <w:t>oporuč</w:t>
      </w:r>
      <w:r w:rsidR="00293B73" w:rsidRPr="009B1A37">
        <w:rPr>
          <w:color w:val="000000"/>
        </w:rPr>
        <w:t>uje se</w:t>
      </w:r>
      <w:r w:rsidRPr="009B1A37">
        <w:rPr>
          <w:color w:val="000000"/>
        </w:rPr>
        <w:t xml:space="preserve"> pečlivé sledování růstu dětí léčených imatinibem (viz </w:t>
      </w:r>
      <w:r w:rsidR="00A31542" w:rsidRPr="009B1A37">
        <w:rPr>
          <w:color w:val="000000"/>
        </w:rPr>
        <w:t>bod </w:t>
      </w:r>
      <w:r w:rsidRPr="009B1A37">
        <w:rPr>
          <w:color w:val="000000"/>
        </w:rPr>
        <w:t>4.8).</w:t>
      </w:r>
    </w:p>
    <w:p w14:paraId="7358D144" w14:textId="77777777" w:rsidR="00EA5993" w:rsidRPr="009B1A37" w:rsidRDefault="00EA5993" w:rsidP="00BE3D48">
      <w:pPr>
        <w:pStyle w:val="EndnoteText"/>
        <w:widowControl w:val="0"/>
        <w:tabs>
          <w:tab w:val="clear" w:pos="567"/>
        </w:tabs>
        <w:rPr>
          <w:color w:val="000000"/>
        </w:rPr>
      </w:pPr>
    </w:p>
    <w:p w14:paraId="316118A9" w14:textId="77777777" w:rsidR="00EA5993" w:rsidRPr="009B1A37" w:rsidRDefault="00EA5993" w:rsidP="00BE3D48">
      <w:pPr>
        <w:keepNext/>
        <w:widowControl w:val="0"/>
        <w:tabs>
          <w:tab w:val="clear" w:pos="567"/>
        </w:tabs>
        <w:spacing w:line="240" w:lineRule="auto"/>
        <w:ind w:left="567" w:hanging="567"/>
        <w:rPr>
          <w:b/>
          <w:bCs/>
          <w:color w:val="000000"/>
        </w:rPr>
      </w:pPr>
      <w:r w:rsidRPr="009B1A37">
        <w:rPr>
          <w:b/>
          <w:bCs/>
          <w:color w:val="000000"/>
        </w:rPr>
        <w:t>4.5</w:t>
      </w:r>
      <w:r w:rsidRPr="009B1A37">
        <w:rPr>
          <w:b/>
          <w:bCs/>
          <w:color w:val="000000"/>
        </w:rPr>
        <w:tab/>
        <w:t>Interakce s jinými léčivými přípravky a jiné formy interakce</w:t>
      </w:r>
    </w:p>
    <w:p w14:paraId="74FBE814" w14:textId="77777777" w:rsidR="00EA5993" w:rsidRPr="009B1A37" w:rsidRDefault="00EA5993" w:rsidP="00BE3D48">
      <w:pPr>
        <w:pStyle w:val="EndnoteText"/>
        <w:keepNext/>
        <w:widowControl w:val="0"/>
        <w:tabs>
          <w:tab w:val="clear" w:pos="567"/>
        </w:tabs>
        <w:rPr>
          <w:color w:val="000000"/>
        </w:rPr>
      </w:pPr>
    </w:p>
    <w:p w14:paraId="7F033B8D" w14:textId="77777777" w:rsidR="00EA5993" w:rsidRPr="009B1A37" w:rsidRDefault="00EA5993" w:rsidP="00BE3D48">
      <w:pPr>
        <w:pStyle w:val="Text"/>
        <w:keepNext/>
        <w:widowControl w:val="0"/>
        <w:spacing w:before="0"/>
        <w:jc w:val="left"/>
        <w:rPr>
          <w:color w:val="000000"/>
          <w:sz w:val="22"/>
          <w:szCs w:val="22"/>
          <w:u w:val="single"/>
          <w:lang w:val="cs-CZ"/>
        </w:rPr>
      </w:pPr>
      <w:r w:rsidRPr="009B1A37">
        <w:rPr>
          <w:color w:val="000000"/>
          <w:sz w:val="22"/>
          <w:szCs w:val="22"/>
          <w:u w:val="single"/>
          <w:lang w:val="cs-CZ"/>
        </w:rPr>
        <w:t xml:space="preserve">Léčivé látky, které mohou </w:t>
      </w:r>
      <w:r w:rsidRPr="009B1A37">
        <w:rPr>
          <w:b/>
          <w:bCs/>
          <w:color w:val="000000"/>
          <w:sz w:val="22"/>
          <w:szCs w:val="22"/>
          <w:u w:val="single"/>
          <w:lang w:val="cs-CZ"/>
        </w:rPr>
        <w:t>zvyšovat</w:t>
      </w:r>
      <w:r w:rsidRPr="009B1A37">
        <w:rPr>
          <w:color w:val="000000"/>
          <w:sz w:val="22"/>
          <w:szCs w:val="22"/>
          <w:u w:val="single"/>
          <w:lang w:val="cs-CZ"/>
        </w:rPr>
        <w:t xml:space="preserve"> koncentraci imatinibu v plazmě:</w:t>
      </w:r>
    </w:p>
    <w:p w14:paraId="3A108CD4" w14:textId="77777777" w:rsidR="00EA5993" w:rsidRPr="009B1A37" w:rsidRDefault="00EA5993" w:rsidP="00BE3D48">
      <w:pPr>
        <w:pStyle w:val="Text"/>
        <w:widowControl w:val="0"/>
        <w:spacing w:before="0"/>
        <w:jc w:val="left"/>
        <w:rPr>
          <w:color w:val="000000"/>
          <w:sz w:val="22"/>
          <w:szCs w:val="22"/>
          <w:lang w:val="cs-CZ"/>
        </w:rPr>
      </w:pPr>
      <w:r w:rsidRPr="009B1A37">
        <w:rPr>
          <w:color w:val="000000"/>
          <w:sz w:val="22"/>
          <w:szCs w:val="22"/>
          <w:lang w:val="cs-CZ"/>
        </w:rPr>
        <w:t>Látky, které inhibují aktivitu izoenzymu CYP3A4 cytochromu P450 (např. inhibitory proteáz jako je indinavir, lopinavir/ritonavir, ritonavir, sachinavir, telaprevir, nelfinavir, boceprevir; azolová antimykotika zahrnující ketokonazol, itrakonazol, posakonazol, vorikonazol; některé makrolidy jako je erythromycin, klarithromycin a telithromycin) by mohly snižovat metabolismus a zvyšovat koncentraci imatinibu. Při souběžné jednotlivé dávce ketokonazolu (inhibitoru CYP3A4) zdravým jedincům bylo pozorováno významné zvýšení účinku imatinibu (průměrná C</w:t>
      </w:r>
      <w:r w:rsidRPr="009B1A37">
        <w:rPr>
          <w:color w:val="000000"/>
          <w:sz w:val="22"/>
          <w:szCs w:val="22"/>
          <w:vertAlign w:val="subscript"/>
          <w:lang w:val="cs-CZ"/>
        </w:rPr>
        <w:t>max</w:t>
      </w:r>
      <w:r w:rsidRPr="009B1A37">
        <w:rPr>
          <w:color w:val="000000"/>
          <w:sz w:val="22"/>
          <w:szCs w:val="22"/>
          <w:lang w:val="cs-CZ"/>
        </w:rPr>
        <w:t xml:space="preserve"> imatinibu vzrostla o 26</w:t>
      </w:r>
      <w:r w:rsidR="002F04EE" w:rsidRPr="009B1A37">
        <w:rPr>
          <w:color w:val="000000"/>
          <w:sz w:val="22"/>
          <w:szCs w:val="22"/>
          <w:lang w:val="cs-CZ"/>
        </w:rPr>
        <w:t> </w:t>
      </w:r>
      <w:r w:rsidRPr="009B1A37">
        <w:rPr>
          <w:color w:val="000000"/>
          <w:sz w:val="22"/>
          <w:szCs w:val="22"/>
          <w:lang w:val="cs-CZ"/>
        </w:rPr>
        <w:t>% a AUC o 40</w:t>
      </w:r>
      <w:r w:rsidR="002F04EE" w:rsidRPr="009B1A37">
        <w:rPr>
          <w:color w:val="000000"/>
          <w:sz w:val="22"/>
          <w:szCs w:val="22"/>
          <w:lang w:val="cs-CZ"/>
        </w:rPr>
        <w:t> </w:t>
      </w:r>
      <w:r w:rsidRPr="009B1A37">
        <w:rPr>
          <w:color w:val="000000"/>
          <w:sz w:val="22"/>
          <w:szCs w:val="22"/>
          <w:lang w:val="cs-CZ"/>
        </w:rPr>
        <w:t>%). Při podávání Glivecu s inhibitory skupiny CYP3A4 je nutná opatrnost.</w:t>
      </w:r>
    </w:p>
    <w:p w14:paraId="27F77D8E" w14:textId="77777777" w:rsidR="00EA5993" w:rsidRPr="009B1A37" w:rsidRDefault="00EA5993" w:rsidP="00BE3D48">
      <w:pPr>
        <w:pStyle w:val="Text"/>
        <w:widowControl w:val="0"/>
        <w:spacing w:before="0"/>
        <w:jc w:val="left"/>
        <w:rPr>
          <w:color w:val="000000"/>
          <w:sz w:val="22"/>
          <w:szCs w:val="22"/>
          <w:lang w:val="cs-CZ"/>
        </w:rPr>
      </w:pPr>
    </w:p>
    <w:p w14:paraId="5C987093" w14:textId="77777777" w:rsidR="00EA5993" w:rsidRPr="009B1A37" w:rsidRDefault="00EA5993" w:rsidP="00BE3D48">
      <w:pPr>
        <w:pStyle w:val="Text"/>
        <w:keepNext/>
        <w:widowControl w:val="0"/>
        <w:spacing w:before="0"/>
        <w:jc w:val="left"/>
        <w:rPr>
          <w:color w:val="000000"/>
          <w:sz w:val="22"/>
          <w:szCs w:val="22"/>
          <w:u w:val="single"/>
          <w:lang w:val="cs-CZ"/>
        </w:rPr>
      </w:pPr>
      <w:r w:rsidRPr="009B1A37">
        <w:rPr>
          <w:color w:val="000000"/>
          <w:sz w:val="22"/>
          <w:szCs w:val="22"/>
          <w:u w:val="single"/>
          <w:lang w:val="cs-CZ"/>
        </w:rPr>
        <w:t xml:space="preserve">Léčivé látky, které mohou </w:t>
      </w:r>
      <w:r w:rsidRPr="009B1A37">
        <w:rPr>
          <w:b/>
          <w:bCs/>
          <w:color w:val="000000"/>
          <w:sz w:val="22"/>
          <w:szCs w:val="22"/>
          <w:u w:val="single"/>
          <w:lang w:val="cs-CZ"/>
        </w:rPr>
        <w:t xml:space="preserve">snižovat </w:t>
      </w:r>
      <w:r w:rsidRPr="009B1A37">
        <w:rPr>
          <w:color w:val="000000"/>
          <w:sz w:val="22"/>
          <w:szCs w:val="22"/>
          <w:u w:val="single"/>
          <w:lang w:val="cs-CZ"/>
        </w:rPr>
        <w:t>koncentraci</w:t>
      </w:r>
      <w:r w:rsidRPr="009B1A37">
        <w:rPr>
          <w:b/>
          <w:bCs/>
          <w:color w:val="000000"/>
          <w:sz w:val="22"/>
          <w:szCs w:val="22"/>
          <w:u w:val="single"/>
          <w:lang w:val="cs-CZ"/>
        </w:rPr>
        <w:t xml:space="preserve"> </w:t>
      </w:r>
      <w:r w:rsidRPr="009B1A37">
        <w:rPr>
          <w:color w:val="000000"/>
          <w:sz w:val="22"/>
          <w:szCs w:val="22"/>
          <w:u w:val="single"/>
          <w:lang w:val="cs-CZ"/>
        </w:rPr>
        <w:t>imatinibu v plazmě:</w:t>
      </w:r>
    </w:p>
    <w:p w14:paraId="5F2395E3" w14:textId="77777777" w:rsidR="00EA5993" w:rsidRPr="009B1A37" w:rsidRDefault="00EA5993" w:rsidP="00BE3D48">
      <w:pPr>
        <w:pStyle w:val="Text"/>
        <w:widowControl w:val="0"/>
        <w:spacing w:before="0"/>
        <w:jc w:val="left"/>
        <w:rPr>
          <w:color w:val="000000"/>
          <w:sz w:val="22"/>
          <w:szCs w:val="22"/>
          <w:lang w:val="cs-CZ"/>
        </w:rPr>
      </w:pPr>
      <w:r w:rsidRPr="009B1A37">
        <w:rPr>
          <w:color w:val="000000"/>
          <w:sz w:val="22"/>
          <w:szCs w:val="22"/>
          <w:lang w:val="cs-CZ"/>
        </w:rPr>
        <w:t xml:space="preserve">Látky, které indukují aktivitu CYP3A4 (např. dexamethason, fenytoin, karbamazepin, rifampicin, fenobarbital, fosfenytoin, primidon nebo </w:t>
      </w:r>
      <w:r w:rsidRPr="009B1A37">
        <w:rPr>
          <w:i/>
          <w:iCs/>
          <w:color w:val="000000"/>
          <w:sz w:val="22"/>
          <w:szCs w:val="22"/>
          <w:lang w:val="cs-CZ"/>
        </w:rPr>
        <w:t>Hypericum perforatum</w:t>
      </w:r>
      <w:r w:rsidRPr="009B1A37">
        <w:rPr>
          <w:color w:val="000000"/>
          <w:sz w:val="22"/>
          <w:szCs w:val="22"/>
          <w:lang w:val="cs-CZ"/>
        </w:rPr>
        <w:t xml:space="preserve">, známé také jako třezalka tečkovaná) mohou významně snižovat </w:t>
      </w:r>
      <w:r w:rsidR="002F04EE" w:rsidRPr="009B1A37">
        <w:rPr>
          <w:color w:val="000000"/>
          <w:sz w:val="22"/>
          <w:szCs w:val="22"/>
          <w:lang w:val="cs-CZ"/>
        </w:rPr>
        <w:t>expozici</w:t>
      </w:r>
      <w:r w:rsidRPr="009B1A37">
        <w:rPr>
          <w:color w:val="000000"/>
          <w:sz w:val="22"/>
          <w:szCs w:val="22"/>
          <w:lang w:val="cs-CZ"/>
        </w:rPr>
        <w:t xml:space="preserve"> Glivecu a potenciálně zvyšovat riziko selhání léčby. Předchozí léčba opakovaný</w:t>
      </w:r>
      <w:r w:rsidR="002F04EE" w:rsidRPr="009B1A37">
        <w:rPr>
          <w:color w:val="000000"/>
          <w:sz w:val="22"/>
          <w:szCs w:val="22"/>
          <w:lang w:val="cs-CZ"/>
        </w:rPr>
        <w:t>mi</w:t>
      </w:r>
      <w:r w:rsidRPr="009B1A37">
        <w:rPr>
          <w:color w:val="000000"/>
          <w:sz w:val="22"/>
          <w:szCs w:val="22"/>
          <w:lang w:val="cs-CZ"/>
        </w:rPr>
        <w:t xml:space="preserve"> </w:t>
      </w:r>
      <w:r w:rsidR="002F04EE" w:rsidRPr="009B1A37">
        <w:rPr>
          <w:color w:val="000000"/>
          <w:sz w:val="22"/>
          <w:szCs w:val="22"/>
          <w:lang w:val="cs-CZ"/>
        </w:rPr>
        <w:t>dávkami</w:t>
      </w:r>
      <w:r w:rsidRPr="009B1A37">
        <w:rPr>
          <w:color w:val="000000"/>
          <w:sz w:val="22"/>
          <w:szCs w:val="22"/>
          <w:lang w:val="cs-CZ"/>
        </w:rPr>
        <w:t xml:space="preserve"> rifampicinu 600 mg následovaná jednorázovou dávkou 400 mg Glivecu měla za následek snížení C</w:t>
      </w:r>
      <w:r w:rsidRPr="009B1A37">
        <w:rPr>
          <w:color w:val="000000"/>
          <w:sz w:val="22"/>
          <w:szCs w:val="22"/>
          <w:vertAlign w:val="subscript"/>
          <w:lang w:val="cs-CZ"/>
        </w:rPr>
        <w:t>max</w:t>
      </w:r>
      <w:r w:rsidRPr="009B1A37">
        <w:rPr>
          <w:color w:val="000000"/>
          <w:sz w:val="22"/>
          <w:szCs w:val="22"/>
          <w:lang w:val="cs-CZ"/>
        </w:rPr>
        <w:t xml:space="preserve"> nejméně o 54</w:t>
      </w:r>
      <w:r w:rsidR="004B270C" w:rsidRPr="009B1A37">
        <w:rPr>
          <w:color w:val="000000"/>
          <w:sz w:val="22"/>
          <w:szCs w:val="22"/>
          <w:lang w:val="cs-CZ"/>
        </w:rPr>
        <w:t> </w:t>
      </w:r>
      <w:r w:rsidRPr="009B1A37">
        <w:rPr>
          <w:color w:val="000000"/>
          <w:sz w:val="22"/>
          <w:szCs w:val="22"/>
          <w:lang w:val="cs-CZ"/>
        </w:rPr>
        <w:t>% a AUC</w:t>
      </w:r>
      <w:r w:rsidRPr="009B1A37">
        <w:rPr>
          <w:color w:val="000000"/>
          <w:sz w:val="22"/>
          <w:szCs w:val="22"/>
          <w:vertAlign w:val="subscript"/>
          <w:lang w:val="cs-CZ"/>
        </w:rPr>
        <w:t>(0-∞)</w:t>
      </w:r>
      <w:r w:rsidRPr="009B1A37">
        <w:rPr>
          <w:color w:val="000000"/>
          <w:sz w:val="22"/>
          <w:szCs w:val="22"/>
          <w:lang w:val="cs-CZ"/>
        </w:rPr>
        <w:t xml:space="preserve"> o 74</w:t>
      </w:r>
      <w:r w:rsidR="004B270C" w:rsidRPr="009B1A37">
        <w:rPr>
          <w:color w:val="000000"/>
          <w:sz w:val="22"/>
          <w:szCs w:val="22"/>
          <w:lang w:val="cs-CZ"/>
        </w:rPr>
        <w:t> </w:t>
      </w:r>
      <w:r w:rsidRPr="009B1A37">
        <w:rPr>
          <w:color w:val="000000"/>
          <w:sz w:val="22"/>
          <w:szCs w:val="22"/>
          <w:lang w:val="cs-CZ"/>
        </w:rPr>
        <w:t>% ve srovnání s hodnotami bez předchozí léčby rifampicinem. Podobné výsledky byly pozorovány u pacientů s maligními gliomy, kteří byli léčeni Glivecem a užívali antiepilepti</w:t>
      </w:r>
      <w:r w:rsidR="002F04EE" w:rsidRPr="009B1A37">
        <w:rPr>
          <w:color w:val="000000"/>
          <w:sz w:val="22"/>
          <w:szCs w:val="22"/>
          <w:lang w:val="cs-CZ"/>
        </w:rPr>
        <w:t>ka</w:t>
      </w:r>
      <w:r w:rsidRPr="009B1A37">
        <w:rPr>
          <w:color w:val="000000"/>
          <w:sz w:val="22"/>
          <w:szCs w:val="22"/>
          <w:lang w:val="cs-CZ"/>
        </w:rPr>
        <w:t xml:space="preserve"> (EIAED) jako např. karbamazepin, oxkarbazepin a fenytoin, které indukovaly příslušné jaterní enzymy. Došlo ke snížení AUC imatinibu v plazmě o 73</w:t>
      </w:r>
      <w:r w:rsidR="004B270C" w:rsidRPr="009B1A37">
        <w:rPr>
          <w:color w:val="000000"/>
          <w:sz w:val="22"/>
          <w:szCs w:val="22"/>
          <w:lang w:val="cs-CZ"/>
        </w:rPr>
        <w:t> </w:t>
      </w:r>
      <w:r w:rsidRPr="009B1A37">
        <w:rPr>
          <w:color w:val="000000"/>
          <w:sz w:val="22"/>
          <w:szCs w:val="22"/>
          <w:lang w:val="cs-CZ"/>
        </w:rPr>
        <w:t xml:space="preserve">% oproti pacientům, kteří neužívali EIAED. </w:t>
      </w:r>
      <w:r w:rsidR="002F04EE" w:rsidRPr="009B1A37">
        <w:rPr>
          <w:color w:val="000000"/>
          <w:sz w:val="22"/>
          <w:szCs w:val="22"/>
          <w:lang w:val="cs-CZ"/>
        </w:rPr>
        <w:t>Má</w:t>
      </w:r>
      <w:r w:rsidRPr="009B1A37">
        <w:rPr>
          <w:color w:val="000000"/>
          <w:sz w:val="22"/>
          <w:szCs w:val="22"/>
          <w:lang w:val="cs-CZ"/>
        </w:rPr>
        <w:t xml:space="preserve"> se zabránit souběžnému užívání rifampicinu nebo jiných silných induktorů CYP3A4 a imatinibu.</w:t>
      </w:r>
    </w:p>
    <w:p w14:paraId="733A012D" w14:textId="77777777" w:rsidR="00EA5993" w:rsidRPr="009B1A37" w:rsidRDefault="00EA5993" w:rsidP="00BE3D48">
      <w:pPr>
        <w:pStyle w:val="Text"/>
        <w:widowControl w:val="0"/>
        <w:spacing w:before="0"/>
        <w:jc w:val="left"/>
        <w:rPr>
          <w:color w:val="000000"/>
          <w:sz w:val="22"/>
          <w:szCs w:val="22"/>
          <w:lang w:val="cs-CZ"/>
        </w:rPr>
      </w:pPr>
    </w:p>
    <w:p w14:paraId="134C01C7" w14:textId="77777777" w:rsidR="00EA5993" w:rsidRPr="00A329BB" w:rsidRDefault="00EA5993" w:rsidP="00BE3D48">
      <w:pPr>
        <w:pStyle w:val="Text"/>
        <w:keepNext/>
        <w:widowControl w:val="0"/>
        <w:spacing w:before="0"/>
        <w:jc w:val="left"/>
        <w:rPr>
          <w:bCs/>
          <w:color w:val="000000"/>
          <w:sz w:val="22"/>
          <w:szCs w:val="22"/>
          <w:lang w:val="cs-CZ"/>
        </w:rPr>
      </w:pPr>
      <w:r w:rsidRPr="00A329BB">
        <w:rPr>
          <w:bCs/>
          <w:color w:val="000000"/>
          <w:sz w:val="22"/>
          <w:szCs w:val="22"/>
          <w:lang w:val="cs-CZ"/>
        </w:rPr>
        <w:t>Léčivé látky, jejichž koncentrace v plazmě by mohla být ovlivněna Glivecem</w:t>
      </w:r>
    </w:p>
    <w:p w14:paraId="65ECEE75" w14:textId="77777777" w:rsidR="00EA5993" w:rsidRPr="009B1A37" w:rsidRDefault="00EA5993" w:rsidP="00BE3D48">
      <w:pPr>
        <w:pStyle w:val="Text"/>
        <w:widowControl w:val="0"/>
        <w:spacing w:before="0"/>
        <w:jc w:val="left"/>
        <w:rPr>
          <w:color w:val="000000"/>
          <w:sz w:val="22"/>
          <w:szCs w:val="22"/>
          <w:lang w:val="cs-CZ"/>
        </w:rPr>
      </w:pPr>
      <w:r w:rsidRPr="009B1A37">
        <w:rPr>
          <w:color w:val="000000"/>
          <w:sz w:val="22"/>
          <w:szCs w:val="22"/>
          <w:lang w:val="cs-CZ"/>
        </w:rPr>
        <w:t>Imatinib zvyšuje průměrnou C</w:t>
      </w:r>
      <w:r w:rsidRPr="009B1A37">
        <w:rPr>
          <w:color w:val="000000"/>
          <w:sz w:val="22"/>
          <w:szCs w:val="22"/>
          <w:vertAlign w:val="subscript"/>
          <w:lang w:val="cs-CZ"/>
        </w:rPr>
        <w:t>max</w:t>
      </w:r>
      <w:r w:rsidRPr="009B1A37">
        <w:rPr>
          <w:color w:val="000000"/>
          <w:sz w:val="22"/>
          <w:szCs w:val="22"/>
          <w:lang w:val="cs-CZ"/>
        </w:rPr>
        <w:t xml:space="preserve"> simvastatinu 2krát a AUC simvastatinu (CYP3A4 substrát) 3,5krát, což znamená, že je CYP3A4 inhibován imatinibem. Při podávání Glivecu se substráty CYP3A4 s úzkým terapeutickým oknem se proto doporučuje opatrnost (např. cyklosporin, pimozid, takrolimus, sirolimus, ergotamin, diergotamin, fentanyl, alfentanil, terfenadin, bortezomib, docetaxel a chinidin). Glivec může zvyšovat plazmatickou koncentraci jiných léků metabolizovaných CYP3A4 (např. triazolo-benzodiazepinů, dihydropyridinových blokátorů kalciových kanálů, některých inhibitorů </w:t>
      </w:r>
      <w:smartTag w:uri="urn:schemas-microsoft-com:office:smarttags" w:element="stockticker">
        <w:r w:rsidRPr="009B1A37">
          <w:rPr>
            <w:color w:val="000000"/>
            <w:sz w:val="22"/>
            <w:szCs w:val="22"/>
            <w:lang w:val="cs-CZ"/>
          </w:rPr>
          <w:t>HMG</w:t>
        </w:r>
      </w:smartTag>
      <w:r w:rsidRPr="009B1A37">
        <w:rPr>
          <w:color w:val="000000"/>
          <w:sz w:val="22"/>
          <w:szCs w:val="22"/>
          <w:lang w:val="cs-CZ"/>
        </w:rPr>
        <w:t>-CoA reduktázy, tj. statinů, atd.).</w:t>
      </w:r>
    </w:p>
    <w:p w14:paraId="4D84DD10" w14:textId="77777777" w:rsidR="00EA5993" w:rsidRPr="009B1A37" w:rsidRDefault="00EA5993" w:rsidP="00BE3D48">
      <w:pPr>
        <w:pStyle w:val="Text"/>
        <w:widowControl w:val="0"/>
        <w:spacing w:before="0"/>
        <w:jc w:val="left"/>
        <w:rPr>
          <w:color w:val="000000"/>
          <w:sz w:val="22"/>
          <w:szCs w:val="22"/>
          <w:lang w:val="cs-CZ"/>
        </w:rPr>
      </w:pPr>
    </w:p>
    <w:p w14:paraId="7D21917D" w14:textId="77777777" w:rsidR="00EA5993" w:rsidRPr="009B1A37" w:rsidRDefault="00EA5993" w:rsidP="00BE3D48">
      <w:pPr>
        <w:pStyle w:val="Text"/>
        <w:widowControl w:val="0"/>
        <w:spacing w:before="0"/>
        <w:jc w:val="left"/>
        <w:rPr>
          <w:color w:val="000000"/>
          <w:sz w:val="22"/>
          <w:szCs w:val="22"/>
          <w:lang w:val="cs-CZ"/>
        </w:rPr>
      </w:pPr>
      <w:r w:rsidRPr="009B1A37">
        <w:rPr>
          <w:color w:val="000000"/>
          <w:sz w:val="22"/>
          <w:szCs w:val="22"/>
          <w:lang w:val="cs-CZ"/>
        </w:rPr>
        <w:t xml:space="preserve">Vzhledem ke známému zvýšenému riziku krvácení spojenému s užíváním imatinibu (např. hemoragie) </w:t>
      </w:r>
      <w:r w:rsidR="002F04EE" w:rsidRPr="009B1A37">
        <w:rPr>
          <w:color w:val="000000"/>
          <w:sz w:val="22"/>
          <w:szCs w:val="22"/>
          <w:lang w:val="cs-CZ"/>
        </w:rPr>
        <w:t>mají</w:t>
      </w:r>
      <w:r w:rsidRPr="009B1A37">
        <w:rPr>
          <w:color w:val="000000"/>
          <w:sz w:val="22"/>
          <w:szCs w:val="22"/>
          <w:lang w:val="cs-CZ"/>
        </w:rPr>
        <w:t xml:space="preserve"> pacienti vyžadující antikoagulační léčbu místo kumarinových derivátů, jako je warfarin, dostávat nízkomolekulární nebo standardní heparin.</w:t>
      </w:r>
    </w:p>
    <w:p w14:paraId="0BD77115" w14:textId="77777777" w:rsidR="00EA5993" w:rsidRPr="009B1A37" w:rsidRDefault="00EA5993" w:rsidP="00BE3D48">
      <w:pPr>
        <w:pStyle w:val="Text"/>
        <w:widowControl w:val="0"/>
        <w:spacing w:before="0"/>
        <w:rPr>
          <w:color w:val="000000"/>
          <w:sz w:val="22"/>
          <w:szCs w:val="22"/>
          <w:lang w:val="cs-CZ"/>
        </w:rPr>
      </w:pPr>
    </w:p>
    <w:p w14:paraId="6319F217" w14:textId="77777777" w:rsidR="00EA5993" w:rsidRPr="009B1A37" w:rsidRDefault="00EA5993" w:rsidP="00BE3D48">
      <w:pPr>
        <w:pStyle w:val="Text"/>
        <w:widowControl w:val="0"/>
        <w:spacing w:before="0"/>
        <w:jc w:val="left"/>
        <w:rPr>
          <w:color w:val="000000"/>
          <w:sz w:val="22"/>
          <w:szCs w:val="22"/>
          <w:lang w:val="cs-CZ"/>
        </w:rPr>
      </w:pPr>
      <w:r w:rsidRPr="009B1A37">
        <w:rPr>
          <w:i/>
          <w:iCs/>
          <w:color w:val="000000"/>
          <w:sz w:val="22"/>
          <w:szCs w:val="22"/>
          <w:lang w:val="cs-CZ"/>
        </w:rPr>
        <w:t>In vitro</w:t>
      </w:r>
      <w:r w:rsidRPr="009B1A37">
        <w:rPr>
          <w:color w:val="000000"/>
          <w:sz w:val="22"/>
          <w:szCs w:val="22"/>
          <w:lang w:val="cs-CZ"/>
        </w:rPr>
        <w:t xml:space="preserve"> Glivec inhibuje aktivitu izoenzymu CYP2D6 cytochromu P450 v koncentraci podobné té, která ovlivňuje aktivitu CYP3A4. Imatinib v dávce 400 mg dvakrát denně působil inhibičně na metabolismus metoprololu zprostředkovaný CYP2D6; došlo ke zvýšení C</w:t>
      </w:r>
      <w:r w:rsidRPr="009B1A37">
        <w:rPr>
          <w:color w:val="000000"/>
          <w:sz w:val="22"/>
          <w:szCs w:val="22"/>
          <w:vertAlign w:val="subscript"/>
          <w:lang w:val="cs-CZ"/>
        </w:rPr>
        <w:t>max</w:t>
      </w:r>
      <w:r w:rsidRPr="009B1A37">
        <w:rPr>
          <w:color w:val="000000"/>
          <w:sz w:val="22"/>
          <w:szCs w:val="22"/>
          <w:lang w:val="cs-CZ"/>
        </w:rPr>
        <w:t xml:space="preserve"> a AUC metoprololu o přibližně 23</w:t>
      </w:r>
      <w:r w:rsidR="004B270C" w:rsidRPr="009B1A37">
        <w:rPr>
          <w:color w:val="000000"/>
          <w:sz w:val="22"/>
          <w:szCs w:val="22"/>
          <w:lang w:val="cs-CZ"/>
        </w:rPr>
        <w:t> </w:t>
      </w:r>
      <w:r w:rsidRPr="009B1A37">
        <w:rPr>
          <w:color w:val="000000"/>
          <w:sz w:val="22"/>
          <w:szCs w:val="22"/>
          <w:lang w:val="cs-CZ"/>
        </w:rPr>
        <w:t>% (90% CI [1,16</w:t>
      </w:r>
      <w:r w:rsidRPr="009B1A37">
        <w:rPr>
          <w:color w:val="000000"/>
          <w:sz w:val="22"/>
          <w:szCs w:val="22"/>
          <w:lang w:val="cs-CZ"/>
        </w:rPr>
        <w:noBreakHyphen/>
        <w:t>1,30]).</w:t>
      </w:r>
      <w:r w:rsidR="00C56CC8" w:rsidRPr="009B1A37">
        <w:rPr>
          <w:color w:val="000000"/>
          <w:sz w:val="22"/>
          <w:szCs w:val="22"/>
          <w:lang w:val="cs-CZ"/>
        </w:rPr>
        <w:t xml:space="preserve"> </w:t>
      </w:r>
      <w:r w:rsidRPr="009B1A37">
        <w:rPr>
          <w:color w:val="000000"/>
          <w:sz w:val="22"/>
          <w:szCs w:val="22"/>
          <w:lang w:val="cs-CZ"/>
        </w:rPr>
        <w:t>Zdá se, že při souběžném podávání imatinibu se substráty CYP2D6 není nutno upravovat dávkování, doporučuje se však věnovat zvýšenou pozornost substrátům CYP2D6 s úzkým terapeutickým oknem, jako je např. metoprolol. U pacientů léčených metoprololem je nutno zvážit klinické monitorování.</w:t>
      </w:r>
    </w:p>
    <w:p w14:paraId="756956C9" w14:textId="77777777" w:rsidR="00EA5993" w:rsidRPr="009B1A37" w:rsidRDefault="00EA5993" w:rsidP="00BE3D48">
      <w:pPr>
        <w:pStyle w:val="Text"/>
        <w:widowControl w:val="0"/>
        <w:spacing w:before="0"/>
        <w:jc w:val="left"/>
        <w:rPr>
          <w:color w:val="000000"/>
          <w:sz w:val="22"/>
          <w:szCs w:val="22"/>
          <w:lang w:val="cs-CZ"/>
        </w:rPr>
      </w:pPr>
    </w:p>
    <w:p w14:paraId="65335594" w14:textId="77777777" w:rsidR="00EA5993" w:rsidRPr="009B1A37" w:rsidRDefault="00EA5993" w:rsidP="00BE3D48">
      <w:pPr>
        <w:pStyle w:val="Text"/>
        <w:widowControl w:val="0"/>
        <w:spacing w:before="0"/>
        <w:jc w:val="left"/>
        <w:rPr>
          <w:color w:val="000000"/>
          <w:sz w:val="22"/>
          <w:szCs w:val="22"/>
          <w:lang w:val="cs-CZ"/>
        </w:rPr>
      </w:pPr>
      <w:r w:rsidRPr="009B1A37">
        <w:rPr>
          <w:i/>
          <w:iCs/>
          <w:color w:val="000000"/>
          <w:sz w:val="22"/>
          <w:szCs w:val="22"/>
          <w:lang w:val="cs-CZ"/>
        </w:rPr>
        <w:t>In vitro</w:t>
      </w:r>
      <w:r w:rsidRPr="009B1A37">
        <w:rPr>
          <w:color w:val="000000"/>
          <w:sz w:val="22"/>
          <w:szCs w:val="22"/>
          <w:lang w:val="cs-CZ"/>
        </w:rPr>
        <w:t xml:space="preserve"> Glivec inhibuje O-glukuronidaci paracetamolu s Ki hodnotou 58,5 mikromol/l. </w:t>
      </w:r>
      <w:r w:rsidRPr="009B1A37">
        <w:rPr>
          <w:iCs/>
          <w:color w:val="000000"/>
          <w:sz w:val="22"/>
          <w:szCs w:val="22"/>
          <w:lang w:val="cs-CZ"/>
        </w:rPr>
        <w:t>Tato</w:t>
      </w:r>
      <w:r w:rsidRPr="009B1A37">
        <w:rPr>
          <w:iCs/>
          <w:color w:val="000000"/>
          <w:sz w:val="22"/>
          <w:szCs w:val="22"/>
          <w:u w:val="single"/>
          <w:lang w:val="cs-CZ"/>
        </w:rPr>
        <w:t xml:space="preserve"> </w:t>
      </w:r>
      <w:r w:rsidRPr="009B1A37">
        <w:rPr>
          <w:iCs/>
          <w:color w:val="000000"/>
          <w:sz w:val="22"/>
          <w:szCs w:val="22"/>
          <w:lang w:val="cs-CZ"/>
        </w:rPr>
        <w:t xml:space="preserve">inhibice nebyla zjištěna po podání Glivecu 400 mg a paracetamolu 1000 mg </w:t>
      </w:r>
      <w:r w:rsidRPr="009B1A37">
        <w:rPr>
          <w:i/>
          <w:iCs/>
          <w:color w:val="000000"/>
          <w:sz w:val="22"/>
          <w:szCs w:val="22"/>
          <w:lang w:val="cs-CZ"/>
        </w:rPr>
        <w:t>in vivo</w:t>
      </w:r>
      <w:r w:rsidRPr="009B1A37">
        <w:rPr>
          <w:iCs/>
          <w:color w:val="000000"/>
          <w:sz w:val="22"/>
          <w:szCs w:val="22"/>
          <w:lang w:val="cs-CZ"/>
        </w:rPr>
        <w:t>. Vyšší dávky Glivecu a paracetamolu nebyly studovány.</w:t>
      </w:r>
    </w:p>
    <w:p w14:paraId="7D66F2A4" w14:textId="77777777" w:rsidR="00EA5993" w:rsidRPr="009B1A37" w:rsidRDefault="00EA5993" w:rsidP="00BE3D48">
      <w:pPr>
        <w:pStyle w:val="Text"/>
        <w:widowControl w:val="0"/>
        <w:spacing w:before="0"/>
        <w:jc w:val="left"/>
        <w:rPr>
          <w:color w:val="000000"/>
          <w:sz w:val="22"/>
          <w:szCs w:val="22"/>
          <w:lang w:val="cs-CZ"/>
        </w:rPr>
      </w:pPr>
    </w:p>
    <w:p w14:paraId="717782A6" w14:textId="77777777" w:rsidR="00EA5993" w:rsidRPr="009B1A37" w:rsidRDefault="00EA5993" w:rsidP="00BE3D48">
      <w:pPr>
        <w:pStyle w:val="Text"/>
        <w:widowControl w:val="0"/>
        <w:spacing w:before="0"/>
        <w:jc w:val="left"/>
        <w:rPr>
          <w:color w:val="000000"/>
          <w:sz w:val="22"/>
          <w:szCs w:val="22"/>
          <w:lang w:val="cs-CZ"/>
        </w:rPr>
      </w:pPr>
      <w:r w:rsidRPr="009B1A37">
        <w:rPr>
          <w:color w:val="000000"/>
          <w:sz w:val="22"/>
          <w:szCs w:val="22"/>
          <w:lang w:val="cs-CZ"/>
        </w:rPr>
        <w:t xml:space="preserve">Obezřetnost proto </w:t>
      </w:r>
      <w:r w:rsidR="002F04EE" w:rsidRPr="009B1A37">
        <w:rPr>
          <w:color w:val="000000"/>
          <w:sz w:val="22"/>
          <w:szCs w:val="22"/>
          <w:lang w:val="cs-CZ"/>
        </w:rPr>
        <w:t>má</w:t>
      </w:r>
      <w:r w:rsidRPr="009B1A37">
        <w:rPr>
          <w:color w:val="000000"/>
          <w:sz w:val="22"/>
          <w:szCs w:val="22"/>
          <w:lang w:val="cs-CZ"/>
        </w:rPr>
        <w:t xml:space="preserve"> být uplatněna při souběžném užívání vyšších dávek Glivecu a paracetamolu.</w:t>
      </w:r>
    </w:p>
    <w:p w14:paraId="10DC0AED" w14:textId="77777777" w:rsidR="00EA5993" w:rsidRPr="009B1A37" w:rsidRDefault="00EA5993" w:rsidP="00BE3D48">
      <w:pPr>
        <w:pStyle w:val="Text"/>
        <w:widowControl w:val="0"/>
        <w:spacing w:before="0"/>
        <w:jc w:val="left"/>
        <w:rPr>
          <w:color w:val="000000"/>
          <w:sz w:val="22"/>
          <w:szCs w:val="22"/>
          <w:lang w:val="cs-CZ"/>
        </w:rPr>
      </w:pPr>
    </w:p>
    <w:p w14:paraId="649BD9DF" w14:textId="77777777" w:rsidR="00EA5993" w:rsidRPr="009B1A37" w:rsidRDefault="00EA5993" w:rsidP="00BE3D48">
      <w:pPr>
        <w:pStyle w:val="Text"/>
        <w:widowControl w:val="0"/>
        <w:spacing w:before="0"/>
        <w:jc w:val="left"/>
        <w:rPr>
          <w:color w:val="000000"/>
          <w:sz w:val="22"/>
          <w:szCs w:val="22"/>
          <w:lang w:val="cs-CZ"/>
        </w:rPr>
      </w:pPr>
      <w:r w:rsidRPr="009B1A37">
        <w:rPr>
          <w:color w:val="000000"/>
          <w:sz w:val="22"/>
          <w:szCs w:val="22"/>
          <w:lang w:val="cs-CZ"/>
        </w:rPr>
        <w:t>U pacientů s tyreoidektomií léčených levothyroxinem, může být plazmatická expozice levothyroxinu snížena, pokud se podává spolu s Glivecem (viz bod 4.4). Proto se doporučuje opatrnost. Nicméně mechanismus pozorované interakce v současnosti není znám.</w:t>
      </w:r>
    </w:p>
    <w:p w14:paraId="4A022D8E" w14:textId="77777777" w:rsidR="00EA5993" w:rsidRPr="009B1A37" w:rsidRDefault="00EA5993" w:rsidP="00BE3D48">
      <w:pPr>
        <w:pStyle w:val="Text"/>
        <w:widowControl w:val="0"/>
        <w:spacing w:before="0"/>
        <w:jc w:val="left"/>
        <w:rPr>
          <w:color w:val="000000"/>
          <w:sz w:val="22"/>
          <w:szCs w:val="22"/>
          <w:lang w:val="cs-CZ"/>
        </w:rPr>
      </w:pPr>
    </w:p>
    <w:p w14:paraId="509A8FDB" w14:textId="77777777" w:rsidR="00EA5993" w:rsidRPr="009B1A37" w:rsidRDefault="00EA5993" w:rsidP="00BE3D48">
      <w:pPr>
        <w:pStyle w:val="Text"/>
        <w:widowControl w:val="0"/>
        <w:spacing w:before="0"/>
        <w:jc w:val="left"/>
        <w:rPr>
          <w:color w:val="000000"/>
          <w:sz w:val="22"/>
          <w:szCs w:val="22"/>
          <w:lang w:val="cs-CZ"/>
        </w:rPr>
      </w:pPr>
      <w:r w:rsidRPr="009B1A37">
        <w:rPr>
          <w:color w:val="000000"/>
          <w:sz w:val="22"/>
          <w:szCs w:val="22"/>
          <w:lang w:val="cs-CZ"/>
        </w:rPr>
        <w:t xml:space="preserve">U pacientů s Ph+ </w:t>
      </w:r>
      <w:smartTag w:uri="urn:schemas-microsoft-com:office:smarttags" w:element="stockticker">
        <w:r w:rsidRPr="009B1A37">
          <w:rPr>
            <w:color w:val="000000"/>
            <w:sz w:val="22"/>
            <w:szCs w:val="22"/>
            <w:lang w:val="cs-CZ"/>
          </w:rPr>
          <w:t>ALL</w:t>
        </w:r>
      </w:smartTag>
      <w:r w:rsidRPr="009B1A37">
        <w:rPr>
          <w:color w:val="000000"/>
          <w:sz w:val="22"/>
          <w:szCs w:val="22"/>
          <w:lang w:val="cs-CZ"/>
        </w:rPr>
        <w:t xml:space="preserve"> existují klinické zkušenosti souběžného podávání Glivecu a chemoterapie (viz bod 5.1), avšak lékové interakce mezi imatinibem a chemoterapeutickými režimy nejsou dobře známy. Nežádoucí účinky imatinibu jako jaterní toxicita, myelosuprese a další se mohou zvyšovat, </w:t>
      </w:r>
      <w:r w:rsidR="002F04EE" w:rsidRPr="009B1A37">
        <w:rPr>
          <w:color w:val="000000"/>
          <w:sz w:val="22"/>
          <w:szCs w:val="22"/>
          <w:lang w:val="cs-CZ"/>
        </w:rPr>
        <w:t>protože bylo hlášeno, že</w:t>
      </w:r>
      <w:r w:rsidRPr="009B1A37">
        <w:rPr>
          <w:color w:val="000000"/>
          <w:sz w:val="22"/>
          <w:szCs w:val="22"/>
          <w:lang w:val="cs-CZ"/>
        </w:rPr>
        <w:t xml:space="preserve"> souběžné užívání s L-asparaginázou by mohlo být spojeno se zvýšením jaterní toxicity (viz bod 4.8). Proto je třeba zvláštní opatrnosti, pokud se Glivec užívá v kombinaci.</w:t>
      </w:r>
    </w:p>
    <w:p w14:paraId="548D9448" w14:textId="77777777" w:rsidR="00EA5993" w:rsidRPr="009B1A37" w:rsidRDefault="00EA5993" w:rsidP="00BE3D48">
      <w:pPr>
        <w:pStyle w:val="EndnoteText"/>
        <w:widowControl w:val="0"/>
        <w:tabs>
          <w:tab w:val="clear" w:pos="567"/>
        </w:tabs>
        <w:rPr>
          <w:color w:val="000000"/>
        </w:rPr>
      </w:pPr>
    </w:p>
    <w:p w14:paraId="567E722F" w14:textId="77777777" w:rsidR="00EA5993" w:rsidRPr="009B1A37" w:rsidRDefault="00EA5993" w:rsidP="00BE3D48">
      <w:pPr>
        <w:keepNext/>
        <w:widowControl w:val="0"/>
        <w:tabs>
          <w:tab w:val="clear" w:pos="567"/>
        </w:tabs>
        <w:spacing w:line="240" w:lineRule="auto"/>
        <w:ind w:left="567" w:hanging="567"/>
        <w:rPr>
          <w:b/>
          <w:bCs/>
          <w:color w:val="000000"/>
        </w:rPr>
      </w:pPr>
      <w:r w:rsidRPr="009B1A37">
        <w:rPr>
          <w:b/>
          <w:bCs/>
          <w:color w:val="000000"/>
        </w:rPr>
        <w:t>4.6</w:t>
      </w:r>
      <w:r w:rsidRPr="009B1A37">
        <w:rPr>
          <w:b/>
          <w:bCs/>
          <w:color w:val="000000"/>
        </w:rPr>
        <w:tab/>
        <w:t>Fertilita, těhotenství a kojení</w:t>
      </w:r>
    </w:p>
    <w:p w14:paraId="4BEF61B8" w14:textId="77777777" w:rsidR="00EA5993" w:rsidRPr="009B1A37" w:rsidRDefault="00EA5993" w:rsidP="00BE3D48">
      <w:pPr>
        <w:pStyle w:val="EndnoteText"/>
        <w:keepNext/>
        <w:widowControl w:val="0"/>
        <w:rPr>
          <w:color w:val="000000"/>
        </w:rPr>
      </w:pPr>
    </w:p>
    <w:p w14:paraId="3984B838" w14:textId="77777777" w:rsidR="00EA5993" w:rsidRPr="009B1A37" w:rsidRDefault="00EA5993" w:rsidP="00BE3D48">
      <w:pPr>
        <w:pStyle w:val="EndnoteText"/>
        <w:keepNext/>
        <w:widowControl w:val="0"/>
        <w:rPr>
          <w:color w:val="000000"/>
          <w:u w:val="single"/>
        </w:rPr>
      </w:pPr>
      <w:r w:rsidRPr="009B1A37">
        <w:rPr>
          <w:color w:val="000000"/>
          <w:u w:val="single"/>
        </w:rPr>
        <w:t>Ženy ve fertilním věku</w:t>
      </w:r>
    </w:p>
    <w:p w14:paraId="339C1728" w14:textId="13D6847E" w:rsidR="00EA5993" w:rsidRPr="009B1A37" w:rsidRDefault="00EA5993" w:rsidP="00BE3D48">
      <w:pPr>
        <w:pStyle w:val="EndnoteText"/>
        <w:widowControl w:val="0"/>
        <w:rPr>
          <w:color w:val="000000"/>
        </w:rPr>
      </w:pPr>
      <w:r w:rsidRPr="009B1A37">
        <w:rPr>
          <w:color w:val="000000"/>
        </w:rPr>
        <w:t>Ženám ve fertilním věku musí být doporučeno</w:t>
      </w:r>
      <w:r w:rsidR="0068183E" w:rsidRPr="009B1A37">
        <w:rPr>
          <w:color w:val="000000"/>
        </w:rPr>
        <w:t>, aby</w:t>
      </w:r>
      <w:r w:rsidRPr="009B1A37">
        <w:rPr>
          <w:color w:val="000000"/>
        </w:rPr>
        <w:t xml:space="preserve"> </w:t>
      </w:r>
      <w:r w:rsidR="0068183E" w:rsidRPr="009B1A37">
        <w:rPr>
          <w:color w:val="000000"/>
        </w:rPr>
        <w:t>po</w:t>
      </w:r>
      <w:r w:rsidRPr="009B1A37">
        <w:rPr>
          <w:color w:val="000000"/>
        </w:rPr>
        <w:t>užív</w:t>
      </w:r>
      <w:r w:rsidR="0068183E" w:rsidRPr="009B1A37">
        <w:rPr>
          <w:color w:val="000000"/>
        </w:rPr>
        <w:t>aly</w:t>
      </w:r>
      <w:r w:rsidRPr="009B1A37">
        <w:rPr>
          <w:color w:val="000000"/>
        </w:rPr>
        <w:t xml:space="preserve"> účinn</w:t>
      </w:r>
      <w:r w:rsidR="0068183E" w:rsidRPr="009B1A37">
        <w:rPr>
          <w:color w:val="000000"/>
        </w:rPr>
        <w:t>ou</w:t>
      </w:r>
      <w:r w:rsidRPr="009B1A37">
        <w:rPr>
          <w:color w:val="000000"/>
        </w:rPr>
        <w:t xml:space="preserve"> antikoncepc</w:t>
      </w:r>
      <w:r w:rsidR="0068183E" w:rsidRPr="009B1A37">
        <w:rPr>
          <w:color w:val="000000"/>
        </w:rPr>
        <w:t>i</w:t>
      </w:r>
      <w:r w:rsidRPr="009B1A37">
        <w:rPr>
          <w:color w:val="000000"/>
        </w:rPr>
        <w:t xml:space="preserve"> během léčby</w:t>
      </w:r>
      <w:r w:rsidR="00275730" w:rsidRPr="009B1A37">
        <w:rPr>
          <w:color w:val="000000"/>
        </w:rPr>
        <w:t xml:space="preserve"> a po dobu nejméně 15</w:t>
      </w:r>
      <w:r w:rsidR="00577E6F" w:rsidRPr="009B1A37">
        <w:rPr>
          <w:color w:val="000000"/>
        </w:rPr>
        <w:t> </w:t>
      </w:r>
      <w:r w:rsidR="00275730" w:rsidRPr="009B1A37">
        <w:rPr>
          <w:color w:val="000000"/>
        </w:rPr>
        <w:t>dnů po ukončení léčby přípravkem Glivec</w:t>
      </w:r>
      <w:r w:rsidRPr="009B1A37">
        <w:rPr>
          <w:color w:val="000000"/>
        </w:rPr>
        <w:t>.</w:t>
      </w:r>
    </w:p>
    <w:p w14:paraId="06313912" w14:textId="77777777" w:rsidR="00EA5993" w:rsidRPr="009B1A37" w:rsidRDefault="00EA5993" w:rsidP="00BE3D48">
      <w:pPr>
        <w:pStyle w:val="EndnoteText"/>
        <w:widowControl w:val="0"/>
        <w:rPr>
          <w:color w:val="000000"/>
        </w:rPr>
      </w:pPr>
    </w:p>
    <w:p w14:paraId="29670B5B" w14:textId="77777777" w:rsidR="00EA5993" w:rsidRPr="009B1A37" w:rsidRDefault="00EA5993" w:rsidP="00BE3D48">
      <w:pPr>
        <w:pStyle w:val="EndnoteText"/>
        <w:keepNext/>
        <w:widowControl w:val="0"/>
        <w:rPr>
          <w:color w:val="000000"/>
          <w:u w:val="single"/>
        </w:rPr>
      </w:pPr>
      <w:r w:rsidRPr="009B1A37">
        <w:rPr>
          <w:color w:val="000000"/>
          <w:u w:val="single"/>
        </w:rPr>
        <w:t>Těhotenství</w:t>
      </w:r>
    </w:p>
    <w:p w14:paraId="712B7527" w14:textId="77777777" w:rsidR="00EA5993" w:rsidRPr="009B1A37" w:rsidRDefault="00EA5993" w:rsidP="00BE3D48">
      <w:pPr>
        <w:pStyle w:val="EndnoteText"/>
        <w:widowControl w:val="0"/>
        <w:rPr>
          <w:color w:val="000000"/>
        </w:rPr>
      </w:pPr>
      <w:r w:rsidRPr="009B1A37">
        <w:rPr>
          <w:color w:val="000000"/>
        </w:rPr>
        <w:t>K dispozici jsou omezené údaje o po</w:t>
      </w:r>
      <w:r w:rsidR="00BF0D78" w:rsidRPr="009B1A37">
        <w:rPr>
          <w:color w:val="000000"/>
        </w:rPr>
        <w:t>dávání imatinibu těhotným ženám</w:t>
      </w:r>
      <w:r w:rsidRPr="009B1A37">
        <w:rPr>
          <w:color w:val="000000"/>
        </w:rPr>
        <w:t xml:space="preserve">. </w:t>
      </w:r>
      <w:r w:rsidR="00BF0D78" w:rsidRPr="009B1A37">
        <w:rPr>
          <w:color w:val="000000"/>
        </w:rPr>
        <w:t xml:space="preserve">Po uvedení přípravku na trh byly u žen užívajících Glivec hlášeny případy spontánních potratů a vrozených vad u narozených dětí. </w:t>
      </w:r>
      <w:r w:rsidRPr="009B1A37">
        <w:rPr>
          <w:color w:val="000000"/>
        </w:rPr>
        <w:t>Studie na zvířatech však prokázaly reprodukční toxicitu (viz bod 5.3). Potenciální riziko pro plod není známé. Glivec lze v těhotenství použít</w:t>
      </w:r>
      <w:r w:rsidR="00C56CC8" w:rsidRPr="009B1A37">
        <w:rPr>
          <w:color w:val="000000"/>
        </w:rPr>
        <w:t xml:space="preserve">, </w:t>
      </w:r>
      <w:r w:rsidRPr="009B1A37">
        <w:rPr>
          <w:color w:val="000000"/>
        </w:rPr>
        <w:t>pouze pokud je to nezbytně nutné. Pokud je během těhotenství užíván, pacientka musí být informována o možném riziku pro plod.</w:t>
      </w:r>
    </w:p>
    <w:p w14:paraId="2B3A43DE" w14:textId="77777777" w:rsidR="00EA5993" w:rsidRPr="009B1A37" w:rsidRDefault="00EA5993" w:rsidP="00BE3D48">
      <w:pPr>
        <w:pStyle w:val="EndnoteText"/>
        <w:widowControl w:val="0"/>
        <w:rPr>
          <w:color w:val="000000"/>
        </w:rPr>
      </w:pPr>
    </w:p>
    <w:p w14:paraId="754A684C" w14:textId="77777777" w:rsidR="00EA5993" w:rsidRPr="009B1A37" w:rsidRDefault="00EA5993" w:rsidP="00BE3D48">
      <w:pPr>
        <w:pStyle w:val="EndnoteText"/>
        <w:keepNext/>
        <w:widowControl w:val="0"/>
        <w:rPr>
          <w:color w:val="000000"/>
          <w:u w:val="single"/>
        </w:rPr>
      </w:pPr>
      <w:r w:rsidRPr="009B1A37">
        <w:rPr>
          <w:color w:val="000000"/>
          <w:u w:val="single"/>
        </w:rPr>
        <w:t>Kojení</w:t>
      </w:r>
    </w:p>
    <w:p w14:paraId="429024D8" w14:textId="150228C0" w:rsidR="00EA5993" w:rsidRPr="009B1A37" w:rsidRDefault="00EA5993" w:rsidP="00BE3D48">
      <w:pPr>
        <w:pStyle w:val="EndnoteText"/>
        <w:widowControl w:val="0"/>
        <w:rPr>
          <w:color w:val="000000"/>
        </w:rPr>
      </w:pPr>
      <w:r w:rsidRPr="009B1A37">
        <w:rPr>
          <w:color w:val="000000"/>
        </w:rPr>
        <w:t xml:space="preserve">O vylučování imatinibu do mateřského mléka jsou jen omezené informace. Studie </w:t>
      </w:r>
      <w:r w:rsidR="008A11E8" w:rsidRPr="009B1A37">
        <w:rPr>
          <w:color w:val="000000"/>
        </w:rPr>
        <w:t>u</w:t>
      </w:r>
      <w:r w:rsidRPr="009B1A37">
        <w:rPr>
          <w:color w:val="000000"/>
        </w:rPr>
        <w:t xml:space="preserve"> dvou kojících žen ukázaly, že jak imatinib, tak jeho aktivní metabolit může být vylučován do mateřského mléka. Koeficient mléko/plazma imatinibu a jeho metabolitu </w:t>
      </w:r>
      <w:r w:rsidR="008A11E8" w:rsidRPr="009B1A37">
        <w:rPr>
          <w:color w:val="000000"/>
        </w:rPr>
        <w:t>hodnocený</w:t>
      </w:r>
      <w:r w:rsidRPr="009B1A37">
        <w:rPr>
          <w:color w:val="000000"/>
        </w:rPr>
        <w:t xml:space="preserve"> u jedné pacientky byl stanoven 0,5 pro imatinib a 0,9 pro jeho metab</w:t>
      </w:r>
      <w:r w:rsidR="008A11E8" w:rsidRPr="009B1A37">
        <w:rPr>
          <w:color w:val="000000"/>
        </w:rPr>
        <w:t>o</w:t>
      </w:r>
      <w:r w:rsidRPr="009B1A37">
        <w:rPr>
          <w:color w:val="000000"/>
        </w:rPr>
        <w:t>lit, což nasvědčuje zvýšenému vylučování metabolitu do mléka. Zvážíme-li kombinovanou koncentraci imatinibu a jeho metabolitu a maximální denní příjem mléka kojenci, byla by očekávaná celková expozice nízká (přibližně 10</w:t>
      </w:r>
      <w:r w:rsidR="004B270C" w:rsidRPr="009B1A37">
        <w:rPr>
          <w:color w:val="000000"/>
        </w:rPr>
        <w:t> </w:t>
      </w:r>
      <w:r w:rsidRPr="009B1A37">
        <w:rPr>
          <w:rFonts w:ascii="Arial" w:hAnsi="Arial" w:cs="Arial"/>
          <w:color w:val="000000"/>
        </w:rPr>
        <w:t>%</w:t>
      </w:r>
      <w:r w:rsidRPr="009B1A37">
        <w:rPr>
          <w:color w:val="000000"/>
        </w:rPr>
        <w:t xml:space="preserve"> terapeutické dávky). Nicméně jelikož účinky expozice nízké dávce imatinibu u kojenců nejsou známé, </w:t>
      </w:r>
      <w:r w:rsidR="008A11E8" w:rsidRPr="009B1A37">
        <w:rPr>
          <w:color w:val="000000"/>
        </w:rPr>
        <w:t>nemají</w:t>
      </w:r>
      <w:r w:rsidRPr="009B1A37">
        <w:rPr>
          <w:color w:val="000000"/>
        </w:rPr>
        <w:t xml:space="preserve"> ženy kojit</w:t>
      </w:r>
      <w:r w:rsidR="00275730" w:rsidRPr="009B1A37">
        <w:rPr>
          <w:color w:val="000000"/>
        </w:rPr>
        <w:t xml:space="preserve"> během léčby a po dobu nejméně 15</w:t>
      </w:r>
      <w:r w:rsidR="00577E6F" w:rsidRPr="009B1A37">
        <w:rPr>
          <w:color w:val="000000"/>
        </w:rPr>
        <w:t> </w:t>
      </w:r>
      <w:r w:rsidR="00275730" w:rsidRPr="009B1A37">
        <w:rPr>
          <w:color w:val="000000"/>
        </w:rPr>
        <w:t>dnů po ukončení léčby přípravkem Glivec</w:t>
      </w:r>
      <w:r w:rsidRPr="009B1A37">
        <w:rPr>
          <w:color w:val="000000"/>
        </w:rPr>
        <w:t>.</w:t>
      </w:r>
    </w:p>
    <w:p w14:paraId="2EE2486A" w14:textId="77777777" w:rsidR="00EA5993" w:rsidRPr="009B1A37" w:rsidRDefault="00EA5993" w:rsidP="00BE3D48">
      <w:pPr>
        <w:pStyle w:val="EndnoteText"/>
        <w:widowControl w:val="0"/>
        <w:rPr>
          <w:u w:val="single"/>
        </w:rPr>
      </w:pPr>
    </w:p>
    <w:p w14:paraId="3A00CB19" w14:textId="77777777" w:rsidR="00EA5993" w:rsidRPr="009B1A37" w:rsidRDefault="00EA5993" w:rsidP="00BE3D48">
      <w:pPr>
        <w:pStyle w:val="EndnoteText"/>
        <w:keepNext/>
        <w:widowControl w:val="0"/>
        <w:rPr>
          <w:u w:val="single"/>
        </w:rPr>
      </w:pPr>
      <w:r w:rsidRPr="009B1A37">
        <w:rPr>
          <w:u w:val="single"/>
        </w:rPr>
        <w:t>Fertilita</w:t>
      </w:r>
    </w:p>
    <w:p w14:paraId="4B7C4796" w14:textId="77777777" w:rsidR="00EA5993" w:rsidRPr="009B1A37" w:rsidRDefault="00EA5993" w:rsidP="00BE3D48">
      <w:pPr>
        <w:pStyle w:val="EndnoteText"/>
        <w:widowControl w:val="0"/>
        <w:rPr>
          <w:color w:val="000000"/>
        </w:rPr>
      </w:pPr>
      <w:r w:rsidRPr="009B1A37">
        <w:t>Fertilita u samců a samic potkanů nebyla v neklinických studiích ovlivněna</w:t>
      </w:r>
      <w:r w:rsidR="00437DDB" w:rsidRPr="009B1A37">
        <w:t>, byly však pozorovány účinky na reprodukční parametry</w:t>
      </w:r>
      <w:r w:rsidRPr="009B1A37">
        <w:t xml:space="preserve"> (viz bod 5.3). Studie u</w:t>
      </w:r>
      <w:r w:rsidRPr="009B1A37">
        <w:rPr>
          <w:color w:val="000000"/>
        </w:rPr>
        <w:t> </w:t>
      </w:r>
      <w:r w:rsidRPr="009B1A37">
        <w:t xml:space="preserve">pacientů užívajících </w:t>
      </w:r>
      <w:r w:rsidRPr="009B1A37">
        <w:rPr>
          <w:color w:val="000000"/>
          <w:szCs w:val="24"/>
        </w:rPr>
        <w:t>Glivec</w:t>
      </w:r>
      <w:r w:rsidRPr="009B1A37">
        <w:t xml:space="preserve"> zabývající se jeho účinky na fertilitu a spermatogenezi nebyly provedeny. Pacienti, kteří se obávají o</w:t>
      </w:r>
      <w:r w:rsidRPr="009B1A37">
        <w:rPr>
          <w:color w:val="000000"/>
        </w:rPr>
        <w:t> </w:t>
      </w:r>
      <w:r w:rsidRPr="009B1A37">
        <w:t>svou fertilitu během léčby Glivecem, by se měli poradit se svým lékařem.</w:t>
      </w:r>
    </w:p>
    <w:p w14:paraId="79D32699" w14:textId="77777777" w:rsidR="00EA5993" w:rsidRPr="009B1A37" w:rsidRDefault="00EA5993" w:rsidP="00BE3D48">
      <w:pPr>
        <w:pStyle w:val="EndnoteText"/>
        <w:widowControl w:val="0"/>
        <w:rPr>
          <w:color w:val="000000"/>
        </w:rPr>
      </w:pPr>
    </w:p>
    <w:p w14:paraId="347CA502" w14:textId="77777777" w:rsidR="00EA5993" w:rsidRPr="009B1A37" w:rsidRDefault="00EA5993" w:rsidP="00BE3D48">
      <w:pPr>
        <w:keepNext/>
        <w:widowControl w:val="0"/>
        <w:tabs>
          <w:tab w:val="clear" w:pos="567"/>
        </w:tabs>
        <w:spacing w:line="240" w:lineRule="auto"/>
        <w:ind w:left="567" w:hanging="567"/>
        <w:rPr>
          <w:b/>
          <w:bCs/>
          <w:color w:val="000000"/>
        </w:rPr>
      </w:pPr>
      <w:r w:rsidRPr="009B1A37">
        <w:rPr>
          <w:b/>
          <w:bCs/>
          <w:color w:val="000000"/>
        </w:rPr>
        <w:t>4.7</w:t>
      </w:r>
      <w:r w:rsidRPr="009B1A37">
        <w:rPr>
          <w:b/>
          <w:bCs/>
          <w:color w:val="000000"/>
        </w:rPr>
        <w:tab/>
        <w:t>Účinky na schopnost řídit a obsluhovat stroje</w:t>
      </w:r>
    </w:p>
    <w:p w14:paraId="2CD30715" w14:textId="77777777" w:rsidR="00EA5993" w:rsidRPr="009B1A37" w:rsidRDefault="00EA5993" w:rsidP="00BE3D48">
      <w:pPr>
        <w:pStyle w:val="EndnoteText"/>
        <w:keepNext/>
        <w:widowControl w:val="0"/>
        <w:tabs>
          <w:tab w:val="clear" w:pos="567"/>
        </w:tabs>
        <w:rPr>
          <w:color w:val="000000"/>
        </w:rPr>
      </w:pPr>
    </w:p>
    <w:p w14:paraId="36C383CD" w14:textId="77777777" w:rsidR="00EA5993" w:rsidRPr="009B1A37" w:rsidRDefault="00EA5993" w:rsidP="00BE3D48">
      <w:pPr>
        <w:pStyle w:val="EndnoteText"/>
        <w:widowControl w:val="0"/>
        <w:tabs>
          <w:tab w:val="clear" w:pos="567"/>
        </w:tabs>
        <w:rPr>
          <w:color w:val="000000"/>
        </w:rPr>
      </w:pPr>
      <w:r w:rsidRPr="009B1A37">
        <w:rPr>
          <w:snapToGrid w:val="0"/>
          <w:color w:val="000000"/>
        </w:rPr>
        <w:t>P</w:t>
      </w:r>
      <w:r w:rsidRPr="009B1A37">
        <w:rPr>
          <w:color w:val="000000"/>
        </w:rPr>
        <w:t xml:space="preserve">acienti </w:t>
      </w:r>
      <w:r w:rsidR="008A11E8" w:rsidRPr="009B1A37">
        <w:rPr>
          <w:color w:val="000000"/>
        </w:rPr>
        <w:t>mají</w:t>
      </w:r>
      <w:r w:rsidRPr="009B1A37">
        <w:rPr>
          <w:color w:val="000000"/>
        </w:rPr>
        <w:t xml:space="preserve"> být upozorněni, že se u nich mohou během léčby imatinibem vyskytnout nežádoucí účinky, jako jsou závratě, </w:t>
      </w:r>
      <w:r w:rsidR="008A11E8" w:rsidRPr="009B1A37">
        <w:rPr>
          <w:color w:val="000000"/>
        </w:rPr>
        <w:t xml:space="preserve">rozmazané </w:t>
      </w:r>
      <w:r w:rsidRPr="009B1A37">
        <w:rPr>
          <w:color w:val="000000"/>
        </w:rPr>
        <w:t xml:space="preserve">vidění nebo </w:t>
      </w:r>
      <w:r w:rsidR="008A11E8" w:rsidRPr="009B1A37">
        <w:rPr>
          <w:color w:val="000000"/>
        </w:rPr>
        <w:t>somnolence</w:t>
      </w:r>
      <w:r w:rsidRPr="009B1A37">
        <w:rPr>
          <w:color w:val="000000"/>
        </w:rPr>
        <w:t>. Proto se při řízení nebo obsluze strojů doporučuje zvýšená opatrnost.</w:t>
      </w:r>
    </w:p>
    <w:p w14:paraId="05A41AC8" w14:textId="77777777" w:rsidR="00EA5993" w:rsidRPr="009B1A37" w:rsidRDefault="00EA5993" w:rsidP="00BE3D48">
      <w:pPr>
        <w:pStyle w:val="EndnoteText"/>
        <w:widowControl w:val="0"/>
        <w:tabs>
          <w:tab w:val="clear" w:pos="567"/>
        </w:tabs>
        <w:rPr>
          <w:color w:val="000000"/>
        </w:rPr>
      </w:pPr>
    </w:p>
    <w:p w14:paraId="03A40CD4" w14:textId="77777777" w:rsidR="00EA5993" w:rsidRPr="009B1A37" w:rsidRDefault="00EA5993" w:rsidP="00BE3D48">
      <w:pPr>
        <w:keepNext/>
        <w:widowControl w:val="0"/>
        <w:tabs>
          <w:tab w:val="clear" w:pos="567"/>
        </w:tabs>
        <w:spacing w:line="240" w:lineRule="auto"/>
        <w:ind w:left="567" w:hanging="567"/>
        <w:rPr>
          <w:b/>
          <w:bCs/>
          <w:color w:val="000000"/>
        </w:rPr>
      </w:pPr>
      <w:r w:rsidRPr="009B1A37">
        <w:rPr>
          <w:b/>
          <w:bCs/>
          <w:color w:val="000000"/>
        </w:rPr>
        <w:t>4.8</w:t>
      </w:r>
      <w:r w:rsidRPr="009B1A37">
        <w:rPr>
          <w:b/>
          <w:bCs/>
          <w:color w:val="000000"/>
        </w:rPr>
        <w:tab/>
        <w:t>Nežádoucí účinky</w:t>
      </w:r>
    </w:p>
    <w:p w14:paraId="478CCDE6" w14:textId="77777777" w:rsidR="00EA5993" w:rsidRPr="009B1A37" w:rsidRDefault="00EA5993" w:rsidP="00BE3D48">
      <w:pPr>
        <w:keepNext/>
        <w:widowControl w:val="0"/>
        <w:tabs>
          <w:tab w:val="clear" w:pos="567"/>
        </w:tabs>
        <w:spacing w:line="240" w:lineRule="auto"/>
        <w:rPr>
          <w:color w:val="000000"/>
        </w:rPr>
      </w:pPr>
    </w:p>
    <w:p w14:paraId="7FC3C2D3" w14:textId="77777777" w:rsidR="00EA5993" w:rsidRPr="009B1A37" w:rsidRDefault="00EA5993" w:rsidP="00BE3D48">
      <w:pPr>
        <w:pStyle w:val="Text"/>
        <w:widowControl w:val="0"/>
        <w:spacing w:before="0"/>
        <w:jc w:val="left"/>
        <w:rPr>
          <w:color w:val="000000"/>
          <w:sz w:val="22"/>
          <w:szCs w:val="22"/>
          <w:lang w:val="cs-CZ"/>
        </w:rPr>
      </w:pPr>
      <w:r w:rsidRPr="009B1A37">
        <w:rPr>
          <w:color w:val="000000"/>
          <w:sz w:val="22"/>
          <w:szCs w:val="22"/>
          <w:lang w:val="cs-CZ"/>
        </w:rPr>
        <w:t xml:space="preserve">U pacientů s pokročilým stadiem malignit se může vyskytovat řada </w:t>
      </w:r>
      <w:r w:rsidR="008A11E8" w:rsidRPr="009B1A37">
        <w:rPr>
          <w:color w:val="000000"/>
          <w:sz w:val="22"/>
          <w:szCs w:val="22"/>
          <w:lang w:val="cs-CZ"/>
        </w:rPr>
        <w:t>matoucích</w:t>
      </w:r>
      <w:r w:rsidRPr="009B1A37">
        <w:rPr>
          <w:color w:val="000000"/>
          <w:sz w:val="22"/>
          <w:szCs w:val="22"/>
          <w:lang w:val="cs-CZ"/>
        </w:rPr>
        <w:t xml:space="preserve"> zdravotních potíží vyvolaných </w:t>
      </w:r>
      <w:r w:rsidR="008A11E8" w:rsidRPr="009B1A37">
        <w:rPr>
          <w:color w:val="000000"/>
          <w:sz w:val="22"/>
          <w:szCs w:val="22"/>
          <w:lang w:val="cs-CZ"/>
        </w:rPr>
        <w:t xml:space="preserve">různorodými příznaky souvisejícími se </w:t>
      </w:r>
      <w:r w:rsidRPr="009B1A37">
        <w:rPr>
          <w:color w:val="000000"/>
          <w:sz w:val="22"/>
          <w:szCs w:val="22"/>
          <w:lang w:val="cs-CZ"/>
        </w:rPr>
        <w:t xml:space="preserve">základním onemocněním, jeho progresí nebo množstvím souběžně užívaných léčivých přípravků, což ztěžuje stanovení příčinné souvislosti výskytu nežádoucích </w:t>
      </w:r>
      <w:r w:rsidR="008A11E8" w:rsidRPr="009B1A37">
        <w:rPr>
          <w:color w:val="000000"/>
          <w:sz w:val="22"/>
          <w:szCs w:val="22"/>
          <w:lang w:val="cs-CZ"/>
        </w:rPr>
        <w:t>účinků</w:t>
      </w:r>
      <w:r w:rsidRPr="009B1A37">
        <w:rPr>
          <w:color w:val="000000"/>
          <w:sz w:val="22"/>
          <w:szCs w:val="22"/>
          <w:lang w:val="cs-CZ"/>
        </w:rPr>
        <w:t>.</w:t>
      </w:r>
    </w:p>
    <w:p w14:paraId="1416036E" w14:textId="77777777" w:rsidR="00EA5993" w:rsidRPr="009B1A37" w:rsidRDefault="00EA5993" w:rsidP="00BE3D48">
      <w:pPr>
        <w:pStyle w:val="Text"/>
        <w:widowControl w:val="0"/>
        <w:spacing w:before="0"/>
        <w:jc w:val="left"/>
        <w:rPr>
          <w:color w:val="000000"/>
          <w:sz w:val="22"/>
          <w:szCs w:val="22"/>
          <w:lang w:val="cs-CZ"/>
        </w:rPr>
      </w:pPr>
    </w:p>
    <w:p w14:paraId="2B8E404B" w14:textId="77777777" w:rsidR="00EA5993" w:rsidRPr="009B1A37" w:rsidRDefault="00EA5993" w:rsidP="00BE3D48">
      <w:pPr>
        <w:pStyle w:val="Text"/>
        <w:widowControl w:val="0"/>
        <w:spacing w:before="0"/>
        <w:jc w:val="left"/>
        <w:rPr>
          <w:color w:val="000000"/>
          <w:sz w:val="22"/>
          <w:szCs w:val="22"/>
          <w:lang w:val="cs-CZ"/>
        </w:rPr>
      </w:pPr>
      <w:r w:rsidRPr="009B1A37">
        <w:rPr>
          <w:color w:val="000000"/>
          <w:sz w:val="22"/>
          <w:szCs w:val="22"/>
          <w:lang w:val="cs-CZ"/>
        </w:rPr>
        <w:t xml:space="preserve">Během klinického hodnocení léku u CML musela být z důvodu nežádoucích </w:t>
      </w:r>
      <w:r w:rsidR="008A11E8" w:rsidRPr="009B1A37">
        <w:rPr>
          <w:color w:val="000000"/>
          <w:sz w:val="22"/>
          <w:szCs w:val="22"/>
          <w:lang w:val="cs-CZ"/>
        </w:rPr>
        <w:t>účinků</w:t>
      </w:r>
      <w:r w:rsidRPr="009B1A37">
        <w:rPr>
          <w:color w:val="000000"/>
          <w:sz w:val="22"/>
          <w:szCs w:val="22"/>
          <w:lang w:val="cs-CZ"/>
        </w:rPr>
        <w:t>, které byly v příčinné souvislosti s podáváním léku, léčba přerušena pouze u 2,4</w:t>
      </w:r>
      <w:r w:rsidR="008A11E8" w:rsidRPr="009B1A37">
        <w:rPr>
          <w:color w:val="000000"/>
          <w:sz w:val="22"/>
          <w:szCs w:val="22"/>
          <w:lang w:val="cs-CZ"/>
        </w:rPr>
        <w:t> </w:t>
      </w:r>
      <w:r w:rsidRPr="009B1A37">
        <w:rPr>
          <w:color w:val="000000"/>
          <w:sz w:val="22"/>
          <w:szCs w:val="22"/>
          <w:lang w:val="cs-CZ"/>
        </w:rPr>
        <w:t>% nově diagnostikovaných pacientů, u</w:t>
      </w:r>
      <w:r w:rsidRPr="009B1A37">
        <w:rPr>
          <w:color w:val="000000"/>
          <w:lang w:val="cs-CZ"/>
        </w:rPr>
        <w:t> </w:t>
      </w:r>
      <w:r w:rsidRPr="009B1A37">
        <w:rPr>
          <w:color w:val="000000"/>
          <w:sz w:val="22"/>
          <w:szCs w:val="22"/>
          <w:lang w:val="cs-CZ"/>
        </w:rPr>
        <w:t>4</w:t>
      </w:r>
      <w:r w:rsidR="008A11E8" w:rsidRPr="009B1A37">
        <w:rPr>
          <w:color w:val="000000"/>
          <w:sz w:val="22"/>
          <w:szCs w:val="22"/>
          <w:lang w:val="cs-CZ"/>
        </w:rPr>
        <w:t> </w:t>
      </w:r>
      <w:r w:rsidRPr="009B1A37">
        <w:rPr>
          <w:color w:val="000000"/>
          <w:sz w:val="22"/>
          <w:szCs w:val="22"/>
          <w:lang w:val="cs-CZ"/>
        </w:rPr>
        <w:t>% pacientů v pozdní chronické fázi po selhání léčby interferonem, u 4</w:t>
      </w:r>
      <w:r w:rsidR="008A11E8" w:rsidRPr="009B1A37">
        <w:rPr>
          <w:color w:val="000000"/>
          <w:sz w:val="22"/>
          <w:szCs w:val="22"/>
          <w:lang w:val="cs-CZ"/>
        </w:rPr>
        <w:t> </w:t>
      </w:r>
      <w:r w:rsidRPr="009B1A37">
        <w:rPr>
          <w:color w:val="000000"/>
          <w:sz w:val="22"/>
          <w:szCs w:val="22"/>
          <w:lang w:val="cs-CZ"/>
        </w:rPr>
        <w:t>% pacientů v akcelerované fázi po selhání léčby interferonem a u 5</w:t>
      </w:r>
      <w:r w:rsidR="008A11E8" w:rsidRPr="009B1A37">
        <w:rPr>
          <w:color w:val="000000"/>
          <w:sz w:val="22"/>
          <w:szCs w:val="22"/>
          <w:lang w:val="cs-CZ"/>
        </w:rPr>
        <w:t> </w:t>
      </w:r>
      <w:r w:rsidRPr="009B1A37">
        <w:rPr>
          <w:color w:val="000000"/>
          <w:sz w:val="22"/>
          <w:szCs w:val="22"/>
          <w:lang w:val="cs-CZ"/>
        </w:rPr>
        <w:t>% pacientů v blastické krizi po selhání léčby interferonem. U pacientů s GIST bylo podávání hodnoceného léku přerušeno pro nežádoucí reakce související s lékem u 4</w:t>
      </w:r>
      <w:r w:rsidR="008A11E8" w:rsidRPr="009B1A37">
        <w:rPr>
          <w:color w:val="000000"/>
          <w:sz w:val="22"/>
          <w:szCs w:val="22"/>
          <w:lang w:val="cs-CZ"/>
        </w:rPr>
        <w:t> </w:t>
      </w:r>
      <w:r w:rsidRPr="009B1A37">
        <w:rPr>
          <w:color w:val="000000"/>
          <w:sz w:val="22"/>
          <w:szCs w:val="22"/>
          <w:lang w:val="cs-CZ"/>
        </w:rPr>
        <w:t>% pacientů.</w:t>
      </w:r>
    </w:p>
    <w:p w14:paraId="0B4552F8" w14:textId="77777777" w:rsidR="00EA5993" w:rsidRPr="009B1A37" w:rsidRDefault="00EA5993" w:rsidP="00BE3D48">
      <w:pPr>
        <w:pStyle w:val="Text"/>
        <w:widowControl w:val="0"/>
        <w:spacing w:before="0"/>
        <w:jc w:val="left"/>
        <w:rPr>
          <w:color w:val="000000"/>
          <w:sz w:val="22"/>
          <w:szCs w:val="22"/>
          <w:lang w:val="cs-CZ"/>
        </w:rPr>
      </w:pPr>
    </w:p>
    <w:p w14:paraId="7D8C9FC6" w14:textId="77777777" w:rsidR="00EA5993" w:rsidRPr="009B1A37" w:rsidRDefault="00EA5993" w:rsidP="00BE3D48">
      <w:pPr>
        <w:pStyle w:val="Text"/>
        <w:widowControl w:val="0"/>
        <w:spacing w:before="0"/>
        <w:jc w:val="left"/>
        <w:rPr>
          <w:color w:val="000000"/>
          <w:sz w:val="22"/>
          <w:szCs w:val="22"/>
          <w:lang w:val="cs-CZ"/>
        </w:rPr>
      </w:pPr>
      <w:r w:rsidRPr="009B1A37">
        <w:rPr>
          <w:color w:val="000000"/>
          <w:sz w:val="22"/>
          <w:szCs w:val="22"/>
          <w:lang w:val="cs-CZ"/>
        </w:rPr>
        <w:t>Nežádoucí účinky byly ve všech indikacích podobné, s výjimkou dvou reakcí. U pacientů s CML byla častěji pozorována myelosuprese než u pacientů s GIST, pravděpodobně způsobené základním onemocněním. Ve studii u pacientů s inoperabilním a/nebo metastatickým GIST se u 7 (5</w:t>
      </w:r>
      <w:r w:rsidR="003372DD" w:rsidRPr="009B1A37">
        <w:rPr>
          <w:color w:val="000000"/>
          <w:sz w:val="22"/>
          <w:szCs w:val="22"/>
          <w:lang w:val="cs-CZ"/>
        </w:rPr>
        <w:t> </w:t>
      </w:r>
      <w:r w:rsidRPr="009B1A37">
        <w:rPr>
          <w:color w:val="000000"/>
          <w:sz w:val="22"/>
          <w:szCs w:val="22"/>
          <w:lang w:val="cs-CZ"/>
        </w:rPr>
        <w:t xml:space="preserve">%) pacientů vyskytl </w:t>
      </w:r>
      <w:smartTag w:uri="urn:schemas-microsoft-com:office:smarttags" w:element="stockticker">
        <w:r w:rsidRPr="009B1A37">
          <w:rPr>
            <w:color w:val="000000"/>
            <w:sz w:val="22"/>
            <w:szCs w:val="22"/>
            <w:lang w:val="cs-CZ"/>
          </w:rPr>
          <w:t>CTC</w:t>
        </w:r>
      </w:smartTag>
      <w:r w:rsidRPr="009B1A37">
        <w:rPr>
          <w:color w:val="000000"/>
          <w:sz w:val="22"/>
          <w:szCs w:val="22"/>
          <w:lang w:val="cs-CZ"/>
        </w:rPr>
        <w:t xml:space="preserve"> stupeň 3/4 </w:t>
      </w:r>
      <w:r w:rsidR="003372DD" w:rsidRPr="009B1A37">
        <w:rPr>
          <w:color w:val="000000"/>
          <w:sz w:val="22"/>
          <w:szCs w:val="22"/>
          <w:lang w:val="cs-CZ"/>
        </w:rPr>
        <w:t>gastrointestinální</w:t>
      </w:r>
      <w:r w:rsidRPr="009B1A37">
        <w:rPr>
          <w:color w:val="000000"/>
          <w:sz w:val="22"/>
          <w:szCs w:val="22"/>
          <w:lang w:val="cs-CZ"/>
        </w:rPr>
        <w:t xml:space="preserve"> krvácení (3 pacienti), krvácení do nádoru (3 pacienti) nebo obojí (1 pacient). Lokalizace GI nádorů může být zdrojem krvácení do </w:t>
      </w:r>
      <w:r w:rsidR="003372DD" w:rsidRPr="009B1A37">
        <w:rPr>
          <w:color w:val="000000"/>
          <w:sz w:val="22"/>
          <w:szCs w:val="22"/>
          <w:lang w:val="cs-CZ"/>
        </w:rPr>
        <w:t>gastrointestinálního</w:t>
      </w:r>
      <w:r w:rsidRPr="009B1A37">
        <w:rPr>
          <w:color w:val="000000"/>
          <w:sz w:val="22"/>
          <w:szCs w:val="22"/>
          <w:lang w:val="cs-CZ"/>
        </w:rPr>
        <w:t xml:space="preserve"> traktu (viz bod 4.4). Krvácení do zažívacího traktu nebo z nádoru může být někdy velmi vážné, v některých případech až fatální. Nejčastěji hlášené (</w:t>
      </w:r>
      <w:r w:rsidRPr="009B1A37">
        <w:rPr>
          <w:rFonts w:ascii="Symbol" w:hAnsi="Symbol"/>
          <w:color w:val="000000"/>
          <w:sz w:val="22"/>
          <w:szCs w:val="22"/>
          <w:lang w:val="cs-CZ"/>
        </w:rPr>
        <w:t></w:t>
      </w:r>
      <w:r w:rsidRPr="009B1A37">
        <w:rPr>
          <w:color w:val="000000"/>
          <w:sz w:val="22"/>
          <w:szCs w:val="22"/>
          <w:lang w:val="cs-CZ"/>
        </w:rPr>
        <w:t> 10</w:t>
      </w:r>
      <w:r w:rsidR="004B270C" w:rsidRPr="009B1A37">
        <w:rPr>
          <w:color w:val="000000"/>
          <w:sz w:val="22"/>
          <w:szCs w:val="22"/>
          <w:lang w:val="cs-CZ"/>
        </w:rPr>
        <w:t> </w:t>
      </w:r>
      <w:r w:rsidRPr="009B1A37">
        <w:rPr>
          <w:color w:val="000000"/>
          <w:sz w:val="22"/>
          <w:szCs w:val="22"/>
          <w:lang w:val="cs-CZ"/>
        </w:rPr>
        <w:t xml:space="preserve">%) nežádoucí </w:t>
      </w:r>
      <w:r w:rsidR="00C758AA" w:rsidRPr="009B1A37">
        <w:rPr>
          <w:color w:val="000000"/>
          <w:sz w:val="22"/>
          <w:szCs w:val="22"/>
          <w:lang w:val="cs-CZ"/>
        </w:rPr>
        <w:t>účinky</w:t>
      </w:r>
      <w:r w:rsidRPr="009B1A37">
        <w:rPr>
          <w:color w:val="000000"/>
          <w:sz w:val="22"/>
          <w:szCs w:val="22"/>
          <w:lang w:val="cs-CZ"/>
        </w:rPr>
        <w:t xml:space="preserve"> vyvolané lékem v obou souborech byly </w:t>
      </w:r>
      <w:r w:rsidR="00C758AA" w:rsidRPr="009B1A37">
        <w:rPr>
          <w:color w:val="000000"/>
          <w:sz w:val="22"/>
          <w:szCs w:val="22"/>
          <w:lang w:val="cs-CZ"/>
        </w:rPr>
        <w:t>lehká</w:t>
      </w:r>
      <w:r w:rsidRPr="009B1A37">
        <w:rPr>
          <w:color w:val="000000"/>
          <w:sz w:val="22"/>
          <w:szCs w:val="22"/>
          <w:lang w:val="cs-CZ"/>
        </w:rPr>
        <w:t xml:space="preserve"> nauzea, zvracení, průjem, bolest břicha, únava, svalov</w:t>
      </w:r>
      <w:r w:rsidR="00C758AA" w:rsidRPr="009B1A37">
        <w:rPr>
          <w:color w:val="000000"/>
          <w:sz w:val="22"/>
          <w:szCs w:val="22"/>
          <w:lang w:val="cs-CZ"/>
        </w:rPr>
        <w:t>á</w:t>
      </w:r>
      <w:r w:rsidRPr="009B1A37">
        <w:rPr>
          <w:color w:val="000000"/>
          <w:sz w:val="22"/>
          <w:szCs w:val="22"/>
          <w:lang w:val="cs-CZ"/>
        </w:rPr>
        <w:t xml:space="preserve"> bolest, svalové křeče a vyrážka. Povrchové otoky byly společným nálezem ve všech studiích a byly popisovány hlavně jako otoky kolem očí nebo otoky dolních končetin. Tyto otoky však byly jen vzácně závažné a bylo možné je zvládnout diuretiky, jinou podpůrnou léčbou nebo snížením dávky Glivecu.</w:t>
      </w:r>
    </w:p>
    <w:p w14:paraId="16DA6B2A" w14:textId="77777777" w:rsidR="00EA5993" w:rsidRPr="009B1A37" w:rsidRDefault="00EA5993" w:rsidP="00BE3D48">
      <w:pPr>
        <w:pStyle w:val="Text"/>
        <w:widowControl w:val="0"/>
        <w:spacing w:before="0"/>
        <w:jc w:val="left"/>
        <w:rPr>
          <w:color w:val="000000"/>
          <w:sz w:val="22"/>
          <w:szCs w:val="22"/>
          <w:lang w:val="cs-CZ"/>
        </w:rPr>
      </w:pPr>
    </w:p>
    <w:p w14:paraId="544DE407" w14:textId="77777777" w:rsidR="00EA5993" w:rsidRPr="009B1A37" w:rsidRDefault="00EA5993" w:rsidP="00BE3D48">
      <w:pPr>
        <w:pStyle w:val="Text"/>
        <w:widowControl w:val="0"/>
        <w:spacing w:before="0"/>
        <w:jc w:val="left"/>
        <w:rPr>
          <w:color w:val="000000"/>
          <w:sz w:val="22"/>
          <w:szCs w:val="22"/>
          <w:lang w:val="cs-CZ"/>
        </w:rPr>
      </w:pPr>
      <w:r w:rsidRPr="009B1A37">
        <w:rPr>
          <w:color w:val="000000"/>
          <w:sz w:val="22"/>
          <w:szCs w:val="22"/>
          <w:lang w:val="cs-CZ"/>
        </w:rPr>
        <w:t xml:space="preserve">Pokud se imatinib kombinoval s vysokou dávkou chemoterapie u pacientů s Ph+ </w:t>
      </w:r>
      <w:smartTag w:uri="urn:schemas-microsoft-com:office:smarttags" w:element="stockticker">
        <w:r w:rsidRPr="009B1A37">
          <w:rPr>
            <w:color w:val="000000"/>
            <w:sz w:val="22"/>
            <w:szCs w:val="22"/>
            <w:lang w:val="cs-CZ"/>
          </w:rPr>
          <w:t>ALL</w:t>
        </w:r>
      </w:smartTag>
      <w:r w:rsidRPr="009B1A37">
        <w:rPr>
          <w:color w:val="000000"/>
          <w:sz w:val="22"/>
          <w:szCs w:val="22"/>
          <w:lang w:val="cs-CZ"/>
        </w:rPr>
        <w:t xml:space="preserve">, byla pozorována přechodná jaterní toxicita ve formě zvýšení transamináz a hyperbilirubinemie. Při použití omezených údajů z bezpečnostních databází se dosud hlášené nežádoucí účinky u dětí shodují se známým bezpečnostním profilem u dospělých pacientů s Ph+ ALL. Databáze týkající se bezpečnosti u dětí s Ph+ ALL je velmi omezená, </w:t>
      </w:r>
      <w:r w:rsidR="00C758AA" w:rsidRPr="009B1A37">
        <w:rPr>
          <w:color w:val="000000"/>
          <w:sz w:val="22"/>
          <w:szCs w:val="22"/>
          <w:lang w:val="cs-CZ"/>
        </w:rPr>
        <w:t>i když</w:t>
      </w:r>
      <w:r w:rsidRPr="009B1A37">
        <w:rPr>
          <w:color w:val="000000"/>
          <w:sz w:val="22"/>
          <w:szCs w:val="22"/>
          <w:lang w:val="cs-CZ"/>
        </w:rPr>
        <w:t xml:space="preserve"> nebyly zjistěné nové </w:t>
      </w:r>
      <w:r w:rsidR="00C758AA" w:rsidRPr="009B1A37">
        <w:rPr>
          <w:color w:val="000000"/>
          <w:sz w:val="22"/>
          <w:szCs w:val="22"/>
          <w:lang w:val="cs-CZ"/>
        </w:rPr>
        <w:t xml:space="preserve">obavy týkající se </w:t>
      </w:r>
      <w:r w:rsidRPr="009B1A37">
        <w:rPr>
          <w:color w:val="000000"/>
          <w:sz w:val="22"/>
          <w:szCs w:val="22"/>
          <w:lang w:val="cs-CZ"/>
        </w:rPr>
        <w:t>bezpečnost</w:t>
      </w:r>
      <w:r w:rsidR="00C758AA" w:rsidRPr="009B1A37">
        <w:rPr>
          <w:color w:val="000000"/>
          <w:sz w:val="22"/>
          <w:szCs w:val="22"/>
          <w:lang w:val="cs-CZ"/>
        </w:rPr>
        <w:t>i</w:t>
      </w:r>
      <w:r w:rsidRPr="009B1A37">
        <w:rPr>
          <w:color w:val="000000"/>
          <w:sz w:val="22"/>
          <w:szCs w:val="22"/>
          <w:lang w:val="cs-CZ"/>
        </w:rPr>
        <w:t>.</w:t>
      </w:r>
    </w:p>
    <w:p w14:paraId="4B31BC1B" w14:textId="77777777" w:rsidR="00EA5993" w:rsidRPr="009B1A37" w:rsidRDefault="00EA5993" w:rsidP="00BE3D48">
      <w:pPr>
        <w:pStyle w:val="Text"/>
        <w:widowControl w:val="0"/>
        <w:spacing w:before="0"/>
        <w:jc w:val="left"/>
        <w:rPr>
          <w:color w:val="000000"/>
          <w:sz w:val="22"/>
          <w:szCs w:val="22"/>
          <w:lang w:val="cs-CZ"/>
        </w:rPr>
      </w:pPr>
    </w:p>
    <w:p w14:paraId="4E0A304C" w14:textId="77777777" w:rsidR="00EA5993" w:rsidRPr="009B1A37" w:rsidRDefault="00EA5993" w:rsidP="00BE3D48">
      <w:pPr>
        <w:pStyle w:val="Text"/>
        <w:widowControl w:val="0"/>
        <w:spacing w:before="0"/>
        <w:jc w:val="left"/>
        <w:rPr>
          <w:color w:val="000000"/>
          <w:sz w:val="22"/>
          <w:szCs w:val="22"/>
          <w:lang w:val="cs-CZ"/>
        </w:rPr>
      </w:pPr>
      <w:r w:rsidRPr="009B1A37">
        <w:rPr>
          <w:color w:val="000000"/>
          <w:sz w:val="22"/>
          <w:szCs w:val="22"/>
          <w:lang w:val="cs-CZ"/>
        </w:rPr>
        <w:t xml:space="preserve">Různorodé nežádoucí účinky, jako je pleurální výpotek, ascites, plicní edém a rychlý přírůstek tělesné hmotnosti s nebo bez superficiálních otoků, je možné souhrnně popsat jako „retence tekutin“. Tyto nežádoucí </w:t>
      </w:r>
      <w:r w:rsidR="004C6D93" w:rsidRPr="009B1A37">
        <w:rPr>
          <w:color w:val="000000"/>
          <w:sz w:val="22"/>
          <w:szCs w:val="22"/>
          <w:lang w:val="cs-CZ"/>
        </w:rPr>
        <w:t>účinky</w:t>
      </w:r>
      <w:r w:rsidRPr="009B1A37">
        <w:rPr>
          <w:color w:val="000000"/>
          <w:sz w:val="22"/>
          <w:szCs w:val="22"/>
          <w:lang w:val="cs-CZ"/>
        </w:rPr>
        <w:t xml:space="preserve"> je možné obvykle zvládnout dočasným vysazením Glivecu a diuretiky a jinou vhodnou podpůrnou léčbou. Avšak některé z těchto </w:t>
      </w:r>
      <w:r w:rsidR="004C6D93" w:rsidRPr="009B1A37">
        <w:rPr>
          <w:color w:val="000000"/>
          <w:sz w:val="22"/>
          <w:szCs w:val="22"/>
          <w:lang w:val="cs-CZ"/>
        </w:rPr>
        <w:t>nežádoucích účinků</w:t>
      </w:r>
      <w:r w:rsidRPr="009B1A37">
        <w:rPr>
          <w:color w:val="000000"/>
          <w:sz w:val="22"/>
          <w:szCs w:val="22"/>
          <w:lang w:val="cs-CZ"/>
        </w:rPr>
        <w:t xml:space="preserve"> mohou být velmi závažné nebo život ohrožující a několik pacientů s blastickou krizí zemřelo s komplexním klinickým nálezem zahrnujícím pleurální výpotek, městnavé srdeční selhání a selhání ledvin. V klinických studiích nebyly u dětí pozorovány specificky odlišné nežádoucí účinky.</w:t>
      </w:r>
    </w:p>
    <w:p w14:paraId="77EBC14D" w14:textId="77777777" w:rsidR="00EA5993" w:rsidRPr="009B1A37" w:rsidRDefault="00EA5993" w:rsidP="00BE3D48">
      <w:pPr>
        <w:pStyle w:val="Text"/>
        <w:widowControl w:val="0"/>
        <w:spacing w:before="0"/>
        <w:jc w:val="left"/>
        <w:rPr>
          <w:color w:val="000000"/>
          <w:sz w:val="22"/>
          <w:szCs w:val="22"/>
          <w:lang w:val="cs-CZ"/>
        </w:rPr>
      </w:pPr>
    </w:p>
    <w:p w14:paraId="2A63A42E" w14:textId="77777777" w:rsidR="00EA5993" w:rsidRPr="009B1A37" w:rsidRDefault="00EA5993" w:rsidP="00BE3D48">
      <w:pPr>
        <w:pStyle w:val="Text"/>
        <w:keepNext/>
        <w:widowControl w:val="0"/>
        <w:spacing w:before="0"/>
        <w:jc w:val="left"/>
        <w:rPr>
          <w:b/>
          <w:bCs/>
          <w:color w:val="000000"/>
          <w:sz w:val="22"/>
          <w:szCs w:val="22"/>
          <w:lang w:val="cs-CZ"/>
        </w:rPr>
      </w:pPr>
      <w:r w:rsidRPr="009B1A37">
        <w:rPr>
          <w:b/>
          <w:bCs/>
          <w:color w:val="000000"/>
          <w:sz w:val="22"/>
          <w:szCs w:val="22"/>
          <w:lang w:val="cs-CZ"/>
        </w:rPr>
        <w:t>Nežádoucí účinky</w:t>
      </w:r>
    </w:p>
    <w:p w14:paraId="4B9E4044" w14:textId="77777777" w:rsidR="00EA5993" w:rsidRPr="009B1A37" w:rsidRDefault="00EA5993" w:rsidP="00BE3D48">
      <w:pPr>
        <w:pStyle w:val="Text"/>
        <w:widowControl w:val="0"/>
        <w:spacing w:before="0"/>
        <w:jc w:val="left"/>
        <w:rPr>
          <w:color w:val="000000"/>
          <w:sz w:val="22"/>
          <w:szCs w:val="22"/>
          <w:lang w:val="cs-CZ"/>
        </w:rPr>
      </w:pPr>
      <w:r w:rsidRPr="009B1A37">
        <w:rPr>
          <w:color w:val="000000"/>
          <w:sz w:val="22"/>
          <w:szCs w:val="22"/>
          <w:lang w:val="cs-CZ"/>
        </w:rPr>
        <w:t>Nežádoucí účinky, které se vyskytly častěji než v ojedinělých případech</w:t>
      </w:r>
      <w:r w:rsidR="00F55D84" w:rsidRPr="009B1A37">
        <w:rPr>
          <w:color w:val="000000"/>
          <w:sz w:val="22"/>
          <w:szCs w:val="22"/>
          <w:lang w:val="cs-CZ"/>
        </w:rPr>
        <w:t>,</w:t>
      </w:r>
      <w:r w:rsidRPr="009B1A37">
        <w:rPr>
          <w:color w:val="000000"/>
          <w:sz w:val="22"/>
          <w:szCs w:val="22"/>
          <w:lang w:val="cs-CZ"/>
        </w:rPr>
        <w:t xml:space="preserve"> jsou uvedeny níže podle </w:t>
      </w:r>
      <w:r w:rsidR="004C6D93" w:rsidRPr="009B1A37">
        <w:rPr>
          <w:color w:val="000000"/>
          <w:sz w:val="22"/>
          <w:szCs w:val="22"/>
          <w:lang w:val="cs-CZ"/>
        </w:rPr>
        <w:t xml:space="preserve">tříd </w:t>
      </w:r>
      <w:r w:rsidRPr="009B1A37">
        <w:rPr>
          <w:color w:val="000000"/>
          <w:sz w:val="22"/>
          <w:szCs w:val="22"/>
          <w:lang w:val="cs-CZ"/>
        </w:rPr>
        <w:t>orgánov</w:t>
      </w:r>
      <w:r w:rsidR="004C6D93" w:rsidRPr="009B1A37">
        <w:rPr>
          <w:color w:val="000000"/>
          <w:sz w:val="22"/>
          <w:szCs w:val="22"/>
          <w:lang w:val="cs-CZ"/>
        </w:rPr>
        <w:t>ých systémů</w:t>
      </w:r>
      <w:r w:rsidRPr="009B1A37">
        <w:rPr>
          <w:color w:val="000000"/>
          <w:sz w:val="22"/>
          <w:szCs w:val="22"/>
          <w:lang w:val="cs-CZ"/>
        </w:rPr>
        <w:t xml:space="preserve"> a frekvence výskytu. Kategorie </w:t>
      </w:r>
      <w:r w:rsidR="004C6D93" w:rsidRPr="009B1A37">
        <w:rPr>
          <w:color w:val="000000"/>
          <w:sz w:val="22"/>
          <w:szCs w:val="22"/>
          <w:lang w:val="cs-CZ"/>
        </w:rPr>
        <w:t>četnosti</w:t>
      </w:r>
      <w:r w:rsidRPr="009B1A37">
        <w:rPr>
          <w:color w:val="000000"/>
          <w:sz w:val="22"/>
          <w:szCs w:val="22"/>
          <w:lang w:val="cs-CZ"/>
        </w:rPr>
        <w:t xml:space="preserve"> výskytu jsou definovány podle následujících pravidel jako: velmi časté (</w:t>
      </w:r>
      <w:r w:rsidRPr="009B1A37">
        <w:rPr>
          <w:sz w:val="22"/>
          <w:szCs w:val="22"/>
          <w:lang w:val="cs-CZ"/>
        </w:rPr>
        <w:t>≥</w:t>
      </w:r>
      <w:r w:rsidRPr="009B1A37">
        <w:rPr>
          <w:color w:val="000000"/>
          <w:sz w:val="22"/>
          <w:szCs w:val="22"/>
          <w:lang w:val="cs-CZ"/>
        </w:rPr>
        <w:t>1/10), časté (</w:t>
      </w:r>
      <w:r w:rsidRPr="009B1A37">
        <w:rPr>
          <w:sz w:val="22"/>
          <w:szCs w:val="22"/>
          <w:lang w:val="cs-CZ"/>
        </w:rPr>
        <w:t>≥</w:t>
      </w:r>
      <w:r w:rsidRPr="009B1A37">
        <w:rPr>
          <w:color w:val="000000"/>
          <w:sz w:val="22"/>
          <w:szCs w:val="22"/>
          <w:lang w:val="cs-CZ"/>
        </w:rPr>
        <w:t xml:space="preserve">1/100 až </w:t>
      </w:r>
      <w:r w:rsidRPr="009B1A37">
        <w:rPr>
          <w:sz w:val="22"/>
          <w:szCs w:val="22"/>
          <w:lang w:val="cs-CZ"/>
        </w:rPr>
        <w:t>&lt;</w:t>
      </w:r>
      <w:r w:rsidRPr="009B1A37">
        <w:rPr>
          <w:color w:val="000000"/>
          <w:sz w:val="22"/>
          <w:szCs w:val="22"/>
          <w:lang w:val="cs-CZ"/>
        </w:rPr>
        <w:t xml:space="preserve">1/10), méně časté (≥1/1 000 až </w:t>
      </w:r>
      <w:r w:rsidRPr="009B1A37">
        <w:rPr>
          <w:sz w:val="22"/>
          <w:szCs w:val="22"/>
          <w:lang w:val="cs-CZ"/>
        </w:rPr>
        <w:t>&lt;</w:t>
      </w:r>
      <w:r w:rsidRPr="009B1A37">
        <w:rPr>
          <w:color w:val="000000"/>
          <w:sz w:val="22"/>
          <w:szCs w:val="22"/>
          <w:lang w:val="cs-CZ"/>
        </w:rPr>
        <w:t>1/100), vzácné (</w:t>
      </w:r>
      <w:r w:rsidRPr="009B1A37">
        <w:rPr>
          <w:sz w:val="22"/>
          <w:szCs w:val="22"/>
          <w:lang w:val="cs-CZ"/>
        </w:rPr>
        <w:t>≥1/10</w:t>
      </w:r>
      <w:r w:rsidRPr="009B1A37">
        <w:rPr>
          <w:color w:val="000000"/>
          <w:sz w:val="22"/>
          <w:szCs w:val="22"/>
          <w:lang w:val="cs-CZ"/>
        </w:rPr>
        <w:t> </w:t>
      </w:r>
      <w:r w:rsidRPr="009B1A37">
        <w:rPr>
          <w:sz w:val="22"/>
          <w:szCs w:val="22"/>
          <w:lang w:val="cs-CZ"/>
        </w:rPr>
        <w:t xml:space="preserve">000 až </w:t>
      </w:r>
      <w:r w:rsidRPr="009B1A37">
        <w:rPr>
          <w:color w:val="000000"/>
          <w:sz w:val="22"/>
          <w:szCs w:val="22"/>
          <w:lang w:val="cs-CZ"/>
        </w:rPr>
        <w:t>&lt;1/1 000), velmi vzácné (</w:t>
      </w:r>
      <w:r w:rsidRPr="009B1A37">
        <w:rPr>
          <w:sz w:val="22"/>
          <w:szCs w:val="22"/>
          <w:lang w:val="cs-CZ"/>
        </w:rPr>
        <w:t>&lt;1/10</w:t>
      </w:r>
      <w:r w:rsidRPr="009B1A37">
        <w:rPr>
          <w:color w:val="000000"/>
          <w:sz w:val="22"/>
          <w:szCs w:val="22"/>
          <w:lang w:val="cs-CZ"/>
        </w:rPr>
        <w:t> </w:t>
      </w:r>
      <w:r w:rsidRPr="009B1A37">
        <w:rPr>
          <w:sz w:val="22"/>
          <w:szCs w:val="22"/>
          <w:lang w:val="cs-CZ"/>
        </w:rPr>
        <w:t>000),</w:t>
      </w:r>
      <w:r w:rsidRPr="009B1A37">
        <w:rPr>
          <w:color w:val="000000"/>
          <w:sz w:val="22"/>
          <w:szCs w:val="22"/>
          <w:lang w:val="cs-CZ"/>
        </w:rPr>
        <w:t xml:space="preserve"> není známo (z dostupných údajů nelze určit).</w:t>
      </w:r>
    </w:p>
    <w:p w14:paraId="11145C74" w14:textId="77777777" w:rsidR="00EA5993" w:rsidRPr="009B1A37" w:rsidRDefault="00EA5993" w:rsidP="00BE3D48">
      <w:pPr>
        <w:pStyle w:val="Text"/>
        <w:widowControl w:val="0"/>
        <w:spacing w:before="0"/>
        <w:jc w:val="left"/>
        <w:rPr>
          <w:color w:val="000000"/>
          <w:sz w:val="22"/>
          <w:szCs w:val="22"/>
          <w:lang w:val="cs-CZ"/>
        </w:rPr>
      </w:pPr>
    </w:p>
    <w:p w14:paraId="552B8942" w14:textId="77777777" w:rsidR="00EA5993" w:rsidRPr="009B1A37" w:rsidRDefault="00EA5993" w:rsidP="00BE3D48">
      <w:pPr>
        <w:pStyle w:val="Text"/>
        <w:widowControl w:val="0"/>
        <w:spacing w:before="0"/>
        <w:jc w:val="left"/>
        <w:rPr>
          <w:color w:val="000000"/>
          <w:sz w:val="22"/>
          <w:szCs w:val="22"/>
          <w:lang w:val="cs-CZ"/>
        </w:rPr>
      </w:pPr>
      <w:r w:rsidRPr="009B1A37">
        <w:rPr>
          <w:color w:val="000000"/>
          <w:sz w:val="22"/>
          <w:szCs w:val="22"/>
          <w:lang w:val="cs-CZ"/>
        </w:rPr>
        <w:t>V každé skupině četností jsou nežádoucí účinky seřazeny podle četnosti od nejčastější</w:t>
      </w:r>
      <w:r w:rsidR="004C6D93" w:rsidRPr="009B1A37">
        <w:rPr>
          <w:color w:val="000000"/>
          <w:sz w:val="22"/>
          <w:szCs w:val="22"/>
          <w:lang w:val="cs-CZ"/>
        </w:rPr>
        <w:t>ch</w:t>
      </w:r>
      <w:r w:rsidRPr="009B1A37">
        <w:rPr>
          <w:color w:val="000000"/>
          <w:sz w:val="22"/>
          <w:szCs w:val="22"/>
          <w:lang w:val="cs-CZ"/>
        </w:rPr>
        <w:t>.</w:t>
      </w:r>
    </w:p>
    <w:p w14:paraId="023D8EE2" w14:textId="77777777" w:rsidR="00EA5993" w:rsidRPr="009B1A37" w:rsidRDefault="00EA5993" w:rsidP="00BE3D48">
      <w:pPr>
        <w:pStyle w:val="Text"/>
        <w:widowControl w:val="0"/>
        <w:spacing w:before="0"/>
        <w:jc w:val="left"/>
        <w:rPr>
          <w:color w:val="000000"/>
          <w:sz w:val="22"/>
          <w:szCs w:val="22"/>
          <w:lang w:val="cs-CZ"/>
        </w:rPr>
      </w:pPr>
    </w:p>
    <w:p w14:paraId="0E9F28C8" w14:textId="77777777" w:rsidR="00EA5993" w:rsidRPr="009B1A37" w:rsidRDefault="00EA5993" w:rsidP="00BE3D48">
      <w:pPr>
        <w:pStyle w:val="Text"/>
        <w:widowControl w:val="0"/>
        <w:spacing w:before="0"/>
        <w:jc w:val="left"/>
        <w:rPr>
          <w:color w:val="000000"/>
          <w:sz w:val="22"/>
          <w:szCs w:val="22"/>
          <w:lang w:val="cs-CZ"/>
        </w:rPr>
      </w:pPr>
      <w:r w:rsidRPr="009B1A37">
        <w:rPr>
          <w:color w:val="000000"/>
          <w:sz w:val="22"/>
          <w:szCs w:val="22"/>
          <w:lang w:val="cs-CZ"/>
        </w:rPr>
        <w:t>Nežádoucí účinky a četnost jejich výskytu jsou uvedené v </w:t>
      </w:r>
      <w:r w:rsidR="004C6D93" w:rsidRPr="009B1A37">
        <w:rPr>
          <w:color w:val="000000"/>
          <w:sz w:val="22"/>
          <w:szCs w:val="22"/>
          <w:lang w:val="cs-CZ"/>
        </w:rPr>
        <w:t>t</w:t>
      </w:r>
      <w:r w:rsidRPr="009B1A37">
        <w:rPr>
          <w:color w:val="000000"/>
          <w:sz w:val="22"/>
          <w:szCs w:val="22"/>
          <w:lang w:val="cs-CZ"/>
        </w:rPr>
        <w:t>abulce 1</w:t>
      </w:r>
      <w:r w:rsidR="005E2891" w:rsidRPr="009B1A37">
        <w:rPr>
          <w:color w:val="000000"/>
          <w:sz w:val="22"/>
          <w:szCs w:val="22"/>
          <w:lang w:val="cs-CZ"/>
        </w:rPr>
        <w:t>.</w:t>
      </w:r>
    </w:p>
    <w:p w14:paraId="0AEC2860" w14:textId="77777777" w:rsidR="00EA5993" w:rsidRPr="009B1A37" w:rsidRDefault="00EA5993" w:rsidP="00BE3D48">
      <w:pPr>
        <w:pStyle w:val="Text"/>
        <w:widowControl w:val="0"/>
        <w:spacing w:before="0"/>
        <w:jc w:val="left"/>
        <w:rPr>
          <w:color w:val="000000"/>
          <w:sz w:val="22"/>
          <w:szCs w:val="22"/>
          <w:lang w:val="cs-CZ"/>
        </w:rPr>
      </w:pPr>
    </w:p>
    <w:p w14:paraId="20D59955" w14:textId="77777777" w:rsidR="00EA5993" w:rsidRPr="009B1A37" w:rsidRDefault="00EA5993" w:rsidP="00BE3D48">
      <w:pPr>
        <w:pStyle w:val="Text"/>
        <w:keepNext/>
        <w:widowControl w:val="0"/>
        <w:tabs>
          <w:tab w:val="left" w:pos="1080"/>
        </w:tabs>
        <w:spacing w:before="0"/>
        <w:rPr>
          <w:b/>
          <w:bCs/>
          <w:color w:val="000000"/>
          <w:sz w:val="22"/>
          <w:szCs w:val="22"/>
          <w:lang w:val="cs-CZ"/>
        </w:rPr>
      </w:pPr>
      <w:r w:rsidRPr="009B1A37">
        <w:rPr>
          <w:b/>
          <w:bCs/>
          <w:color w:val="000000"/>
          <w:sz w:val="22"/>
          <w:szCs w:val="22"/>
          <w:lang w:val="cs-CZ"/>
        </w:rPr>
        <w:t>Tabulka 1</w:t>
      </w:r>
      <w:r w:rsidRPr="009B1A37">
        <w:rPr>
          <w:b/>
          <w:bCs/>
          <w:color w:val="000000"/>
          <w:sz w:val="22"/>
          <w:szCs w:val="22"/>
          <w:lang w:val="cs-CZ"/>
        </w:rPr>
        <w:tab/>
      </w:r>
      <w:r w:rsidR="005E2891" w:rsidRPr="009B1A37">
        <w:rPr>
          <w:b/>
          <w:bCs/>
          <w:color w:val="000000"/>
          <w:sz w:val="22"/>
          <w:szCs w:val="22"/>
          <w:lang w:val="cs-CZ"/>
        </w:rPr>
        <w:t>Přehled n</w:t>
      </w:r>
      <w:r w:rsidRPr="009B1A37">
        <w:rPr>
          <w:b/>
          <w:bCs/>
          <w:color w:val="000000"/>
          <w:sz w:val="22"/>
          <w:szCs w:val="22"/>
          <w:lang w:val="cs-CZ"/>
        </w:rPr>
        <w:t>ežádoucí</w:t>
      </w:r>
      <w:r w:rsidR="005E2891" w:rsidRPr="009B1A37">
        <w:rPr>
          <w:b/>
          <w:bCs/>
          <w:color w:val="000000"/>
          <w:sz w:val="22"/>
          <w:szCs w:val="22"/>
          <w:lang w:val="cs-CZ"/>
        </w:rPr>
        <w:t>ch</w:t>
      </w:r>
      <w:r w:rsidRPr="009B1A37">
        <w:rPr>
          <w:b/>
          <w:bCs/>
          <w:color w:val="000000"/>
          <w:sz w:val="22"/>
          <w:szCs w:val="22"/>
          <w:lang w:val="cs-CZ"/>
        </w:rPr>
        <w:t xml:space="preserve"> účink</w:t>
      </w:r>
      <w:r w:rsidR="005E2891" w:rsidRPr="009B1A37">
        <w:rPr>
          <w:b/>
          <w:bCs/>
          <w:color w:val="000000"/>
          <w:sz w:val="22"/>
          <w:szCs w:val="22"/>
          <w:lang w:val="cs-CZ"/>
        </w:rPr>
        <w:t>ů</w:t>
      </w:r>
      <w:r w:rsidRPr="009B1A37">
        <w:rPr>
          <w:b/>
          <w:bCs/>
          <w:color w:val="000000"/>
          <w:sz w:val="22"/>
          <w:szCs w:val="22"/>
          <w:lang w:val="cs-CZ"/>
        </w:rPr>
        <w:t xml:space="preserve"> v </w:t>
      </w:r>
      <w:r w:rsidR="005E2891" w:rsidRPr="009B1A37">
        <w:rPr>
          <w:b/>
          <w:bCs/>
          <w:color w:val="000000"/>
          <w:sz w:val="22"/>
          <w:szCs w:val="22"/>
          <w:lang w:val="cs-CZ"/>
        </w:rPr>
        <w:t>tabulce</w:t>
      </w:r>
    </w:p>
    <w:p w14:paraId="3D681D08" w14:textId="77777777" w:rsidR="00EA5993" w:rsidRPr="009B1A37" w:rsidRDefault="00EA5993" w:rsidP="00BE3D48">
      <w:pPr>
        <w:keepNext/>
        <w:widowControl w:val="0"/>
        <w:spacing w:line="240" w:lineRule="auto"/>
        <w:rPr>
          <w:color w:val="000000"/>
        </w:rPr>
      </w:pPr>
    </w:p>
    <w:tbl>
      <w:tblPr>
        <w:tblW w:w="9354" w:type="dxa"/>
        <w:tblInd w:w="-32" w:type="dxa"/>
        <w:tblLayout w:type="fixed"/>
        <w:tblLook w:val="0000" w:firstRow="0" w:lastRow="0" w:firstColumn="0" w:lastColumn="0" w:noHBand="0" w:noVBand="0"/>
      </w:tblPr>
      <w:tblGrid>
        <w:gridCol w:w="12"/>
        <w:gridCol w:w="2190"/>
        <w:gridCol w:w="15"/>
        <w:gridCol w:w="23"/>
        <w:gridCol w:w="7"/>
        <w:gridCol w:w="7107"/>
      </w:tblGrid>
      <w:tr w:rsidR="00EA5993" w:rsidRPr="009B1A37" w14:paraId="3D44A5C6" w14:textId="77777777" w:rsidTr="00EB4FF7">
        <w:trPr>
          <w:gridBefore w:val="1"/>
          <w:wBefore w:w="12" w:type="dxa"/>
          <w:cantSplit/>
        </w:trPr>
        <w:tc>
          <w:tcPr>
            <w:tcW w:w="9342" w:type="dxa"/>
            <w:gridSpan w:val="5"/>
            <w:tcBorders>
              <w:top w:val="single" w:sz="4" w:space="0" w:color="000000"/>
              <w:left w:val="single" w:sz="4" w:space="0" w:color="000000"/>
              <w:bottom w:val="single" w:sz="4" w:space="0" w:color="000000"/>
              <w:right w:val="single" w:sz="4" w:space="0" w:color="000000"/>
            </w:tcBorders>
          </w:tcPr>
          <w:p w14:paraId="5E2E9CDD" w14:textId="77777777" w:rsidR="00EA5993" w:rsidRPr="009B1A37" w:rsidRDefault="00EA5993" w:rsidP="00BE3D48">
            <w:pPr>
              <w:keepNext/>
              <w:widowControl w:val="0"/>
              <w:tabs>
                <w:tab w:val="left" w:pos="6375"/>
              </w:tabs>
              <w:snapToGrid w:val="0"/>
              <w:spacing w:line="240" w:lineRule="auto"/>
              <w:rPr>
                <w:b/>
                <w:bCs/>
                <w:color w:val="000000"/>
              </w:rPr>
            </w:pPr>
            <w:r w:rsidRPr="009B1A37">
              <w:rPr>
                <w:b/>
                <w:bCs/>
                <w:color w:val="000000"/>
              </w:rPr>
              <w:t>Infekce a infestace</w:t>
            </w:r>
          </w:p>
        </w:tc>
      </w:tr>
      <w:tr w:rsidR="00EA5993" w:rsidRPr="009B1A37" w14:paraId="37AC54B0" w14:textId="77777777" w:rsidTr="00EB4FF7">
        <w:trPr>
          <w:gridBefore w:val="1"/>
          <w:wBefore w:w="12" w:type="dxa"/>
          <w:cantSplit/>
        </w:trPr>
        <w:tc>
          <w:tcPr>
            <w:tcW w:w="2205" w:type="dxa"/>
            <w:gridSpan w:val="2"/>
            <w:tcBorders>
              <w:top w:val="single" w:sz="4" w:space="0" w:color="000000"/>
              <w:left w:val="single" w:sz="4" w:space="0" w:color="000000"/>
              <w:bottom w:val="single" w:sz="4" w:space="0" w:color="000000"/>
              <w:right w:val="single" w:sz="4" w:space="0" w:color="auto"/>
            </w:tcBorders>
          </w:tcPr>
          <w:p w14:paraId="0D986E74" w14:textId="77777777" w:rsidR="00EA5993" w:rsidRPr="009B1A37" w:rsidRDefault="00EA5993" w:rsidP="00BE3D48">
            <w:pPr>
              <w:keepNext/>
              <w:widowControl w:val="0"/>
              <w:tabs>
                <w:tab w:val="left" w:pos="6375"/>
              </w:tabs>
              <w:snapToGrid w:val="0"/>
              <w:spacing w:line="240" w:lineRule="auto"/>
              <w:rPr>
                <w:i/>
                <w:iCs/>
                <w:color w:val="000000"/>
              </w:rPr>
            </w:pPr>
            <w:r w:rsidRPr="009B1A37">
              <w:rPr>
                <w:i/>
                <w:iCs/>
                <w:color w:val="000000"/>
              </w:rPr>
              <w:t>Méně časté:</w:t>
            </w:r>
          </w:p>
        </w:tc>
        <w:tc>
          <w:tcPr>
            <w:tcW w:w="7137" w:type="dxa"/>
            <w:gridSpan w:val="3"/>
            <w:tcBorders>
              <w:top w:val="single" w:sz="4" w:space="0" w:color="000000"/>
              <w:left w:val="single" w:sz="4" w:space="0" w:color="auto"/>
              <w:bottom w:val="single" w:sz="4" w:space="0" w:color="000000"/>
              <w:right w:val="single" w:sz="4" w:space="0" w:color="000000"/>
            </w:tcBorders>
          </w:tcPr>
          <w:p w14:paraId="2BD22398" w14:textId="77777777" w:rsidR="00EA5993" w:rsidRPr="009B1A37" w:rsidRDefault="00EA5993" w:rsidP="00BE3D48">
            <w:pPr>
              <w:keepNext/>
              <w:widowControl w:val="0"/>
              <w:tabs>
                <w:tab w:val="left" w:pos="6375"/>
              </w:tabs>
              <w:snapToGrid w:val="0"/>
              <w:spacing w:line="240" w:lineRule="auto"/>
              <w:rPr>
                <w:color w:val="000000"/>
              </w:rPr>
            </w:pPr>
            <w:r w:rsidRPr="009B1A37">
              <w:rPr>
                <w:color w:val="000000"/>
              </w:rPr>
              <w:t>Herpes zoster, herpes simplex, nasofaryngitida, pneumonie</w:t>
            </w:r>
            <w:r w:rsidRPr="009B1A37">
              <w:rPr>
                <w:color w:val="000000"/>
                <w:vertAlign w:val="superscript"/>
              </w:rPr>
              <w:t>1</w:t>
            </w:r>
            <w:r w:rsidRPr="009B1A37">
              <w:rPr>
                <w:color w:val="000000"/>
              </w:rPr>
              <w:t>, sinusitida, celulitida, infekce horních cest dýchacích, chřipka, infekce močových cest, gastroenteritida, sepse</w:t>
            </w:r>
          </w:p>
        </w:tc>
      </w:tr>
      <w:tr w:rsidR="00EA5993" w:rsidRPr="009B1A37" w14:paraId="454992C5" w14:textId="77777777" w:rsidTr="00EB4FF7">
        <w:trPr>
          <w:gridBefore w:val="1"/>
          <w:wBefore w:w="12" w:type="dxa"/>
          <w:cantSplit/>
        </w:trPr>
        <w:tc>
          <w:tcPr>
            <w:tcW w:w="2205" w:type="dxa"/>
            <w:gridSpan w:val="2"/>
            <w:tcBorders>
              <w:top w:val="single" w:sz="4" w:space="0" w:color="000000"/>
              <w:left w:val="single" w:sz="4" w:space="0" w:color="000000"/>
              <w:bottom w:val="single" w:sz="4" w:space="0" w:color="000000"/>
              <w:right w:val="single" w:sz="4" w:space="0" w:color="auto"/>
            </w:tcBorders>
          </w:tcPr>
          <w:p w14:paraId="6939AEF0" w14:textId="77777777" w:rsidR="00EA5993" w:rsidRPr="009B1A37" w:rsidRDefault="00EA5993" w:rsidP="00BE3D48">
            <w:pPr>
              <w:keepNext/>
              <w:widowControl w:val="0"/>
              <w:tabs>
                <w:tab w:val="left" w:pos="6375"/>
              </w:tabs>
              <w:snapToGrid w:val="0"/>
              <w:spacing w:line="240" w:lineRule="auto"/>
              <w:rPr>
                <w:i/>
                <w:iCs/>
                <w:color w:val="000000"/>
              </w:rPr>
            </w:pPr>
            <w:r w:rsidRPr="009B1A37">
              <w:rPr>
                <w:i/>
                <w:iCs/>
                <w:color w:val="000000"/>
              </w:rPr>
              <w:t>Vzácné:</w:t>
            </w:r>
          </w:p>
        </w:tc>
        <w:tc>
          <w:tcPr>
            <w:tcW w:w="7137" w:type="dxa"/>
            <w:gridSpan w:val="3"/>
            <w:tcBorders>
              <w:top w:val="single" w:sz="4" w:space="0" w:color="000000"/>
              <w:left w:val="single" w:sz="4" w:space="0" w:color="auto"/>
              <w:bottom w:val="single" w:sz="4" w:space="0" w:color="000000"/>
              <w:right w:val="single" w:sz="4" w:space="0" w:color="000000"/>
            </w:tcBorders>
          </w:tcPr>
          <w:p w14:paraId="64F92692" w14:textId="77777777" w:rsidR="00EA5993" w:rsidRPr="009B1A37" w:rsidRDefault="004C6D93" w:rsidP="00BE3D48">
            <w:pPr>
              <w:keepNext/>
              <w:widowControl w:val="0"/>
              <w:tabs>
                <w:tab w:val="left" w:pos="6375"/>
              </w:tabs>
              <w:snapToGrid w:val="0"/>
              <w:spacing w:line="240" w:lineRule="auto"/>
              <w:rPr>
                <w:color w:val="000000"/>
              </w:rPr>
            </w:pPr>
            <w:r w:rsidRPr="009B1A37">
              <w:rPr>
                <w:color w:val="000000"/>
              </w:rPr>
              <w:t>Mykotické</w:t>
            </w:r>
            <w:r w:rsidR="00EA5993" w:rsidRPr="009B1A37">
              <w:rPr>
                <w:color w:val="000000"/>
              </w:rPr>
              <w:t xml:space="preserve"> infekce</w:t>
            </w:r>
          </w:p>
        </w:tc>
      </w:tr>
      <w:tr w:rsidR="001927EB" w:rsidRPr="009B1A37" w14:paraId="34590AC3" w14:textId="77777777" w:rsidTr="00EB4FF7">
        <w:trPr>
          <w:gridBefore w:val="1"/>
          <w:wBefore w:w="12" w:type="dxa"/>
          <w:cantSplit/>
        </w:trPr>
        <w:tc>
          <w:tcPr>
            <w:tcW w:w="2205" w:type="dxa"/>
            <w:gridSpan w:val="2"/>
            <w:tcBorders>
              <w:top w:val="single" w:sz="4" w:space="0" w:color="000000"/>
              <w:left w:val="single" w:sz="4" w:space="0" w:color="000000"/>
              <w:bottom w:val="single" w:sz="4" w:space="0" w:color="000000"/>
              <w:right w:val="single" w:sz="4" w:space="0" w:color="auto"/>
            </w:tcBorders>
          </w:tcPr>
          <w:p w14:paraId="32906057" w14:textId="77777777" w:rsidR="001927EB" w:rsidRPr="009B1A37" w:rsidRDefault="001927EB" w:rsidP="00BE3D48">
            <w:pPr>
              <w:keepNext/>
              <w:widowControl w:val="0"/>
              <w:tabs>
                <w:tab w:val="left" w:pos="6375"/>
              </w:tabs>
              <w:snapToGrid w:val="0"/>
              <w:spacing w:line="240" w:lineRule="auto"/>
              <w:rPr>
                <w:i/>
                <w:iCs/>
                <w:color w:val="000000"/>
              </w:rPr>
            </w:pPr>
            <w:r w:rsidRPr="009B1A37">
              <w:rPr>
                <w:i/>
                <w:iCs/>
                <w:color w:val="000000"/>
              </w:rPr>
              <w:t>Není známo:</w:t>
            </w:r>
          </w:p>
        </w:tc>
        <w:tc>
          <w:tcPr>
            <w:tcW w:w="7137" w:type="dxa"/>
            <w:gridSpan w:val="3"/>
            <w:tcBorders>
              <w:top w:val="single" w:sz="4" w:space="0" w:color="000000"/>
              <w:left w:val="single" w:sz="4" w:space="0" w:color="auto"/>
              <w:bottom w:val="single" w:sz="4" w:space="0" w:color="000000"/>
              <w:right w:val="single" w:sz="4" w:space="0" w:color="000000"/>
            </w:tcBorders>
          </w:tcPr>
          <w:p w14:paraId="67CCBC19" w14:textId="77777777" w:rsidR="001927EB" w:rsidRPr="009B1A37" w:rsidRDefault="001927EB" w:rsidP="00BE3D48">
            <w:pPr>
              <w:keepNext/>
              <w:widowControl w:val="0"/>
              <w:tabs>
                <w:tab w:val="left" w:pos="6375"/>
              </w:tabs>
              <w:snapToGrid w:val="0"/>
              <w:spacing w:line="240" w:lineRule="auto"/>
              <w:rPr>
                <w:color w:val="000000"/>
              </w:rPr>
            </w:pPr>
            <w:r w:rsidRPr="009B1A37">
              <w:rPr>
                <w:color w:val="000000"/>
              </w:rPr>
              <w:t>Reaktivace hepatitidy B*</w:t>
            </w:r>
          </w:p>
        </w:tc>
      </w:tr>
      <w:tr w:rsidR="00EA5993" w:rsidRPr="009B1A37" w14:paraId="019D68F6" w14:textId="77777777" w:rsidTr="00EB4FF7">
        <w:trPr>
          <w:gridBefore w:val="1"/>
          <w:wBefore w:w="12" w:type="dxa"/>
          <w:cantSplit/>
        </w:trPr>
        <w:tc>
          <w:tcPr>
            <w:tcW w:w="9342" w:type="dxa"/>
            <w:gridSpan w:val="5"/>
            <w:tcBorders>
              <w:top w:val="single" w:sz="4" w:space="0" w:color="000000"/>
              <w:left w:val="single" w:sz="4" w:space="0" w:color="000000"/>
              <w:bottom w:val="single" w:sz="4" w:space="0" w:color="000000"/>
              <w:right w:val="single" w:sz="4" w:space="0" w:color="000000"/>
            </w:tcBorders>
          </w:tcPr>
          <w:p w14:paraId="56FEA218" w14:textId="77777777" w:rsidR="00EA5993" w:rsidRPr="009B1A37" w:rsidRDefault="00EA5993" w:rsidP="00BE3D48">
            <w:pPr>
              <w:keepNext/>
              <w:widowControl w:val="0"/>
              <w:tabs>
                <w:tab w:val="left" w:pos="6375"/>
              </w:tabs>
              <w:snapToGrid w:val="0"/>
              <w:spacing w:line="240" w:lineRule="auto"/>
              <w:rPr>
                <w:b/>
                <w:color w:val="000000"/>
              </w:rPr>
            </w:pPr>
            <w:r w:rsidRPr="009B1A37">
              <w:rPr>
                <w:b/>
                <w:color w:val="000000"/>
              </w:rPr>
              <w:t>Novotvary benigní, maligní, a blíže neurčené (zahrnující cysty a polypy)</w:t>
            </w:r>
          </w:p>
        </w:tc>
      </w:tr>
      <w:tr w:rsidR="00EA5993" w:rsidRPr="009B1A37" w14:paraId="71E73ABE" w14:textId="77777777" w:rsidTr="00EB4FF7">
        <w:trPr>
          <w:gridBefore w:val="1"/>
          <w:wBefore w:w="12" w:type="dxa"/>
          <w:cantSplit/>
        </w:trPr>
        <w:tc>
          <w:tcPr>
            <w:tcW w:w="2190" w:type="dxa"/>
            <w:tcBorders>
              <w:top w:val="single" w:sz="4" w:space="0" w:color="000000"/>
              <w:left w:val="single" w:sz="4" w:space="0" w:color="000000"/>
              <w:bottom w:val="single" w:sz="4" w:space="0" w:color="000000"/>
              <w:right w:val="single" w:sz="4" w:space="0" w:color="auto"/>
            </w:tcBorders>
          </w:tcPr>
          <w:p w14:paraId="0ED04A9C" w14:textId="77777777" w:rsidR="00EA5993" w:rsidRPr="009B1A37" w:rsidRDefault="00EA5993" w:rsidP="00BE3D48">
            <w:pPr>
              <w:keepNext/>
              <w:widowControl w:val="0"/>
              <w:tabs>
                <w:tab w:val="left" w:pos="6375"/>
              </w:tabs>
              <w:snapToGrid w:val="0"/>
              <w:spacing w:line="240" w:lineRule="auto"/>
              <w:rPr>
                <w:bCs/>
                <w:i/>
                <w:color w:val="000000"/>
              </w:rPr>
            </w:pPr>
            <w:r w:rsidRPr="009B1A37">
              <w:rPr>
                <w:bCs/>
                <w:i/>
                <w:color w:val="000000"/>
              </w:rPr>
              <w:t>Vzácné:</w:t>
            </w:r>
          </w:p>
        </w:tc>
        <w:tc>
          <w:tcPr>
            <w:tcW w:w="7152" w:type="dxa"/>
            <w:gridSpan w:val="4"/>
            <w:tcBorders>
              <w:top w:val="single" w:sz="4" w:space="0" w:color="000000"/>
              <w:left w:val="single" w:sz="4" w:space="0" w:color="auto"/>
              <w:bottom w:val="single" w:sz="4" w:space="0" w:color="000000"/>
              <w:right w:val="single" w:sz="4" w:space="0" w:color="000000"/>
            </w:tcBorders>
          </w:tcPr>
          <w:p w14:paraId="67CB00B6" w14:textId="77777777" w:rsidR="00EA5993" w:rsidRPr="009B1A37" w:rsidRDefault="00EA5993" w:rsidP="00BE3D48">
            <w:pPr>
              <w:keepNext/>
              <w:widowControl w:val="0"/>
              <w:tabs>
                <w:tab w:val="left" w:pos="6375"/>
              </w:tabs>
              <w:snapToGrid w:val="0"/>
              <w:spacing w:line="240" w:lineRule="auto"/>
              <w:rPr>
                <w:bCs/>
                <w:color w:val="000000"/>
              </w:rPr>
            </w:pPr>
            <w:r w:rsidRPr="009B1A37">
              <w:rPr>
                <w:bCs/>
                <w:color w:val="000000"/>
              </w:rPr>
              <w:t>Syndrom nádorového rozpadu</w:t>
            </w:r>
          </w:p>
        </w:tc>
      </w:tr>
      <w:tr w:rsidR="005E2891" w:rsidRPr="009B1A37" w14:paraId="05D23891" w14:textId="77777777" w:rsidTr="00EB4FF7">
        <w:trPr>
          <w:gridBefore w:val="1"/>
          <w:wBefore w:w="12" w:type="dxa"/>
          <w:cantSplit/>
        </w:trPr>
        <w:tc>
          <w:tcPr>
            <w:tcW w:w="2190" w:type="dxa"/>
            <w:tcBorders>
              <w:top w:val="single" w:sz="4" w:space="0" w:color="000000"/>
              <w:left w:val="single" w:sz="4" w:space="0" w:color="000000"/>
              <w:bottom w:val="single" w:sz="4" w:space="0" w:color="000000"/>
              <w:right w:val="single" w:sz="4" w:space="0" w:color="auto"/>
            </w:tcBorders>
          </w:tcPr>
          <w:p w14:paraId="4EC56D7B" w14:textId="77777777" w:rsidR="005E2891" w:rsidRPr="009B1A37" w:rsidRDefault="005E2891" w:rsidP="00BE3D48">
            <w:pPr>
              <w:widowControl w:val="0"/>
              <w:tabs>
                <w:tab w:val="left" w:pos="6375"/>
              </w:tabs>
              <w:snapToGrid w:val="0"/>
              <w:spacing w:line="240" w:lineRule="auto"/>
              <w:rPr>
                <w:bCs/>
                <w:i/>
                <w:color w:val="000000"/>
              </w:rPr>
            </w:pPr>
            <w:r w:rsidRPr="009B1A37">
              <w:rPr>
                <w:bCs/>
                <w:i/>
                <w:color w:val="000000"/>
              </w:rPr>
              <w:t>Není známo:</w:t>
            </w:r>
          </w:p>
        </w:tc>
        <w:tc>
          <w:tcPr>
            <w:tcW w:w="7152" w:type="dxa"/>
            <w:gridSpan w:val="4"/>
            <w:tcBorders>
              <w:top w:val="single" w:sz="4" w:space="0" w:color="000000"/>
              <w:left w:val="single" w:sz="4" w:space="0" w:color="auto"/>
              <w:bottom w:val="single" w:sz="4" w:space="0" w:color="000000"/>
              <w:right w:val="single" w:sz="4" w:space="0" w:color="000000"/>
            </w:tcBorders>
          </w:tcPr>
          <w:p w14:paraId="0705D53D" w14:textId="77777777" w:rsidR="005E2891" w:rsidRPr="009B1A37" w:rsidRDefault="005E2891" w:rsidP="00BE3D48">
            <w:pPr>
              <w:widowControl w:val="0"/>
              <w:tabs>
                <w:tab w:val="left" w:pos="6375"/>
              </w:tabs>
              <w:snapToGrid w:val="0"/>
              <w:spacing w:line="240" w:lineRule="auto"/>
              <w:rPr>
                <w:bCs/>
                <w:color w:val="000000"/>
              </w:rPr>
            </w:pPr>
            <w:r w:rsidRPr="009B1A37">
              <w:rPr>
                <w:color w:val="000000"/>
              </w:rPr>
              <w:t>Krvácení do tumoru/nekróza tumoru*</w:t>
            </w:r>
          </w:p>
        </w:tc>
      </w:tr>
      <w:tr w:rsidR="005E2891" w:rsidRPr="009B1A37" w14:paraId="1E09F1F7" w14:textId="77777777" w:rsidTr="00EB4F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trPr>
        <w:tc>
          <w:tcPr>
            <w:tcW w:w="9354" w:type="dxa"/>
            <w:gridSpan w:val="6"/>
          </w:tcPr>
          <w:p w14:paraId="6CD0B703" w14:textId="77777777" w:rsidR="005E2891" w:rsidRPr="009B1A37" w:rsidRDefault="005E2891" w:rsidP="00BE3D48">
            <w:pPr>
              <w:keepNext/>
              <w:widowControl w:val="0"/>
              <w:spacing w:line="240" w:lineRule="auto"/>
              <w:rPr>
                <w:b/>
                <w:color w:val="000000"/>
              </w:rPr>
            </w:pPr>
            <w:r w:rsidRPr="009B1A37">
              <w:rPr>
                <w:b/>
                <w:color w:val="000000"/>
              </w:rPr>
              <w:t>Poruchy imunitního systému</w:t>
            </w:r>
          </w:p>
        </w:tc>
      </w:tr>
      <w:tr w:rsidR="005E2891" w:rsidRPr="009B1A37" w14:paraId="3BF5D527" w14:textId="77777777" w:rsidTr="00EB4F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trPr>
        <w:tc>
          <w:tcPr>
            <w:tcW w:w="2240" w:type="dxa"/>
            <w:gridSpan w:val="4"/>
          </w:tcPr>
          <w:p w14:paraId="7E945E94" w14:textId="77777777" w:rsidR="005E2891" w:rsidRPr="009B1A37" w:rsidRDefault="005E2891" w:rsidP="00BE3D48">
            <w:pPr>
              <w:widowControl w:val="0"/>
              <w:spacing w:line="240" w:lineRule="auto"/>
              <w:rPr>
                <w:i/>
                <w:color w:val="000000"/>
              </w:rPr>
            </w:pPr>
            <w:r w:rsidRPr="009B1A37">
              <w:rPr>
                <w:bCs/>
                <w:i/>
                <w:color w:val="000000"/>
              </w:rPr>
              <w:t>Není známo:</w:t>
            </w:r>
          </w:p>
        </w:tc>
        <w:tc>
          <w:tcPr>
            <w:tcW w:w="7114" w:type="dxa"/>
            <w:gridSpan w:val="2"/>
          </w:tcPr>
          <w:p w14:paraId="1CFD4968" w14:textId="77777777" w:rsidR="005E2891" w:rsidRPr="009B1A37" w:rsidRDefault="005E2891" w:rsidP="00BE3D48">
            <w:pPr>
              <w:widowControl w:val="0"/>
              <w:spacing w:line="240" w:lineRule="auto"/>
              <w:rPr>
                <w:color w:val="000000"/>
              </w:rPr>
            </w:pPr>
            <w:r w:rsidRPr="009B1A37">
              <w:rPr>
                <w:color w:val="000000"/>
              </w:rPr>
              <w:t>Anafylaktický šok*</w:t>
            </w:r>
          </w:p>
        </w:tc>
      </w:tr>
      <w:tr w:rsidR="005E2891" w:rsidRPr="009B1A37" w14:paraId="31A646A3" w14:textId="77777777" w:rsidTr="00EB4FF7">
        <w:trPr>
          <w:gridBefore w:val="1"/>
          <w:wBefore w:w="12" w:type="dxa"/>
          <w:cantSplit/>
        </w:trPr>
        <w:tc>
          <w:tcPr>
            <w:tcW w:w="9342" w:type="dxa"/>
            <w:gridSpan w:val="5"/>
            <w:tcBorders>
              <w:top w:val="single" w:sz="4" w:space="0" w:color="000000"/>
              <w:left w:val="single" w:sz="4" w:space="0" w:color="000000"/>
              <w:bottom w:val="single" w:sz="4" w:space="0" w:color="000000"/>
              <w:right w:val="single" w:sz="4" w:space="0" w:color="000000"/>
            </w:tcBorders>
          </w:tcPr>
          <w:p w14:paraId="60FEFFC0" w14:textId="77777777" w:rsidR="005E2891" w:rsidRPr="009B1A37" w:rsidRDefault="005E2891" w:rsidP="00BE3D48">
            <w:pPr>
              <w:keepNext/>
              <w:widowControl w:val="0"/>
              <w:tabs>
                <w:tab w:val="left" w:pos="6375"/>
              </w:tabs>
              <w:snapToGrid w:val="0"/>
              <w:spacing w:line="240" w:lineRule="auto"/>
              <w:rPr>
                <w:b/>
                <w:bCs/>
                <w:color w:val="000000"/>
              </w:rPr>
            </w:pPr>
            <w:r w:rsidRPr="009B1A37">
              <w:rPr>
                <w:b/>
                <w:bCs/>
                <w:color w:val="000000"/>
              </w:rPr>
              <w:t>Poruchy krve a lymfatického systému</w:t>
            </w:r>
          </w:p>
        </w:tc>
      </w:tr>
      <w:tr w:rsidR="005E2891" w:rsidRPr="009B1A37" w14:paraId="5B006B7F"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52F0A58B" w14:textId="77777777" w:rsidR="005E2891" w:rsidRPr="009B1A37" w:rsidRDefault="005E2891" w:rsidP="00BE3D48">
            <w:pPr>
              <w:keepNext/>
              <w:widowControl w:val="0"/>
              <w:snapToGrid w:val="0"/>
              <w:spacing w:line="240" w:lineRule="auto"/>
              <w:rPr>
                <w:i/>
                <w:iCs/>
                <w:color w:val="000000"/>
              </w:rPr>
            </w:pPr>
            <w:r w:rsidRPr="009B1A37">
              <w:rPr>
                <w:i/>
                <w:iCs/>
                <w:color w:val="000000"/>
              </w:rPr>
              <w:t>Velmi časté:</w:t>
            </w:r>
          </w:p>
        </w:tc>
        <w:tc>
          <w:tcPr>
            <w:tcW w:w="7107" w:type="dxa"/>
            <w:tcBorders>
              <w:top w:val="single" w:sz="4" w:space="0" w:color="000000"/>
              <w:left w:val="single" w:sz="4" w:space="0" w:color="000000"/>
              <w:bottom w:val="single" w:sz="4" w:space="0" w:color="000000"/>
              <w:right w:val="single" w:sz="4" w:space="0" w:color="000000"/>
            </w:tcBorders>
          </w:tcPr>
          <w:p w14:paraId="750BA686" w14:textId="77777777" w:rsidR="005E2891" w:rsidRPr="009B1A37" w:rsidRDefault="005E2891" w:rsidP="00BE3D48">
            <w:pPr>
              <w:keepNext/>
              <w:widowControl w:val="0"/>
              <w:snapToGrid w:val="0"/>
              <w:spacing w:line="240" w:lineRule="auto"/>
              <w:rPr>
                <w:color w:val="000000"/>
              </w:rPr>
            </w:pPr>
            <w:r w:rsidRPr="009B1A37">
              <w:rPr>
                <w:color w:val="000000"/>
              </w:rPr>
              <w:t>Neutropenie, trombocytopenie, anemie</w:t>
            </w:r>
          </w:p>
        </w:tc>
      </w:tr>
      <w:tr w:rsidR="005E2891" w:rsidRPr="009B1A37" w14:paraId="5A8A951D"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3A28DB0D" w14:textId="77777777" w:rsidR="005E2891" w:rsidRPr="009B1A37" w:rsidRDefault="005E2891" w:rsidP="00BE3D48">
            <w:pPr>
              <w:keepNext/>
              <w:widowControl w:val="0"/>
              <w:snapToGrid w:val="0"/>
              <w:spacing w:line="240" w:lineRule="auto"/>
              <w:rPr>
                <w:i/>
                <w:iCs/>
                <w:color w:val="000000"/>
              </w:rPr>
            </w:pPr>
            <w:r w:rsidRPr="009B1A37">
              <w:rPr>
                <w:i/>
                <w:iCs/>
                <w:color w:val="000000"/>
              </w:rPr>
              <w:t>Ćasté:</w:t>
            </w:r>
          </w:p>
        </w:tc>
        <w:tc>
          <w:tcPr>
            <w:tcW w:w="7107" w:type="dxa"/>
            <w:tcBorders>
              <w:top w:val="single" w:sz="4" w:space="0" w:color="000000"/>
              <w:left w:val="single" w:sz="4" w:space="0" w:color="000000"/>
              <w:bottom w:val="single" w:sz="4" w:space="0" w:color="000000"/>
              <w:right w:val="single" w:sz="4" w:space="0" w:color="000000"/>
            </w:tcBorders>
          </w:tcPr>
          <w:p w14:paraId="4C685B7C" w14:textId="77777777" w:rsidR="005E2891" w:rsidRPr="009B1A37" w:rsidRDefault="005E2891" w:rsidP="00BE3D48">
            <w:pPr>
              <w:keepNext/>
              <w:widowControl w:val="0"/>
              <w:snapToGrid w:val="0"/>
              <w:spacing w:line="240" w:lineRule="auto"/>
              <w:rPr>
                <w:color w:val="000000"/>
              </w:rPr>
            </w:pPr>
            <w:r w:rsidRPr="009B1A37">
              <w:rPr>
                <w:color w:val="000000"/>
              </w:rPr>
              <w:t>Pancytopenie, febrilní neutropenie</w:t>
            </w:r>
          </w:p>
        </w:tc>
      </w:tr>
      <w:tr w:rsidR="005E2891" w:rsidRPr="009B1A37" w14:paraId="31BD27E4"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1187570C" w14:textId="77777777" w:rsidR="005E2891" w:rsidRPr="009B1A37" w:rsidRDefault="005E2891" w:rsidP="00BE3D48">
            <w:pPr>
              <w:keepNext/>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10233537" w14:textId="77777777" w:rsidR="005E2891" w:rsidRPr="009B1A37" w:rsidRDefault="005E2891" w:rsidP="00BE3D48">
            <w:pPr>
              <w:keepNext/>
              <w:widowControl w:val="0"/>
              <w:snapToGrid w:val="0"/>
              <w:spacing w:line="240" w:lineRule="auto"/>
              <w:rPr>
                <w:color w:val="000000"/>
              </w:rPr>
            </w:pPr>
            <w:r w:rsidRPr="009B1A37">
              <w:rPr>
                <w:color w:val="000000"/>
              </w:rPr>
              <w:t>Trombocytemie, lymfopenie, útlum kostní dřeně, eozinofilie, lymfadenopatie</w:t>
            </w:r>
          </w:p>
        </w:tc>
      </w:tr>
      <w:tr w:rsidR="005E2891" w:rsidRPr="009B1A37" w14:paraId="5FB1734B"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40B03669" w14:textId="77777777" w:rsidR="005E2891" w:rsidRPr="009B1A37" w:rsidRDefault="005E2891" w:rsidP="00BE3D48">
            <w:pPr>
              <w:widowControl w:val="0"/>
              <w:snapToGrid w:val="0"/>
              <w:spacing w:line="240" w:lineRule="auto"/>
              <w:rPr>
                <w:i/>
                <w:iCs/>
                <w:color w:val="000000"/>
              </w:rPr>
            </w:pPr>
            <w:r w:rsidRPr="009B1A37">
              <w:rPr>
                <w:i/>
                <w:iCs/>
                <w:color w:val="000000"/>
              </w:rPr>
              <w:t>Vzácné:</w:t>
            </w:r>
          </w:p>
        </w:tc>
        <w:tc>
          <w:tcPr>
            <w:tcW w:w="7107" w:type="dxa"/>
            <w:tcBorders>
              <w:top w:val="single" w:sz="4" w:space="0" w:color="000000"/>
              <w:left w:val="single" w:sz="4" w:space="0" w:color="000000"/>
              <w:bottom w:val="single" w:sz="4" w:space="0" w:color="000000"/>
              <w:right w:val="single" w:sz="4" w:space="0" w:color="000000"/>
            </w:tcBorders>
          </w:tcPr>
          <w:p w14:paraId="43243927" w14:textId="77777777" w:rsidR="005E2891" w:rsidRPr="009B1A37" w:rsidRDefault="005E2891" w:rsidP="00BE3D48">
            <w:pPr>
              <w:widowControl w:val="0"/>
              <w:snapToGrid w:val="0"/>
              <w:spacing w:line="240" w:lineRule="auto"/>
              <w:rPr>
                <w:color w:val="000000"/>
              </w:rPr>
            </w:pPr>
            <w:r w:rsidRPr="009B1A37">
              <w:rPr>
                <w:color w:val="000000"/>
              </w:rPr>
              <w:t>Hemolytická anemie</w:t>
            </w:r>
            <w:r w:rsidR="00E862C5" w:rsidRPr="009B1A37">
              <w:rPr>
                <w:color w:val="000000"/>
              </w:rPr>
              <w:t>, trombotická mikroangiopatie</w:t>
            </w:r>
          </w:p>
        </w:tc>
      </w:tr>
      <w:tr w:rsidR="005E2891" w:rsidRPr="009B1A37" w14:paraId="7AC4BD82" w14:textId="77777777" w:rsidTr="00EB4FF7">
        <w:trPr>
          <w:gridBefore w:val="1"/>
          <w:wBefore w:w="12" w:type="dxa"/>
          <w:cantSplit/>
        </w:trPr>
        <w:tc>
          <w:tcPr>
            <w:tcW w:w="9342" w:type="dxa"/>
            <w:gridSpan w:val="5"/>
            <w:tcBorders>
              <w:top w:val="single" w:sz="4" w:space="0" w:color="000000"/>
              <w:left w:val="single" w:sz="4" w:space="0" w:color="000000"/>
              <w:bottom w:val="single" w:sz="4" w:space="0" w:color="000000"/>
              <w:right w:val="single" w:sz="4" w:space="0" w:color="000000"/>
            </w:tcBorders>
          </w:tcPr>
          <w:p w14:paraId="35A0F431" w14:textId="77777777" w:rsidR="005E2891" w:rsidRPr="009B1A37" w:rsidRDefault="005E2891" w:rsidP="00BE3D48">
            <w:pPr>
              <w:keepNext/>
              <w:widowControl w:val="0"/>
              <w:snapToGrid w:val="0"/>
              <w:spacing w:line="240" w:lineRule="auto"/>
              <w:rPr>
                <w:b/>
                <w:bCs/>
                <w:color w:val="000000"/>
              </w:rPr>
            </w:pPr>
            <w:r w:rsidRPr="009B1A37">
              <w:rPr>
                <w:b/>
                <w:bCs/>
                <w:color w:val="000000"/>
              </w:rPr>
              <w:t>Poruchy metabolismu a výživy</w:t>
            </w:r>
          </w:p>
        </w:tc>
      </w:tr>
      <w:tr w:rsidR="005E2891" w:rsidRPr="009B1A37" w14:paraId="231CA684"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68A72FE4" w14:textId="77777777" w:rsidR="005E2891" w:rsidRPr="009B1A37" w:rsidRDefault="005E2891" w:rsidP="00BE3D48">
            <w:pPr>
              <w:keepNext/>
              <w:widowControl w:val="0"/>
              <w:snapToGrid w:val="0"/>
              <w:spacing w:line="240" w:lineRule="auto"/>
              <w:rPr>
                <w:i/>
                <w:iCs/>
                <w:color w:val="000000"/>
              </w:rPr>
            </w:pPr>
            <w:r w:rsidRPr="009B1A37">
              <w:rPr>
                <w:i/>
                <w:iCs/>
                <w:color w:val="000000"/>
              </w:rPr>
              <w:t>Časté:</w:t>
            </w:r>
          </w:p>
        </w:tc>
        <w:tc>
          <w:tcPr>
            <w:tcW w:w="7107" w:type="dxa"/>
            <w:tcBorders>
              <w:top w:val="single" w:sz="4" w:space="0" w:color="000000"/>
              <w:left w:val="single" w:sz="4" w:space="0" w:color="000000"/>
              <w:bottom w:val="single" w:sz="4" w:space="0" w:color="000000"/>
              <w:right w:val="single" w:sz="4" w:space="0" w:color="000000"/>
            </w:tcBorders>
          </w:tcPr>
          <w:p w14:paraId="70E52DD8" w14:textId="77777777" w:rsidR="005E2891" w:rsidRPr="009B1A37" w:rsidRDefault="005E2891" w:rsidP="00BE3D48">
            <w:pPr>
              <w:keepNext/>
              <w:widowControl w:val="0"/>
              <w:snapToGrid w:val="0"/>
              <w:spacing w:line="240" w:lineRule="auto"/>
              <w:rPr>
                <w:color w:val="000000"/>
              </w:rPr>
            </w:pPr>
            <w:r w:rsidRPr="009B1A37">
              <w:rPr>
                <w:color w:val="000000"/>
              </w:rPr>
              <w:t>Anorexie</w:t>
            </w:r>
          </w:p>
        </w:tc>
      </w:tr>
      <w:tr w:rsidR="005E2891" w:rsidRPr="009B1A37" w14:paraId="5148474E"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1D2CD0ED" w14:textId="77777777" w:rsidR="005E2891" w:rsidRPr="009B1A37" w:rsidRDefault="005E2891" w:rsidP="00BE3D48">
            <w:pPr>
              <w:keepNext/>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5B57C5B3" w14:textId="77777777" w:rsidR="005E2891" w:rsidRPr="009B1A37" w:rsidRDefault="005E2891" w:rsidP="00BE3D48">
            <w:pPr>
              <w:keepNext/>
              <w:widowControl w:val="0"/>
              <w:snapToGrid w:val="0"/>
              <w:spacing w:line="240" w:lineRule="auto"/>
              <w:rPr>
                <w:color w:val="000000"/>
              </w:rPr>
            </w:pPr>
            <w:r w:rsidRPr="009B1A37">
              <w:rPr>
                <w:color w:val="000000"/>
              </w:rPr>
              <w:t>Hypokalemie, zvýšená chuť k jídlu, hypofosfatemie, snížená chuť k jídlu, dehydratace, dna, hyperurikemie, hyperkalcemie, hyperglykemie, hyponatremie</w:t>
            </w:r>
          </w:p>
        </w:tc>
      </w:tr>
      <w:tr w:rsidR="005E2891" w:rsidRPr="009B1A37" w14:paraId="62755A7C"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5CE46F06" w14:textId="77777777" w:rsidR="005E2891" w:rsidRPr="009B1A37" w:rsidRDefault="005E2891" w:rsidP="00BE3D48">
            <w:pPr>
              <w:widowControl w:val="0"/>
              <w:snapToGrid w:val="0"/>
              <w:spacing w:line="240" w:lineRule="auto"/>
              <w:rPr>
                <w:i/>
                <w:iCs/>
                <w:color w:val="000000"/>
              </w:rPr>
            </w:pPr>
            <w:r w:rsidRPr="009B1A37">
              <w:rPr>
                <w:i/>
                <w:iCs/>
                <w:color w:val="000000"/>
              </w:rPr>
              <w:t>Vzácné:</w:t>
            </w:r>
          </w:p>
        </w:tc>
        <w:tc>
          <w:tcPr>
            <w:tcW w:w="7107" w:type="dxa"/>
            <w:tcBorders>
              <w:top w:val="single" w:sz="4" w:space="0" w:color="000000"/>
              <w:left w:val="single" w:sz="4" w:space="0" w:color="000000"/>
              <w:bottom w:val="single" w:sz="4" w:space="0" w:color="000000"/>
              <w:right w:val="single" w:sz="4" w:space="0" w:color="000000"/>
            </w:tcBorders>
          </w:tcPr>
          <w:p w14:paraId="42842467" w14:textId="77777777" w:rsidR="005E2891" w:rsidRPr="009B1A37" w:rsidRDefault="005E2891" w:rsidP="00BE3D48">
            <w:pPr>
              <w:widowControl w:val="0"/>
              <w:snapToGrid w:val="0"/>
              <w:spacing w:line="240" w:lineRule="auto"/>
              <w:rPr>
                <w:color w:val="000000"/>
              </w:rPr>
            </w:pPr>
            <w:r w:rsidRPr="009B1A37">
              <w:rPr>
                <w:color w:val="000000"/>
              </w:rPr>
              <w:t>Hyperkalemie, hypomagnez</w:t>
            </w:r>
            <w:r w:rsidR="004C6D93" w:rsidRPr="009B1A37">
              <w:rPr>
                <w:color w:val="000000"/>
              </w:rPr>
              <w:t>e</w:t>
            </w:r>
            <w:r w:rsidRPr="009B1A37">
              <w:rPr>
                <w:color w:val="000000"/>
              </w:rPr>
              <w:t>mie</w:t>
            </w:r>
          </w:p>
        </w:tc>
      </w:tr>
      <w:tr w:rsidR="005E2891" w:rsidRPr="009B1A37" w14:paraId="37E531BE" w14:textId="77777777" w:rsidTr="00EB4FF7">
        <w:trPr>
          <w:gridBefore w:val="1"/>
          <w:wBefore w:w="12" w:type="dxa"/>
          <w:cantSplit/>
        </w:trPr>
        <w:tc>
          <w:tcPr>
            <w:tcW w:w="9342" w:type="dxa"/>
            <w:gridSpan w:val="5"/>
            <w:tcBorders>
              <w:top w:val="single" w:sz="4" w:space="0" w:color="000000"/>
              <w:left w:val="single" w:sz="4" w:space="0" w:color="000000"/>
              <w:bottom w:val="single" w:sz="4" w:space="0" w:color="000000"/>
              <w:right w:val="single" w:sz="4" w:space="0" w:color="000000"/>
            </w:tcBorders>
          </w:tcPr>
          <w:p w14:paraId="4B1D236F" w14:textId="77777777" w:rsidR="005E2891" w:rsidRPr="009B1A37" w:rsidRDefault="005E2891" w:rsidP="00BE3D48">
            <w:pPr>
              <w:keepNext/>
              <w:widowControl w:val="0"/>
              <w:snapToGrid w:val="0"/>
              <w:spacing w:line="240" w:lineRule="auto"/>
              <w:rPr>
                <w:b/>
                <w:bCs/>
                <w:color w:val="000000"/>
              </w:rPr>
            </w:pPr>
            <w:r w:rsidRPr="009B1A37">
              <w:rPr>
                <w:b/>
                <w:bCs/>
                <w:color w:val="000000"/>
              </w:rPr>
              <w:t>Psychiatrické poruchy</w:t>
            </w:r>
          </w:p>
        </w:tc>
      </w:tr>
      <w:tr w:rsidR="005E2891" w:rsidRPr="009B1A37" w14:paraId="629417B7"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6EB20662" w14:textId="77777777" w:rsidR="005E2891" w:rsidRPr="009B1A37" w:rsidRDefault="005E2891" w:rsidP="00BE3D48">
            <w:pPr>
              <w:keepNext/>
              <w:widowControl w:val="0"/>
              <w:snapToGrid w:val="0"/>
              <w:spacing w:line="240" w:lineRule="auto"/>
              <w:rPr>
                <w:i/>
                <w:iCs/>
                <w:color w:val="000000"/>
              </w:rPr>
            </w:pPr>
            <w:r w:rsidRPr="009B1A37">
              <w:rPr>
                <w:i/>
                <w:iCs/>
                <w:color w:val="000000"/>
              </w:rPr>
              <w:t>Časté:</w:t>
            </w:r>
          </w:p>
        </w:tc>
        <w:tc>
          <w:tcPr>
            <w:tcW w:w="7107" w:type="dxa"/>
            <w:tcBorders>
              <w:top w:val="single" w:sz="4" w:space="0" w:color="000000"/>
              <w:left w:val="single" w:sz="4" w:space="0" w:color="000000"/>
              <w:bottom w:val="single" w:sz="4" w:space="0" w:color="000000"/>
              <w:right w:val="single" w:sz="4" w:space="0" w:color="000000"/>
            </w:tcBorders>
          </w:tcPr>
          <w:p w14:paraId="3EABDEEE" w14:textId="77777777" w:rsidR="005E2891" w:rsidRPr="009B1A37" w:rsidRDefault="004C6D93" w:rsidP="00BE3D48">
            <w:pPr>
              <w:keepNext/>
              <w:widowControl w:val="0"/>
              <w:snapToGrid w:val="0"/>
              <w:spacing w:line="240" w:lineRule="auto"/>
              <w:rPr>
                <w:color w:val="000000"/>
              </w:rPr>
            </w:pPr>
            <w:r w:rsidRPr="009B1A37">
              <w:rPr>
                <w:color w:val="000000"/>
              </w:rPr>
              <w:t>Insomnie</w:t>
            </w:r>
          </w:p>
        </w:tc>
      </w:tr>
      <w:tr w:rsidR="005E2891" w:rsidRPr="009B1A37" w14:paraId="4BA784D1"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665EBDB7" w14:textId="77777777" w:rsidR="005E2891" w:rsidRPr="009B1A37" w:rsidRDefault="005E2891" w:rsidP="00BE3D48">
            <w:pPr>
              <w:keepNext/>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5BA10772" w14:textId="77777777" w:rsidR="005E2891" w:rsidRPr="009B1A37" w:rsidRDefault="005E2891" w:rsidP="00BE3D48">
            <w:pPr>
              <w:keepNext/>
              <w:widowControl w:val="0"/>
              <w:snapToGrid w:val="0"/>
              <w:spacing w:line="240" w:lineRule="auto"/>
              <w:rPr>
                <w:color w:val="000000"/>
              </w:rPr>
            </w:pPr>
            <w:r w:rsidRPr="009B1A37">
              <w:rPr>
                <w:color w:val="000000"/>
              </w:rPr>
              <w:t>Deprese, snížení libida, úzkost</w:t>
            </w:r>
          </w:p>
        </w:tc>
      </w:tr>
      <w:tr w:rsidR="005E2891" w:rsidRPr="009B1A37" w14:paraId="4890939C"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749F2F0C" w14:textId="77777777" w:rsidR="005E2891" w:rsidRPr="009B1A37" w:rsidRDefault="005E2891" w:rsidP="00BE3D48">
            <w:pPr>
              <w:widowControl w:val="0"/>
              <w:snapToGrid w:val="0"/>
              <w:spacing w:line="240" w:lineRule="auto"/>
              <w:rPr>
                <w:i/>
                <w:iCs/>
                <w:color w:val="000000"/>
              </w:rPr>
            </w:pPr>
            <w:r w:rsidRPr="009B1A37">
              <w:rPr>
                <w:i/>
                <w:iCs/>
                <w:color w:val="000000"/>
              </w:rPr>
              <w:t>Vzácné:</w:t>
            </w:r>
          </w:p>
        </w:tc>
        <w:tc>
          <w:tcPr>
            <w:tcW w:w="7107" w:type="dxa"/>
            <w:tcBorders>
              <w:top w:val="single" w:sz="4" w:space="0" w:color="000000"/>
              <w:left w:val="single" w:sz="4" w:space="0" w:color="000000"/>
              <w:bottom w:val="single" w:sz="4" w:space="0" w:color="000000"/>
              <w:right w:val="single" w:sz="4" w:space="0" w:color="000000"/>
            </w:tcBorders>
          </w:tcPr>
          <w:p w14:paraId="19DCD97F" w14:textId="77777777" w:rsidR="005E2891" w:rsidRPr="009B1A37" w:rsidRDefault="005E2891" w:rsidP="00BE3D48">
            <w:pPr>
              <w:widowControl w:val="0"/>
              <w:snapToGrid w:val="0"/>
              <w:spacing w:line="240" w:lineRule="auto"/>
              <w:rPr>
                <w:color w:val="000000"/>
              </w:rPr>
            </w:pPr>
            <w:r w:rsidRPr="009B1A37">
              <w:rPr>
                <w:color w:val="000000"/>
              </w:rPr>
              <w:t>Stav zmatenosti</w:t>
            </w:r>
          </w:p>
        </w:tc>
      </w:tr>
      <w:tr w:rsidR="005E2891" w:rsidRPr="009B1A37" w14:paraId="3B3D8CC5" w14:textId="77777777" w:rsidTr="00EB4FF7">
        <w:trPr>
          <w:gridBefore w:val="1"/>
          <w:wBefore w:w="12" w:type="dxa"/>
          <w:cantSplit/>
        </w:trPr>
        <w:tc>
          <w:tcPr>
            <w:tcW w:w="9342" w:type="dxa"/>
            <w:gridSpan w:val="5"/>
            <w:tcBorders>
              <w:top w:val="single" w:sz="4" w:space="0" w:color="000000"/>
              <w:left w:val="single" w:sz="4" w:space="0" w:color="000000"/>
              <w:bottom w:val="single" w:sz="4" w:space="0" w:color="000000"/>
              <w:right w:val="single" w:sz="4" w:space="0" w:color="000000"/>
            </w:tcBorders>
          </w:tcPr>
          <w:p w14:paraId="6D7BA388" w14:textId="77777777" w:rsidR="005E2891" w:rsidRPr="009B1A37" w:rsidRDefault="005E2891" w:rsidP="00BE3D48">
            <w:pPr>
              <w:keepNext/>
              <w:widowControl w:val="0"/>
              <w:snapToGrid w:val="0"/>
              <w:spacing w:line="240" w:lineRule="auto"/>
              <w:rPr>
                <w:b/>
                <w:bCs/>
                <w:color w:val="000000"/>
              </w:rPr>
            </w:pPr>
            <w:r w:rsidRPr="009B1A37">
              <w:rPr>
                <w:b/>
                <w:bCs/>
                <w:color w:val="000000"/>
              </w:rPr>
              <w:t>Poruchy nervového systému</w:t>
            </w:r>
          </w:p>
        </w:tc>
      </w:tr>
      <w:tr w:rsidR="005E2891" w:rsidRPr="009B1A37" w14:paraId="1B5C0081"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434E3EDA" w14:textId="77777777" w:rsidR="005E2891" w:rsidRPr="009B1A37" w:rsidRDefault="005E2891" w:rsidP="00BE3D48">
            <w:pPr>
              <w:keepNext/>
              <w:widowControl w:val="0"/>
              <w:snapToGrid w:val="0"/>
              <w:spacing w:line="240" w:lineRule="auto"/>
              <w:rPr>
                <w:i/>
                <w:iCs/>
                <w:color w:val="000000"/>
              </w:rPr>
            </w:pPr>
            <w:r w:rsidRPr="009B1A37">
              <w:rPr>
                <w:i/>
                <w:iCs/>
                <w:color w:val="000000"/>
              </w:rPr>
              <w:t>Velmi časté:</w:t>
            </w:r>
          </w:p>
        </w:tc>
        <w:tc>
          <w:tcPr>
            <w:tcW w:w="7107" w:type="dxa"/>
            <w:tcBorders>
              <w:top w:val="single" w:sz="4" w:space="0" w:color="000000"/>
              <w:left w:val="single" w:sz="4" w:space="0" w:color="000000"/>
              <w:bottom w:val="single" w:sz="4" w:space="0" w:color="000000"/>
              <w:right w:val="single" w:sz="4" w:space="0" w:color="000000"/>
            </w:tcBorders>
          </w:tcPr>
          <w:p w14:paraId="2BCE1081" w14:textId="77777777" w:rsidR="005E2891" w:rsidRPr="009B1A37" w:rsidRDefault="005E2891" w:rsidP="00BE3D48">
            <w:pPr>
              <w:keepNext/>
              <w:widowControl w:val="0"/>
              <w:snapToGrid w:val="0"/>
              <w:spacing w:line="240" w:lineRule="auto"/>
              <w:rPr>
                <w:color w:val="000000"/>
                <w:vertAlign w:val="superscript"/>
              </w:rPr>
            </w:pPr>
            <w:r w:rsidRPr="009B1A37">
              <w:rPr>
                <w:color w:val="000000"/>
              </w:rPr>
              <w:t>Bolest hlavy</w:t>
            </w:r>
            <w:r w:rsidRPr="009B1A37">
              <w:rPr>
                <w:color w:val="000000"/>
                <w:vertAlign w:val="superscript"/>
              </w:rPr>
              <w:t>2</w:t>
            </w:r>
          </w:p>
        </w:tc>
      </w:tr>
      <w:tr w:rsidR="005E2891" w:rsidRPr="009B1A37" w14:paraId="6B7959FB"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338C0DF6" w14:textId="77777777" w:rsidR="005E2891" w:rsidRPr="009B1A37" w:rsidRDefault="005E2891" w:rsidP="00BE3D48">
            <w:pPr>
              <w:keepNext/>
              <w:widowControl w:val="0"/>
              <w:snapToGrid w:val="0"/>
              <w:spacing w:line="240" w:lineRule="auto"/>
              <w:rPr>
                <w:i/>
                <w:iCs/>
                <w:color w:val="000000"/>
              </w:rPr>
            </w:pPr>
            <w:r w:rsidRPr="009B1A37">
              <w:rPr>
                <w:i/>
                <w:iCs/>
                <w:color w:val="000000"/>
              </w:rPr>
              <w:t>Časté:</w:t>
            </w:r>
          </w:p>
        </w:tc>
        <w:tc>
          <w:tcPr>
            <w:tcW w:w="7107" w:type="dxa"/>
            <w:tcBorders>
              <w:top w:val="single" w:sz="4" w:space="0" w:color="000000"/>
              <w:left w:val="single" w:sz="4" w:space="0" w:color="000000"/>
              <w:bottom w:val="single" w:sz="4" w:space="0" w:color="000000"/>
              <w:right w:val="single" w:sz="4" w:space="0" w:color="000000"/>
            </w:tcBorders>
          </w:tcPr>
          <w:p w14:paraId="1F005995" w14:textId="77777777" w:rsidR="005E2891" w:rsidRPr="009B1A37" w:rsidRDefault="005E2891" w:rsidP="00BE3D48">
            <w:pPr>
              <w:keepNext/>
              <w:widowControl w:val="0"/>
              <w:snapToGrid w:val="0"/>
              <w:spacing w:line="240" w:lineRule="auto"/>
              <w:rPr>
                <w:color w:val="000000"/>
              </w:rPr>
            </w:pPr>
            <w:r w:rsidRPr="009B1A37">
              <w:rPr>
                <w:color w:val="000000"/>
              </w:rPr>
              <w:t>Závratě, parestezie, porucha chut</w:t>
            </w:r>
            <w:r w:rsidR="004C6D93" w:rsidRPr="009B1A37">
              <w:rPr>
                <w:color w:val="000000"/>
              </w:rPr>
              <w:t>i</w:t>
            </w:r>
            <w:r w:rsidRPr="009B1A37">
              <w:rPr>
                <w:color w:val="000000"/>
              </w:rPr>
              <w:t>, hypestezie</w:t>
            </w:r>
          </w:p>
        </w:tc>
      </w:tr>
      <w:tr w:rsidR="005E2891" w:rsidRPr="009B1A37" w14:paraId="643A0B66"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297DDC82" w14:textId="77777777" w:rsidR="005E2891" w:rsidRPr="009B1A37" w:rsidRDefault="005E2891" w:rsidP="00BE3D48">
            <w:pPr>
              <w:keepNext/>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5C813779" w14:textId="77777777" w:rsidR="005E2891" w:rsidRPr="009B1A37" w:rsidRDefault="005E2891" w:rsidP="00BE3D48">
            <w:pPr>
              <w:keepNext/>
              <w:widowControl w:val="0"/>
              <w:snapToGrid w:val="0"/>
              <w:spacing w:line="240" w:lineRule="auto"/>
              <w:rPr>
                <w:color w:val="000000"/>
              </w:rPr>
            </w:pPr>
            <w:r w:rsidRPr="009B1A37">
              <w:rPr>
                <w:color w:val="000000"/>
              </w:rPr>
              <w:t xml:space="preserve">Migréna, somnolence, synkopa, periferní neuropatie, zhoršení paměti, ischias, syndrom neklidných nohou, </w:t>
            </w:r>
            <w:r w:rsidR="004C6D93" w:rsidRPr="009B1A37">
              <w:rPr>
                <w:color w:val="000000"/>
              </w:rPr>
              <w:t>tremor, cerebrální</w:t>
            </w:r>
            <w:r w:rsidRPr="009B1A37">
              <w:rPr>
                <w:color w:val="000000"/>
              </w:rPr>
              <w:t xml:space="preserve"> krvácení</w:t>
            </w:r>
          </w:p>
        </w:tc>
      </w:tr>
      <w:tr w:rsidR="005E2891" w:rsidRPr="009B1A37" w14:paraId="193C9559"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21D43E38" w14:textId="77777777" w:rsidR="005E2891" w:rsidRPr="009B1A37" w:rsidRDefault="005E2891" w:rsidP="00BE3D48">
            <w:pPr>
              <w:keepNext/>
              <w:widowControl w:val="0"/>
              <w:snapToGrid w:val="0"/>
              <w:spacing w:line="240" w:lineRule="auto"/>
              <w:rPr>
                <w:i/>
                <w:iCs/>
                <w:color w:val="000000"/>
              </w:rPr>
            </w:pPr>
            <w:r w:rsidRPr="009B1A37">
              <w:rPr>
                <w:i/>
                <w:iCs/>
                <w:color w:val="000000"/>
              </w:rPr>
              <w:t>Vzácné:</w:t>
            </w:r>
          </w:p>
        </w:tc>
        <w:tc>
          <w:tcPr>
            <w:tcW w:w="7107" w:type="dxa"/>
            <w:tcBorders>
              <w:top w:val="single" w:sz="4" w:space="0" w:color="000000"/>
              <w:left w:val="single" w:sz="4" w:space="0" w:color="000000"/>
              <w:bottom w:val="single" w:sz="4" w:space="0" w:color="000000"/>
              <w:right w:val="single" w:sz="4" w:space="0" w:color="000000"/>
            </w:tcBorders>
          </w:tcPr>
          <w:p w14:paraId="6663AEFA" w14:textId="77777777" w:rsidR="005E2891" w:rsidRPr="009B1A37" w:rsidRDefault="005E2891" w:rsidP="00BE3D48">
            <w:pPr>
              <w:keepNext/>
              <w:widowControl w:val="0"/>
              <w:snapToGrid w:val="0"/>
              <w:spacing w:line="240" w:lineRule="auto"/>
              <w:rPr>
                <w:color w:val="000000"/>
              </w:rPr>
            </w:pPr>
            <w:r w:rsidRPr="009B1A37">
              <w:rPr>
                <w:color w:val="000000"/>
              </w:rPr>
              <w:t xml:space="preserve">Zvýšený intrakraniální tlak, </w:t>
            </w:r>
            <w:r w:rsidR="004C6D93" w:rsidRPr="009B1A37">
              <w:rPr>
                <w:color w:val="000000"/>
              </w:rPr>
              <w:t>konvulze</w:t>
            </w:r>
            <w:r w:rsidRPr="009B1A37">
              <w:rPr>
                <w:color w:val="000000"/>
              </w:rPr>
              <w:t>, optická neuritida</w:t>
            </w:r>
          </w:p>
        </w:tc>
      </w:tr>
      <w:tr w:rsidR="005E2891" w:rsidRPr="009B1A37" w14:paraId="0D484CA6"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443A39B8" w14:textId="77777777" w:rsidR="005E2891" w:rsidRPr="009B1A37" w:rsidRDefault="005E2891" w:rsidP="00BE3D48">
            <w:pPr>
              <w:widowControl w:val="0"/>
              <w:snapToGrid w:val="0"/>
              <w:spacing w:line="240" w:lineRule="auto"/>
              <w:rPr>
                <w:i/>
                <w:iCs/>
                <w:color w:val="000000"/>
              </w:rPr>
            </w:pPr>
            <w:r w:rsidRPr="009B1A37">
              <w:rPr>
                <w:i/>
                <w:iCs/>
                <w:color w:val="000000"/>
              </w:rPr>
              <w:t>Není známo:</w:t>
            </w:r>
          </w:p>
        </w:tc>
        <w:tc>
          <w:tcPr>
            <w:tcW w:w="7107" w:type="dxa"/>
            <w:tcBorders>
              <w:top w:val="single" w:sz="4" w:space="0" w:color="000000"/>
              <w:left w:val="single" w:sz="4" w:space="0" w:color="000000"/>
              <w:bottom w:val="single" w:sz="4" w:space="0" w:color="000000"/>
              <w:right w:val="single" w:sz="4" w:space="0" w:color="000000"/>
            </w:tcBorders>
          </w:tcPr>
          <w:p w14:paraId="08C51F24" w14:textId="77777777" w:rsidR="005E2891" w:rsidRPr="009B1A37" w:rsidRDefault="005E2891" w:rsidP="00BE3D48">
            <w:pPr>
              <w:widowControl w:val="0"/>
              <w:snapToGrid w:val="0"/>
              <w:spacing w:line="240" w:lineRule="auto"/>
              <w:rPr>
                <w:color w:val="000000"/>
              </w:rPr>
            </w:pPr>
            <w:r w:rsidRPr="009B1A37">
              <w:rPr>
                <w:color w:val="000000"/>
              </w:rPr>
              <w:t>Cerebrální edém*</w:t>
            </w:r>
          </w:p>
        </w:tc>
      </w:tr>
      <w:tr w:rsidR="005E2891" w:rsidRPr="009B1A37" w14:paraId="0B71F521" w14:textId="77777777" w:rsidTr="00EB4FF7">
        <w:trPr>
          <w:gridBefore w:val="1"/>
          <w:wBefore w:w="12" w:type="dxa"/>
          <w:cantSplit/>
        </w:trPr>
        <w:tc>
          <w:tcPr>
            <w:tcW w:w="9342" w:type="dxa"/>
            <w:gridSpan w:val="5"/>
            <w:tcBorders>
              <w:top w:val="single" w:sz="4" w:space="0" w:color="000000"/>
              <w:left w:val="single" w:sz="4" w:space="0" w:color="000000"/>
              <w:bottom w:val="single" w:sz="4" w:space="0" w:color="000000"/>
              <w:right w:val="single" w:sz="4" w:space="0" w:color="000000"/>
            </w:tcBorders>
          </w:tcPr>
          <w:p w14:paraId="29B121FF" w14:textId="77777777" w:rsidR="005E2891" w:rsidRPr="009B1A37" w:rsidRDefault="005E2891" w:rsidP="00BE3D48">
            <w:pPr>
              <w:keepNext/>
              <w:widowControl w:val="0"/>
              <w:snapToGrid w:val="0"/>
              <w:spacing w:line="240" w:lineRule="auto"/>
              <w:rPr>
                <w:i/>
                <w:iCs/>
                <w:color w:val="000000"/>
              </w:rPr>
            </w:pPr>
            <w:r w:rsidRPr="009B1A37">
              <w:rPr>
                <w:b/>
                <w:bCs/>
                <w:color w:val="000000"/>
              </w:rPr>
              <w:t>Poruchy oka</w:t>
            </w:r>
          </w:p>
        </w:tc>
      </w:tr>
      <w:tr w:rsidR="005E2891" w:rsidRPr="009B1A37" w14:paraId="4D9AFD15"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2DD59D06" w14:textId="77777777" w:rsidR="005E2891" w:rsidRPr="009B1A37" w:rsidRDefault="005E2891" w:rsidP="00BE3D48">
            <w:pPr>
              <w:keepNext/>
              <w:widowControl w:val="0"/>
              <w:snapToGrid w:val="0"/>
              <w:spacing w:line="240" w:lineRule="auto"/>
              <w:rPr>
                <w:i/>
                <w:iCs/>
                <w:color w:val="000000"/>
              </w:rPr>
            </w:pPr>
            <w:r w:rsidRPr="009B1A37">
              <w:rPr>
                <w:i/>
                <w:iCs/>
                <w:color w:val="000000"/>
              </w:rPr>
              <w:t>Časté:</w:t>
            </w:r>
          </w:p>
        </w:tc>
        <w:tc>
          <w:tcPr>
            <w:tcW w:w="7107" w:type="dxa"/>
            <w:tcBorders>
              <w:top w:val="single" w:sz="4" w:space="0" w:color="000000"/>
              <w:left w:val="single" w:sz="4" w:space="0" w:color="000000"/>
              <w:bottom w:val="single" w:sz="4" w:space="0" w:color="000000"/>
              <w:right w:val="single" w:sz="4" w:space="0" w:color="000000"/>
            </w:tcBorders>
          </w:tcPr>
          <w:p w14:paraId="76F5C532" w14:textId="77777777" w:rsidR="005E2891" w:rsidRPr="009B1A37" w:rsidRDefault="005E2891" w:rsidP="00BE3D48">
            <w:pPr>
              <w:keepNext/>
              <w:widowControl w:val="0"/>
              <w:snapToGrid w:val="0"/>
              <w:spacing w:line="240" w:lineRule="auto"/>
              <w:rPr>
                <w:color w:val="000000"/>
              </w:rPr>
            </w:pPr>
            <w:r w:rsidRPr="009B1A37">
              <w:rPr>
                <w:color w:val="000000"/>
              </w:rPr>
              <w:t>Otok očních víček, zvýšené slzení, krvácení do spojivky, konjunktivitida, syndrom suchého oka, rozmazané vidění</w:t>
            </w:r>
          </w:p>
        </w:tc>
      </w:tr>
      <w:tr w:rsidR="005E2891" w:rsidRPr="009B1A37" w14:paraId="5A39F0DA"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4DEBFA73" w14:textId="77777777" w:rsidR="005E2891" w:rsidRPr="009B1A37" w:rsidRDefault="005E2891" w:rsidP="00BE3D48">
            <w:pPr>
              <w:keepNext/>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70F3F63A" w14:textId="77777777" w:rsidR="005E2891" w:rsidRPr="009B1A37" w:rsidRDefault="005E2891" w:rsidP="00BE3D48">
            <w:pPr>
              <w:keepNext/>
              <w:widowControl w:val="0"/>
              <w:snapToGrid w:val="0"/>
              <w:spacing w:line="240" w:lineRule="auto"/>
              <w:rPr>
                <w:color w:val="000000"/>
              </w:rPr>
            </w:pPr>
            <w:r w:rsidRPr="009B1A37">
              <w:rPr>
                <w:color w:val="000000"/>
              </w:rPr>
              <w:t xml:space="preserve">Podráždění očí, bolest očí, edém očnice, krvácení do </w:t>
            </w:r>
            <w:r w:rsidR="004C6D93" w:rsidRPr="009B1A37">
              <w:rPr>
                <w:color w:val="000000"/>
              </w:rPr>
              <w:t>skléry</w:t>
            </w:r>
            <w:r w:rsidRPr="009B1A37">
              <w:rPr>
                <w:color w:val="000000"/>
              </w:rPr>
              <w:t>, krvácení do sítnice, blefaritida, makulární edém</w:t>
            </w:r>
          </w:p>
        </w:tc>
      </w:tr>
      <w:tr w:rsidR="005E2891" w:rsidRPr="009B1A37" w14:paraId="072F6F8A"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7BD9B6AE" w14:textId="77777777" w:rsidR="005E2891" w:rsidRPr="009B1A37" w:rsidRDefault="005E2891" w:rsidP="00BE3D48">
            <w:pPr>
              <w:widowControl w:val="0"/>
              <w:snapToGrid w:val="0"/>
              <w:spacing w:line="240" w:lineRule="auto"/>
              <w:rPr>
                <w:i/>
                <w:iCs/>
                <w:color w:val="000000"/>
              </w:rPr>
            </w:pPr>
            <w:r w:rsidRPr="009B1A37">
              <w:rPr>
                <w:i/>
                <w:iCs/>
                <w:color w:val="000000"/>
              </w:rPr>
              <w:t>Není známo:</w:t>
            </w:r>
          </w:p>
        </w:tc>
        <w:tc>
          <w:tcPr>
            <w:tcW w:w="7107" w:type="dxa"/>
            <w:tcBorders>
              <w:top w:val="single" w:sz="4" w:space="0" w:color="000000"/>
              <w:left w:val="single" w:sz="4" w:space="0" w:color="000000"/>
              <w:bottom w:val="single" w:sz="4" w:space="0" w:color="000000"/>
              <w:right w:val="single" w:sz="4" w:space="0" w:color="000000"/>
            </w:tcBorders>
          </w:tcPr>
          <w:p w14:paraId="6A422918" w14:textId="77777777" w:rsidR="005E2891" w:rsidRPr="009B1A37" w:rsidRDefault="005E2891" w:rsidP="00BE3D48">
            <w:pPr>
              <w:widowControl w:val="0"/>
              <w:snapToGrid w:val="0"/>
              <w:spacing w:line="240" w:lineRule="auto"/>
              <w:rPr>
                <w:color w:val="000000"/>
              </w:rPr>
            </w:pPr>
            <w:r w:rsidRPr="009B1A37">
              <w:rPr>
                <w:color w:val="000000"/>
              </w:rPr>
              <w:t>Krvácení do sklivce*</w:t>
            </w:r>
          </w:p>
        </w:tc>
      </w:tr>
      <w:tr w:rsidR="005E2891" w:rsidRPr="009B1A37" w14:paraId="645A3C29" w14:textId="77777777" w:rsidTr="00EB4FF7">
        <w:trPr>
          <w:gridBefore w:val="1"/>
          <w:wBefore w:w="12" w:type="dxa"/>
          <w:cantSplit/>
        </w:trPr>
        <w:tc>
          <w:tcPr>
            <w:tcW w:w="9342" w:type="dxa"/>
            <w:gridSpan w:val="5"/>
            <w:tcBorders>
              <w:top w:val="single" w:sz="4" w:space="0" w:color="000000"/>
              <w:left w:val="single" w:sz="4" w:space="0" w:color="000000"/>
              <w:bottom w:val="single" w:sz="4" w:space="0" w:color="000000"/>
              <w:right w:val="single" w:sz="4" w:space="0" w:color="000000"/>
            </w:tcBorders>
          </w:tcPr>
          <w:p w14:paraId="41D6B13D" w14:textId="77777777" w:rsidR="005E2891" w:rsidRPr="009B1A37" w:rsidRDefault="005E2891" w:rsidP="00BE3D48">
            <w:pPr>
              <w:keepNext/>
              <w:widowControl w:val="0"/>
              <w:snapToGrid w:val="0"/>
              <w:spacing w:line="240" w:lineRule="auto"/>
              <w:rPr>
                <w:i/>
                <w:iCs/>
                <w:color w:val="000000"/>
              </w:rPr>
            </w:pPr>
            <w:r w:rsidRPr="009B1A37">
              <w:rPr>
                <w:b/>
                <w:bCs/>
                <w:color w:val="000000"/>
              </w:rPr>
              <w:t>Poruchy ucha a labyrintu</w:t>
            </w:r>
          </w:p>
        </w:tc>
      </w:tr>
      <w:tr w:rsidR="005E2891" w:rsidRPr="009B1A37" w14:paraId="1A82AA88"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74C2EA47" w14:textId="77777777" w:rsidR="005E2891" w:rsidRPr="009B1A37" w:rsidRDefault="005E2891" w:rsidP="00BE3D48">
            <w:pPr>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74A28985" w14:textId="77777777" w:rsidR="005E2891" w:rsidRPr="009B1A37" w:rsidRDefault="005E2891" w:rsidP="00BE3D48">
            <w:pPr>
              <w:widowControl w:val="0"/>
              <w:snapToGrid w:val="0"/>
              <w:spacing w:line="240" w:lineRule="auto"/>
              <w:rPr>
                <w:color w:val="000000"/>
              </w:rPr>
            </w:pPr>
            <w:r w:rsidRPr="009B1A37">
              <w:rPr>
                <w:color w:val="000000"/>
              </w:rPr>
              <w:t>Vertigo, tinitus, ztráta sluchu</w:t>
            </w:r>
          </w:p>
        </w:tc>
      </w:tr>
      <w:tr w:rsidR="005E2891" w:rsidRPr="009B1A37" w14:paraId="7D38EE4A" w14:textId="77777777" w:rsidTr="00EB4FF7">
        <w:trPr>
          <w:gridBefore w:val="1"/>
          <w:wBefore w:w="12" w:type="dxa"/>
          <w:cantSplit/>
        </w:trPr>
        <w:tc>
          <w:tcPr>
            <w:tcW w:w="9342" w:type="dxa"/>
            <w:gridSpan w:val="5"/>
            <w:tcBorders>
              <w:top w:val="single" w:sz="4" w:space="0" w:color="000000"/>
              <w:left w:val="single" w:sz="4" w:space="0" w:color="000000"/>
              <w:bottom w:val="single" w:sz="4" w:space="0" w:color="000000"/>
              <w:right w:val="single" w:sz="4" w:space="0" w:color="000000"/>
            </w:tcBorders>
          </w:tcPr>
          <w:p w14:paraId="21D4D696" w14:textId="77777777" w:rsidR="005E2891" w:rsidRPr="009B1A37" w:rsidRDefault="005E2891" w:rsidP="00BE3D48">
            <w:pPr>
              <w:keepNext/>
              <w:widowControl w:val="0"/>
              <w:snapToGrid w:val="0"/>
              <w:spacing w:line="240" w:lineRule="auto"/>
              <w:rPr>
                <w:b/>
                <w:bCs/>
                <w:color w:val="000000"/>
              </w:rPr>
            </w:pPr>
            <w:r w:rsidRPr="009B1A37">
              <w:rPr>
                <w:b/>
                <w:bCs/>
                <w:color w:val="000000"/>
              </w:rPr>
              <w:t>Srdeční poruchy</w:t>
            </w:r>
          </w:p>
        </w:tc>
      </w:tr>
      <w:tr w:rsidR="005E2891" w:rsidRPr="009B1A37" w14:paraId="444C2D9A"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0C1A76C3" w14:textId="77777777" w:rsidR="005E2891" w:rsidRPr="009B1A37" w:rsidRDefault="005E2891" w:rsidP="00BE3D48">
            <w:pPr>
              <w:keepNext/>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6E4ABD47" w14:textId="77777777" w:rsidR="005E2891" w:rsidRPr="009B1A37" w:rsidRDefault="005E2891" w:rsidP="00BE3D48">
            <w:pPr>
              <w:keepNext/>
              <w:widowControl w:val="0"/>
              <w:snapToGrid w:val="0"/>
              <w:spacing w:line="240" w:lineRule="auto"/>
              <w:rPr>
                <w:color w:val="000000"/>
              </w:rPr>
            </w:pPr>
            <w:r w:rsidRPr="009B1A37">
              <w:rPr>
                <w:color w:val="000000"/>
              </w:rPr>
              <w:t>Palpitace, tachykardie, městnavé srdeční selhání</w:t>
            </w:r>
            <w:r w:rsidRPr="009B1A37">
              <w:rPr>
                <w:color w:val="000000"/>
                <w:vertAlign w:val="superscript"/>
              </w:rPr>
              <w:t>3</w:t>
            </w:r>
            <w:r w:rsidRPr="009B1A37">
              <w:rPr>
                <w:color w:val="000000"/>
              </w:rPr>
              <w:t>, plicní edém</w:t>
            </w:r>
          </w:p>
        </w:tc>
      </w:tr>
      <w:tr w:rsidR="005E2891" w:rsidRPr="009B1A37" w14:paraId="4C17AF9F"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397E3A7F" w14:textId="77777777" w:rsidR="005E2891" w:rsidRPr="009B1A37" w:rsidRDefault="005E2891" w:rsidP="00BE3D48">
            <w:pPr>
              <w:keepNext/>
              <w:widowControl w:val="0"/>
              <w:snapToGrid w:val="0"/>
              <w:spacing w:line="240" w:lineRule="auto"/>
              <w:rPr>
                <w:i/>
                <w:iCs/>
                <w:color w:val="000000"/>
              </w:rPr>
            </w:pPr>
            <w:r w:rsidRPr="009B1A37">
              <w:rPr>
                <w:i/>
                <w:iCs/>
                <w:color w:val="000000"/>
              </w:rPr>
              <w:t>Vzácné:</w:t>
            </w:r>
          </w:p>
        </w:tc>
        <w:tc>
          <w:tcPr>
            <w:tcW w:w="7107" w:type="dxa"/>
            <w:tcBorders>
              <w:top w:val="single" w:sz="4" w:space="0" w:color="000000"/>
              <w:left w:val="single" w:sz="4" w:space="0" w:color="000000"/>
              <w:bottom w:val="single" w:sz="4" w:space="0" w:color="000000"/>
              <w:right w:val="single" w:sz="4" w:space="0" w:color="000000"/>
            </w:tcBorders>
          </w:tcPr>
          <w:p w14:paraId="3A96F3E7" w14:textId="77777777" w:rsidR="005E2891" w:rsidRPr="009B1A37" w:rsidRDefault="005E2891" w:rsidP="00BE3D48">
            <w:pPr>
              <w:keepNext/>
              <w:widowControl w:val="0"/>
              <w:snapToGrid w:val="0"/>
              <w:spacing w:line="240" w:lineRule="auto"/>
              <w:rPr>
                <w:color w:val="000000"/>
              </w:rPr>
            </w:pPr>
            <w:r w:rsidRPr="009B1A37">
              <w:rPr>
                <w:color w:val="000000"/>
              </w:rPr>
              <w:t>Arytmie, atriální fibrilace, srdeční zástava, infarkt myokardu, angina pectoris, perikardiální výpotek</w:t>
            </w:r>
          </w:p>
        </w:tc>
      </w:tr>
      <w:tr w:rsidR="005E2891" w:rsidRPr="009B1A37" w14:paraId="175A3C6F"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43B94446" w14:textId="77777777" w:rsidR="005E2891" w:rsidRPr="009B1A37" w:rsidRDefault="005E2891" w:rsidP="00BE3D48">
            <w:pPr>
              <w:widowControl w:val="0"/>
              <w:snapToGrid w:val="0"/>
              <w:spacing w:line="240" w:lineRule="auto"/>
              <w:rPr>
                <w:i/>
                <w:iCs/>
                <w:color w:val="000000"/>
              </w:rPr>
            </w:pPr>
            <w:r w:rsidRPr="009B1A37">
              <w:rPr>
                <w:i/>
                <w:iCs/>
                <w:color w:val="000000"/>
              </w:rPr>
              <w:t>Není známo:</w:t>
            </w:r>
          </w:p>
        </w:tc>
        <w:tc>
          <w:tcPr>
            <w:tcW w:w="7107" w:type="dxa"/>
            <w:tcBorders>
              <w:top w:val="single" w:sz="4" w:space="0" w:color="000000"/>
              <w:left w:val="single" w:sz="4" w:space="0" w:color="000000"/>
              <w:bottom w:val="single" w:sz="4" w:space="0" w:color="000000"/>
              <w:right w:val="single" w:sz="4" w:space="0" w:color="000000"/>
            </w:tcBorders>
          </w:tcPr>
          <w:p w14:paraId="357CFF48" w14:textId="77777777" w:rsidR="005E2891" w:rsidRPr="009B1A37" w:rsidRDefault="005E2891" w:rsidP="00BE3D48">
            <w:pPr>
              <w:widowControl w:val="0"/>
              <w:snapToGrid w:val="0"/>
              <w:spacing w:line="240" w:lineRule="auto"/>
              <w:rPr>
                <w:color w:val="000000"/>
              </w:rPr>
            </w:pPr>
            <w:r w:rsidRPr="009B1A37">
              <w:rPr>
                <w:color w:val="000000"/>
              </w:rPr>
              <w:t>Perikarditida*, srdeční tamponáda*</w:t>
            </w:r>
          </w:p>
        </w:tc>
      </w:tr>
      <w:tr w:rsidR="005E2891" w:rsidRPr="009B1A37" w14:paraId="08993B82" w14:textId="77777777" w:rsidTr="00EB4FF7">
        <w:trPr>
          <w:gridBefore w:val="1"/>
          <w:wBefore w:w="12" w:type="dxa"/>
          <w:cantSplit/>
        </w:trPr>
        <w:tc>
          <w:tcPr>
            <w:tcW w:w="9342" w:type="dxa"/>
            <w:gridSpan w:val="5"/>
            <w:tcBorders>
              <w:top w:val="single" w:sz="4" w:space="0" w:color="000000"/>
              <w:left w:val="single" w:sz="4" w:space="0" w:color="000000"/>
              <w:bottom w:val="single" w:sz="4" w:space="0" w:color="000000"/>
              <w:right w:val="single" w:sz="4" w:space="0" w:color="000000"/>
            </w:tcBorders>
          </w:tcPr>
          <w:p w14:paraId="7BCD288A" w14:textId="77777777" w:rsidR="005E2891" w:rsidRPr="009B1A37" w:rsidRDefault="005E2891" w:rsidP="00BE3D48">
            <w:pPr>
              <w:keepNext/>
              <w:widowControl w:val="0"/>
              <w:snapToGrid w:val="0"/>
              <w:spacing w:line="240" w:lineRule="auto"/>
              <w:rPr>
                <w:b/>
                <w:bCs/>
                <w:color w:val="000000"/>
              </w:rPr>
            </w:pPr>
            <w:r w:rsidRPr="009B1A37">
              <w:rPr>
                <w:b/>
                <w:bCs/>
                <w:color w:val="000000"/>
              </w:rPr>
              <w:t>Cévní poruchy</w:t>
            </w:r>
            <w:r w:rsidRPr="009B1A37">
              <w:rPr>
                <w:rFonts w:ascii="Times New Roman Bold" w:hAnsi="Times New Roman Bold"/>
                <w:b/>
                <w:bCs/>
                <w:color w:val="000000"/>
                <w:vertAlign w:val="superscript"/>
              </w:rPr>
              <w:t>4</w:t>
            </w:r>
          </w:p>
        </w:tc>
      </w:tr>
      <w:tr w:rsidR="005E2891" w:rsidRPr="009B1A37" w14:paraId="6812196B"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798CA9FD" w14:textId="77777777" w:rsidR="005E2891" w:rsidRPr="009B1A37" w:rsidRDefault="005E2891" w:rsidP="00BE3D48">
            <w:pPr>
              <w:keepNext/>
              <w:widowControl w:val="0"/>
              <w:snapToGrid w:val="0"/>
              <w:spacing w:line="240" w:lineRule="auto"/>
              <w:rPr>
                <w:i/>
                <w:iCs/>
                <w:color w:val="000000"/>
              </w:rPr>
            </w:pPr>
            <w:r w:rsidRPr="009B1A37">
              <w:rPr>
                <w:i/>
                <w:iCs/>
                <w:color w:val="000000"/>
              </w:rPr>
              <w:t>Časté:</w:t>
            </w:r>
          </w:p>
        </w:tc>
        <w:tc>
          <w:tcPr>
            <w:tcW w:w="7107" w:type="dxa"/>
            <w:tcBorders>
              <w:top w:val="single" w:sz="4" w:space="0" w:color="000000"/>
              <w:left w:val="single" w:sz="4" w:space="0" w:color="000000"/>
              <w:bottom w:val="single" w:sz="4" w:space="0" w:color="000000"/>
              <w:right w:val="single" w:sz="4" w:space="0" w:color="000000"/>
            </w:tcBorders>
          </w:tcPr>
          <w:p w14:paraId="24623EDB" w14:textId="77777777" w:rsidR="005E2891" w:rsidRPr="009B1A37" w:rsidRDefault="005E2891" w:rsidP="00BE3D48">
            <w:pPr>
              <w:keepNext/>
              <w:widowControl w:val="0"/>
              <w:snapToGrid w:val="0"/>
              <w:spacing w:line="240" w:lineRule="auto"/>
              <w:rPr>
                <w:color w:val="000000"/>
              </w:rPr>
            </w:pPr>
            <w:r w:rsidRPr="009B1A37">
              <w:rPr>
                <w:color w:val="000000"/>
              </w:rPr>
              <w:t>Zrudnutí, krvácení</w:t>
            </w:r>
          </w:p>
        </w:tc>
      </w:tr>
      <w:tr w:rsidR="005E2891" w:rsidRPr="009B1A37" w14:paraId="74CDA1B4"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1966111D" w14:textId="77777777" w:rsidR="005E2891" w:rsidRPr="009B1A37" w:rsidRDefault="005E2891" w:rsidP="00BE3D48">
            <w:pPr>
              <w:keepNext/>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7BAB46F2" w14:textId="77777777" w:rsidR="005E2891" w:rsidRPr="009B1A37" w:rsidRDefault="005E2891" w:rsidP="00BE3D48">
            <w:pPr>
              <w:keepNext/>
              <w:widowControl w:val="0"/>
              <w:snapToGrid w:val="0"/>
              <w:spacing w:line="240" w:lineRule="auto"/>
              <w:rPr>
                <w:color w:val="000000"/>
              </w:rPr>
            </w:pPr>
            <w:r w:rsidRPr="009B1A37">
              <w:rPr>
                <w:color w:val="000000"/>
              </w:rPr>
              <w:t>Hypertenze, hematom, subdurální hematom, periferní chlad, hypotenze, Raynaudův fenomén</w:t>
            </w:r>
          </w:p>
        </w:tc>
      </w:tr>
      <w:tr w:rsidR="005E2891" w:rsidRPr="009B1A37" w14:paraId="35CD69A7"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0FC176E5" w14:textId="77777777" w:rsidR="005E2891" w:rsidRPr="009B1A37" w:rsidRDefault="005E2891" w:rsidP="00BE3D48">
            <w:pPr>
              <w:widowControl w:val="0"/>
              <w:snapToGrid w:val="0"/>
              <w:spacing w:line="240" w:lineRule="auto"/>
              <w:rPr>
                <w:i/>
                <w:iCs/>
                <w:color w:val="000000"/>
              </w:rPr>
            </w:pPr>
            <w:r w:rsidRPr="009B1A37">
              <w:rPr>
                <w:i/>
                <w:iCs/>
                <w:color w:val="000000"/>
              </w:rPr>
              <w:t>Není známo:</w:t>
            </w:r>
          </w:p>
        </w:tc>
        <w:tc>
          <w:tcPr>
            <w:tcW w:w="7107" w:type="dxa"/>
            <w:tcBorders>
              <w:top w:val="single" w:sz="4" w:space="0" w:color="000000"/>
              <w:left w:val="single" w:sz="4" w:space="0" w:color="000000"/>
              <w:bottom w:val="single" w:sz="4" w:space="0" w:color="000000"/>
              <w:right w:val="single" w:sz="4" w:space="0" w:color="000000"/>
            </w:tcBorders>
          </w:tcPr>
          <w:p w14:paraId="0BFAF674" w14:textId="77777777" w:rsidR="005E2891" w:rsidRPr="009B1A37" w:rsidRDefault="005E2891" w:rsidP="00BE3D48">
            <w:pPr>
              <w:widowControl w:val="0"/>
              <w:snapToGrid w:val="0"/>
              <w:spacing w:line="240" w:lineRule="auto"/>
              <w:rPr>
                <w:color w:val="000000"/>
              </w:rPr>
            </w:pPr>
            <w:r w:rsidRPr="009B1A37">
              <w:rPr>
                <w:color w:val="000000"/>
              </w:rPr>
              <w:t>Trombóza/embolie*</w:t>
            </w:r>
          </w:p>
        </w:tc>
      </w:tr>
      <w:tr w:rsidR="005E2891" w:rsidRPr="009B1A37" w14:paraId="50CCF678" w14:textId="77777777" w:rsidTr="00EB4FF7">
        <w:trPr>
          <w:gridBefore w:val="1"/>
          <w:wBefore w:w="12" w:type="dxa"/>
          <w:cantSplit/>
        </w:trPr>
        <w:tc>
          <w:tcPr>
            <w:tcW w:w="9342" w:type="dxa"/>
            <w:gridSpan w:val="5"/>
            <w:tcBorders>
              <w:top w:val="single" w:sz="4" w:space="0" w:color="000000"/>
              <w:left w:val="single" w:sz="4" w:space="0" w:color="000000"/>
              <w:bottom w:val="single" w:sz="4" w:space="0" w:color="000000"/>
              <w:right w:val="single" w:sz="4" w:space="0" w:color="000000"/>
            </w:tcBorders>
          </w:tcPr>
          <w:p w14:paraId="245AF746" w14:textId="77777777" w:rsidR="005E2891" w:rsidRPr="009B1A37" w:rsidRDefault="005E2891" w:rsidP="00BE3D48">
            <w:pPr>
              <w:keepNext/>
              <w:widowControl w:val="0"/>
              <w:snapToGrid w:val="0"/>
              <w:spacing w:line="240" w:lineRule="auto"/>
              <w:rPr>
                <w:b/>
                <w:bCs/>
                <w:color w:val="000000"/>
              </w:rPr>
            </w:pPr>
            <w:r w:rsidRPr="009B1A37">
              <w:rPr>
                <w:b/>
                <w:bCs/>
                <w:color w:val="000000"/>
              </w:rPr>
              <w:t>Respirační, hrudní a mediastinální poruchy</w:t>
            </w:r>
          </w:p>
        </w:tc>
      </w:tr>
      <w:tr w:rsidR="005E2891" w:rsidRPr="009B1A37" w14:paraId="23BB43B9"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621842B7" w14:textId="77777777" w:rsidR="005E2891" w:rsidRPr="009B1A37" w:rsidRDefault="005E2891" w:rsidP="00BE3D48">
            <w:pPr>
              <w:keepNext/>
              <w:widowControl w:val="0"/>
              <w:snapToGrid w:val="0"/>
              <w:spacing w:line="240" w:lineRule="auto"/>
              <w:rPr>
                <w:i/>
                <w:iCs/>
                <w:color w:val="000000"/>
              </w:rPr>
            </w:pPr>
            <w:r w:rsidRPr="009B1A37">
              <w:rPr>
                <w:i/>
                <w:iCs/>
                <w:color w:val="000000"/>
              </w:rPr>
              <w:t>Časté:</w:t>
            </w:r>
          </w:p>
        </w:tc>
        <w:tc>
          <w:tcPr>
            <w:tcW w:w="7107" w:type="dxa"/>
            <w:tcBorders>
              <w:top w:val="single" w:sz="4" w:space="0" w:color="000000"/>
              <w:left w:val="single" w:sz="4" w:space="0" w:color="000000"/>
              <w:bottom w:val="single" w:sz="4" w:space="0" w:color="000000"/>
              <w:right w:val="single" w:sz="4" w:space="0" w:color="000000"/>
            </w:tcBorders>
          </w:tcPr>
          <w:p w14:paraId="57C4609D" w14:textId="77777777" w:rsidR="005E2891" w:rsidRPr="009B1A37" w:rsidRDefault="005E2891" w:rsidP="00BE3D48">
            <w:pPr>
              <w:keepNext/>
              <w:widowControl w:val="0"/>
              <w:snapToGrid w:val="0"/>
              <w:spacing w:line="240" w:lineRule="auto"/>
              <w:rPr>
                <w:color w:val="000000"/>
              </w:rPr>
            </w:pPr>
            <w:r w:rsidRPr="009B1A37">
              <w:rPr>
                <w:color w:val="000000"/>
              </w:rPr>
              <w:t>Dušnost, krvácení z nosu, kašel</w:t>
            </w:r>
          </w:p>
        </w:tc>
      </w:tr>
      <w:tr w:rsidR="005E2891" w:rsidRPr="009B1A37" w14:paraId="497867AE"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6221DE21" w14:textId="77777777" w:rsidR="005E2891" w:rsidRPr="009B1A37" w:rsidRDefault="005E2891" w:rsidP="00BE3D48">
            <w:pPr>
              <w:keepNext/>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48539498" w14:textId="77777777" w:rsidR="005E2891" w:rsidRPr="009B1A37" w:rsidRDefault="005E2891" w:rsidP="00BE3D48">
            <w:pPr>
              <w:keepNext/>
              <w:widowControl w:val="0"/>
              <w:snapToGrid w:val="0"/>
              <w:spacing w:line="240" w:lineRule="auto"/>
              <w:rPr>
                <w:color w:val="000000"/>
              </w:rPr>
            </w:pPr>
            <w:r w:rsidRPr="009B1A37">
              <w:rPr>
                <w:color w:val="000000"/>
              </w:rPr>
              <w:t>Pleurální výpotek</w:t>
            </w:r>
            <w:r w:rsidRPr="009B1A37">
              <w:rPr>
                <w:color w:val="000000"/>
                <w:vertAlign w:val="superscript"/>
              </w:rPr>
              <w:t>5</w:t>
            </w:r>
            <w:r w:rsidRPr="009B1A37">
              <w:rPr>
                <w:color w:val="000000"/>
              </w:rPr>
              <w:t xml:space="preserve">, </w:t>
            </w:r>
            <w:r w:rsidR="00F7256F" w:rsidRPr="009B1A37">
              <w:rPr>
                <w:color w:val="000000"/>
              </w:rPr>
              <w:t xml:space="preserve">laryngofaryngeální </w:t>
            </w:r>
            <w:r w:rsidRPr="009B1A37">
              <w:rPr>
                <w:color w:val="000000"/>
              </w:rPr>
              <w:t>bolesti, faryngitida</w:t>
            </w:r>
          </w:p>
        </w:tc>
      </w:tr>
      <w:tr w:rsidR="005E2891" w:rsidRPr="009B1A37" w14:paraId="4746E3FD"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2B2E5D99" w14:textId="77777777" w:rsidR="005E2891" w:rsidRPr="009B1A37" w:rsidRDefault="005E2891" w:rsidP="00BE3D48">
            <w:pPr>
              <w:keepNext/>
              <w:widowControl w:val="0"/>
              <w:snapToGrid w:val="0"/>
              <w:spacing w:line="240" w:lineRule="auto"/>
              <w:rPr>
                <w:i/>
                <w:iCs/>
                <w:color w:val="000000"/>
              </w:rPr>
            </w:pPr>
            <w:r w:rsidRPr="009B1A37">
              <w:rPr>
                <w:i/>
                <w:iCs/>
                <w:color w:val="000000"/>
              </w:rPr>
              <w:t>Vzácné:</w:t>
            </w:r>
          </w:p>
        </w:tc>
        <w:tc>
          <w:tcPr>
            <w:tcW w:w="7107" w:type="dxa"/>
            <w:tcBorders>
              <w:top w:val="single" w:sz="4" w:space="0" w:color="000000"/>
              <w:left w:val="single" w:sz="4" w:space="0" w:color="000000"/>
              <w:bottom w:val="single" w:sz="4" w:space="0" w:color="000000"/>
              <w:right w:val="single" w:sz="4" w:space="0" w:color="000000"/>
            </w:tcBorders>
          </w:tcPr>
          <w:p w14:paraId="2CC972D3" w14:textId="77777777" w:rsidR="005E2891" w:rsidRPr="009B1A37" w:rsidRDefault="00F7256F" w:rsidP="00BE3D48">
            <w:pPr>
              <w:keepNext/>
              <w:widowControl w:val="0"/>
              <w:snapToGrid w:val="0"/>
              <w:spacing w:line="240" w:lineRule="auto"/>
              <w:rPr>
                <w:color w:val="000000"/>
              </w:rPr>
            </w:pPr>
            <w:r w:rsidRPr="009B1A37">
              <w:rPr>
                <w:color w:val="000000"/>
              </w:rPr>
              <w:t>Pleurální b</w:t>
            </w:r>
            <w:r w:rsidR="005E2891" w:rsidRPr="009B1A37">
              <w:rPr>
                <w:color w:val="000000"/>
              </w:rPr>
              <w:t>olest, plicní fibróza, plicní hypertenze, krvácení do plic</w:t>
            </w:r>
          </w:p>
        </w:tc>
      </w:tr>
      <w:tr w:rsidR="005E2891" w:rsidRPr="009B1A37" w14:paraId="73525C1D"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05A54ADD" w14:textId="77777777" w:rsidR="005E2891" w:rsidRPr="009B1A37" w:rsidRDefault="005E2891" w:rsidP="00BE3D48">
            <w:pPr>
              <w:widowControl w:val="0"/>
              <w:snapToGrid w:val="0"/>
              <w:spacing w:line="240" w:lineRule="auto"/>
              <w:rPr>
                <w:i/>
                <w:iCs/>
                <w:color w:val="000000"/>
              </w:rPr>
            </w:pPr>
            <w:r w:rsidRPr="009B1A37">
              <w:rPr>
                <w:i/>
                <w:iCs/>
                <w:color w:val="000000"/>
              </w:rPr>
              <w:t>Není známo:</w:t>
            </w:r>
          </w:p>
        </w:tc>
        <w:tc>
          <w:tcPr>
            <w:tcW w:w="7107" w:type="dxa"/>
            <w:tcBorders>
              <w:top w:val="single" w:sz="4" w:space="0" w:color="000000"/>
              <w:left w:val="single" w:sz="4" w:space="0" w:color="000000"/>
              <w:bottom w:val="single" w:sz="4" w:space="0" w:color="000000"/>
              <w:right w:val="single" w:sz="4" w:space="0" w:color="000000"/>
            </w:tcBorders>
          </w:tcPr>
          <w:p w14:paraId="3135AD9E" w14:textId="77777777" w:rsidR="005E2891" w:rsidRPr="009B1A37" w:rsidRDefault="005E2891" w:rsidP="00BE3D48">
            <w:pPr>
              <w:widowControl w:val="0"/>
              <w:snapToGrid w:val="0"/>
              <w:spacing w:line="240" w:lineRule="auto"/>
              <w:rPr>
                <w:color w:val="000000"/>
              </w:rPr>
            </w:pPr>
            <w:r w:rsidRPr="009B1A37">
              <w:rPr>
                <w:color w:val="000000"/>
              </w:rPr>
              <w:t>Akutní respirační selhání</w:t>
            </w:r>
            <w:r w:rsidR="00B27262" w:rsidRPr="009B1A37">
              <w:rPr>
                <w:color w:val="000000"/>
                <w:vertAlign w:val="superscript"/>
              </w:rPr>
              <w:t>11</w:t>
            </w:r>
            <w:r w:rsidRPr="009B1A37">
              <w:rPr>
                <w:color w:val="000000"/>
              </w:rPr>
              <w:t>*, intersticiální plicní onemocnění*</w:t>
            </w:r>
          </w:p>
        </w:tc>
      </w:tr>
      <w:tr w:rsidR="005E2891" w:rsidRPr="009B1A37" w14:paraId="7FF165DA" w14:textId="77777777" w:rsidTr="00EB4FF7">
        <w:trPr>
          <w:gridBefore w:val="1"/>
          <w:wBefore w:w="12" w:type="dxa"/>
          <w:cantSplit/>
        </w:trPr>
        <w:tc>
          <w:tcPr>
            <w:tcW w:w="9342" w:type="dxa"/>
            <w:gridSpan w:val="5"/>
            <w:tcBorders>
              <w:top w:val="single" w:sz="4" w:space="0" w:color="000000"/>
              <w:left w:val="single" w:sz="4" w:space="0" w:color="000000"/>
              <w:bottom w:val="single" w:sz="4" w:space="0" w:color="000000"/>
              <w:right w:val="single" w:sz="4" w:space="0" w:color="000000"/>
            </w:tcBorders>
          </w:tcPr>
          <w:p w14:paraId="39A4BCF2" w14:textId="77777777" w:rsidR="005E2891" w:rsidRPr="009B1A37" w:rsidRDefault="005E2891" w:rsidP="00BE3D48">
            <w:pPr>
              <w:keepNext/>
              <w:widowControl w:val="0"/>
              <w:snapToGrid w:val="0"/>
              <w:spacing w:line="240" w:lineRule="auto"/>
              <w:rPr>
                <w:b/>
                <w:bCs/>
                <w:color w:val="000000"/>
              </w:rPr>
            </w:pPr>
            <w:r w:rsidRPr="009B1A37">
              <w:rPr>
                <w:b/>
                <w:bCs/>
                <w:color w:val="000000"/>
              </w:rPr>
              <w:t>Gastrointestinální poruchy</w:t>
            </w:r>
          </w:p>
        </w:tc>
      </w:tr>
      <w:tr w:rsidR="005E2891" w:rsidRPr="009B1A37" w14:paraId="7B1B89A4"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6ADD6982" w14:textId="77777777" w:rsidR="005E2891" w:rsidRPr="009B1A37" w:rsidRDefault="005E2891" w:rsidP="00BE3D48">
            <w:pPr>
              <w:keepNext/>
              <w:widowControl w:val="0"/>
              <w:snapToGrid w:val="0"/>
              <w:spacing w:line="240" w:lineRule="auto"/>
              <w:rPr>
                <w:i/>
                <w:iCs/>
                <w:color w:val="000000"/>
              </w:rPr>
            </w:pPr>
            <w:r w:rsidRPr="009B1A37">
              <w:rPr>
                <w:i/>
                <w:iCs/>
                <w:color w:val="000000"/>
              </w:rPr>
              <w:t>Velmi časté:</w:t>
            </w:r>
          </w:p>
        </w:tc>
        <w:tc>
          <w:tcPr>
            <w:tcW w:w="7107" w:type="dxa"/>
            <w:tcBorders>
              <w:top w:val="single" w:sz="4" w:space="0" w:color="000000"/>
              <w:left w:val="single" w:sz="4" w:space="0" w:color="000000"/>
              <w:bottom w:val="single" w:sz="4" w:space="0" w:color="000000"/>
              <w:right w:val="single" w:sz="4" w:space="0" w:color="000000"/>
            </w:tcBorders>
          </w:tcPr>
          <w:p w14:paraId="4B25903E" w14:textId="77777777" w:rsidR="005E2891" w:rsidRPr="009B1A37" w:rsidRDefault="005E2891" w:rsidP="00BE3D48">
            <w:pPr>
              <w:keepNext/>
              <w:widowControl w:val="0"/>
              <w:snapToGrid w:val="0"/>
              <w:spacing w:line="240" w:lineRule="auto"/>
              <w:rPr>
                <w:color w:val="000000"/>
                <w:vertAlign w:val="superscript"/>
              </w:rPr>
            </w:pPr>
            <w:r w:rsidRPr="009B1A37">
              <w:rPr>
                <w:color w:val="000000"/>
              </w:rPr>
              <w:t>Nauzea, průjem, zvracení, dyspepsie, bolest břicha</w:t>
            </w:r>
            <w:r w:rsidRPr="009B1A37">
              <w:rPr>
                <w:color w:val="000000"/>
                <w:vertAlign w:val="superscript"/>
              </w:rPr>
              <w:t>6</w:t>
            </w:r>
          </w:p>
        </w:tc>
      </w:tr>
      <w:tr w:rsidR="005E2891" w:rsidRPr="009B1A37" w14:paraId="1DF4E2BF"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6A7C40BA" w14:textId="77777777" w:rsidR="005E2891" w:rsidRPr="009B1A37" w:rsidRDefault="005E2891" w:rsidP="00BE3D48">
            <w:pPr>
              <w:keepNext/>
              <w:widowControl w:val="0"/>
              <w:snapToGrid w:val="0"/>
              <w:spacing w:line="240" w:lineRule="auto"/>
              <w:rPr>
                <w:i/>
                <w:iCs/>
                <w:color w:val="000000"/>
              </w:rPr>
            </w:pPr>
            <w:r w:rsidRPr="009B1A37">
              <w:rPr>
                <w:i/>
                <w:iCs/>
                <w:color w:val="000000"/>
              </w:rPr>
              <w:t>Časté:</w:t>
            </w:r>
          </w:p>
        </w:tc>
        <w:tc>
          <w:tcPr>
            <w:tcW w:w="7107" w:type="dxa"/>
            <w:tcBorders>
              <w:top w:val="single" w:sz="4" w:space="0" w:color="000000"/>
              <w:left w:val="single" w:sz="4" w:space="0" w:color="000000"/>
              <w:bottom w:val="single" w:sz="4" w:space="0" w:color="000000"/>
              <w:right w:val="single" w:sz="4" w:space="0" w:color="000000"/>
            </w:tcBorders>
          </w:tcPr>
          <w:p w14:paraId="3BCC0BFE" w14:textId="77777777" w:rsidR="005E2891" w:rsidRPr="009B1A37" w:rsidRDefault="00580986" w:rsidP="00BE3D48">
            <w:pPr>
              <w:keepNext/>
              <w:widowControl w:val="0"/>
              <w:snapToGrid w:val="0"/>
              <w:spacing w:line="240" w:lineRule="auto"/>
              <w:rPr>
                <w:color w:val="000000"/>
              </w:rPr>
            </w:pPr>
            <w:r w:rsidRPr="009B1A37">
              <w:rPr>
                <w:color w:val="000000"/>
              </w:rPr>
              <w:t>Flatulence, abdominální distenze</w:t>
            </w:r>
            <w:r w:rsidR="005E2891" w:rsidRPr="009B1A37">
              <w:rPr>
                <w:color w:val="000000"/>
              </w:rPr>
              <w:t>, gastro-ezofageální reflux, zácpa, sucho v ústech, gastritida</w:t>
            </w:r>
          </w:p>
        </w:tc>
      </w:tr>
      <w:tr w:rsidR="005E2891" w:rsidRPr="009B1A37" w14:paraId="28A4CFEF"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56AB7A33" w14:textId="77777777" w:rsidR="005E2891" w:rsidRPr="009B1A37" w:rsidRDefault="005E2891" w:rsidP="00BE3D48">
            <w:pPr>
              <w:keepNext/>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0B7BD4F1" w14:textId="77777777" w:rsidR="005E2891" w:rsidRPr="009B1A37" w:rsidRDefault="005E2891" w:rsidP="00BE3D48">
            <w:pPr>
              <w:keepNext/>
              <w:widowControl w:val="0"/>
              <w:snapToGrid w:val="0"/>
              <w:spacing w:line="240" w:lineRule="auto"/>
              <w:rPr>
                <w:color w:val="000000"/>
              </w:rPr>
            </w:pPr>
            <w:r w:rsidRPr="009B1A37">
              <w:rPr>
                <w:color w:val="000000"/>
              </w:rPr>
              <w:t>Stomatitida, ulcerace v ústech, gastrointestinální krvácení</w:t>
            </w:r>
            <w:r w:rsidRPr="009B1A37">
              <w:rPr>
                <w:color w:val="000000"/>
                <w:vertAlign w:val="superscript"/>
              </w:rPr>
              <w:t>7</w:t>
            </w:r>
            <w:r w:rsidRPr="009B1A37">
              <w:rPr>
                <w:color w:val="000000"/>
              </w:rPr>
              <w:t xml:space="preserve">, </w:t>
            </w:r>
            <w:r w:rsidR="00580986" w:rsidRPr="009B1A37">
              <w:rPr>
                <w:color w:val="000000"/>
              </w:rPr>
              <w:t>eruktace</w:t>
            </w:r>
            <w:r w:rsidRPr="009B1A37">
              <w:rPr>
                <w:color w:val="000000"/>
              </w:rPr>
              <w:t>, meléna, ezofagitida, ascites, žaludeční ulcerace, hematemez</w:t>
            </w:r>
            <w:r w:rsidR="00580986" w:rsidRPr="009B1A37">
              <w:rPr>
                <w:color w:val="000000"/>
              </w:rPr>
              <w:t>a</w:t>
            </w:r>
            <w:r w:rsidRPr="009B1A37">
              <w:rPr>
                <w:color w:val="000000"/>
              </w:rPr>
              <w:t>, cheilitida, dysfagie, pankreatitida</w:t>
            </w:r>
          </w:p>
        </w:tc>
      </w:tr>
      <w:tr w:rsidR="005E2891" w:rsidRPr="009B1A37" w14:paraId="70528EF2"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55C9C802" w14:textId="77777777" w:rsidR="005E2891" w:rsidRPr="009B1A37" w:rsidRDefault="005E2891" w:rsidP="00BE3D48">
            <w:pPr>
              <w:keepNext/>
              <w:widowControl w:val="0"/>
              <w:snapToGrid w:val="0"/>
              <w:spacing w:line="240" w:lineRule="auto"/>
              <w:rPr>
                <w:i/>
                <w:iCs/>
                <w:color w:val="000000"/>
              </w:rPr>
            </w:pPr>
            <w:r w:rsidRPr="009B1A37">
              <w:rPr>
                <w:i/>
                <w:iCs/>
                <w:color w:val="000000"/>
              </w:rPr>
              <w:t>Vzácné:</w:t>
            </w:r>
          </w:p>
        </w:tc>
        <w:tc>
          <w:tcPr>
            <w:tcW w:w="7107" w:type="dxa"/>
            <w:tcBorders>
              <w:top w:val="single" w:sz="4" w:space="0" w:color="000000"/>
              <w:left w:val="single" w:sz="4" w:space="0" w:color="000000"/>
              <w:bottom w:val="single" w:sz="4" w:space="0" w:color="000000"/>
              <w:right w:val="single" w:sz="4" w:space="0" w:color="000000"/>
            </w:tcBorders>
          </w:tcPr>
          <w:p w14:paraId="390AD9CE" w14:textId="77777777" w:rsidR="005E2891" w:rsidRPr="009B1A37" w:rsidRDefault="005E2891" w:rsidP="00BE3D48">
            <w:pPr>
              <w:keepNext/>
              <w:widowControl w:val="0"/>
              <w:snapToGrid w:val="0"/>
              <w:spacing w:line="240" w:lineRule="auto"/>
              <w:rPr>
                <w:color w:val="000000"/>
              </w:rPr>
            </w:pPr>
            <w:r w:rsidRPr="009B1A37">
              <w:rPr>
                <w:color w:val="000000"/>
              </w:rPr>
              <w:t>Kolitida, ileus, zánětlivé střevní onemocnění</w:t>
            </w:r>
          </w:p>
        </w:tc>
      </w:tr>
      <w:tr w:rsidR="005E2891" w:rsidRPr="009B1A37" w14:paraId="20245B4D"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2A42D553" w14:textId="77777777" w:rsidR="005E2891" w:rsidRPr="009B1A37" w:rsidRDefault="005E2891" w:rsidP="00BE3D48">
            <w:pPr>
              <w:widowControl w:val="0"/>
              <w:snapToGrid w:val="0"/>
              <w:spacing w:line="240" w:lineRule="auto"/>
              <w:rPr>
                <w:i/>
                <w:iCs/>
                <w:color w:val="000000"/>
              </w:rPr>
            </w:pPr>
            <w:r w:rsidRPr="009B1A37">
              <w:rPr>
                <w:i/>
                <w:iCs/>
                <w:color w:val="000000"/>
              </w:rPr>
              <w:t>Není známo:</w:t>
            </w:r>
          </w:p>
        </w:tc>
        <w:tc>
          <w:tcPr>
            <w:tcW w:w="7107" w:type="dxa"/>
            <w:tcBorders>
              <w:top w:val="single" w:sz="4" w:space="0" w:color="000000"/>
              <w:left w:val="single" w:sz="4" w:space="0" w:color="000000"/>
              <w:bottom w:val="single" w:sz="4" w:space="0" w:color="000000"/>
              <w:right w:val="single" w:sz="4" w:space="0" w:color="000000"/>
            </w:tcBorders>
          </w:tcPr>
          <w:p w14:paraId="60FE8AEC" w14:textId="77777777" w:rsidR="005E2891" w:rsidRPr="009B1A37" w:rsidRDefault="005E2891" w:rsidP="00BE3D48">
            <w:pPr>
              <w:widowControl w:val="0"/>
              <w:snapToGrid w:val="0"/>
              <w:spacing w:line="240" w:lineRule="auto"/>
              <w:rPr>
                <w:color w:val="000000"/>
              </w:rPr>
            </w:pPr>
            <w:r w:rsidRPr="009B1A37">
              <w:rPr>
                <w:color w:val="000000"/>
              </w:rPr>
              <w:t>Ileus/střev</w:t>
            </w:r>
            <w:r w:rsidR="00580986" w:rsidRPr="009B1A37">
              <w:rPr>
                <w:color w:val="000000"/>
              </w:rPr>
              <w:t>ní obstrukce</w:t>
            </w:r>
            <w:r w:rsidRPr="009B1A37">
              <w:rPr>
                <w:color w:val="000000"/>
              </w:rPr>
              <w:t>*, gastrointestinální perforace*</w:t>
            </w:r>
            <w:r w:rsidRPr="009B1A37">
              <w:rPr>
                <w:snapToGrid w:val="0"/>
                <w:color w:val="000000"/>
              </w:rPr>
              <w:t xml:space="preserve">, </w:t>
            </w:r>
            <w:r w:rsidRPr="009B1A37">
              <w:rPr>
                <w:color w:val="000000"/>
              </w:rPr>
              <w:t>divertikulitida</w:t>
            </w:r>
            <w:r w:rsidRPr="009B1A37">
              <w:rPr>
                <w:snapToGrid w:val="0"/>
                <w:color w:val="000000"/>
              </w:rPr>
              <w:t>*, gastrická antrální vaskulární ektázie (GAVE)*</w:t>
            </w:r>
          </w:p>
        </w:tc>
      </w:tr>
      <w:tr w:rsidR="005E2891" w:rsidRPr="009B1A37" w14:paraId="0480EBC8" w14:textId="77777777" w:rsidTr="00EB4FF7">
        <w:trPr>
          <w:gridBefore w:val="1"/>
          <w:wBefore w:w="12" w:type="dxa"/>
          <w:cantSplit/>
        </w:trPr>
        <w:tc>
          <w:tcPr>
            <w:tcW w:w="9342" w:type="dxa"/>
            <w:gridSpan w:val="5"/>
            <w:tcBorders>
              <w:top w:val="single" w:sz="4" w:space="0" w:color="000000"/>
              <w:left w:val="single" w:sz="4" w:space="0" w:color="000000"/>
              <w:bottom w:val="single" w:sz="4" w:space="0" w:color="000000"/>
              <w:right w:val="single" w:sz="4" w:space="0" w:color="000000"/>
            </w:tcBorders>
          </w:tcPr>
          <w:p w14:paraId="2DCF4B1A" w14:textId="77777777" w:rsidR="005E2891" w:rsidRPr="009B1A37" w:rsidRDefault="005E2891" w:rsidP="00BE3D48">
            <w:pPr>
              <w:keepNext/>
              <w:widowControl w:val="0"/>
              <w:snapToGrid w:val="0"/>
              <w:spacing w:line="240" w:lineRule="auto"/>
              <w:rPr>
                <w:b/>
                <w:bCs/>
                <w:color w:val="000000"/>
              </w:rPr>
            </w:pPr>
            <w:r w:rsidRPr="009B1A37">
              <w:rPr>
                <w:b/>
                <w:bCs/>
                <w:color w:val="000000"/>
              </w:rPr>
              <w:t>Poruchy jater a žlučových cest</w:t>
            </w:r>
          </w:p>
        </w:tc>
      </w:tr>
      <w:tr w:rsidR="005E2891" w:rsidRPr="009B1A37" w14:paraId="06E4D8F2"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60E20822" w14:textId="77777777" w:rsidR="005E2891" w:rsidRPr="009B1A37" w:rsidRDefault="005E2891" w:rsidP="00BE3D48">
            <w:pPr>
              <w:keepNext/>
              <w:widowControl w:val="0"/>
              <w:snapToGrid w:val="0"/>
              <w:spacing w:line="240" w:lineRule="auto"/>
              <w:rPr>
                <w:i/>
                <w:iCs/>
                <w:color w:val="000000"/>
              </w:rPr>
            </w:pPr>
            <w:r w:rsidRPr="009B1A37">
              <w:rPr>
                <w:i/>
                <w:iCs/>
                <w:color w:val="000000"/>
              </w:rPr>
              <w:t>Časté:</w:t>
            </w:r>
          </w:p>
        </w:tc>
        <w:tc>
          <w:tcPr>
            <w:tcW w:w="7107" w:type="dxa"/>
            <w:tcBorders>
              <w:top w:val="single" w:sz="4" w:space="0" w:color="000000"/>
              <w:left w:val="single" w:sz="4" w:space="0" w:color="000000"/>
              <w:bottom w:val="single" w:sz="4" w:space="0" w:color="000000"/>
              <w:right w:val="single" w:sz="4" w:space="0" w:color="000000"/>
            </w:tcBorders>
          </w:tcPr>
          <w:p w14:paraId="5A5EEE32" w14:textId="77777777" w:rsidR="005E2891" w:rsidRPr="009B1A37" w:rsidRDefault="005E2891" w:rsidP="00BE3D48">
            <w:pPr>
              <w:keepNext/>
              <w:widowControl w:val="0"/>
              <w:snapToGrid w:val="0"/>
              <w:spacing w:line="240" w:lineRule="auto"/>
              <w:rPr>
                <w:color w:val="000000"/>
              </w:rPr>
            </w:pPr>
            <w:r w:rsidRPr="009B1A37">
              <w:rPr>
                <w:color w:val="000000"/>
              </w:rPr>
              <w:t>Zvýšení jaterních enzymů</w:t>
            </w:r>
          </w:p>
        </w:tc>
      </w:tr>
      <w:tr w:rsidR="005E2891" w:rsidRPr="009B1A37" w14:paraId="71EEC739"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14637B28" w14:textId="77777777" w:rsidR="005E2891" w:rsidRPr="009B1A37" w:rsidRDefault="005E2891" w:rsidP="00BE3D48">
            <w:pPr>
              <w:keepNext/>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47786CB2" w14:textId="77777777" w:rsidR="005E2891" w:rsidRPr="009B1A37" w:rsidRDefault="005E2891" w:rsidP="00BE3D48">
            <w:pPr>
              <w:keepNext/>
              <w:widowControl w:val="0"/>
              <w:snapToGrid w:val="0"/>
              <w:spacing w:line="240" w:lineRule="auto"/>
              <w:rPr>
                <w:color w:val="000000"/>
              </w:rPr>
            </w:pPr>
            <w:r w:rsidRPr="009B1A37">
              <w:rPr>
                <w:color w:val="000000"/>
              </w:rPr>
              <w:t>Hyperbilirubinemie, hepatitida, žloutenka</w:t>
            </w:r>
          </w:p>
        </w:tc>
      </w:tr>
      <w:tr w:rsidR="005E2891" w:rsidRPr="009B1A37" w14:paraId="43E96CD7"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705DB863" w14:textId="77777777" w:rsidR="005E2891" w:rsidRPr="009B1A37" w:rsidRDefault="005E2891" w:rsidP="00BE3D48">
            <w:pPr>
              <w:widowControl w:val="0"/>
              <w:snapToGrid w:val="0"/>
              <w:spacing w:line="240" w:lineRule="auto"/>
              <w:rPr>
                <w:i/>
                <w:iCs/>
                <w:color w:val="000000"/>
              </w:rPr>
            </w:pPr>
            <w:r w:rsidRPr="009B1A37">
              <w:rPr>
                <w:i/>
                <w:iCs/>
                <w:color w:val="000000"/>
              </w:rPr>
              <w:t>Vzácné:</w:t>
            </w:r>
          </w:p>
        </w:tc>
        <w:tc>
          <w:tcPr>
            <w:tcW w:w="7107" w:type="dxa"/>
            <w:tcBorders>
              <w:top w:val="single" w:sz="4" w:space="0" w:color="000000"/>
              <w:left w:val="single" w:sz="4" w:space="0" w:color="000000"/>
              <w:bottom w:val="single" w:sz="4" w:space="0" w:color="000000"/>
              <w:right w:val="single" w:sz="4" w:space="0" w:color="000000"/>
            </w:tcBorders>
          </w:tcPr>
          <w:p w14:paraId="56779058" w14:textId="77777777" w:rsidR="005E2891" w:rsidRPr="009B1A37" w:rsidRDefault="005E2891" w:rsidP="00BE3D48">
            <w:pPr>
              <w:widowControl w:val="0"/>
              <w:snapToGrid w:val="0"/>
              <w:spacing w:line="240" w:lineRule="auto"/>
              <w:rPr>
                <w:color w:val="000000"/>
              </w:rPr>
            </w:pPr>
            <w:r w:rsidRPr="009B1A37">
              <w:rPr>
                <w:color w:val="000000"/>
              </w:rPr>
              <w:t>Jaterní selhání</w:t>
            </w:r>
            <w:r w:rsidRPr="009B1A37">
              <w:rPr>
                <w:color w:val="000000"/>
                <w:vertAlign w:val="superscript"/>
              </w:rPr>
              <w:t>8</w:t>
            </w:r>
            <w:r w:rsidRPr="009B1A37">
              <w:rPr>
                <w:color w:val="000000"/>
              </w:rPr>
              <w:t>, jaterní nekróza</w:t>
            </w:r>
          </w:p>
        </w:tc>
      </w:tr>
      <w:tr w:rsidR="005E2891" w:rsidRPr="009B1A37" w14:paraId="65A7F3A1" w14:textId="77777777" w:rsidTr="00EB4FF7">
        <w:trPr>
          <w:gridBefore w:val="1"/>
          <w:wBefore w:w="12" w:type="dxa"/>
          <w:cantSplit/>
        </w:trPr>
        <w:tc>
          <w:tcPr>
            <w:tcW w:w="9342" w:type="dxa"/>
            <w:gridSpan w:val="5"/>
            <w:tcBorders>
              <w:top w:val="single" w:sz="4" w:space="0" w:color="000000"/>
              <w:left w:val="single" w:sz="4" w:space="0" w:color="000000"/>
              <w:bottom w:val="single" w:sz="4" w:space="0" w:color="000000"/>
              <w:right w:val="single" w:sz="4" w:space="0" w:color="000000"/>
            </w:tcBorders>
          </w:tcPr>
          <w:p w14:paraId="6D014B05" w14:textId="77777777" w:rsidR="005E2891" w:rsidRPr="009B1A37" w:rsidRDefault="005E2891" w:rsidP="00BE3D48">
            <w:pPr>
              <w:keepNext/>
              <w:widowControl w:val="0"/>
              <w:snapToGrid w:val="0"/>
              <w:spacing w:line="240" w:lineRule="auto"/>
              <w:rPr>
                <w:i/>
                <w:iCs/>
                <w:color w:val="000000"/>
              </w:rPr>
            </w:pPr>
            <w:r w:rsidRPr="009B1A37">
              <w:rPr>
                <w:b/>
                <w:bCs/>
                <w:color w:val="000000"/>
              </w:rPr>
              <w:t>Poruchy kůže a podkožní tkáně</w:t>
            </w:r>
          </w:p>
        </w:tc>
      </w:tr>
      <w:tr w:rsidR="005E2891" w:rsidRPr="009B1A37" w14:paraId="77C6E9EA"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773A4838" w14:textId="77777777" w:rsidR="005E2891" w:rsidRPr="009B1A37" w:rsidRDefault="005E2891" w:rsidP="00BE3D48">
            <w:pPr>
              <w:keepNext/>
              <w:widowControl w:val="0"/>
              <w:snapToGrid w:val="0"/>
              <w:spacing w:line="240" w:lineRule="auto"/>
              <w:rPr>
                <w:i/>
                <w:iCs/>
                <w:color w:val="000000"/>
              </w:rPr>
            </w:pPr>
            <w:r w:rsidRPr="009B1A37">
              <w:rPr>
                <w:i/>
                <w:iCs/>
                <w:color w:val="000000"/>
              </w:rPr>
              <w:t>Velmi časté:</w:t>
            </w:r>
          </w:p>
        </w:tc>
        <w:tc>
          <w:tcPr>
            <w:tcW w:w="7107" w:type="dxa"/>
            <w:tcBorders>
              <w:top w:val="single" w:sz="4" w:space="0" w:color="000000"/>
              <w:left w:val="single" w:sz="4" w:space="0" w:color="000000"/>
              <w:bottom w:val="single" w:sz="4" w:space="0" w:color="000000"/>
              <w:right w:val="single" w:sz="4" w:space="0" w:color="000000"/>
            </w:tcBorders>
          </w:tcPr>
          <w:p w14:paraId="11F1794B" w14:textId="77777777" w:rsidR="005E2891" w:rsidRPr="009B1A37" w:rsidRDefault="005E2891" w:rsidP="00BE3D48">
            <w:pPr>
              <w:keepNext/>
              <w:widowControl w:val="0"/>
              <w:snapToGrid w:val="0"/>
              <w:spacing w:line="240" w:lineRule="auto"/>
              <w:rPr>
                <w:color w:val="000000"/>
              </w:rPr>
            </w:pPr>
            <w:r w:rsidRPr="009B1A37">
              <w:rPr>
                <w:color w:val="000000"/>
              </w:rPr>
              <w:t>Periorbitální edém, dermatitida/ekzém/vyrážka</w:t>
            </w:r>
          </w:p>
        </w:tc>
      </w:tr>
      <w:tr w:rsidR="005E2891" w:rsidRPr="009B1A37" w14:paraId="4CBA8B4F"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2508B4A3" w14:textId="77777777" w:rsidR="005E2891" w:rsidRPr="009B1A37" w:rsidRDefault="005E2891" w:rsidP="00BE3D48">
            <w:pPr>
              <w:keepNext/>
              <w:widowControl w:val="0"/>
              <w:snapToGrid w:val="0"/>
              <w:spacing w:line="240" w:lineRule="auto"/>
              <w:rPr>
                <w:i/>
                <w:iCs/>
                <w:color w:val="000000"/>
              </w:rPr>
            </w:pPr>
            <w:r w:rsidRPr="009B1A37">
              <w:rPr>
                <w:i/>
                <w:iCs/>
                <w:color w:val="000000"/>
              </w:rPr>
              <w:t>Časté:</w:t>
            </w:r>
          </w:p>
        </w:tc>
        <w:tc>
          <w:tcPr>
            <w:tcW w:w="7107" w:type="dxa"/>
            <w:tcBorders>
              <w:top w:val="single" w:sz="4" w:space="0" w:color="000000"/>
              <w:left w:val="single" w:sz="4" w:space="0" w:color="000000"/>
              <w:bottom w:val="single" w:sz="4" w:space="0" w:color="000000"/>
              <w:right w:val="single" w:sz="4" w:space="0" w:color="000000"/>
            </w:tcBorders>
          </w:tcPr>
          <w:p w14:paraId="5A06AA27" w14:textId="77777777" w:rsidR="005E2891" w:rsidRPr="009B1A37" w:rsidRDefault="005E2891" w:rsidP="00BE3D48">
            <w:pPr>
              <w:keepNext/>
              <w:widowControl w:val="0"/>
              <w:snapToGrid w:val="0"/>
              <w:spacing w:line="240" w:lineRule="auto"/>
              <w:rPr>
                <w:color w:val="000000"/>
              </w:rPr>
            </w:pPr>
            <w:r w:rsidRPr="009B1A37">
              <w:rPr>
                <w:color w:val="000000"/>
              </w:rPr>
              <w:t xml:space="preserve">Pruritus, otok obličeje, suchá </w:t>
            </w:r>
            <w:r w:rsidR="00580986" w:rsidRPr="009B1A37">
              <w:rPr>
                <w:color w:val="000000"/>
              </w:rPr>
              <w:t>kůže</w:t>
            </w:r>
            <w:r w:rsidRPr="009B1A37">
              <w:rPr>
                <w:color w:val="000000"/>
              </w:rPr>
              <w:t xml:space="preserve">, erytém, alopecie, noční pocení, </w:t>
            </w:r>
            <w:r w:rsidR="00580986" w:rsidRPr="009B1A37">
              <w:rPr>
                <w:color w:val="000000"/>
              </w:rPr>
              <w:t xml:space="preserve">fotosenzitivní </w:t>
            </w:r>
            <w:r w:rsidRPr="009B1A37">
              <w:rPr>
                <w:color w:val="000000"/>
              </w:rPr>
              <w:t>reakce</w:t>
            </w:r>
          </w:p>
        </w:tc>
      </w:tr>
      <w:tr w:rsidR="005E2891" w:rsidRPr="009B1A37" w14:paraId="37CE7EB3"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2B7F3A2E" w14:textId="77777777" w:rsidR="005E2891" w:rsidRPr="009B1A37" w:rsidRDefault="005E2891" w:rsidP="00BE3D48">
            <w:pPr>
              <w:keepNext/>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4AE7C071" w14:textId="77777777" w:rsidR="005E2891" w:rsidRPr="009B1A37" w:rsidRDefault="005E2891" w:rsidP="00BE3D48">
            <w:pPr>
              <w:keepNext/>
              <w:widowControl w:val="0"/>
              <w:snapToGrid w:val="0"/>
              <w:spacing w:line="240" w:lineRule="auto"/>
              <w:rPr>
                <w:color w:val="000000"/>
              </w:rPr>
            </w:pPr>
            <w:r w:rsidRPr="009B1A37">
              <w:rPr>
                <w:color w:val="000000"/>
              </w:rPr>
              <w:t xml:space="preserve">Pustulózní vyrážka, </w:t>
            </w:r>
            <w:r w:rsidR="00580986" w:rsidRPr="009B1A37">
              <w:rPr>
                <w:color w:val="000000"/>
              </w:rPr>
              <w:t>kontuze</w:t>
            </w:r>
            <w:r w:rsidRPr="009B1A37">
              <w:rPr>
                <w:color w:val="000000"/>
              </w:rPr>
              <w:t>, zvýšené pocení, urtikarie, ekchymóza, zvýšená tendence k tvorbě podlitin, hypotrichóza, hypopigmentace kůže, exfoliativní dermatitida, lámání nehtů, folikulitida, petechie, lupénka, purpura, hyperpigmentace kůže, výsev puchýřů</w:t>
            </w:r>
          </w:p>
        </w:tc>
      </w:tr>
      <w:tr w:rsidR="005E2891" w:rsidRPr="009B1A37" w14:paraId="0B896C7B"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07DF7618" w14:textId="77777777" w:rsidR="005E2891" w:rsidRPr="009B1A37" w:rsidRDefault="005E2891" w:rsidP="00BE3D48">
            <w:pPr>
              <w:keepNext/>
              <w:widowControl w:val="0"/>
              <w:snapToGrid w:val="0"/>
              <w:spacing w:line="240" w:lineRule="auto"/>
              <w:rPr>
                <w:i/>
                <w:iCs/>
                <w:color w:val="000000"/>
              </w:rPr>
            </w:pPr>
            <w:r w:rsidRPr="009B1A37">
              <w:rPr>
                <w:i/>
                <w:iCs/>
                <w:color w:val="000000"/>
              </w:rPr>
              <w:t>Vzácné:</w:t>
            </w:r>
          </w:p>
        </w:tc>
        <w:tc>
          <w:tcPr>
            <w:tcW w:w="7107" w:type="dxa"/>
            <w:tcBorders>
              <w:top w:val="single" w:sz="4" w:space="0" w:color="000000"/>
              <w:left w:val="single" w:sz="4" w:space="0" w:color="000000"/>
              <w:bottom w:val="single" w:sz="4" w:space="0" w:color="000000"/>
              <w:right w:val="single" w:sz="4" w:space="0" w:color="000000"/>
            </w:tcBorders>
          </w:tcPr>
          <w:p w14:paraId="22C21AC3" w14:textId="77777777" w:rsidR="005E2891" w:rsidRPr="009B1A37" w:rsidRDefault="005E2891" w:rsidP="00BE3D48">
            <w:pPr>
              <w:keepNext/>
              <w:widowControl w:val="0"/>
              <w:snapToGrid w:val="0"/>
              <w:spacing w:line="240" w:lineRule="auto"/>
              <w:rPr>
                <w:b/>
                <w:bCs/>
                <w:color w:val="000000"/>
              </w:rPr>
            </w:pPr>
            <w:r w:rsidRPr="009B1A37">
              <w:rPr>
                <w:color w:val="000000"/>
              </w:rPr>
              <w:t>Akutní febrilní neutrofilní dermatóza (Sweet</w:t>
            </w:r>
            <w:r w:rsidR="00580986" w:rsidRPr="009B1A37">
              <w:rPr>
                <w:color w:val="000000"/>
              </w:rPr>
              <w:t>ův</w:t>
            </w:r>
            <w:r w:rsidRPr="009B1A37">
              <w:rPr>
                <w:color w:val="000000"/>
              </w:rPr>
              <w:t xml:space="preserve"> syndrom), ztráta barvy nehtů, angioneurotický edém, </w:t>
            </w:r>
            <w:r w:rsidR="00580986" w:rsidRPr="009B1A37">
              <w:rPr>
                <w:color w:val="000000"/>
              </w:rPr>
              <w:t xml:space="preserve">vezikulární </w:t>
            </w:r>
            <w:r w:rsidRPr="009B1A37">
              <w:rPr>
                <w:color w:val="000000"/>
              </w:rPr>
              <w:t>vyrážka, multiformní erytém, leukocytoklastická vaskulitida, Stevens-Johnsonův syndrom, akutní generalizovaná exantematózní pustulóza (AGEP)</w:t>
            </w:r>
          </w:p>
        </w:tc>
      </w:tr>
      <w:tr w:rsidR="005E2891" w:rsidRPr="009B1A37" w14:paraId="59A59181"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321362A8" w14:textId="77777777" w:rsidR="005E2891" w:rsidRPr="009B1A37" w:rsidRDefault="005E2891" w:rsidP="00BE3D48">
            <w:pPr>
              <w:widowControl w:val="0"/>
              <w:snapToGrid w:val="0"/>
              <w:spacing w:line="240" w:lineRule="auto"/>
              <w:rPr>
                <w:i/>
                <w:iCs/>
                <w:color w:val="000000"/>
              </w:rPr>
            </w:pPr>
            <w:r w:rsidRPr="009B1A37">
              <w:rPr>
                <w:i/>
                <w:iCs/>
                <w:color w:val="000000"/>
              </w:rPr>
              <w:t>Není známo:</w:t>
            </w:r>
          </w:p>
        </w:tc>
        <w:tc>
          <w:tcPr>
            <w:tcW w:w="7107" w:type="dxa"/>
            <w:tcBorders>
              <w:top w:val="single" w:sz="4" w:space="0" w:color="000000"/>
              <w:left w:val="single" w:sz="4" w:space="0" w:color="000000"/>
              <w:bottom w:val="single" w:sz="4" w:space="0" w:color="000000"/>
              <w:right w:val="single" w:sz="4" w:space="0" w:color="000000"/>
            </w:tcBorders>
          </w:tcPr>
          <w:p w14:paraId="2CBC94CF" w14:textId="77777777" w:rsidR="005E2891" w:rsidRPr="009B1A37" w:rsidRDefault="005E2891" w:rsidP="00BE3D48">
            <w:pPr>
              <w:widowControl w:val="0"/>
              <w:snapToGrid w:val="0"/>
              <w:spacing w:line="240" w:lineRule="auto"/>
              <w:rPr>
                <w:color w:val="000000"/>
              </w:rPr>
            </w:pPr>
            <w:r w:rsidRPr="009B1A37">
              <w:t>Syndrom palmoplantární erytrodysestezie</w:t>
            </w:r>
            <w:r w:rsidRPr="009B1A37">
              <w:rPr>
                <w:color w:val="000000"/>
              </w:rPr>
              <w:t>*, l</w:t>
            </w:r>
            <w:r w:rsidRPr="009B1A37">
              <w:t>ichenoidní keratóza</w:t>
            </w:r>
            <w:r w:rsidRPr="009B1A37">
              <w:rPr>
                <w:color w:val="000000"/>
              </w:rPr>
              <w:t>*, lichen planus*, t</w:t>
            </w:r>
            <w:r w:rsidRPr="009B1A37">
              <w:t>oxická epidermální nekrolýza</w:t>
            </w:r>
            <w:r w:rsidRPr="009B1A37">
              <w:rPr>
                <w:color w:val="000000"/>
              </w:rPr>
              <w:t>*, p</w:t>
            </w:r>
            <w:r w:rsidRPr="009B1A37">
              <w:t>oléková vyrážka s eozinofilií a systémovými příznaky (DRESS)</w:t>
            </w:r>
            <w:r w:rsidRPr="009B1A37">
              <w:rPr>
                <w:color w:val="000000"/>
              </w:rPr>
              <w:t>*</w:t>
            </w:r>
            <w:r w:rsidR="00C34502" w:rsidRPr="009B1A37">
              <w:rPr>
                <w:color w:val="000000"/>
              </w:rPr>
              <w:t>, pseudoporfyrie*</w:t>
            </w:r>
          </w:p>
        </w:tc>
      </w:tr>
      <w:tr w:rsidR="005E2891" w:rsidRPr="009B1A37" w14:paraId="0C592750" w14:textId="77777777" w:rsidTr="00EB4FF7">
        <w:trPr>
          <w:gridBefore w:val="1"/>
          <w:wBefore w:w="12" w:type="dxa"/>
          <w:cantSplit/>
        </w:trPr>
        <w:tc>
          <w:tcPr>
            <w:tcW w:w="9342" w:type="dxa"/>
            <w:gridSpan w:val="5"/>
            <w:tcBorders>
              <w:top w:val="single" w:sz="4" w:space="0" w:color="000000"/>
              <w:left w:val="single" w:sz="4" w:space="0" w:color="000000"/>
              <w:bottom w:val="single" w:sz="4" w:space="0" w:color="000000"/>
              <w:right w:val="single" w:sz="4" w:space="0" w:color="000000"/>
            </w:tcBorders>
          </w:tcPr>
          <w:p w14:paraId="3FCBE691" w14:textId="77777777" w:rsidR="005E2891" w:rsidRPr="009B1A37" w:rsidRDefault="005E2891" w:rsidP="00BE3D48">
            <w:pPr>
              <w:keepNext/>
              <w:widowControl w:val="0"/>
              <w:snapToGrid w:val="0"/>
              <w:spacing w:line="240" w:lineRule="auto"/>
              <w:rPr>
                <w:b/>
                <w:bCs/>
                <w:color w:val="000000"/>
              </w:rPr>
            </w:pPr>
            <w:r w:rsidRPr="009B1A37">
              <w:rPr>
                <w:b/>
                <w:bCs/>
                <w:color w:val="000000"/>
              </w:rPr>
              <w:t>Poruchy svalové a kosterní soustavy a pojivové tkáně</w:t>
            </w:r>
          </w:p>
        </w:tc>
      </w:tr>
      <w:tr w:rsidR="005E2891" w:rsidRPr="009B1A37" w14:paraId="2CC21528"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5345EB59" w14:textId="77777777" w:rsidR="005E2891" w:rsidRPr="009B1A37" w:rsidRDefault="005E2891" w:rsidP="00BE3D48">
            <w:pPr>
              <w:keepNext/>
              <w:widowControl w:val="0"/>
              <w:snapToGrid w:val="0"/>
              <w:spacing w:line="240" w:lineRule="auto"/>
              <w:rPr>
                <w:i/>
                <w:iCs/>
                <w:color w:val="000000"/>
              </w:rPr>
            </w:pPr>
            <w:r w:rsidRPr="009B1A37">
              <w:rPr>
                <w:i/>
                <w:iCs/>
                <w:color w:val="000000"/>
              </w:rPr>
              <w:t>Velmi časté:</w:t>
            </w:r>
          </w:p>
        </w:tc>
        <w:tc>
          <w:tcPr>
            <w:tcW w:w="7107" w:type="dxa"/>
            <w:tcBorders>
              <w:top w:val="single" w:sz="4" w:space="0" w:color="000000"/>
              <w:left w:val="single" w:sz="4" w:space="0" w:color="000000"/>
              <w:bottom w:val="single" w:sz="4" w:space="0" w:color="000000"/>
              <w:right w:val="single" w:sz="4" w:space="0" w:color="000000"/>
            </w:tcBorders>
          </w:tcPr>
          <w:p w14:paraId="3C629384" w14:textId="77777777" w:rsidR="005E2891" w:rsidRPr="009B1A37" w:rsidRDefault="005E2891" w:rsidP="00BE3D48">
            <w:pPr>
              <w:keepNext/>
              <w:widowControl w:val="0"/>
              <w:snapToGrid w:val="0"/>
              <w:spacing w:line="240" w:lineRule="auto"/>
              <w:rPr>
                <w:color w:val="000000"/>
                <w:vertAlign w:val="superscript"/>
              </w:rPr>
            </w:pPr>
            <w:r w:rsidRPr="009B1A37">
              <w:rPr>
                <w:color w:val="000000"/>
              </w:rPr>
              <w:t>Svalové křeče a záchvaty křečí, muskuloskeletá</w:t>
            </w:r>
            <w:r w:rsidR="00580986" w:rsidRPr="009B1A37">
              <w:rPr>
                <w:color w:val="000000"/>
              </w:rPr>
              <w:t>l</w:t>
            </w:r>
            <w:r w:rsidRPr="009B1A37">
              <w:rPr>
                <w:color w:val="000000"/>
              </w:rPr>
              <w:t>ní bolesti včetně myalgie</w:t>
            </w:r>
            <w:r w:rsidR="00B377FF" w:rsidRPr="009B1A37">
              <w:rPr>
                <w:color w:val="000000"/>
                <w:vertAlign w:val="superscript"/>
              </w:rPr>
              <w:t>9</w:t>
            </w:r>
            <w:r w:rsidRPr="009B1A37">
              <w:rPr>
                <w:color w:val="000000"/>
              </w:rPr>
              <w:t>, artralgie, bolest kostí</w:t>
            </w:r>
            <w:r w:rsidR="00B377FF" w:rsidRPr="009B1A37">
              <w:rPr>
                <w:color w:val="000000"/>
                <w:vertAlign w:val="superscript"/>
              </w:rPr>
              <w:t>10</w:t>
            </w:r>
          </w:p>
        </w:tc>
      </w:tr>
      <w:tr w:rsidR="005E2891" w:rsidRPr="009B1A37" w14:paraId="3056B106"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2CB27015" w14:textId="77777777" w:rsidR="005E2891" w:rsidRPr="009B1A37" w:rsidRDefault="005E2891" w:rsidP="00BE3D48">
            <w:pPr>
              <w:keepNext/>
              <w:widowControl w:val="0"/>
              <w:snapToGrid w:val="0"/>
              <w:spacing w:line="240" w:lineRule="auto"/>
              <w:rPr>
                <w:i/>
                <w:iCs/>
                <w:color w:val="000000"/>
              </w:rPr>
            </w:pPr>
            <w:r w:rsidRPr="009B1A37">
              <w:rPr>
                <w:i/>
                <w:iCs/>
                <w:color w:val="000000"/>
              </w:rPr>
              <w:t>Časté:</w:t>
            </w:r>
          </w:p>
        </w:tc>
        <w:tc>
          <w:tcPr>
            <w:tcW w:w="7107" w:type="dxa"/>
            <w:tcBorders>
              <w:top w:val="single" w:sz="4" w:space="0" w:color="000000"/>
              <w:left w:val="single" w:sz="4" w:space="0" w:color="000000"/>
              <w:bottom w:val="single" w:sz="4" w:space="0" w:color="000000"/>
              <w:right w:val="single" w:sz="4" w:space="0" w:color="000000"/>
            </w:tcBorders>
          </w:tcPr>
          <w:p w14:paraId="54829338" w14:textId="77777777" w:rsidR="005E2891" w:rsidRPr="009B1A37" w:rsidRDefault="005E2891" w:rsidP="00BE3D48">
            <w:pPr>
              <w:keepNext/>
              <w:widowControl w:val="0"/>
              <w:snapToGrid w:val="0"/>
              <w:spacing w:line="240" w:lineRule="auto"/>
              <w:rPr>
                <w:color w:val="000000"/>
              </w:rPr>
            </w:pPr>
            <w:r w:rsidRPr="009B1A37">
              <w:rPr>
                <w:color w:val="000000"/>
              </w:rPr>
              <w:t>Otoky kloubů</w:t>
            </w:r>
          </w:p>
        </w:tc>
      </w:tr>
      <w:tr w:rsidR="005E2891" w:rsidRPr="009B1A37" w14:paraId="5BC1AD8E"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08D1F951" w14:textId="77777777" w:rsidR="005E2891" w:rsidRPr="009B1A37" w:rsidRDefault="005E2891" w:rsidP="00BE3D48">
            <w:pPr>
              <w:keepNext/>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7A564C7F" w14:textId="77777777" w:rsidR="005E2891" w:rsidRPr="009B1A37" w:rsidRDefault="005E2891" w:rsidP="00BE3D48">
            <w:pPr>
              <w:keepNext/>
              <w:widowControl w:val="0"/>
              <w:snapToGrid w:val="0"/>
              <w:spacing w:line="240" w:lineRule="auto"/>
              <w:rPr>
                <w:color w:val="000000"/>
              </w:rPr>
            </w:pPr>
            <w:r w:rsidRPr="009B1A37">
              <w:rPr>
                <w:color w:val="000000"/>
              </w:rPr>
              <w:t>Kloubní a svalová ztuhlost</w:t>
            </w:r>
          </w:p>
        </w:tc>
      </w:tr>
      <w:tr w:rsidR="005E2891" w:rsidRPr="009B1A37" w14:paraId="6345C605"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302BFF85" w14:textId="77777777" w:rsidR="005E2891" w:rsidRPr="009B1A37" w:rsidRDefault="005E2891" w:rsidP="00BE3D48">
            <w:pPr>
              <w:keepNext/>
              <w:widowControl w:val="0"/>
              <w:snapToGrid w:val="0"/>
              <w:spacing w:line="240" w:lineRule="auto"/>
              <w:rPr>
                <w:i/>
                <w:iCs/>
                <w:color w:val="000000"/>
              </w:rPr>
            </w:pPr>
            <w:r w:rsidRPr="009B1A37">
              <w:rPr>
                <w:i/>
                <w:iCs/>
                <w:color w:val="000000"/>
              </w:rPr>
              <w:t>Vzácné:</w:t>
            </w:r>
          </w:p>
        </w:tc>
        <w:tc>
          <w:tcPr>
            <w:tcW w:w="7107" w:type="dxa"/>
            <w:tcBorders>
              <w:top w:val="single" w:sz="4" w:space="0" w:color="000000"/>
              <w:left w:val="single" w:sz="4" w:space="0" w:color="000000"/>
              <w:bottom w:val="single" w:sz="4" w:space="0" w:color="000000"/>
              <w:right w:val="single" w:sz="4" w:space="0" w:color="000000"/>
            </w:tcBorders>
          </w:tcPr>
          <w:p w14:paraId="22F6707A" w14:textId="77777777" w:rsidR="005E2891" w:rsidRPr="009B1A37" w:rsidRDefault="005E2891" w:rsidP="00BE3D48">
            <w:pPr>
              <w:keepNext/>
              <w:widowControl w:val="0"/>
              <w:snapToGrid w:val="0"/>
              <w:spacing w:line="240" w:lineRule="auto"/>
              <w:rPr>
                <w:b/>
                <w:bCs/>
                <w:color w:val="000000"/>
              </w:rPr>
            </w:pPr>
            <w:r w:rsidRPr="009B1A37">
              <w:rPr>
                <w:color w:val="000000"/>
              </w:rPr>
              <w:t>Svalová slabost, artritida, rabdomyolýza/myopatie</w:t>
            </w:r>
          </w:p>
        </w:tc>
      </w:tr>
      <w:tr w:rsidR="005E2891" w:rsidRPr="009B1A37" w14:paraId="603A9D8D"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06CA9585" w14:textId="77777777" w:rsidR="005E2891" w:rsidRPr="009B1A37" w:rsidRDefault="005E2891" w:rsidP="00BE3D48">
            <w:pPr>
              <w:widowControl w:val="0"/>
              <w:snapToGrid w:val="0"/>
              <w:spacing w:line="240" w:lineRule="auto"/>
              <w:rPr>
                <w:i/>
                <w:iCs/>
                <w:color w:val="000000"/>
              </w:rPr>
            </w:pPr>
            <w:r w:rsidRPr="009B1A37">
              <w:rPr>
                <w:i/>
                <w:iCs/>
                <w:color w:val="000000"/>
              </w:rPr>
              <w:t>Není známo:</w:t>
            </w:r>
          </w:p>
        </w:tc>
        <w:tc>
          <w:tcPr>
            <w:tcW w:w="7107" w:type="dxa"/>
            <w:tcBorders>
              <w:top w:val="single" w:sz="4" w:space="0" w:color="000000"/>
              <w:left w:val="single" w:sz="4" w:space="0" w:color="000000"/>
              <w:bottom w:val="single" w:sz="4" w:space="0" w:color="000000"/>
              <w:right w:val="single" w:sz="4" w:space="0" w:color="000000"/>
            </w:tcBorders>
          </w:tcPr>
          <w:p w14:paraId="24D6D1C8" w14:textId="77777777" w:rsidR="005E2891" w:rsidRPr="009B1A37" w:rsidRDefault="005E2891" w:rsidP="00BE3D48">
            <w:pPr>
              <w:widowControl w:val="0"/>
              <w:snapToGrid w:val="0"/>
              <w:spacing w:line="240" w:lineRule="auto"/>
              <w:rPr>
                <w:color w:val="000000"/>
              </w:rPr>
            </w:pPr>
            <w:r w:rsidRPr="009B1A37">
              <w:rPr>
                <w:color w:val="000000"/>
              </w:rPr>
              <w:t xml:space="preserve">Avaskulární nekróza/nekróza </w:t>
            </w:r>
            <w:r w:rsidR="00233F9A" w:rsidRPr="009B1A37">
              <w:rPr>
                <w:color w:val="000000"/>
              </w:rPr>
              <w:t>proximálního konce femuru</w:t>
            </w:r>
            <w:r w:rsidRPr="009B1A37">
              <w:rPr>
                <w:color w:val="000000"/>
              </w:rPr>
              <w:t>*, retardace růstu u dětí*</w:t>
            </w:r>
          </w:p>
        </w:tc>
      </w:tr>
      <w:tr w:rsidR="005E2891" w:rsidRPr="009B1A37" w14:paraId="7B7D4A1D" w14:textId="77777777" w:rsidTr="00EB4FF7">
        <w:trPr>
          <w:gridBefore w:val="1"/>
          <w:wBefore w:w="12" w:type="dxa"/>
          <w:cantSplit/>
        </w:trPr>
        <w:tc>
          <w:tcPr>
            <w:tcW w:w="9342" w:type="dxa"/>
            <w:gridSpan w:val="5"/>
            <w:tcBorders>
              <w:top w:val="single" w:sz="4" w:space="0" w:color="000000"/>
              <w:left w:val="single" w:sz="4" w:space="0" w:color="000000"/>
              <w:bottom w:val="single" w:sz="4" w:space="0" w:color="000000"/>
              <w:right w:val="single" w:sz="4" w:space="0" w:color="000000"/>
            </w:tcBorders>
          </w:tcPr>
          <w:p w14:paraId="43BB1765" w14:textId="77777777" w:rsidR="005E2891" w:rsidRPr="009B1A37" w:rsidRDefault="005E2891" w:rsidP="00BE3D48">
            <w:pPr>
              <w:keepNext/>
              <w:widowControl w:val="0"/>
              <w:snapToGrid w:val="0"/>
              <w:spacing w:line="240" w:lineRule="auto"/>
              <w:rPr>
                <w:color w:val="000000"/>
              </w:rPr>
            </w:pPr>
            <w:r w:rsidRPr="009B1A37">
              <w:rPr>
                <w:b/>
                <w:bCs/>
                <w:color w:val="000000"/>
              </w:rPr>
              <w:t>Poruchy ledvin a močových cest</w:t>
            </w:r>
          </w:p>
        </w:tc>
      </w:tr>
      <w:tr w:rsidR="005E2891" w:rsidRPr="009B1A37" w14:paraId="62C0FCD4"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1091453B" w14:textId="77777777" w:rsidR="005E2891" w:rsidRPr="009B1A37" w:rsidRDefault="005E2891" w:rsidP="00BE3D48">
            <w:pPr>
              <w:keepNext/>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3019A44D" w14:textId="77777777" w:rsidR="005E2891" w:rsidRPr="009B1A37" w:rsidRDefault="005E2891" w:rsidP="00BE3D48">
            <w:pPr>
              <w:keepNext/>
              <w:widowControl w:val="0"/>
              <w:snapToGrid w:val="0"/>
              <w:spacing w:line="240" w:lineRule="auto"/>
              <w:rPr>
                <w:color w:val="000000"/>
              </w:rPr>
            </w:pPr>
            <w:r w:rsidRPr="009B1A37">
              <w:rPr>
                <w:color w:val="000000"/>
              </w:rPr>
              <w:t>Bolest ledvin, hematurie, akutní selhání ledvin, zvýšená frekvence močení</w:t>
            </w:r>
          </w:p>
        </w:tc>
      </w:tr>
      <w:tr w:rsidR="008913CE" w:rsidRPr="009B1A37" w14:paraId="62F5903F"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20B04F92" w14:textId="77777777" w:rsidR="008913CE" w:rsidRPr="009B1A37" w:rsidRDefault="008913CE" w:rsidP="00BE3D48">
            <w:pPr>
              <w:widowControl w:val="0"/>
              <w:snapToGrid w:val="0"/>
              <w:spacing w:line="240" w:lineRule="auto"/>
              <w:rPr>
                <w:i/>
                <w:iCs/>
                <w:color w:val="000000"/>
              </w:rPr>
            </w:pPr>
            <w:r w:rsidRPr="009B1A37">
              <w:rPr>
                <w:i/>
                <w:color w:val="000000"/>
              </w:rPr>
              <w:t>Není známo:</w:t>
            </w:r>
          </w:p>
        </w:tc>
        <w:tc>
          <w:tcPr>
            <w:tcW w:w="7107" w:type="dxa"/>
            <w:tcBorders>
              <w:top w:val="single" w:sz="4" w:space="0" w:color="000000"/>
              <w:left w:val="single" w:sz="4" w:space="0" w:color="000000"/>
              <w:bottom w:val="single" w:sz="4" w:space="0" w:color="000000"/>
              <w:right w:val="single" w:sz="4" w:space="0" w:color="000000"/>
            </w:tcBorders>
          </w:tcPr>
          <w:p w14:paraId="26E965DD" w14:textId="77777777" w:rsidR="008913CE" w:rsidRPr="009B1A37" w:rsidRDefault="008913CE" w:rsidP="00BE3D48">
            <w:pPr>
              <w:widowControl w:val="0"/>
              <w:snapToGrid w:val="0"/>
              <w:spacing w:line="240" w:lineRule="auto"/>
              <w:rPr>
                <w:color w:val="000000"/>
              </w:rPr>
            </w:pPr>
            <w:r w:rsidRPr="009B1A37">
              <w:rPr>
                <w:color w:val="000000"/>
              </w:rPr>
              <w:t>Chronické selhání ledvin</w:t>
            </w:r>
          </w:p>
        </w:tc>
      </w:tr>
      <w:tr w:rsidR="008913CE" w:rsidRPr="009B1A37" w14:paraId="3221A34D" w14:textId="77777777" w:rsidTr="00EB4FF7">
        <w:trPr>
          <w:gridBefore w:val="1"/>
          <w:wBefore w:w="12" w:type="dxa"/>
          <w:cantSplit/>
        </w:trPr>
        <w:tc>
          <w:tcPr>
            <w:tcW w:w="9342" w:type="dxa"/>
            <w:gridSpan w:val="5"/>
            <w:tcBorders>
              <w:top w:val="single" w:sz="4" w:space="0" w:color="000000"/>
              <w:left w:val="single" w:sz="4" w:space="0" w:color="000000"/>
              <w:bottom w:val="single" w:sz="4" w:space="0" w:color="000000"/>
              <w:right w:val="single" w:sz="4" w:space="0" w:color="000000"/>
            </w:tcBorders>
          </w:tcPr>
          <w:p w14:paraId="01ABAD3D" w14:textId="77777777" w:rsidR="008913CE" w:rsidRPr="009B1A37" w:rsidRDefault="008913CE" w:rsidP="00BE3D48">
            <w:pPr>
              <w:keepNext/>
              <w:widowControl w:val="0"/>
              <w:snapToGrid w:val="0"/>
              <w:spacing w:line="240" w:lineRule="auto"/>
              <w:rPr>
                <w:b/>
                <w:bCs/>
                <w:color w:val="000000"/>
              </w:rPr>
            </w:pPr>
            <w:r w:rsidRPr="009B1A37">
              <w:rPr>
                <w:b/>
                <w:bCs/>
                <w:color w:val="000000"/>
              </w:rPr>
              <w:t>Poruchy reprodukčního systému a prsu</w:t>
            </w:r>
          </w:p>
        </w:tc>
      </w:tr>
      <w:tr w:rsidR="008913CE" w:rsidRPr="009B1A37" w14:paraId="1590BAFE"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4F8285E9" w14:textId="77777777" w:rsidR="008913CE" w:rsidRPr="009B1A37" w:rsidRDefault="008913CE" w:rsidP="00BE3D48">
            <w:pPr>
              <w:keepNext/>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5D580A51" w14:textId="77777777" w:rsidR="008913CE" w:rsidRPr="009B1A37" w:rsidRDefault="008913CE" w:rsidP="00BE3D48">
            <w:pPr>
              <w:keepNext/>
              <w:widowControl w:val="0"/>
              <w:snapToGrid w:val="0"/>
              <w:spacing w:line="240" w:lineRule="auto"/>
              <w:rPr>
                <w:color w:val="000000"/>
              </w:rPr>
            </w:pPr>
            <w:r w:rsidRPr="009B1A37">
              <w:rPr>
                <w:color w:val="000000"/>
              </w:rPr>
              <w:t>Gynekomastie, erektilní dysfunkce, menoragie, nepravidelná menstruace,</w:t>
            </w:r>
            <w:r w:rsidR="00F014F4" w:rsidRPr="009B1A37">
              <w:rPr>
                <w:color w:val="000000"/>
              </w:rPr>
              <w:t xml:space="preserve"> </w:t>
            </w:r>
            <w:r w:rsidRPr="009B1A37">
              <w:rPr>
                <w:color w:val="000000"/>
              </w:rPr>
              <w:t xml:space="preserve">sexuální </w:t>
            </w:r>
            <w:r w:rsidR="00580986" w:rsidRPr="009B1A37">
              <w:rPr>
                <w:color w:val="000000"/>
              </w:rPr>
              <w:t>dys</w:t>
            </w:r>
            <w:r w:rsidRPr="009B1A37">
              <w:rPr>
                <w:color w:val="000000"/>
              </w:rPr>
              <w:t>funkce, bolest bradavek, zvětšení prs</w:t>
            </w:r>
            <w:r w:rsidR="00580986" w:rsidRPr="009B1A37">
              <w:rPr>
                <w:color w:val="000000"/>
              </w:rPr>
              <w:t>ů</w:t>
            </w:r>
            <w:r w:rsidRPr="009B1A37">
              <w:rPr>
                <w:color w:val="000000"/>
              </w:rPr>
              <w:t>, edém skrota</w:t>
            </w:r>
          </w:p>
        </w:tc>
      </w:tr>
      <w:tr w:rsidR="008913CE" w:rsidRPr="009B1A37" w14:paraId="77C56306"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6C625586" w14:textId="77777777" w:rsidR="008913CE" w:rsidRPr="009B1A37" w:rsidRDefault="008913CE" w:rsidP="00BE3D48">
            <w:pPr>
              <w:widowControl w:val="0"/>
              <w:snapToGrid w:val="0"/>
              <w:spacing w:line="240" w:lineRule="auto"/>
              <w:rPr>
                <w:i/>
                <w:iCs/>
                <w:color w:val="000000"/>
              </w:rPr>
            </w:pPr>
            <w:r w:rsidRPr="009B1A37">
              <w:rPr>
                <w:i/>
                <w:iCs/>
                <w:color w:val="000000"/>
              </w:rPr>
              <w:t>Vzácné:</w:t>
            </w:r>
          </w:p>
        </w:tc>
        <w:tc>
          <w:tcPr>
            <w:tcW w:w="7107" w:type="dxa"/>
            <w:tcBorders>
              <w:top w:val="single" w:sz="4" w:space="0" w:color="000000"/>
              <w:left w:val="single" w:sz="4" w:space="0" w:color="000000"/>
              <w:bottom w:val="single" w:sz="4" w:space="0" w:color="000000"/>
              <w:right w:val="single" w:sz="4" w:space="0" w:color="000000"/>
            </w:tcBorders>
          </w:tcPr>
          <w:p w14:paraId="1377D8D0" w14:textId="77777777" w:rsidR="008913CE" w:rsidRPr="009B1A37" w:rsidRDefault="008913CE" w:rsidP="00BE3D48">
            <w:pPr>
              <w:widowControl w:val="0"/>
              <w:snapToGrid w:val="0"/>
              <w:spacing w:line="240" w:lineRule="auto"/>
              <w:rPr>
                <w:color w:val="000000"/>
              </w:rPr>
            </w:pPr>
            <w:r w:rsidRPr="009B1A37">
              <w:rPr>
                <w:color w:val="000000"/>
              </w:rPr>
              <w:t>Hemoragické žluté tělísko/hemoragické cysty na vaječnících</w:t>
            </w:r>
          </w:p>
        </w:tc>
      </w:tr>
      <w:tr w:rsidR="008913CE" w:rsidRPr="009B1A37" w14:paraId="1F807462" w14:textId="77777777" w:rsidTr="00EB4FF7">
        <w:trPr>
          <w:gridBefore w:val="1"/>
          <w:wBefore w:w="12" w:type="dxa"/>
          <w:cantSplit/>
        </w:trPr>
        <w:tc>
          <w:tcPr>
            <w:tcW w:w="9342" w:type="dxa"/>
            <w:gridSpan w:val="5"/>
            <w:tcBorders>
              <w:top w:val="single" w:sz="4" w:space="0" w:color="000000"/>
              <w:left w:val="single" w:sz="4" w:space="0" w:color="000000"/>
              <w:bottom w:val="single" w:sz="4" w:space="0" w:color="000000"/>
              <w:right w:val="single" w:sz="4" w:space="0" w:color="000000"/>
            </w:tcBorders>
          </w:tcPr>
          <w:p w14:paraId="6A74D79C" w14:textId="77777777" w:rsidR="008913CE" w:rsidRPr="009B1A37" w:rsidRDefault="008913CE" w:rsidP="00BE3D48">
            <w:pPr>
              <w:keepNext/>
              <w:widowControl w:val="0"/>
              <w:snapToGrid w:val="0"/>
              <w:spacing w:line="240" w:lineRule="auto"/>
              <w:rPr>
                <w:i/>
                <w:iCs/>
                <w:color w:val="000000"/>
              </w:rPr>
            </w:pPr>
            <w:r w:rsidRPr="009B1A37">
              <w:rPr>
                <w:b/>
                <w:bCs/>
                <w:color w:val="000000"/>
              </w:rPr>
              <w:t>Celkové poruchy a reakce v místě aplikace</w:t>
            </w:r>
          </w:p>
        </w:tc>
      </w:tr>
      <w:tr w:rsidR="008913CE" w:rsidRPr="009B1A37" w14:paraId="244752B3"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1DFD9EFB" w14:textId="77777777" w:rsidR="008913CE" w:rsidRPr="009B1A37" w:rsidRDefault="008913CE" w:rsidP="00BE3D48">
            <w:pPr>
              <w:keepNext/>
              <w:widowControl w:val="0"/>
              <w:snapToGrid w:val="0"/>
              <w:spacing w:line="240" w:lineRule="auto"/>
              <w:rPr>
                <w:i/>
                <w:iCs/>
                <w:color w:val="000000"/>
              </w:rPr>
            </w:pPr>
            <w:r w:rsidRPr="009B1A37">
              <w:rPr>
                <w:i/>
                <w:iCs/>
                <w:color w:val="000000"/>
              </w:rPr>
              <w:t>Velmi časté:</w:t>
            </w:r>
          </w:p>
        </w:tc>
        <w:tc>
          <w:tcPr>
            <w:tcW w:w="7107" w:type="dxa"/>
            <w:tcBorders>
              <w:top w:val="single" w:sz="4" w:space="0" w:color="000000"/>
              <w:left w:val="single" w:sz="4" w:space="0" w:color="000000"/>
              <w:bottom w:val="single" w:sz="4" w:space="0" w:color="000000"/>
              <w:right w:val="single" w:sz="4" w:space="0" w:color="000000"/>
            </w:tcBorders>
          </w:tcPr>
          <w:p w14:paraId="25C8D2AF" w14:textId="77777777" w:rsidR="008913CE" w:rsidRPr="009B1A37" w:rsidRDefault="008913CE" w:rsidP="00BE3D48">
            <w:pPr>
              <w:keepNext/>
              <w:widowControl w:val="0"/>
              <w:snapToGrid w:val="0"/>
              <w:spacing w:line="240" w:lineRule="auto"/>
              <w:rPr>
                <w:color w:val="000000"/>
              </w:rPr>
            </w:pPr>
            <w:r w:rsidRPr="009B1A37">
              <w:rPr>
                <w:color w:val="000000"/>
              </w:rPr>
              <w:t>Zadržování tekutin a edémy, únava</w:t>
            </w:r>
          </w:p>
        </w:tc>
      </w:tr>
      <w:tr w:rsidR="008913CE" w:rsidRPr="009B1A37" w14:paraId="6B4A11AC"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5F3C6FAC" w14:textId="77777777" w:rsidR="008913CE" w:rsidRPr="009B1A37" w:rsidRDefault="008913CE" w:rsidP="00BE3D48">
            <w:pPr>
              <w:keepNext/>
              <w:widowControl w:val="0"/>
              <w:snapToGrid w:val="0"/>
              <w:spacing w:line="240" w:lineRule="auto"/>
              <w:rPr>
                <w:i/>
                <w:iCs/>
                <w:color w:val="000000"/>
              </w:rPr>
            </w:pPr>
            <w:r w:rsidRPr="009B1A37">
              <w:rPr>
                <w:i/>
                <w:iCs/>
                <w:color w:val="000000"/>
              </w:rPr>
              <w:t>Časté:</w:t>
            </w:r>
          </w:p>
        </w:tc>
        <w:tc>
          <w:tcPr>
            <w:tcW w:w="7107" w:type="dxa"/>
            <w:tcBorders>
              <w:top w:val="single" w:sz="4" w:space="0" w:color="000000"/>
              <w:left w:val="single" w:sz="4" w:space="0" w:color="000000"/>
              <w:bottom w:val="single" w:sz="4" w:space="0" w:color="000000"/>
              <w:right w:val="single" w:sz="4" w:space="0" w:color="000000"/>
            </w:tcBorders>
          </w:tcPr>
          <w:p w14:paraId="2C9500BD" w14:textId="77777777" w:rsidR="008913CE" w:rsidRPr="009B1A37" w:rsidRDefault="008913CE" w:rsidP="00BE3D48">
            <w:pPr>
              <w:keepNext/>
              <w:widowControl w:val="0"/>
              <w:snapToGrid w:val="0"/>
              <w:spacing w:line="240" w:lineRule="auto"/>
              <w:rPr>
                <w:color w:val="000000"/>
              </w:rPr>
            </w:pPr>
            <w:r w:rsidRPr="009B1A37">
              <w:rPr>
                <w:color w:val="000000"/>
              </w:rPr>
              <w:t xml:space="preserve">Slabost, pyrexie, anasarka, </w:t>
            </w:r>
            <w:r w:rsidR="00580986" w:rsidRPr="009B1A37">
              <w:rPr>
                <w:color w:val="000000"/>
              </w:rPr>
              <w:t>zimnice</w:t>
            </w:r>
            <w:r w:rsidRPr="009B1A37">
              <w:rPr>
                <w:color w:val="000000"/>
              </w:rPr>
              <w:t>, ztuhlost</w:t>
            </w:r>
          </w:p>
        </w:tc>
      </w:tr>
      <w:tr w:rsidR="008913CE" w:rsidRPr="009B1A37" w14:paraId="722BF182"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1394EA79" w14:textId="77777777" w:rsidR="008913CE" w:rsidRPr="009B1A37" w:rsidRDefault="008913CE" w:rsidP="00BE3D48">
            <w:pPr>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52F3E884" w14:textId="77777777" w:rsidR="008913CE" w:rsidRPr="009B1A37" w:rsidRDefault="008913CE" w:rsidP="00BE3D48">
            <w:pPr>
              <w:widowControl w:val="0"/>
              <w:snapToGrid w:val="0"/>
              <w:spacing w:line="240" w:lineRule="auto"/>
              <w:rPr>
                <w:color w:val="000000"/>
              </w:rPr>
            </w:pPr>
            <w:r w:rsidRPr="009B1A37">
              <w:rPr>
                <w:color w:val="000000"/>
              </w:rPr>
              <w:t>Bolest na hrudi, malátnost</w:t>
            </w:r>
          </w:p>
        </w:tc>
      </w:tr>
      <w:tr w:rsidR="008913CE" w:rsidRPr="009B1A37" w14:paraId="29B39713" w14:textId="77777777" w:rsidTr="00EB4FF7">
        <w:trPr>
          <w:gridBefore w:val="1"/>
          <w:wBefore w:w="12" w:type="dxa"/>
          <w:cantSplit/>
        </w:trPr>
        <w:tc>
          <w:tcPr>
            <w:tcW w:w="9342" w:type="dxa"/>
            <w:gridSpan w:val="5"/>
            <w:tcBorders>
              <w:top w:val="single" w:sz="4" w:space="0" w:color="000000"/>
              <w:left w:val="single" w:sz="4" w:space="0" w:color="000000"/>
              <w:bottom w:val="single" w:sz="4" w:space="0" w:color="000000"/>
              <w:right w:val="single" w:sz="4" w:space="0" w:color="000000"/>
            </w:tcBorders>
          </w:tcPr>
          <w:p w14:paraId="1ADCF51A" w14:textId="77777777" w:rsidR="008913CE" w:rsidRPr="009B1A37" w:rsidRDefault="008913CE" w:rsidP="00BE3D48">
            <w:pPr>
              <w:keepNext/>
              <w:widowControl w:val="0"/>
              <w:snapToGrid w:val="0"/>
              <w:spacing w:line="240" w:lineRule="auto"/>
              <w:rPr>
                <w:color w:val="000000"/>
              </w:rPr>
            </w:pPr>
            <w:r w:rsidRPr="009B1A37">
              <w:rPr>
                <w:b/>
                <w:bCs/>
                <w:color w:val="000000"/>
              </w:rPr>
              <w:t>Vyšetření</w:t>
            </w:r>
          </w:p>
        </w:tc>
      </w:tr>
      <w:tr w:rsidR="008913CE" w:rsidRPr="009B1A37" w14:paraId="671FB581"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69B78952" w14:textId="77777777" w:rsidR="008913CE" w:rsidRPr="009B1A37" w:rsidRDefault="008913CE" w:rsidP="00BE3D48">
            <w:pPr>
              <w:keepNext/>
              <w:widowControl w:val="0"/>
              <w:snapToGrid w:val="0"/>
              <w:spacing w:line="240" w:lineRule="auto"/>
              <w:rPr>
                <w:i/>
                <w:iCs/>
                <w:color w:val="000000"/>
              </w:rPr>
            </w:pPr>
            <w:r w:rsidRPr="009B1A37">
              <w:rPr>
                <w:i/>
                <w:iCs/>
                <w:color w:val="000000"/>
              </w:rPr>
              <w:t>Velmi časté:</w:t>
            </w:r>
          </w:p>
        </w:tc>
        <w:tc>
          <w:tcPr>
            <w:tcW w:w="7107" w:type="dxa"/>
            <w:tcBorders>
              <w:top w:val="single" w:sz="4" w:space="0" w:color="000000"/>
              <w:left w:val="single" w:sz="4" w:space="0" w:color="000000"/>
              <w:bottom w:val="single" w:sz="4" w:space="0" w:color="000000"/>
              <w:right w:val="single" w:sz="4" w:space="0" w:color="000000"/>
            </w:tcBorders>
          </w:tcPr>
          <w:p w14:paraId="411BEB53" w14:textId="77777777" w:rsidR="008913CE" w:rsidRPr="009B1A37" w:rsidRDefault="008913CE" w:rsidP="00BE3D48">
            <w:pPr>
              <w:keepNext/>
              <w:widowControl w:val="0"/>
              <w:snapToGrid w:val="0"/>
              <w:spacing w:line="240" w:lineRule="auto"/>
              <w:rPr>
                <w:color w:val="000000"/>
              </w:rPr>
            </w:pPr>
            <w:r w:rsidRPr="009B1A37">
              <w:rPr>
                <w:color w:val="000000"/>
              </w:rPr>
              <w:t xml:space="preserve">Zvýšení </w:t>
            </w:r>
            <w:r w:rsidR="00580986" w:rsidRPr="009B1A37">
              <w:rPr>
                <w:color w:val="000000"/>
              </w:rPr>
              <w:t>tělesné</w:t>
            </w:r>
            <w:r w:rsidRPr="009B1A37">
              <w:rPr>
                <w:color w:val="000000"/>
              </w:rPr>
              <w:t>hmotnosti</w:t>
            </w:r>
          </w:p>
        </w:tc>
      </w:tr>
      <w:tr w:rsidR="008913CE" w:rsidRPr="009B1A37" w14:paraId="6DF44A6C"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4682F459" w14:textId="77777777" w:rsidR="008913CE" w:rsidRPr="009B1A37" w:rsidRDefault="008913CE" w:rsidP="00BE3D48">
            <w:pPr>
              <w:keepNext/>
              <w:widowControl w:val="0"/>
              <w:snapToGrid w:val="0"/>
              <w:spacing w:line="240" w:lineRule="auto"/>
              <w:rPr>
                <w:i/>
                <w:iCs/>
                <w:color w:val="000000"/>
              </w:rPr>
            </w:pPr>
            <w:r w:rsidRPr="009B1A37">
              <w:rPr>
                <w:i/>
                <w:iCs/>
                <w:color w:val="000000"/>
              </w:rPr>
              <w:t>Časté:</w:t>
            </w:r>
          </w:p>
        </w:tc>
        <w:tc>
          <w:tcPr>
            <w:tcW w:w="7107" w:type="dxa"/>
            <w:tcBorders>
              <w:top w:val="single" w:sz="4" w:space="0" w:color="000000"/>
              <w:left w:val="single" w:sz="4" w:space="0" w:color="000000"/>
              <w:bottom w:val="single" w:sz="4" w:space="0" w:color="000000"/>
              <w:right w:val="single" w:sz="4" w:space="0" w:color="000000"/>
            </w:tcBorders>
          </w:tcPr>
          <w:p w14:paraId="28E4D60C" w14:textId="77777777" w:rsidR="008913CE" w:rsidRPr="009B1A37" w:rsidRDefault="008913CE" w:rsidP="00BE3D48">
            <w:pPr>
              <w:keepNext/>
              <w:widowControl w:val="0"/>
              <w:snapToGrid w:val="0"/>
              <w:spacing w:line="240" w:lineRule="auto"/>
              <w:rPr>
                <w:color w:val="000000"/>
              </w:rPr>
            </w:pPr>
            <w:r w:rsidRPr="009B1A37">
              <w:rPr>
                <w:color w:val="000000"/>
              </w:rPr>
              <w:t xml:space="preserve">Snížení </w:t>
            </w:r>
            <w:r w:rsidR="00580986" w:rsidRPr="009B1A37">
              <w:rPr>
                <w:color w:val="000000"/>
              </w:rPr>
              <w:t xml:space="preserve">tělesné </w:t>
            </w:r>
            <w:r w:rsidRPr="009B1A37">
              <w:rPr>
                <w:color w:val="000000"/>
              </w:rPr>
              <w:t>hmotnosti</w:t>
            </w:r>
          </w:p>
        </w:tc>
      </w:tr>
      <w:tr w:rsidR="008913CE" w:rsidRPr="009B1A37" w14:paraId="75BE0295"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4FD7F6B0" w14:textId="77777777" w:rsidR="008913CE" w:rsidRPr="009B1A37" w:rsidRDefault="008913CE" w:rsidP="00BE3D48">
            <w:pPr>
              <w:keepNext/>
              <w:widowControl w:val="0"/>
              <w:snapToGrid w:val="0"/>
              <w:spacing w:line="240" w:lineRule="auto"/>
              <w:rPr>
                <w:i/>
                <w:iCs/>
                <w:color w:val="000000"/>
              </w:rPr>
            </w:pPr>
            <w:r w:rsidRPr="009B1A37">
              <w:rPr>
                <w:i/>
                <w:iCs/>
                <w:color w:val="000000"/>
              </w:rPr>
              <w:t>Méně časté:</w:t>
            </w:r>
          </w:p>
        </w:tc>
        <w:tc>
          <w:tcPr>
            <w:tcW w:w="7107" w:type="dxa"/>
            <w:tcBorders>
              <w:top w:val="single" w:sz="4" w:space="0" w:color="000000"/>
              <w:left w:val="single" w:sz="4" w:space="0" w:color="000000"/>
              <w:bottom w:val="single" w:sz="4" w:space="0" w:color="000000"/>
              <w:right w:val="single" w:sz="4" w:space="0" w:color="000000"/>
            </w:tcBorders>
          </w:tcPr>
          <w:p w14:paraId="2B1F95AE" w14:textId="77777777" w:rsidR="008913CE" w:rsidRPr="009B1A37" w:rsidRDefault="008913CE" w:rsidP="00BE3D48">
            <w:pPr>
              <w:keepNext/>
              <w:widowControl w:val="0"/>
              <w:snapToGrid w:val="0"/>
              <w:spacing w:line="240" w:lineRule="auto"/>
              <w:rPr>
                <w:color w:val="000000"/>
              </w:rPr>
            </w:pPr>
            <w:r w:rsidRPr="009B1A37">
              <w:rPr>
                <w:color w:val="000000"/>
              </w:rPr>
              <w:t>Zvýšení koncentrace kreatininu v krvi, zvýšení kreatinfosfokinázy v krvi, zvýšení laktátdehydrogenázy v krvi, zvýšení alkalické fosfatázy v krvi</w:t>
            </w:r>
          </w:p>
        </w:tc>
      </w:tr>
      <w:tr w:rsidR="008913CE" w:rsidRPr="009B1A37" w14:paraId="55FB9AB3" w14:textId="77777777" w:rsidTr="00EB4FF7">
        <w:trPr>
          <w:gridBefore w:val="1"/>
          <w:wBefore w:w="12" w:type="dxa"/>
          <w:cantSplit/>
        </w:trPr>
        <w:tc>
          <w:tcPr>
            <w:tcW w:w="2235" w:type="dxa"/>
            <w:gridSpan w:val="4"/>
            <w:tcBorders>
              <w:top w:val="single" w:sz="4" w:space="0" w:color="000000"/>
              <w:left w:val="single" w:sz="4" w:space="0" w:color="000000"/>
              <w:bottom w:val="single" w:sz="4" w:space="0" w:color="000000"/>
            </w:tcBorders>
          </w:tcPr>
          <w:p w14:paraId="15760E2F" w14:textId="77777777" w:rsidR="008913CE" w:rsidRPr="009B1A37" w:rsidRDefault="008913CE" w:rsidP="00BE3D48">
            <w:pPr>
              <w:keepNext/>
              <w:widowControl w:val="0"/>
              <w:snapToGrid w:val="0"/>
              <w:spacing w:line="240" w:lineRule="auto"/>
              <w:rPr>
                <w:i/>
                <w:iCs/>
                <w:color w:val="000000"/>
              </w:rPr>
            </w:pPr>
            <w:r w:rsidRPr="009B1A37">
              <w:rPr>
                <w:i/>
                <w:iCs/>
                <w:color w:val="000000"/>
              </w:rPr>
              <w:t>Vzácné:</w:t>
            </w:r>
          </w:p>
        </w:tc>
        <w:tc>
          <w:tcPr>
            <w:tcW w:w="7107" w:type="dxa"/>
            <w:tcBorders>
              <w:top w:val="single" w:sz="4" w:space="0" w:color="000000"/>
              <w:left w:val="single" w:sz="4" w:space="0" w:color="000000"/>
              <w:bottom w:val="single" w:sz="4" w:space="0" w:color="000000"/>
              <w:right w:val="single" w:sz="4" w:space="0" w:color="000000"/>
            </w:tcBorders>
          </w:tcPr>
          <w:p w14:paraId="6D0AE4E2" w14:textId="77777777" w:rsidR="008913CE" w:rsidRPr="009B1A37" w:rsidRDefault="008913CE" w:rsidP="00BE3D48">
            <w:pPr>
              <w:keepNext/>
              <w:widowControl w:val="0"/>
              <w:snapToGrid w:val="0"/>
              <w:spacing w:line="240" w:lineRule="auto"/>
              <w:rPr>
                <w:color w:val="000000"/>
              </w:rPr>
            </w:pPr>
            <w:r w:rsidRPr="009B1A37">
              <w:rPr>
                <w:color w:val="000000"/>
              </w:rPr>
              <w:t>Zvýšení amylázy v</w:t>
            </w:r>
            <w:r w:rsidR="001927EB" w:rsidRPr="009B1A37">
              <w:rPr>
                <w:color w:val="000000"/>
              </w:rPr>
              <w:t> </w:t>
            </w:r>
            <w:r w:rsidRPr="009B1A37">
              <w:rPr>
                <w:color w:val="000000"/>
              </w:rPr>
              <w:t>krvi</w:t>
            </w:r>
          </w:p>
        </w:tc>
      </w:tr>
    </w:tbl>
    <w:p w14:paraId="306AB4BF" w14:textId="77777777" w:rsidR="005E2891" w:rsidRPr="009B1A37" w:rsidRDefault="005E2891" w:rsidP="00BE3D48">
      <w:pPr>
        <w:keepNext/>
        <w:widowControl w:val="0"/>
        <w:spacing w:line="240" w:lineRule="auto"/>
        <w:rPr>
          <w:color w:val="000000"/>
        </w:rPr>
      </w:pPr>
    </w:p>
    <w:p w14:paraId="08A4D690" w14:textId="77777777" w:rsidR="005E2891" w:rsidRPr="009B1A37" w:rsidRDefault="005E2891" w:rsidP="00EB4FF7">
      <w:pPr>
        <w:keepNext/>
        <w:keepLines/>
        <w:widowControl w:val="0"/>
        <w:spacing w:line="240" w:lineRule="auto"/>
        <w:ind w:left="567" w:hanging="567"/>
        <w:rPr>
          <w:color w:val="000000"/>
        </w:rPr>
      </w:pPr>
      <w:r w:rsidRPr="009B1A37">
        <w:rPr>
          <w:color w:val="000000"/>
        </w:rPr>
        <w:t>*</w:t>
      </w:r>
      <w:r w:rsidRPr="009B1A37">
        <w:rPr>
          <w:color w:val="000000"/>
        </w:rPr>
        <w:tab/>
        <w:t>Tyto typy reakcí byly hlášeny po uvedení přípravku Glivec na trhu. Jsou zde zahrnuta spontánní hlášení nežádoucích účinků a také závažné nežádoucí účinky z pokračujících studií, programů rozšířeného přístupu k léčivému přípravku, studií klinické farmakologie a výzkumných studií v dosud neschválených indikacích. Protože tyto reakce jsou hlášeny z populace neurčitého rozsahu, není vždy možné spolehlivě odhadnout jejich četnost výskytu nebo stanovit kauzální vztah vůči expozici imatinibem.</w:t>
      </w:r>
    </w:p>
    <w:p w14:paraId="36C7F741" w14:textId="77777777" w:rsidR="00EA5993" w:rsidRPr="009B1A37" w:rsidRDefault="005E2891" w:rsidP="00EB4FF7">
      <w:pPr>
        <w:keepNext/>
        <w:keepLines/>
        <w:widowControl w:val="0"/>
        <w:tabs>
          <w:tab w:val="clear" w:pos="567"/>
        </w:tabs>
        <w:spacing w:line="240" w:lineRule="auto"/>
        <w:rPr>
          <w:color w:val="000000"/>
        </w:rPr>
      </w:pPr>
      <w:r w:rsidRPr="009B1A37">
        <w:t>1</w:t>
      </w:r>
      <w:r w:rsidRPr="009B1A37">
        <w:tab/>
      </w:r>
      <w:r w:rsidR="00EA5993" w:rsidRPr="009B1A37">
        <w:rPr>
          <w:color w:val="000000"/>
        </w:rPr>
        <w:t>Pneumonie byla nejčastěji hlášena u pacientů s transformovanou CML a u pacientů s GIST.</w:t>
      </w:r>
    </w:p>
    <w:p w14:paraId="30654125" w14:textId="77777777" w:rsidR="00EA5993" w:rsidRPr="009B1A37" w:rsidRDefault="00EA5993" w:rsidP="00EB4FF7">
      <w:pPr>
        <w:keepNext/>
        <w:keepLines/>
        <w:widowControl w:val="0"/>
        <w:numPr>
          <w:ilvl w:val="0"/>
          <w:numId w:val="31"/>
        </w:numPr>
        <w:tabs>
          <w:tab w:val="clear" w:pos="567"/>
        </w:tabs>
        <w:spacing w:line="240" w:lineRule="auto"/>
        <w:ind w:left="0" w:firstLine="0"/>
        <w:rPr>
          <w:color w:val="000000"/>
        </w:rPr>
      </w:pPr>
      <w:r w:rsidRPr="009B1A37">
        <w:rPr>
          <w:color w:val="000000"/>
        </w:rPr>
        <w:t>Bolest hlavy byl</w:t>
      </w:r>
      <w:r w:rsidR="0081768C" w:rsidRPr="009B1A37">
        <w:rPr>
          <w:color w:val="000000"/>
        </w:rPr>
        <w:t>a</w:t>
      </w:r>
      <w:r w:rsidRPr="009B1A37">
        <w:rPr>
          <w:color w:val="000000"/>
        </w:rPr>
        <w:t xml:space="preserve"> nejčastější u pacientů s GIST.</w:t>
      </w:r>
    </w:p>
    <w:p w14:paraId="3780FBB0" w14:textId="77777777" w:rsidR="00EA5993" w:rsidRPr="009B1A37" w:rsidRDefault="00EA5993" w:rsidP="00EB4FF7">
      <w:pPr>
        <w:keepNext/>
        <w:keepLines/>
        <w:widowControl w:val="0"/>
        <w:tabs>
          <w:tab w:val="clear" w:pos="567"/>
        </w:tabs>
        <w:spacing w:line="240" w:lineRule="auto"/>
        <w:ind w:left="567" w:hanging="567"/>
        <w:rPr>
          <w:color w:val="000000"/>
        </w:rPr>
      </w:pPr>
      <w:r w:rsidRPr="009B1A37">
        <w:rPr>
          <w:color w:val="000000"/>
        </w:rPr>
        <w:t>3</w:t>
      </w:r>
      <w:r w:rsidRPr="009B1A37">
        <w:rPr>
          <w:color w:val="000000"/>
        </w:rPr>
        <w:tab/>
        <w:t>Na podkladě hodnocení pacientoroků byly srdeční příhody včetně městnavého srdečního selhání pozorovány častěji u pacientů s transformovanou CML než u pacientů s chronickou CML.</w:t>
      </w:r>
    </w:p>
    <w:p w14:paraId="6A446135" w14:textId="77777777" w:rsidR="00EA5993" w:rsidRPr="009B1A37" w:rsidRDefault="00EA5993" w:rsidP="00EB4FF7">
      <w:pPr>
        <w:keepNext/>
        <w:keepLines/>
        <w:widowControl w:val="0"/>
        <w:tabs>
          <w:tab w:val="clear" w:pos="567"/>
        </w:tabs>
        <w:spacing w:line="240" w:lineRule="auto"/>
        <w:ind w:left="567" w:hanging="567"/>
        <w:rPr>
          <w:color w:val="000000"/>
        </w:rPr>
      </w:pPr>
      <w:r w:rsidRPr="009B1A37">
        <w:rPr>
          <w:color w:val="000000"/>
        </w:rPr>
        <w:t>4</w:t>
      </w:r>
      <w:r w:rsidRPr="009B1A37">
        <w:rPr>
          <w:color w:val="000000"/>
        </w:rPr>
        <w:tab/>
        <w:t>Zrudnutí bylo nejčastější u pacientů s GIST a krvácení (hematomy, hemoragie) bylo nejčastější u pacientů s GIST a s transformovanou CML (CML-AP a CML-BC).</w:t>
      </w:r>
    </w:p>
    <w:p w14:paraId="5C521906" w14:textId="77777777" w:rsidR="00EA5993" w:rsidRPr="009B1A37" w:rsidRDefault="00EA5993" w:rsidP="00EB4FF7">
      <w:pPr>
        <w:keepNext/>
        <w:keepLines/>
        <w:widowControl w:val="0"/>
        <w:tabs>
          <w:tab w:val="clear" w:pos="567"/>
        </w:tabs>
        <w:spacing w:line="240" w:lineRule="auto"/>
        <w:ind w:left="567" w:hanging="567"/>
        <w:rPr>
          <w:color w:val="000000"/>
        </w:rPr>
      </w:pPr>
      <w:r w:rsidRPr="009B1A37">
        <w:rPr>
          <w:color w:val="000000"/>
        </w:rPr>
        <w:t>5</w:t>
      </w:r>
      <w:r w:rsidRPr="009B1A37">
        <w:rPr>
          <w:color w:val="000000"/>
        </w:rPr>
        <w:tab/>
        <w:t>Pleurální výpotek byl častěji hlášen u pacientů s GIST a u pacientů s transformovanou CML (CML-AP a CML-BC) než u pacientů s chronickou CML.</w:t>
      </w:r>
    </w:p>
    <w:p w14:paraId="5496F529" w14:textId="77777777" w:rsidR="00EA5993" w:rsidRPr="009B1A37" w:rsidRDefault="00EA5993" w:rsidP="00EB4FF7">
      <w:pPr>
        <w:keepNext/>
        <w:keepLines/>
        <w:widowControl w:val="0"/>
        <w:tabs>
          <w:tab w:val="clear" w:pos="567"/>
        </w:tabs>
        <w:spacing w:line="240" w:lineRule="auto"/>
        <w:ind w:left="567" w:hanging="567"/>
        <w:rPr>
          <w:color w:val="000000"/>
        </w:rPr>
      </w:pPr>
      <w:r w:rsidRPr="009B1A37">
        <w:rPr>
          <w:color w:val="000000"/>
        </w:rPr>
        <w:t>6+7</w:t>
      </w:r>
      <w:r w:rsidRPr="009B1A37">
        <w:rPr>
          <w:color w:val="000000"/>
        </w:rPr>
        <w:tab/>
        <w:t>Bolesti břicha a gastrointestinální krvácení byly nejčastěji pozorovány u pacientů s GIST.</w:t>
      </w:r>
    </w:p>
    <w:p w14:paraId="3E481B02" w14:textId="77777777" w:rsidR="00EA5993" w:rsidRPr="009B1A37" w:rsidRDefault="00EA5993" w:rsidP="00EB4FF7">
      <w:pPr>
        <w:keepNext/>
        <w:keepLines/>
        <w:widowControl w:val="0"/>
        <w:tabs>
          <w:tab w:val="clear" w:pos="567"/>
        </w:tabs>
        <w:spacing w:line="240" w:lineRule="auto"/>
        <w:ind w:left="567" w:hanging="567"/>
        <w:rPr>
          <w:color w:val="000000"/>
        </w:rPr>
      </w:pPr>
      <w:r w:rsidRPr="009B1A37">
        <w:rPr>
          <w:color w:val="000000"/>
        </w:rPr>
        <w:t>8</w:t>
      </w:r>
      <w:r w:rsidRPr="009B1A37">
        <w:rPr>
          <w:color w:val="000000"/>
        </w:rPr>
        <w:tab/>
        <w:t>Bylo hlášeno několik fatálních případů jaterního selhání a jaterních nekróz.</w:t>
      </w:r>
    </w:p>
    <w:p w14:paraId="6F40F1E4" w14:textId="77777777" w:rsidR="00AA5237" w:rsidRPr="009B1A37" w:rsidRDefault="00AA5237" w:rsidP="00EB4FF7">
      <w:pPr>
        <w:keepNext/>
        <w:keepLines/>
        <w:widowControl w:val="0"/>
        <w:tabs>
          <w:tab w:val="clear" w:pos="567"/>
        </w:tabs>
        <w:spacing w:line="240" w:lineRule="auto"/>
        <w:ind w:left="567" w:hanging="567"/>
        <w:rPr>
          <w:color w:val="000000"/>
        </w:rPr>
      </w:pPr>
      <w:r w:rsidRPr="009B1A37">
        <w:rPr>
          <w:color w:val="000000"/>
        </w:rPr>
        <w:t>9</w:t>
      </w:r>
      <w:r w:rsidR="0035736A" w:rsidRPr="009B1A37">
        <w:rPr>
          <w:color w:val="000000"/>
        </w:rPr>
        <w:tab/>
      </w:r>
      <w:r w:rsidR="00953FC7" w:rsidRPr="009B1A37">
        <w:rPr>
          <w:color w:val="000000"/>
        </w:rPr>
        <w:t>Po uvedení na trh byla hlášena muskuloskeletá</w:t>
      </w:r>
      <w:r w:rsidR="0081768C" w:rsidRPr="009B1A37">
        <w:rPr>
          <w:color w:val="000000"/>
        </w:rPr>
        <w:t>l</w:t>
      </w:r>
      <w:r w:rsidR="00953FC7" w:rsidRPr="009B1A37">
        <w:rPr>
          <w:color w:val="000000"/>
        </w:rPr>
        <w:t>ní bolest a to během nebo po ukončení léčby imatinibem.</w:t>
      </w:r>
    </w:p>
    <w:p w14:paraId="298CB3B0" w14:textId="77777777" w:rsidR="00EA5993" w:rsidRPr="009B1A37" w:rsidRDefault="00AA5237" w:rsidP="00EB4FF7">
      <w:pPr>
        <w:keepNext/>
        <w:keepLines/>
        <w:widowControl w:val="0"/>
        <w:tabs>
          <w:tab w:val="clear" w:pos="567"/>
        </w:tabs>
        <w:spacing w:line="240" w:lineRule="auto"/>
        <w:ind w:left="567" w:hanging="567"/>
        <w:rPr>
          <w:color w:val="000000"/>
        </w:rPr>
      </w:pPr>
      <w:r w:rsidRPr="009B1A37">
        <w:rPr>
          <w:color w:val="000000"/>
        </w:rPr>
        <w:t>10</w:t>
      </w:r>
      <w:r w:rsidR="00EA5993" w:rsidRPr="009B1A37">
        <w:rPr>
          <w:color w:val="000000"/>
        </w:rPr>
        <w:tab/>
        <w:t>Muskuloskeletární bolesti a související příhody byly častěji pozorovány u pacientů s CML než u pacientů s GIST.</w:t>
      </w:r>
    </w:p>
    <w:p w14:paraId="15D62428" w14:textId="77777777" w:rsidR="005E2891" w:rsidRPr="009B1A37" w:rsidRDefault="00AA5237" w:rsidP="00EB4FF7">
      <w:pPr>
        <w:keepLines/>
        <w:widowControl w:val="0"/>
        <w:tabs>
          <w:tab w:val="clear" w:pos="567"/>
          <w:tab w:val="left" w:pos="720"/>
        </w:tabs>
        <w:spacing w:line="240" w:lineRule="auto"/>
        <w:ind w:left="567" w:hanging="567"/>
        <w:rPr>
          <w:color w:val="000000"/>
        </w:rPr>
      </w:pPr>
      <w:r w:rsidRPr="009B1A37">
        <w:rPr>
          <w:color w:val="000000"/>
        </w:rPr>
        <w:t>11</w:t>
      </w:r>
      <w:r w:rsidR="005E2891" w:rsidRPr="009B1A37">
        <w:rPr>
          <w:color w:val="000000"/>
        </w:rPr>
        <w:tab/>
        <w:t>Fatální případy byly hlášeny u</w:t>
      </w:r>
      <w:r w:rsidR="005E2891" w:rsidRPr="009B1A37">
        <w:t> </w:t>
      </w:r>
      <w:r w:rsidR="005E2891" w:rsidRPr="009B1A37">
        <w:rPr>
          <w:color w:val="000000"/>
        </w:rPr>
        <w:t>pacientů s pokročilým onemocněním, závažnými infekcemi, závažnou neutropenií a jinými závažnými konkomitantními stavy.</w:t>
      </w:r>
    </w:p>
    <w:p w14:paraId="5335D55E" w14:textId="77777777" w:rsidR="00EA5993" w:rsidRPr="009B1A37" w:rsidRDefault="00EA5993" w:rsidP="00BE3D48">
      <w:pPr>
        <w:pStyle w:val="Text"/>
        <w:widowControl w:val="0"/>
        <w:spacing w:before="0"/>
        <w:jc w:val="left"/>
        <w:rPr>
          <w:color w:val="000000"/>
          <w:sz w:val="22"/>
          <w:szCs w:val="22"/>
          <w:lang w:val="cs-CZ"/>
        </w:rPr>
      </w:pPr>
    </w:p>
    <w:p w14:paraId="534751E3" w14:textId="77777777" w:rsidR="00EA5993" w:rsidRPr="009B1A37" w:rsidRDefault="00EA5993" w:rsidP="00BE3D48">
      <w:pPr>
        <w:pStyle w:val="Heading4"/>
        <w:widowControl w:val="0"/>
        <w:numPr>
          <w:ilvl w:val="0"/>
          <w:numId w:val="0"/>
        </w:numPr>
        <w:spacing w:line="240" w:lineRule="auto"/>
        <w:jc w:val="left"/>
        <w:rPr>
          <w:b w:val="0"/>
          <w:color w:val="000000"/>
          <w:u w:val="single"/>
          <w:lang w:val="cs-CZ"/>
        </w:rPr>
      </w:pPr>
      <w:r w:rsidRPr="009B1A37">
        <w:rPr>
          <w:b w:val="0"/>
          <w:color w:val="000000"/>
          <w:u w:val="single"/>
          <w:lang w:val="cs-CZ"/>
        </w:rPr>
        <w:t>Změny hodnot laboratorních vyšetření</w:t>
      </w:r>
    </w:p>
    <w:p w14:paraId="721D4A07" w14:textId="77777777" w:rsidR="00EA5993" w:rsidRPr="009B1A37" w:rsidRDefault="00EA5993" w:rsidP="00BE3D48">
      <w:pPr>
        <w:pStyle w:val="Text"/>
        <w:keepNext/>
        <w:widowControl w:val="0"/>
        <w:spacing w:before="0"/>
        <w:jc w:val="left"/>
        <w:rPr>
          <w:i/>
          <w:iCs/>
          <w:color w:val="000000"/>
          <w:sz w:val="22"/>
          <w:szCs w:val="22"/>
          <w:lang w:val="cs-CZ"/>
        </w:rPr>
      </w:pPr>
      <w:r w:rsidRPr="009B1A37">
        <w:rPr>
          <w:i/>
          <w:iCs/>
          <w:color w:val="000000"/>
          <w:sz w:val="22"/>
          <w:szCs w:val="22"/>
          <w:lang w:val="cs-CZ"/>
        </w:rPr>
        <w:t>Hematologie</w:t>
      </w:r>
    </w:p>
    <w:p w14:paraId="68ADE334" w14:textId="77777777" w:rsidR="00EA5993" w:rsidRPr="009B1A37" w:rsidRDefault="00EA5993" w:rsidP="00BE3D48">
      <w:pPr>
        <w:pStyle w:val="Text"/>
        <w:widowControl w:val="0"/>
        <w:spacing w:before="0"/>
        <w:jc w:val="left"/>
        <w:rPr>
          <w:color w:val="000000"/>
          <w:sz w:val="22"/>
          <w:szCs w:val="22"/>
          <w:lang w:val="cs-CZ"/>
        </w:rPr>
      </w:pPr>
      <w:r w:rsidRPr="009B1A37">
        <w:rPr>
          <w:color w:val="000000"/>
          <w:sz w:val="22"/>
          <w:szCs w:val="22"/>
          <w:lang w:val="cs-CZ"/>
        </w:rPr>
        <w:t xml:space="preserve">U CML byly cytopenie, zvláště neutropenie a trombocytopenie, shodným nálezem ve všech studiích, s náznakem vyššího výskytu při vysokých dávkách </w:t>
      </w:r>
      <w:r w:rsidRPr="009B1A37">
        <w:rPr>
          <w:rFonts w:ascii="Symbol" w:hAnsi="Symbol"/>
          <w:color w:val="000000"/>
          <w:sz w:val="22"/>
          <w:szCs w:val="22"/>
          <w:lang w:val="cs-CZ"/>
        </w:rPr>
        <w:t></w:t>
      </w:r>
      <w:r w:rsidRPr="009B1A37">
        <w:rPr>
          <w:color w:val="000000"/>
          <w:sz w:val="22"/>
          <w:szCs w:val="22"/>
          <w:lang w:val="cs-CZ"/>
        </w:rPr>
        <w:t> 750 mg (</w:t>
      </w:r>
      <w:r w:rsidR="0081768C" w:rsidRPr="009B1A37">
        <w:rPr>
          <w:color w:val="000000"/>
          <w:sz w:val="22"/>
          <w:szCs w:val="22"/>
          <w:lang w:val="cs-CZ"/>
        </w:rPr>
        <w:t xml:space="preserve">studie </w:t>
      </w:r>
      <w:r w:rsidRPr="009B1A37">
        <w:rPr>
          <w:color w:val="000000"/>
          <w:sz w:val="22"/>
          <w:szCs w:val="22"/>
          <w:lang w:val="cs-CZ"/>
        </w:rPr>
        <w:t>fáze I). Výskyt cytopenií byl však jasně závislý na st</w:t>
      </w:r>
      <w:r w:rsidR="0081768C" w:rsidRPr="009B1A37">
        <w:rPr>
          <w:color w:val="000000"/>
          <w:sz w:val="22"/>
          <w:szCs w:val="22"/>
          <w:lang w:val="cs-CZ"/>
        </w:rPr>
        <w:t>a</w:t>
      </w:r>
      <w:r w:rsidRPr="009B1A37">
        <w:rPr>
          <w:color w:val="000000"/>
          <w:sz w:val="22"/>
          <w:szCs w:val="22"/>
          <w:lang w:val="cs-CZ"/>
        </w:rPr>
        <w:t>diu onemocnění. Frekvence výskytu stupně 3 nebo 4 neutropenií (ANC &lt; 1,0 x 10</w:t>
      </w:r>
      <w:r w:rsidRPr="009B1A37">
        <w:rPr>
          <w:color w:val="000000"/>
          <w:sz w:val="22"/>
          <w:szCs w:val="22"/>
          <w:vertAlign w:val="superscript"/>
          <w:lang w:val="cs-CZ"/>
        </w:rPr>
        <w:t>9</w:t>
      </w:r>
      <w:r w:rsidRPr="009B1A37">
        <w:rPr>
          <w:color w:val="000000"/>
          <w:sz w:val="22"/>
          <w:szCs w:val="22"/>
          <w:lang w:val="cs-CZ"/>
        </w:rPr>
        <w:t xml:space="preserve">/l) a trombocytopenií (počet </w:t>
      </w:r>
      <w:r w:rsidR="0081768C" w:rsidRPr="009B1A37">
        <w:rPr>
          <w:color w:val="000000"/>
          <w:sz w:val="22"/>
          <w:szCs w:val="22"/>
          <w:lang w:val="cs-CZ"/>
        </w:rPr>
        <w:t xml:space="preserve">trombocytů </w:t>
      </w:r>
      <w:r w:rsidRPr="009B1A37">
        <w:rPr>
          <w:color w:val="000000"/>
          <w:sz w:val="22"/>
          <w:szCs w:val="22"/>
          <w:lang w:val="cs-CZ"/>
        </w:rPr>
        <w:t>&lt; 50 x 10</w:t>
      </w:r>
      <w:r w:rsidRPr="009B1A37">
        <w:rPr>
          <w:color w:val="000000"/>
          <w:sz w:val="22"/>
          <w:szCs w:val="22"/>
          <w:vertAlign w:val="superscript"/>
          <w:lang w:val="cs-CZ"/>
        </w:rPr>
        <w:t>9</w:t>
      </w:r>
      <w:r w:rsidRPr="009B1A37">
        <w:rPr>
          <w:color w:val="000000"/>
          <w:sz w:val="22"/>
          <w:szCs w:val="22"/>
          <w:lang w:val="cs-CZ"/>
        </w:rPr>
        <w:t>/l) byly 4x a 6x častější v blastické krizi a akcelerované fázi onemocnění (59–64</w:t>
      </w:r>
      <w:r w:rsidR="0081768C" w:rsidRPr="009B1A37">
        <w:rPr>
          <w:color w:val="000000"/>
          <w:sz w:val="22"/>
          <w:szCs w:val="22"/>
          <w:lang w:val="cs-CZ"/>
        </w:rPr>
        <w:t> </w:t>
      </w:r>
      <w:r w:rsidRPr="009B1A37">
        <w:rPr>
          <w:color w:val="000000"/>
          <w:sz w:val="22"/>
          <w:szCs w:val="22"/>
          <w:lang w:val="cs-CZ"/>
        </w:rPr>
        <w:t>% pro neutropenii a 44–63</w:t>
      </w:r>
      <w:r w:rsidR="0081768C" w:rsidRPr="009B1A37">
        <w:rPr>
          <w:color w:val="000000"/>
          <w:sz w:val="22"/>
          <w:szCs w:val="22"/>
          <w:lang w:val="cs-CZ"/>
        </w:rPr>
        <w:t> </w:t>
      </w:r>
      <w:r w:rsidRPr="009B1A37">
        <w:rPr>
          <w:color w:val="000000"/>
          <w:sz w:val="22"/>
          <w:szCs w:val="22"/>
          <w:lang w:val="cs-CZ"/>
        </w:rPr>
        <w:t>% pro trombocytopenii) ve srovnání s nově diagnostikovanými pacienty s chronickou fází CML (16,7</w:t>
      </w:r>
      <w:r w:rsidR="0081768C" w:rsidRPr="009B1A37">
        <w:rPr>
          <w:color w:val="000000"/>
          <w:sz w:val="22"/>
          <w:szCs w:val="22"/>
          <w:lang w:val="cs-CZ"/>
        </w:rPr>
        <w:t> </w:t>
      </w:r>
      <w:r w:rsidRPr="009B1A37">
        <w:rPr>
          <w:color w:val="000000"/>
          <w:sz w:val="22"/>
          <w:szCs w:val="22"/>
          <w:lang w:val="cs-CZ"/>
        </w:rPr>
        <w:t>% neutropenií a 8,9</w:t>
      </w:r>
      <w:r w:rsidR="0081768C" w:rsidRPr="009B1A37">
        <w:rPr>
          <w:color w:val="000000"/>
          <w:sz w:val="22"/>
          <w:szCs w:val="22"/>
          <w:lang w:val="cs-CZ"/>
        </w:rPr>
        <w:t> </w:t>
      </w:r>
      <w:r w:rsidRPr="009B1A37">
        <w:rPr>
          <w:color w:val="000000"/>
          <w:sz w:val="22"/>
          <w:szCs w:val="22"/>
          <w:lang w:val="cs-CZ"/>
        </w:rPr>
        <w:t>% trombocytopenií). U nově diagnostikovaných pacientů s chronickou fází CML byl stupeň 4 neutropenie (ANC &lt; 0,5 x 10</w:t>
      </w:r>
      <w:r w:rsidRPr="009B1A37">
        <w:rPr>
          <w:color w:val="000000"/>
          <w:sz w:val="22"/>
          <w:szCs w:val="22"/>
          <w:vertAlign w:val="superscript"/>
          <w:lang w:val="cs-CZ"/>
        </w:rPr>
        <w:t>9</w:t>
      </w:r>
      <w:r w:rsidRPr="009B1A37">
        <w:rPr>
          <w:color w:val="000000"/>
          <w:sz w:val="22"/>
          <w:szCs w:val="22"/>
          <w:lang w:val="cs-CZ"/>
        </w:rPr>
        <w:t>/l) pozorován u 3,6</w:t>
      </w:r>
      <w:r w:rsidR="0081768C" w:rsidRPr="009B1A37">
        <w:rPr>
          <w:color w:val="000000"/>
          <w:sz w:val="22"/>
          <w:szCs w:val="22"/>
          <w:lang w:val="cs-CZ"/>
        </w:rPr>
        <w:t> </w:t>
      </w:r>
      <w:r w:rsidRPr="009B1A37">
        <w:rPr>
          <w:color w:val="000000"/>
          <w:sz w:val="22"/>
          <w:szCs w:val="22"/>
          <w:lang w:val="cs-CZ"/>
        </w:rPr>
        <w:t xml:space="preserve">% a trombocytopenie (počet </w:t>
      </w:r>
      <w:r w:rsidR="0081768C" w:rsidRPr="009B1A37">
        <w:rPr>
          <w:color w:val="000000"/>
          <w:sz w:val="22"/>
          <w:szCs w:val="22"/>
          <w:lang w:val="cs-CZ"/>
        </w:rPr>
        <w:t>trombocytů</w:t>
      </w:r>
      <w:r w:rsidRPr="009B1A37">
        <w:rPr>
          <w:color w:val="000000"/>
          <w:sz w:val="22"/>
          <w:szCs w:val="22"/>
          <w:lang w:val="cs-CZ"/>
        </w:rPr>
        <w:t xml:space="preserve"> &lt; 10 x 10</w:t>
      </w:r>
      <w:r w:rsidRPr="009B1A37">
        <w:rPr>
          <w:color w:val="000000"/>
          <w:sz w:val="22"/>
          <w:szCs w:val="22"/>
          <w:vertAlign w:val="superscript"/>
          <w:lang w:val="cs-CZ"/>
        </w:rPr>
        <w:t>9</w:t>
      </w:r>
      <w:r w:rsidRPr="009B1A37">
        <w:rPr>
          <w:color w:val="000000"/>
          <w:sz w:val="22"/>
          <w:szCs w:val="22"/>
          <w:lang w:val="cs-CZ"/>
        </w:rPr>
        <w:t>/l) u &lt; 1</w:t>
      </w:r>
      <w:r w:rsidR="0081768C" w:rsidRPr="009B1A37">
        <w:rPr>
          <w:color w:val="000000"/>
          <w:sz w:val="22"/>
          <w:szCs w:val="22"/>
          <w:lang w:val="cs-CZ"/>
        </w:rPr>
        <w:t> </w:t>
      </w:r>
      <w:r w:rsidRPr="009B1A37">
        <w:rPr>
          <w:color w:val="000000"/>
          <w:sz w:val="22"/>
          <w:szCs w:val="22"/>
          <w:lang w:val="cs-CZ"/>
        </w:rPr>
        <w:t>% pacientů. Medián trvání neutropeni</w:t>
      </w:r>
      <w:r w:rsidR="0081768C" w:rsidRPr="009B1A37">
        <w:rPr>
          <w:color w:val="000000"/>
          <w:sz w:val="22"/>
          <w:szCs w:val="22"/>
          <w:lang w:val="cs-CZ"/>
        </w:rPr>
        <w:t>e</w:t>
      </w:r>
      <w:r w:rsidRPr="009B1A37">
        <w:rPr>
          <w:color w:val="000000"/>
          <w:sz w:val="22"/>
          <w:szCs w:val="22"/>
          <w:lang w:val="cs-CZ"/>
        </w:rPr>
        <w:t xml:space="preserve"> a trombocytopeni</w:t>
      </w:r>
      <w:r w:rsidR="0081768C" w:rsidRPr="009B1A37">
        <w:rPr>
          <w:color w:val="000000"/>
          <w:sz w:val="22"/>
          <w:szCs w:val="22"/>
          <w:lang w:val="cs-CZ"/>
        </w:rPr>
        <w:t>e</w:t>
      </w:r>
      <w:r w:rsidRPr="009B1A37">
        <w:rPr>
          <w:color w:val="000000"/>
          <w:sz w:val="22"/>
          <w:szCs w:val="22"/>
          <w:lang w:val="cs-CZ"/>
        </w:rPr>
        <w:t xml:space="preserve"> byl obvykle v rozmezí od 2 do 3 týdnů a od 3 do 4 týdnů. Tyto příhody je možné obvykle zvládnout buď snížením dávky nebo přerušením léčby Glivecem, ale ve vzácných případech mohou vést k trvalému přerušení léčby. U </w:t>
      </w:r>
      <w:r w:rsidR="0081768C" w:rsidRPr="009B1A37">
        <w:rPr>
          <w:color w:val="000000"/>
          <w:sz w:val="22"/>
          <w:szCs w:val="22"/>
          <w:lang w:val="cs-CZ"/>
        </w:rPr>
        <w:t xml:space="preserve">pediatrických </w:t>
      </w:r>
      <w:r w:rsidRPr="009B1A37">
        <w:rPr>
          <w:color w:val="000000"/>
          <w:sz w:val="22"/>
          <w:szCs w:val="22"/>
          <w:lang w:val="cs-CZ"/>
        </w:rPr>
        <w:t>pacientů s CML byla nejčastějším pozorovaným hematologickým nežádoucím účinkem cytopenie stupně 3 nebo 4, která zahrnovala neutropenii, trombocytopenii a anemii. Většinou se objevily během prvních několika měsíců léčby.</w:t>
      </w:r>
    </w:p>
    <w:p w14:paraId="71F23B0C" w14:textId="77777777" w:rsidR="00EA5993" w:rsidRPr="009B1A37" w:rsidRDefault="00EA5993" w:rsidP="00BE3D48">
      <w:pPr>
        <w:pStyle w:val="Text"/>
        <w:widowControl w:val="0"/>
        <w:spacing w:before="0"/>
        <w:jc w:val="left"/>
        <w:rPr>
          <w:color w:val="000000"/>
          <w:sz w:val="22"/>
          <w:szCs w:val="22"/>
          <w:lang w:val="cs-CZ"/>
        </w:rPr>
      </w:pPr>
    </w:p>
    <w:p w14:paraId="74D0308B" w14:textId="77777777" w:rsidR="00EA5993" w:rsidRPr="009B1A37" w:rsidRDefault="00EA5993" w:rsidP="00BE3D48">
      <w:pPr>
        <w:pStyle w:val="Text"/>
        <w:widowControl w:val="0"/>
        <w:spacing w:before="0"/>
        <w:jc w:val="left"/>
        <w:rPr>
          <w:color w:val="000000"/>
          <w:sz w:val="22"/>
          <w:szCs w:val="22"/>
          <w:lang w:val="cs-CZ"/>
        </w:rPr>
      </w:pPr>
      <w:r w:rsidRPr="009B1A37">
        <w:rPr>
          <w:color w:val="000000"/>
          <w:sz w:val="22"/>
          <w:szCs w:val="22"/>
          <w:lang w:val="cs-CZ"/>
        </w:rPr>
        <w:t>Ve studii u pacientů s inoperabilním a/nebo metastatickým GIST byl popsán stupeň 3 anemie u 5,4</w:t>
      </w:r>
      <w:r w:rsidR="0081768C" w:rsidRPr="009B1A37">
        <w:rPr>
          <w:color w:val="000000"/>
          <w:sz w:val="22"/>
          <w:szCs w:val="22"/>
          <w:lang w:val="cs-CZ"/>
        </w:rPr>
        <w:t> </w:t>
      </w:r>
      <w:r w:rsidRPr="009B1A37">
        <w:rPr>
          <w:color w:val="000000"/>
          <w:sz w:val="22"/>
          <w:szCs w:val="22"/>
          <w:lang w:val="cs-CZ"/>
        </w:rPr>
        <w:t>% a stupeň 4 u 0,7</w:t>
      </w:r>
      <w:r w:rsidR="0081768C" w:rsidRPr="009B1A37">
        <w:rPr>
          <w:color w:val="000000"/>
          <w:sz w:val="22"/>
          <w:szCs w:val="22"/>
          <w:lang w:val="cs-CZ"/>
        </w:rPr>
        <w:t> </w:t>
      </w:r>
      <w:r w:rsidRPr="009B1A37">
        <w:rPr>
          <w:color w:val="000000"/>
          <w:sz w:val="22"/>
          <w:szCs w:val="22"/>
          <w:lang w:val="cs-CZ"/>
        </w:rPr>
        <w:t>% pacientů, které mohly souviset, alespoň u některých pacientů, s gastrointestinálním krvácením nebo krvácením do nádoru. Stupeň 3 neutropenie byl pozorován u 7,5</w:t>
      </w:r>
      <w:r w:rsidR="0081768C" w:rsidRPr="009B1A37">
        <w:rPr>
          <w:color w:val="000000"/>
          <w:sz w:val="22"/>
          <w:szCs w:val="22"/>
          <w:lang w:val="cs-CZ"/>
        </w:rPr>
        <w:t> </w:t>
      </w:r>
      <w:r w:rsidRPr="009B1A37">
        <w:rPr>
          <w:color w:val="000000"/>
          <w:sz w:val="22"/>
          <w:szCs w:val="22"/>
          <w:lang w:val="cs-CZ"/>
        </w:rPr>
        <w:t>% pacientů a stupeň 4 u 2,7</w:t>
      </w:r>
      <w:r w:rsidR="0081768C" w:rsidRPr="009B1A37">
        <w:rPr>
          <w:color w:val="000000"/>
          <w:sz w:val="22"/>
          <w:szCs w:val="22"/>
          <w:lang w:val="cs-CZ"/>
        </w:rPr>
        <w:t> </w:t>
      </w:r>
      <w:r w:rsidRPr="009B1A37">
        <w:rPr>
          <w:color w:val="000000"/>
          <w:sz w:val="22"/>
          <w:szCs w:val="22"/>
          <w:lang w:val="cs-CZ"/>
        </w:rPr>
        <w:t>% pacientů a stupeň 3 trombocytopenie byl u 0,7</w:t>
      </w:r>
      <w:r w:rsidR="0081768C" w:rsidRPr="009B1A37">
        <w:rPr>
          <w:color w:val="000000"/>
          <w:sz w:val="22"/>
          <w:szCs w:val="22"/>
          <w:lang w:val="cs-CZ"/>
        </w:rPr>
        <w:t> </w:t>
      </w:r>
      <w:r w:rsidRPr="009B1A37">
        <w:rPr>
          <w:color w:val="000000"/>
          <w:sz w:val="22"/>
          <w:szCs w:val="22"/>
          <w:lang w:val="cs-CZ"/>
        </w:rPr>
        <w:t xml:space="preserve">% pacientů. U žádného pacienta se nevyvinul stupeň 4 trombocytopenie. Snížení počtu </w:t>
      </w:r>
      <w:r w:rsidR="0081768C" w:rsidRPr="009B1A37">
        <w:rPr>
          <w:color w:val="000000"/>
          <w:sz w:val="22"/>
          <w:szCs w:val="22"/>
          <w:lang w:val="cs-CZ"/>
        </w:rPr>
        <w:t>leukocytů</w:t>
      </w:r>
      <w:r w:rsidRPr="009B1A37">
        <w:rPr>
          <w:color w:val="000000"/>
          <w:sz w:val="22"/>
          <w:szCs w:val="22"/>
          <w:lang w:val="cs-CZ"/>
        </w:rPr>
        <w:t xml:space="preserve"> a neutrofilů se objevilo hlavně během prvních šesti týdnů léčby, potom zůstávaly hodnoty relativně stabilní.</w:t>
      </w:r>
    </w:p>
    <w:p w14:paraId="71E347FE" w14:textId="77777777" w:rsidR="00EA5993" w:rsidRPr="009B1A37" w:rsidRDefault="00EA5993" w:rsidP="00BE3D48">
      <w:pPr>
        <w:pStyle w:val="Text"/>
        <w:widowControl w:val="0"/>
        <w:spacing w:before="0"/>
        <w:jc w:val="left"/>
        <w:rPr>
          <w:color w:val="000000"/>
          <w:sz w:val="22"/>
          <w:szCs w:val="22"/>
          <w:lang w:val="cs-CZ"/>
        </w:rPr>
      </w:pPr>
    </w:p>
    <w:p w14:paraId="374DD316" w14:textId="77777777" w:rsidR="00EA5993" w:rsidRPr="009B1A37" w:rsidRDefault="00EA5993" w:rsidP="00BE3D48">
      <w:pPr>
        <w:pStyle w:val="Text"/>
        <w:keepNext/>
        <w:widowControl w:val="0"/>
        <w:spacing w:before="0"/>
        <w:jc w:val="left"/>
        <w:rPr>
          <w:i/>
          <w:iCs/>
          <w:color w:val="000000"/>
          <w:sz w:val="22"/>
          <w:szCs w:val="22"/>
          <w:lang w:val="cs-CZ"/>
        </w:rPr>
      </w:pPr>
      <w:r w:rsidRPr="009B1A37">
        <w:rPr>
          <w:i/>
          <w:iCs/>
          <w:color w:val="000000"/>
          <w:sz w:val="22"/>
          <w:szCs w:val="22"/>
          <w:lang w:val="cs-CZ"/>
        </w:rPr>
        <w:t>Biochemie</w:t>
      </w:r>
    </w:p>
    <w:p w14:paraId="3FA7B78D" w14:textId="77777777" w:rsidR="00EA5993" w:rsidRPr="009B1A37" w:rsidRDefault="00EA5993" w:rsidP="00BE3D48">
      <w:pPr>
        <w:pStyle w:val="Text"/>
        <w:widowControl w:val="0"/>
        <w:spacing w:before="0"/>
        <w:jc w:val="left"/>
        <w:rPr>
          <w:color w:val="000000"/>
          <w:sz w:val="22"/>
          <w:szCs w:val="22"/>
          <w:lang w:val="cs-CZ"/>
        </w:rPr>
      </w:pPr>
      <w:r w:rsidRPr="009B1A37">
        <w:rPr>
          <w:color w:val="000000"/>
          <w:sz w:val="22"/>
          <w:szCs w:val="22"/>
          <w:lang w:val="cs-CZ"/>
        </w:rPr>
        <w:t>Závažné zvýšení hodnot transamináz (&lt; 5</w:t>
      </w:r>
      <w:r w:rsidR="0081768C" w:rsidRPr="009B1A37">
        <w:rPr>
          <w:color w:val="000000"/>
          <w:sz w:val="22"/>
          <w:szCs w:val="22"/>
          <w:lang w:val="cs-CZ"/>
        </w:rPr>
        <w:t> </w:t>
      </w:r>
      <w:r w:rsidRPr="009B1A37">
        <w:rPr>
          <w:color w:val="000000"/>
          <w:sz w:val="22"/>
          <w:szCs w:val="22"/>
          <w:lang w:val="cs-CZ"/>
        </w:rPr>
        <w:t>%) nebo bilirubinu (&lt; 1</w:t>
      </w:r>
      <w:r w:rsidR="0081768C" w:rsidRPr="009B1A37">
        <w:rPr>
          <w:color w:val="000000"/>
          <w:sz w:val="22"/>
          <w:szCs w:val="22"/>
          <w:lang w:val="cs-CZ"/>
        </w:rPr>
        <w:t> </w:t>
      </w:r>
      <w:r w:rsidRPr="009B1A37">
        <w:rPr>
          <w:color w:val="000000"/>
          <w:sz w:val="22"/>
          <w:szCs w:val="22"/>
          <w:lang w:val="cs-CZ"/>
        </w:rPr>
        <w:t xml:space="preserve">%) bylo pozorováno u pacientů s CML a obvykle je bylo možné zvládnout snížením dávky nebo přerušením léčby (medián trvání těchto </w:t>
      </w:r>
      <w:r w:rsidR="0081768C" w:rsidRPr="009B1A37">
        <w:rPr>
          <w:color w:val="000000"/>
          <w:sz w:val="22"/>
          <w:szCs w:val="22"/>
          <w:lang w:val="cs-CZ"/>
        </w:rPr>
        <w:t xml:space="preserve">nežádoucích účinků </w:t>
      </w:r>
      <w:r w:rsidRPr="009B1A37">
        <w:rPr>
          <w:color w:val="000000"/>
          <w:sz w:val="22"/>
          <w:szCs w:val="22"/>
          <w:lang w:val="cs-CZ"/>
        </w:rPr>
        <w:t>byl přibližně jeden týden). Léčba byla z důvodů abnormálních laboratorních hodnot jaterních testů trvale přerušena u méně než 1</w:t>
      </w:r>
      <w:r w:rsidR="0081768C" w:rsidRPr="009B1A37">
        <w:rPr>
          <w:color w:val="000000"/>
          <w:sz w:val="22"/>
          <w:szCs w:val="22"/>
          <w:lang w:val="cs-CZ"/>
        </w:rPr>
        <w:t> </w:t>
      </w:r>
      <w:r w:rsidRPr="009B1A37">
        <w:rPr>
          <w:color w:val="000000"/>
          <w:sz w:val="22"/>
          <w:szCs w:val="22"/>
          <w:lang w:val="cs-CZ"/>
        </w:rPr>
        <w:t xml:space="preserve">% pacientů s CML. U pacientů s GIST (studie B2222), bylo pozorováno zvýšení </w:t>
      </w:r>
      <w:smartTag w:uri="urn:schemas-microsoft-com:office:smarttags" w:element="stockticker">
        <w:r w:rsidRPr="009B1A37">
          <w:rPr>
            <w:color w:val="000000"/>
            <w:sz w:val="22"/>
            <w:szCs w:val="22"/>
            <w:lang w:val="cs-CZ"/>
          </w:rPr>
          <w:t>ALT</w:t>
        </w:r>
      </w:smartTag>
      <w:r w:rsidRPr="009B1A37">
        <w:rPr>
          <w:color w:val="000000"/>
          <w:sz w:val="22"/>
          <w:szCs w:val="22"/>
          <w:lang w:val="cs-CZ"/>
        </w:rPr>
        <w:t xml:space="preserve"> (alaninaminotransferáza) stupně 3 nebo 4 u 6,8</w:t>
      </w:r>
      <w:r w:rsidR="0081768C" w:rsidRPr="009B1A37">
        <w:rPr>
          <w:color w:val="000000"/>
          <w:sz w:val="22"/>
          <w:szCs w:val="22"/>
          <w:lang w:val="cs-CZ"/>
        </w:rPr>
        <w:t> </w:t>
      </w:r>
      <w:r w:rsidRPr="009B1A37">
        <w:rPr>
          <w:color w:val="000000"/>
          <w:sz w:val="22"/>
          <w:szCs w:val="22"/>
          <w:lang w:val="cs-CZ"/>
        </w:rPr>
        <w:t>% a zvýšení AST (aspartátaminotransferáza) stupně 3 nebo 4 u 4,8</w:t>
      </w:r>
      <w:r w:rsidR="0081768C" w:rsidRPr="009B1A37">
        <w:rPr>
          <w:color w:val="000000"/>
          <w:sz w:val="22"/>
          <w:szCs w:val="22"/>
          <w:lang w:val="cs-CZ"/>
        </w:rPr>
        <w:t> </w:t>
      </w:r>
      <w:r w:rsidRPr="009B1A37">
        <w:rPr>
          <w:color w:val="000000"/>
          <w:sz w:val="22"/>
          <w:szCs w:val="22"/>
          <w:lang w:val="cs-CZ"/>
        </w:rPr>
        <w:t>%. Zvýšení bilirubinu bylo méně než 3</w:t>
      </w:r>
      <w:r w:rsidR="0081768C" w:rsidRPr="009B1A37">
        <w:rPr>
          <w:color w:val="000000"/>
          <w:sz w:val="22"/>
          <w:szCs w:val="22"/>
          <w:lang w:val="cs-CZ"/>
        </w:rPr>
        <w:t> </w:t>
      </w:r>
      <w:r w:rsidRPr="009B1A37">
        <w:rPr>
          <w:color w:val="000000"/>
          <w:sz w:val="22"/>
          <w:szCs w:val="22"/>
          <w:lang w:val="cs-CZ"/>
        </w:rPr>
        <w:t>%.</w:t>
      </w:r>
    </w:p>
    <w:p w14:paraId="20397DC8" w14:textId="77777777" w:rsidR="00EA5993" w:rsidRPr="009B1A37" w:rsidRDefault="00EA5993" w:rsidP="00BE3D48">
      <w:pPr>
        <w:pStyle w:val="Text"/>
        <w:widowControl w:val="0"/>
        <w:spacing w:before="0"/>
        <w:jc w:val="left"/>
        <w:rPr>
          <w:color w:val="000000"/>
          <w:sz w:val="22"/>
          <w:szCs w:val="22"/>
          <w:lang w:val="cs-CZ"/>
        </w:rPr>
      </w:pPr>
    </w:p>
    <w:p w14:paraId="589B282A" w14:textId="77777777" w:rsidR="001927EB" w:rsidRPr="009B1A37" w:rsidRDefault="00EA5993" w:rsidP="00BE3D48">
      <w:pPr>
        <w:pStyle w:val="Text"/>
        <w:widowControl w:val="0"/>
        <w:spacing w:before="0"/>
        <w:jc w:val="left"/>
        <w:rPr>
          <w:color w:val="000000"/>
          <w:sz w:val="22"/>
          <w:szCs w:val="22"/>
          <w:lang w:val="cs-CZ"/>
        </w:rPr>
      </w:pPr>
      <w:r w:rsidRPr="009B1A37">
        <w:rPr>
          <w:color w:val="000000"/>
          <w:sz w:val="22"/>
          <w:szCs w:val="22"/>
          <w:lang w:val="cs-CZ"/>
        </w:rPr>
        <w:t xml:space="preserve">Byly </w:t>
      </w:r>
      <w:r w:rsidR="0081768C" w:rsidRPr="009B1A37">
        <w:rPr>
          <w:color w:val="000000"/>
          <w:sz w:val="22"/>
          <w:szCs w:val="22"/>
          <w:lang w:val="cs-CZ"/>
        </w:rPr>
        <w:t>hlášeny</w:t>
      </w:r>
      <w:r w:rsidRPr="009B1A37">
        <w:rPr>
          <w:color w:val="000000"/>
          <w:sz w:val="22"/>
          <w:szCs w:val="22"/>
          <w:lang w:val="cs-CZ"/>
        </w:rPr>
        <w:t xml:space="preserve"> případy cytolytické a cholestatické hepatitidy a jaterního selhání; některé z nich byly fatální, </w:t>
      </w:r>
      <w:r w:rsidR="0081768C" w:rsidRPr="009B1A37">
        <w:rPr>
          <w:color w:val="000000"/>
          <w:sz w:val="22"/>
          <w:szCs w:val="22"/>
          <w:lang w:val="cs-CZ"/>
        </w:rPr>
        <w:t>zahrnující i</w:t>
      </w:r>
      <w:r w:rsidRPr="009B1A37">
        <w:rPr>
          <w:color w:val="000000"/>
          <w:sz w:val="22"/>
          <w:szCs w:val="22"/>
          <w:lang w:val="cs-CZ"/>
        </w:rPr>
        <w:t xml:space="preserve"> jednoho pacienta užívajícího vysoké dávky paracetamolu.</w:t>
      </w:r>
    </w:p>
    <w:p w14:paraId="5360AA2C" w14:textId="77777777" w:rsidR="001927EB" w:rsidRPr="009B1A37" w:rsidRDefault="001927EB" w:rsidP="00BE3D48">
      <w:pPr>
        <w:pStyle w:val="Text"/>
        <w:widowControl w:val="0"/>
        <w:spacing w:before="0"/>
        <w:jc w:val="left"/>
        <w:rPr>
          <w:color w:val="000000"/>
          <w:sz w:val="22"/>
          <w:szCs w:val="22"/>
          <w:lang w:val="cs-CZ"/>
        </w:rPr>
      </w:pPr>
    </w:p>
    <w:p w14:paraId="3E6D4ECC" w14:textId="77777777" w:rsidR="001927EB" w:rsidRPr="009B1A37" w:rsidRDefault="001927EB" w:rsidP="00BE3D48">
      <w:pPr>
        <w:pStyle w:val="Text"/>
        <w:keepNext/>
        <w:widowControl w:val="0"/>
        <w:spacing w:before="0"/>
        <w:jc w:val="left"/>
        <w:rPr>
          <w:color w:val="000000"/>
          <w:sz w:val="22"/>
          <w:szCs w:val="22"/>
          <w:u w:val="single"/>
          <w:lang w:val="cs-CZ"/>
        </w:rPr>
      </w:pPr>
      <w:r w:rsidRPr="009B1A37">
        <w:rPr>
          <w:color w:val="000000"/>
          <w:sz w:val="22"/>
          <w:szCs w:val="22"/>
          <w:u w:val="single"/>
          <w:lang w:val="cs-CZ"/>
        </w:rPr>
        <w:t>Popis vybraných nežádoucích účinků</w:t>
      </w:r>
    </w:p>
    <w:p w14:paraId="0274C8C5" w14:textId="77777777" w:rsidR="001927EB" w:rsidRPr="009B1A37" w:rsidRDefault="001927EB" w:rsidP="00BE3D48">
      <w:pPr>
        <w:pStyle w:val="Text"/>
        <w:keepNext/>
        <w:widowControl w:val="0"/>
        <w:spacing w:before="0"/>
        <w:jc w:val="left"/>
        <w:rPr>
          <w:i/>
          <w:color w:val="000000"/>
          <w:sz w:val="22"/>
          <w:szCs w:val="22"/>
          <w:u w:val="single"/>
          <w:lang w:val="cs-CZ"/>
        </w:rPr>
      </w:pPr>
      <w:r w:rsidRPr="009B1A37">
        <w:rPr>
          <w:i/>
          <w:color w:val="000000"/>
          <w:sz w:val="22"/>
          <w:szCs w:val="22"/>
          <w:u w:val="single"/>
          <w:lang w:val="cs-CZ"/>
        </w:rPr>
        <w:t>Reaktivace hepatitidy B</w:t>
      </w:r>
    </w:p>
    <w:p w14:paraId="5546ED2E" w14:textId="77777777" w:rsidR="001927EB" w:rsidRPr="009B1A37" w:rsidRDefault="001927EB" w:rsidP="00BE3D48">
      <w:pPr>
        <w:pStyle w:val="Text"/>
        <w:widowControl w:val="0"/>
        <w:spacing w:before="0"/>
        <w:jc w:val="left"/>
        <w:rPr>
          <w:color w:val="000000"/>
          <w:sz w:val="22"/>
          <w:szCs w:val="22"/>
          <w:lang w:val="cs-CZ"/>
        </w:rPr>
      </w:pPr>
      <w:r w:rsidRPr="009B1A37">
        <w:rPr>
          <w:color w:val="000000"/>
          <w:sz w:val="22"/>
          <w:szCs w:val="22"/>
          <w:lang w:val="cs-CZ"/>
        </w:rPr>
        <w:t>V souvislosti s tyrosinkinázou bcr-abl byla zaznamenána reaktivace hepatitidy B. Některé případy vyústily v akutní selhání jater nebo ve fulminantní hepatitidu vedoucí k transplantaci jater nebo došlo k úmrtí pacienta (viz bod</w:t>
      </w:r>
      <w:r w:rsidR="003104BF" w:rsidRPr="009B1A37">
        <w:rPr>
          <w:color w:val="000000"/>
          <w:sz w:val="22"/>
          <w:szCs w:val="22"/>
          <w:lang w:val="cs-CZ"/>
        </w:rPr>
        <w:t> </w:t>
      </w:r>
      <w:r w:rsidRPr="009B1A37">
        <w:rPr>
          <w:color w:val="000000"/>
          <w:sz w:val="22"/>
          <w:szCs w:val="22"/>
          <w:lang w:val="cs-CZ"/>
        </w:rPr>
        <w:t>4.4).</w:t>
      </w:r>
    </w:p>
    <w:p w14:paraId="1D05DFB9" w14:textId="77777777" w:rsidR="00EA5993" w:rsidRPr="009B1A37" w:rsidRDefault="00EA5993" w:rsidP="00BE3D48">
      <w:pPr>
        <w:pStyle w:val="Text"/>
        <w:widowControl w:val="0"/>
        <w:spacing w:before="0"/>
        <w:jc w:val="left"/>
        <w:rPr>
          <w:color w:val="000000"/>
          <w:sz w:val="22"/>
          <w:szCs w:val="22"/>
          <w:lang w:val="cs-CZ"/>
        </w:rPr>
      </w:pPr>
    </w:p>
    <w:p w14:paraId="056476CE" w14:textId="77777777" w:rsidR="00EA5993" w:rsidRPr="009B1A37" w:rsidRDefault="00EA5993" w:rsidP="00BE3D48">
      <w:pPr>
        <w:keepNext/>
        <w:widowControl w:val="0"/>
        <w:autoSpaceDE w:val="0"/>
        <w:autoSpaceDN w:val="0"/>
        <w:adjustRightInd w:val="0"/>
        <w:spacing w:line="240" w:lineRule="auto"/>
        <w:jc w:val="both"/>
        <w:rPr>
          <w:u w:val="single"/>
        </w:rPr>
      </w:pPr>
      <w:r w:rsidRPr="009B1A37">
        <w:rPr>
          <w:noProof/>
          <w:u w:val="single"/>
        </w:rPr>
        <w:t>Hlášení podezření na nežádoucí účinky</w:t>
      </w:r>
    </w:p>
    <w:p w14:paraId="7A2E71F5" w14:textId="77777777" w:rsidR="00EA5993" w:rsidRPr="009B1A37" w:rsidRDefault="00EA5993" w:rsidP="00BE3D48">
      <w:pPr>
        <w:pStyle w:val="Text"/>
        <w:widowControl w:val="0"/>
        <w:spacing w:before="0"/>
        <w:jc w:val="left"/>
        <w:rPr>
          <w:rStyle w:val="Hyperlink"/>
          <w:noProof/>
          <w:sz w:val="22"/>
          <w:szCs w:val="22"/>
          <w:lang w:val="cs-CZ"/>
        </w:rPr>
      </w:pPr>
      <w:r w:rsidRPr="009B1A37">
        <w:rPr>
          <w:noProof/>
          <w:sz w:val="22"/>
          <w:szCs w:val="22"/>
          <w:lang w:val="cs-CZ"/>
        </w:rPr>
        <w:t>Hlášení podezření na nežádoucí účinky po registraci léčivého přípravku je důležité. Umožňuje to pokrač</w:t>
      </w:r>
      <w:r w:rsidRPr="009B1A37">
        <w:rPr>
          <w:sz w:val="22"/>
          <w:szCs w:val="22"/>
          <w:lang w:val="cs-CZ"/>
        </w:rPr>
        <w:t>ovat ve</w:t>
      </w:r>
      <w:r w:rsidRPr="009B1A37">
        <w:rPr>
          <w:noProof/>
          <w:sz w:val="22"/>
          <w:szCs w:val="22"/>
          <w:lang w:val="cs-CZ"/>
        </w:rPr>
        <w:t xml:space="preserve"> sledování poměru přínosů a rizik léčivého přípravku. Žádáme </w:t>
      </w:r>
      <w:r w:rsidRPr="009B1A37">
        <w:rPr>
          <w:sz w:val="22"/>
          <w:szCs w:val="22"/>
          <w:lang w:val="cs-CZ"/>
        </w:rPr>
        <w:t xml:space="preserve">zdravotnické pracovníky, aby hlásili podezření na nežádoucí účinky </w:t>
      </w:r>
      <w:r w:rsidRPr="009B1A37">
        <w:rPr>
          <w:noProof/>
          <w:sz w:val="22"/>
          <w:szCs w:val="22"/>
          <w:lang w:val="cs-CZ"/>
        </w:rPr>
        <w:t xml:space="preserve">prostřednictvím </w:t>
      </w:r>
      <w:r w:rsidRPr="009B1A37">
        <w:rPr>
          <w:noProof/>
          <w:sz w:val="22"/>
          <w:szCs w:val="22"/>
          <w:shd w:val="pct15" w:color="auto" w:fill="auto"/>
          <w:lang w:val="cs-CZ"/>
        </w:rPr>
        <w:t xml:space="preserve">národního systému hlášení nežádoucích účinků uvedeného v </w:t>
      </w:r>
      <w:hyperlink r:id="rId14" w:history="1">
        <w:r w:rsidRPr="009B1A37">
          <w:rPr>
            <w:rStyle w:val="Hyperlink"/>
            <w:noProof/>
            <w:sz w:val="22"/>
            <w:szCs w:val="22"/>
            <w:shd w:val="pct15" w:color="auto" w:fill="auto"/>
            <w:lang w:val="cs-CZ"/>
          </w:rPr>
          <w:t>Dodatku V</w:t>
        </w:r>
      </w:hyperlink>
      <w:r w:rsidRPr="009B1A37">
        <w:rPr>
          <w:rStyle w:val="Hyperlink"/>
          <w:noProof/>
          <w:sz w:val="22"/>
          <w:szCs w:val="22"/>
          <w:lang w:val="cs-CZ"/>
        </w:rPr>
        <w:t>.</w:t>
      </w:r>
    </w:p>
    <w:p w14:paraId="62D6BBE3" w14:textId="77777777" w:rsidR="00EA5993" w:rsidRPr="009B1A37" w:rsidRDefault="00EA5993" w:rsidP="00BE3D48">
      <w:pPr>
        <w:pStyle w:val="Text"/>
        <w:widowControl w:val="0"/>
        <w:spacing w:before="0"/>
        <w:jc w:val="left"/>
        <w:rPr>
          <w:color w:val="000000"/>
          <w:sz w:val="22"/>
          <w:szCs w:val="22"/>
          <w:lang w:val="cs-CZ"/>
        </w:rPr>
      </w:pPr>
    </w:p>
    <w:p w14:paraId="62F2E547" w14:textId="77777777" w:rsidR="00EA5993" w:rsidRPr="009B1A37" w:rsidRDefault="00EA5993" w:rsidP="00BE3D48">
      <w:pPr>
        <w:keepNext/>
        <w:widowControl w:val="0"/>
        <w:tabs>
          <w:tab w:val="clear" w:pos="567"/>
        </w:tabs>
        <w:spacing w:line="240" w:lineRule="auto"/>
        <w:ind w:left="567" w:hanging="567"/>
        <w:rPr>
          <w:b/>
          <w:bCs/>
          <w:color w:val="000000"/>
        </w:rPr>
      </w:pPr>
      <w:r w:rsidRPr="009B1A37">
        <w:rPr>
          <w:b/>
          <w:bCs/>
          <w:color w:val="000000"/>
        </w:rPr>
        <w:t>4.9</w:t>
      </w:r>
      <w:r w:rsidRPr="009B1A37">
        <w:rPr>
          <w:b/>
          <w:bCs/>
          <w:color w:val="000000"/>
        </w:rPr>
        <w:tab/>
        <w:t>Předávkování</w:t>
      </w:r>
    </w:p>
    <w:p w14:paraId="1B52D1A0" w14:textId="77777777" w:rsidR="00EA5993" w:rsidRPr="009B1A37" w:rsidRDefault="00EA5993" w:rsidP="00BE3D48">
      <w:pPr>
        <w:keepNext/>
        <w:widowControl w:val="0"/>
        <w:tabs>
          <w:tab w:val="clear" w:pos="567"/>
        </w:tabs>
        <w:spacing w:line="240" w:lineRule="auto"/>
        <w:rPr>
          <w:color w:val="000000"/>
        </w:rPr>
      </w:pPr>
    </w:p>
    <w:p w14:paraId="5340B221" w14:textId="77777777" w:rsidR="00EA5993" w:rsidRPr="009B1A37" w:rsidRDefault="00EA5993" w:rsidP="00BE3D48">
      <w:pPr>
        <w:pStyle w:val="EndnoteText"/>
        <w:widowControl w:val="0"/>
        <w:tabs>
          <w:tab w:val="clear" w:pos="567"/>
        </w:tabs>
        <w:rPr>
          <w:color w:val="000000"/>
        </w:rPr>
      </w:pPr>
      <w:r w:rsidRPr="009B1A37">
        <w:rPr>
          <w:color w:val="000000"/>
        </w:rPr>
        <w:t>Zkušenosti s</w:t>
      </w:r>
      <w:r w:rsidRPr="009B1A37">
        <w:rPr>
          <w:color w:val="000000"/>
          <w:sz w:val="24"/>
          <w:szCs w:val="24"/>
        </w:rPr>
        <w:t> </w:t>
      </w:r>
      <w:r w:rsidRPr="009B1A37">
        <w:rPr>
          <w:color w:val="000000"/>
        </w:rPr>
        <w:t>dávkami vyššími než doporučená terapeutická dávka jsou omezené. Jednotlivé případy předávkování Glivecem byly hlášeny spontánně a v</w:t>
      </w:r>
      <w:r w:rsidRPr="009B1A37">
        <w:rPr>
          <w:color w:val="000000"/>
          <w:sz w:val="24"/>
          <w:szCs w:val="24"/>
        </w:rPr>
        <w:t> </w:t>
      </w:r>
      <w:r w:rsidRPr="009B1A37">
        <w:rPr>
          <w:color w:val="000000"/>
        </w:rPr>
        <w:t>literatuře. V</w:t>
      </w:r>
      <w:r w:rsidRPr="009B1A37">
        <w:rPr>
          <w:color w:val="000000"/>
          <w:sz w:val="24"/>
          <w:szCs w:val="24"/>
        </w:rPr>
        <w:t> </w:t>
      </w:r>
      <w:r w:rsidRPr="009B1A37">
        <w:rPr>
          <w:color w:val="000000"/>
        </w:rPr>
        <w:t>případě předávkování by měl být pacient pozorován a odpovídajícím způsobem léčen podpůrnou léčbou. Obecně byl v</w:t>
      </w:r>
      <w:r w:rsidRPr="009B1A37">
        <w:rPr>
          <w:color w:val="000000"/>
          <w:sz w:val="24"/>
          <w:szCs w:val="24"/>
        </w:rPr>
        <w:t> </w:t>
      </w:r>
      <w:r w:rsidRPr="009B1A37">
        <w:rPr>
          <w:color w:val="000000"/>
        </w:rPr>
        <w:t>těchto případech hlášen výsledek „zlepšený“ nebo „vyléčený“. Následující příhody byly hlášeny při podání různých rozmezí dávky:</w:t>
      </w:r>
    </w:p>
    <w:p w14:paraId="73FE6F02" w14:textId="77777777" w:rsidR="00EA5993" w:rsidRPr="009B1A37" w:rsidRDefault="00EA5993" w:rsidP="00BE3D48">
      <w:pPr>
        <w:widowControl w:val="0"/>
        <w:tabs>
          <w:tab w:val="clear" w:pos="567"/>
        </w:tabs>
        <w:spacing w:line="240" w:lineRule="auto"/>
        <w:rPr>
          <w:color w:val="000000"/>
        </w:rPr>
      </w:pPr>
    </w:p>
    <w:p w14:paraId="02F58376" w14:textId="77777777" w:rsidR="00EA5993" w:rsidRPr="009B1A37" w:rsidRDefault="00EA5993" w:rsidP="00BE3D48">
      <w:pPr>
        <w:pStyle w:val="Text"/>
        <w:keepNext/>
        <w:widowControl w:val="0"/>
        <w:spacing w:before="0"/>
        <w:jc w:val="left"/>
        <w:rPr>
          <w:i/>
          <w:iCs/>
          <w:sz w:val="22"/>
          <w:szCs w:val="22"/>
          <w:lang w:val="cs-CZ"/>
        </w:rPr>
      </w:pPr>
      <w:r w:rsidRPr="009B1A37">
        <w:rPr>
          <w:i/>
          <w:iCs/>
          <w:color w:val="000000"/>
          <w:sz w:val="22"/>
          <w:szCs w:val="22"/>
          <w:lang w:val="cs-CZ"/>
        </w:rPr>
        <w:t>Dospělá populace</w:t>
      </w:r>
    </w:p>
    <w:p w14:paraId="1FC0F05B" w14:textId="77777777" w:rsidR="00EA5993" w:rsidRPr="009B1A37" w:rsidRDefault="00EA5993" w:rsidP="00BE3D48">
      <w:pPr>
        <w:pStyle w:val="Text"/>
        <w:widowControl w:val="0"/>
        <w:spacing w:before="0"/>
        <w:jc w:val="left"/>
        <w:rPr>
          <w:lang w:val="cs-CZ"/>
        </w:rPr>
      </w:pPr>
      <w:r w:rsidRPr="009B1A37">
        <w:rPr>
          <w:sz w:val="22"/>
          <w:szCs w:val="22"/>
          <w:lang w:val="cs-CZ"/>
        </w:rPr>
        <w:t>1200 až 1600</w:t>
      </w:r>
      <w:r w:rsidRPr="009B1A37">
        <w:rPr>
          <w:color w:val="000000"/>
          <w:lang w:val="cs-CZ"/>
        </w:rPr>
        <w:t> </w:t>
      </w:r>
      <w:r w:rsidRPr="009B1A37">
        <w:rPr>
          <w:sz w:val="22"/>
          <w:szCs w:val="22"/>
          <w:lang w:val="cs-CZ"/>
        </w:rPr>
        <w:t xml:space="preserve">mg (délka trvání 1 až 10 dní): </w:t>
      </w:r>
      <w:r w:rsidRPr="009B1A37">
        <w:rPr>
          <w:color w:val="000000"/>
          <w:sz w:val="22"/>
          <w:szCs w:val="22"/>
          <w:lang w:val="cs-CZ"/>
        </w:rPr>
        <w:t>N</w:t>
      </w:r>
      <w:r w:rsidRPr="009B1A37">
        <w:rPr>
          <w:sz w:val="22"/>
          <w:szCs w:val="22"/>
          <w:lang w:val="cs-CZ"/>
        </w:rPr>
        <w:t>auzea, zvracení, průjem,</w:t>
      </w:r>
      <w:r w:rsidR="00A12785" w:rsidRPr="009B1A37">
        <w:rPr>
          <w:sz w:val="22"/>
          <w:szCs w:val="22"/>
          <w:lang w:val="cs-CZ"/>
        </w:rPr>
        <w:t xml:space="preserve"> </w:t>
      </w:r>
      <w:r w:rsidRPr="009B1A37">
        <w:rPr>
          <w:sz w:val="22"/>
          <w:szCs w:val="22"/>
          <w:lang w:val="cs-CZ"/>
        </w:rPr>
        <w:t xml:space="preserve">vyrážka, </w:t>
      </w:r>
      <w:r w:rsidR="000C14F2" w:rsidRPr="009B1A37">
        <w:rPr>
          <w:sz w:val="22"/>
          <w:szCs w:val="22"/>
          <w:lang w:val="cs-CZ"/>
        </w:rPr>
        <w:t>erytém</w:t>
      </w:r>
      <w:r w:rsidRPr="009B1A37">
        <w:rPr>
          <w:sz w:val="22"/>
          <w:szCs w:val="22"/>
          <w:lang w:val="cs-CZ"/>
        </w:rPr>
        <w:t>, edém, otoky, únava, svalové křeče, trombocytopenie, pancytopenie, bolest břicha, bolest hlavy, snížená chuť k jídlu.</w:t>
      </w:r>
    </w:p>
    <w:p w14:paraId="47D18629" w14:textId="77777777" w:rsidR="00EA5993" w:rsidRPr="009B1A37" w:rsidRDefault="00EA5993" w:rsidP="00BE3D48">
      <w:pPr>
        <w:pStyle w:val="Text"/>
        <w:widowControl w:val="0"/>
        <w:spacing w:before="0"/>
        <w:jc w:val="left"/>
        <w:rPr>
          <w:color w:val="000000"/>
          <w:sz w:val="22"/>
          <w:szCs w:val="22"/>
          <w:lang w:val="cs-CZ"/>
        </w:rPr>
      </w:pPr>
      <w:r w:rsidRPr="009B1A37">
        <w:rPr>
          <w:sz w:val="22"/>
          <w:szCs w:val="22"/>
          <w:lang w:val="cs-CZ"/>
        </w:rPr>
        <w:t>1800 až 3200 mg (</w:t>
      </w:r>
      <w:r w:rsidRPr="009B1A37">
        <w:rPr>
          <w:color w:val="000000"/>
          <w:sz w:val="22"/>
          <w:szCs w:val="22"/>
          <w:lang w:val="cs-CZ"/>
        </w:rPr>
        <w:t>dosáhlo až</w:t>
      </w:r>
      <w:r w:rsidRPr="009B1A37">
        <w:rPr>
          <w:sz w:val="22"/>
          <w:szCs w:val="22"/>
          <w:lang w:val="cs-CZ"/>
        </w:rPr>
        <w:t xml:space="preserve"> 3200</w:t>
      </w:r>
      <w:r w:rsidRPr="009B1A37">
        <w:rPr>
          <w:color w:val="000000"/>
          <w:sz w:val="22"/>
          <w:szCs w:val="22"/>
          <w:lang w:val="cs-CZ"/>
        </w:rPr>
        <w:t> </w:t>
      </w:r>
      <w:r w:rsidRPr="009B1A37">
        <w:rPr>
          <w:sz w:val="22"/>
          <w:szCs w:val="22"/>
          <w:lang w:val="cs-CZ"/>
        </w:rPr>
        <w:t xml:space="preserve">mg </w:t>
      </w:r>
      <w:r w:rsidRPr="009B1A37">
        <w:rPr>
          <w:color w:val="000000"/>
          <w:sz w:val="22"/>
          <w:szCs w:val="22"/>
          <w:lang w:val="cs-CZ"/>
        </w:rPr>
        <w:t>denně po dobu</w:t>
      </w:r>
      <w:r w:rsidRPr="009B1A37">
        <w:rPr>
          <w:sz w:val="22"/>
          <w:szCs w:val="22"/>
          <w:lang w:val="cs-CZ"/>
        </w:rPr>
        <w:t xml:space="preserve"> 6</w:t>
      </w:r>
      <w:r w:rsidRPr="009B1A37">
        <w:rPr>
          <w:color w:val="000000"/>
          <w:sz w:val="22"/>
          <w:szCs w:val="22"/>
          <w:lang w:val="cs-CZ"/>
        </w:rPr>
        <w:t> </w:t>
      </w:r>
      <w:r w:rsidRPr="009B1A37">
        <w:rPr>
          <w:sz w:val="22"/>
          <w:szCs w:val="22"/>
          <w:lang w:val="cs-CZ"/>
        </w:rPr>
        <w:t>d</w:t>
      </w:r>
      <w:r w:rsidRPr="009B1A37">
        <w:rPr>
          <w:color w:val="000000"/>
          <w:sz w:val="22"/>
          <w:szCs w:val="22"/>
          <w:lang w:val="cs-CZ"/>
        </w:rPr>
        <w:t>nů</w:t>
      </w:r>
      <w:r w:rsidRPr="009B1A37">
        <w:rPr>
          <w:sz w:val="22"/>
          <w:szCs w:val="22"/>
          <w:lang w:val="cs-CZ"/>
        </w:rPr>
        <w:t xml:space="preserve">): </w:t>
      </w:r>
      <w:r w:rsidRPr="009B1A37">
        <w:rPr>
          <w:color w:val="000000"/>
          <w:sz w:val="22"/>
          <w:szCs w:val="22"/>
          <w:lang w:val="cs-CZ"/>
        </w:rPr>
        <w:t>Slabost</w:t>
      </w:r>
      <w:r w:rsidRPr="009B1A37">
        <w:rPr>
          <w:sz w:val="22"/>
          <w:szCs w:val="22"/>
          <w:lang w:val="cs-CZ"/>
        </w:rPr>
        <w:t>, myalgi</w:t>
      </w:r>
      <w:r w:rsidRPr="009B1A37">
        <w:rPr>
          <w:color w:val="000000"/>
          <w:sz w:val="22"/>
          <w:szCs w:val="22"/>
          <w:lang w:val="cs-CZ"/>
        </w:rPr>
        <w:t>e</w:t>
      </w:r>
      <w:r w:rsidRPr="009B1A37">
        <w:rPr>
          <w:sz w:val="22"/>
          <w:szCs w:val="22"/>
          <w:lang w:val="cs-CZ"/>
        </w:rPr>
        <w:t xml:space="preserve">, </w:t>
      </w:r>
      <w:r w:rsidRPr="009B1A37">
        <w:rPr>
          <w:color w:val="000000"/>
          <w:sz w:val="22"/>
          <w:szCs w:val="22"/>
          <w:lang w:val="cs-CZ"/>
        </w:rPr>
        <w:t>zvýšená hodnota kreatinfosfokinázy</w:t>
      </w:r>
      <w:r w:rsidRPr="009B1A37">
        <w:rPr>
          <w:sz w:val="22"/>
          <w:szCs w:val="22"/>
          <w:lang w:val="cs-CZ"/>
        </w:rPr>
        <w:t xml:space="preserve">, </w:t>
      </w:r>
      <w:r w:rsidRPr="009B1A37">
        <w:rPr>
          <w:color w:val="000000"/>
          <w:sz w:val="22"/>
          <w:szCs w:val="22"/>
          <w:lang w:val="cs-CZ"/>
        </w:rPr>
        <w:t>zvýšená hodnota b</w:t>
      </w:r>
      <w:r w:rsidRPr="009B1A37">
        <w:rPr>
          <w:sz w:val="22"/>
          <w:szCs w:val="22"/>
          <w:lang w:val="cs-CZ"/>
        </w:rPr>
        <w:t>ilirubin</w:t>
      </w:r>
      <w:r w:rsidRPr="009B1A37">
        <w:rPr>
          <w:color w:val="000000"/>
          <w:sz w:val="22"/>
          <w:szCs w:val="22"/>
          <w:lang w:val="cs-CZ"/>
        </w:rPr>
        <w:t>u</w:t>
      </w:r>
      <w:r w:rsidRPr="009B1A37">
        <w:rPr>
          <w:sz w:val="22"/>
          <w:szCs w:val="22"/>
          <w:lang w:val="cs-CZ"/>
        </w:rPr>
        <w:t>, gastrointestin</w:t>
      </w:r>
      <w:r w:rsidRPr="009B1A37">
        <w:rPr>
          <w:color w:val="000000"/>
          <w:sz w:val="22"/>
          <w:szCs w:val="22"/>
          <w:lang w:val="cs-CZ"/>
        </w:rPr>
        <w:t>á</w:t>
      </w:r>
      <w:r w:rsidRPr="009B1A37">
        <w:rPr>
          <w:sz w:val="22"/>
          <w:szCs w:val="22"/>
          <w:lang w:val="cs-CZ"/>
        </w:rPr>
        <w:t>l</w:t>
      </w:r>
      <w:r w:rsidRPr="009B1A37">
        <w:rPr>
          <w:color w:val="000000"/>
          <w:sz w:val="22"/>
          <w:szCs w:val="22"/>
          <w:lang w:val="cs-CZ"/>
        </w:rPr>
        <w:t>ní</w:t>
      </w:r>
      <w:r w:rsidRPr="009B1A37">
        <w:rPr>
          <w:sz w:val="22"/>
          <w:szCs w:val="22"/>
          <w:lang w:val="cs-CZ"/>
        </w:rPr>
        <w:t xml:space="preserve"> </w:t>
      </w:r>
      <w:r w:rsidRPr="009B1A37">
        <w:rPr>
          <w:color w:val="000000"/>
          <w:sz w:val="22"/>
          <w:szCs w:val="22"/>
          <w:lang w:val="cs-CZ"/>
        </w:rPr>
        <w:t>bolest.</w:t>
      </w:r>
    </w:p>
    <w:p w14:paraId="4C14BF17" w14:textId="77777777" w:rsidR="00EA5993" w:rsidRPr="009B1A37" w:rsidRDefault="00EA5993" w:rsidP="00BE3D48">
      <w:pPr>
        <w:pStyle w:val="Text"/>
        <w:widowControl w:val="0"/>
        <w:spacing w:before="0"/>
        <w:jc w:val="left"/>
        <w:rPr>
          <w:sz w:val="22"/>
          <w:szCs w:val="22"/>
          <w:lang w:val="cs-CZ"/>
        </w:rPr>
      </w:pPr>
      <w:r w:rsidRPr="009B1A37">
        <w:rPr>
          <w:sz w:val="22"/>
          <w:szCs w:val="22"/>
          <w:lang w:val="cs-CZ"/>
        </w:rPr>
        <w:t>6400 mg (jednotlivá dávka): V</w:t>
      </w:r>
      <w:r w:rsidRPr="009B1A37">
        <w:rPr>
          <w:color w:val="000000"/>
          <w:lang w:val="cs-CZ"/>
        </w:rPr>
        <w:t> </w:t>
      </w:r>
      <w:r w:rsidRPr="009B1A37">
        <w:rPr>
          <w:sz w:val="22"/>
          <w:szCs w:val="22"/>
          <w:lang w:val="cs-CZ"/>
        </w:rPr>
        <w:t>literatuře hlášený případ jednoho pacienta, u kterého se objevila nauzea, zvracení, bolest břicha, pyrexie, otok obličeje, snížený počet neutro</w:t>
      </w:r>
      <w:r w:rsidR="000C14F2" w:rsidRPr="009B1A37">
        <w:rPr>
          <w:sz w:val="22"/>
          <w:szCs w:val="22"/>
          <w:lang w:val="cs-CZ"/>
        </w:rPr>
        <w:t>filů</w:t>
      </w:r>
      <w:r w:rsidRPr="009B1A37">
        <w:rPr>
          <w:sz w:val="22"/>
          <w:szCs w:val="22"/>
          <w:lang w:val="cs-CZ"/>
        </w:rPr>
        <w:t>, zvýšení hodnot transamináz.</w:t>
      </w:r>
    </w:p>
    <w:p w14:paraId="52F3BA48" w14:textId="77777777" w:rsidR="00EA5993" w:rsidRPr="009B1A37" w:rsidRDefault="00EA5993" w:rsidP="00BE3D48">
      <w:pPr>
        <w:pStyle w:val="Text"/>
        <w:widowControl w:val="0"/>
        <w:spacing w:before="0"/>
        <w:jc w:val="left"/>
        <w:rPr>
          <w:sz w:val="22"/>
          <w:szCs w:val="22"/>
          <w:lang w:val="cs-CZ"/>
        </w:rPr>
      </w:pPr>
      <w:r w:rsidRPr="009B1A37">
        <w:rPr>
          <w:sz w:val="22"/>
          <w:szCs w:val="22"/>
          <w:lang w:val="cs-CZ"/>
        </w:rPr>
        <w:t xml:space="preserve">8 až </w:t>
      </w:r>
      <w:smartTag w:uri="urn:schemas-microsoft-com:office:smarttags" w:element="metricconverter">
        <w:smartTagPr>
          <w:attr w:name="ProductID" w:val="10ﾠg"/>
        </w:smartTagPr>
        <w:r w:rsidRPr="009B1A37">
          <w:rPr>
            <w:sz w:val="22"/>
            <w:szCs w:val="22"/>
            <w:lang w:val="cs-CZ"/>
          </w:rPr>
          <w:t>10 g</w:t>
        </w:r>
      </w:smartTag>
      <w:r w:rsidRPr="009B1A37">
        <w:rPr>
          <w:sz w:val="22"/>
          <w:szCs w:val="22"/>
          <w:lang w:val="cs-CZ"/>
        </w:rPr>
        <w:t xml:space="preserve"> (jednotlivá dávka): Bylo hlášené zvracení a gastrointestinální bolest.</w:t>
      </w:r>
    </w:p>
    <w:p w14:paraId="6B3E4FB2" w14:textId="77777777" w:rsidR="00EA5993" w:rsidRPr="009B1A37" w:rsidRDefault="00EA5993" w:rsidP="00BE3D48">
      <w:pPr>
        <w:pStyle w:val="Text"/>
        <w:widowControl w:val="0"/>
        <w:spacing w:before="0"/>
        <w:jc w:val="left"/>
        <w:rPr>
          <w:sz w:val="22"/>
          <w:szCs w:val="22"/>
          <w:lang w:val="cs-CZ"/>
        </w:rPr>
      </w:pPr>
    </w:p>
    <w:p w14:paraId="50843CF3" w14:textId="77777777" w:rsidR="00EA5993" w:rsidRPr="009B1A37" w:rsidRDefault="00EA5993" w:rsidP="00BE3D48">
      <w:pPr>
        <w:pStyle w:val="Text"/>
        <w:keepNext/>
        <w:widowControl w:val="0"/>
        <w:spacing w:before="0"/>
        <w:jc w:val="left"/>
        <w:rPr>
          <w:i/>
          <w:iCs/>
          <w:lang w:val="cs-CZ"/>
        </w:rPr>
      </w:pPr>
      <w:r w:rsidRPr="009B1A37">
        <w:rPr>
          <w:i/>
          <w:iCs/>
          <w:color w:val="000000"/>
          <w:sz w:val="22"/>
          <w:szCs w:val="22"/>
          <w:lang w:val="cs-CZ"/>
        </w:rPr>
        <w:t>Pediatrická</w:t>
      </w:r>
      <w:r w:rsidRPr="009B1A37">
        <w:rPr>
          <w:i/>
          <w:iCs/>
          <w:color w:val="000000"/>
          <w:lang w:val="cs-CZ"/>
        </w:rPr>
        <w:t xml:space="preserve"> populace</w:t>
      </w:r>
    </w:p>
    <w:p w14:paraId="7C2315A8" w14:textId="77777777" w:rsidR="00EA5993" w:rsidRPr="009B1A37" w:rsidRDefault="00EA5993" w:rsidP="00BE3D48">
      <w:pPr>
        <w:widowControl w:val="0"/>
        <w:tabs>
          <w:tab w:val="clear" w:pos="567"/>
        </w:tabs>
        <w:spacing w:line="240" w:lineRule="auto"/>
        <w:rPr>
          <w:color w:val="000000"/>
        </w:rPr>
      </w:pPr>
      <w:r w:rsidRPr="009B1A37">
        <w:t>U 3letého chlapce, kterému byla podána jednotlivá dávka 400 mg, se objevilo zvracení, průjem a anorexie, u</w:t>
      </w:r>
      <w:r w:rsidRPr="009B1A37">
        <w:rPr>
          <w:color w:val="000000"/>
        </w:rPr>
        <w:t> </w:t>
      </w:r>
      <w:r w:rsidRPr="009B1A37">
        <w:t xml:space="preserve">dalšího 3letého chlapce, kterému byla podána jednotlivá dávka 980 mg, byl zjištěn snížený počet </w:t>
      </w:r>
      <w:r w:rsidR="000C14F2" w:rsidRPr="009B1A37">
        <w:t>leukocytů</w:t>
      </w:r>
      <w:r w:rsidRPr="009B1A37">
        <w:t xml:space="preserve"> a průjem.</w:t>
      </w:r>
    </w:p>
    <w:p w14:paraId="6902D6FF" w14:textId="77777777" w:rsidR="00EA5993" w:rsidRPr="009B1A37" w:rsidRDefault="00EA5993" w:rsidP="00BE3D48">
      <w:pPr>
        <w:widowControl w:val="0"/>
        <w:tabs>
          <w:tab w:val="clear" w:pos="567"/>
        </w:tabs>
        <w:spacing w:line="240" w:lineRule="auto"/>
        <w:rPr>
          <w:color w:val="000000"/>
        </w:rPr>
      </w:pPr>
    </w:p>
    <w:p w14:paraId="2CFEF657" w14:textId="77777777" w:rsidR="00EA5993" w:rsidRPr="009B1A37" w:rsidRDefault="00EA5993" w:rsidP="00BE3D48">
      <w:pPr>
        <w:widowControl w:val="0"/>
        <w:tabs>
          <w:tab w:val="clear" w:pos="567"/>
        </w:tabs>
        <w:spacing w:line="240" w:lineRule="auto"/>
        <w:rPr>
          <w:color w:val="000000"/>
        </w:rPr>
      </w:pPr>
      <w:r w:rsidRPr="009B1A37">
        <w:rPr>
          <w:color w:val="000000"/>
        </w:rPr>
        <w:t xml:space="preserve">V případě předávkování </w:t>
      </w:r>
      <w:r w:rsidR="000C14F2" w:rsidRPr="009B1A37">
        <w:rPr>
          <w:color w:val="000000"/>
        </w:rPr>
        <w:t>má</w:t>
      </w:r>
      <w:r w:rsidRPr="009B1A37">
        <w:rPr>
          <w:color w:val="000000"/>
        </w:rPr>
        <w:t xml:space="preserve"> být pacient pozorován a vhodně léčen podpůrnou léčbou.</w:t>
      </w:r>
    </w:p>
    <w:p w14:paraId="4C3D2B31" w14:textId="77777777" w:rsidR="00EA5993" w:rsidRPr="009B1A37" w:rsidRDefault="00EA5993" w:rsidP="00BE3D48">
      <w:pPr>
        <w:widowControl w:val="0"/>
        <w:tabs>
          <w:tab w:val="clear" w:pos="567"/>
        </w:tabs>
        <w:spacing w:line="240" w:lineRule="auto"/>
        <w:rPr>
          <w:color w:val="000000"/>
        </w:rPr>
      </w:pPr>
    </w:p>
    <w:p w14:paraId="61AECA7E" w14:textId="77777777" w:rsidR="00EA5993" w:rsidRPr="009B1A37" w:rsidRDefault="00EA5993" w:rsidP="00BE3D48">
      <w:pPr>
        <w:widowControl w:val="0"/>
        <w:tabs>
          <w:tab w:val="clear" w:pos="567"/>
        </w:tabs>
        <w:spacing w:line="240" w:lineRule="auto"/>
        <w:rPr>
          <w:color w:val="000000"/>
        </w:rPr>
      </w:pPr>
    </w:p>
    <w:p w14:paraId="099B3FDC" w14:textId="77777777" w:rsidR="00EA5993" w:rsidRPr="009B1A37" w:rsidRDefault="00EA5993" w:rsidP="00BE3D48">
      <w:pPr>
        <w:keepNext/>
        <w:widowControl w:val="0"/>
        <w:tabs>
          <w:tab w:val="clear" w:pos="567"/>
        </w:tabs>
        <w:spacing w:line="240" w:lineRule="auto"/>
        <w:ind w:left="567" w:hanging="567"/>
        <w:rPr>
          <w:b/>
          <w:bCs/>
          <w:color w:val="000000"/>
        </w:rPr>
      </w:pPr>
      <w:r w:rsidRPr="009B1A37">
        <w:rPr>
          <w:b/>
          <w:bCs/>
          <w:color w:val="000000"/>
        </w:rPr>
        <w:t>5.</w:t>
      </w:r>
      <w:r w:rsidRPr="009B1A37">
        <w:rPr>
          <w:b/>
          <w:bCs/>
          <w:color w:val="000000"/>
        </w:rPr>
        <w:tab/>
        <w:t>FARMAKOLOGICKÉ VLASTNOSTI</w:t>
      </w:r>
    </w:p>
    <w:p w14:paraId="23ED869B" w14:textId="77777777" w:rsidR="00EA5993" w:rsidRPr="009B1A37" w:rsidRDefault="00EA5993" w:rsidP="00BE3D48">
      <w:pPr>
        <w:keepNext/>
        <w:widowControl w:val="0"/>
        <w:tabs>
          <w:tab w:val="clear" w:pos="567"/>
        </w:tabs>
        <w:spacing w:line="240" w:lineRule="auto"/>
        <w:rPr>
          <w:color w:val="000000"/>
        </w:rPr>
      </w:pPr>
    </w:p>
    <w:p w14:paraId="6A51BE2D" w14:textId="77777777" w:rsidR="00EA5993" w:rsidRPr="009B1A37" w:rsidRDefault="00EA5993" w:rsidP="00BE3D48">
      <w:pPr>
        <w:keepNext/>
        <w:widowControl w:val="0"/>
        <w:tabs>
          <w:tab w:val="clear" w:pos="567"/>
        </w:tabs>
        <w:spacing w:line="240" w:lineRule="auto"/>
        <w:ind w:left="567" w:hanging="567"/>
        <w:rPr>
          <w:b/>
          <w:bCs/>
          <w:color w:val="000000"/>
        </w:rPr>
      </w:pPr>
      <w:r w:rsidRPr="009B1A37">
        <w:rPr>
          <w:b/>
          <w:bCs/>
          <w:color w:val="000000"/>
        </w:rPr>
        <w:t>5.1</w:t>
      </w:r>
      <w:r w:rsidRPr="009B1A37">
        <w:rPr>
          <w:b/>
          <w:bCs/>
          <w:color w:val="000000"/>
        </w:rPr>
        <w:tab/>
        <w:t>Farmakodynamické vlastnosti</w:t>
      </w:r>
    </w:p>
    <w:p w14:paraId="5CF9A454" w14:textId="77777777" w:rsidR="00EA5993" w:rsidRPr="009B1A37" w:rsidRDefault="00EA5993" w:rsidP="00BE3D48">
      <w:pPr>
        <w:pStyle w:val="EndnoteText"/>
        <w:keepNext/>
        <w:widowControl w:val="0"/>
        <w:tabs>
          <w:tab w:val="clear" w:pos="567"/>
        </w:tabs>
        <w:rPr>
          <w:color w:val="000000"/>
        </w:rPr>
      </w:pPr>
    </w:p>
    <w:p w14:paraId="70221E81" w14:textId="77777777" w:rsidR="00EA5993" w:rsidRPr="009B1A37" w:rsidRDefault="00EA5993" w:rsidP="00BE3D48">
      <w:pPr>
        <w:keepNext/>
        <w:widowControl w:val="0"/>
        <w:tabs>
          <w:tab w:val="clear" w:pos="567"/>
        </w:tabs>
        <w:spacing w:line="240" w:lineRule="auto"/>
        <w:rPr>
          <w:color w:val="000000"/>
        </w:rPr>
      </w:pPr>
      <w:r w:rsidRPr="009B1A37">
        <w:rPr>
          <w:color w:val="000000"/>
        </w:rPr>
        <w:t>Farmakoterapeutická skupina: inhibitor protein-tyrosinkinázy, ATC kód: L01XE01</w:t>
      </w:r>
    </w:p>
    <w:p w14:paraId="67F91B98" w14:textId="77777777" w:rsidR="00EA5993" w:rsidRPr="009B1A37" w:rsidRDefault="00EA5993" w:rsidP="00BE3D48">
      <w:pPr>
        <w:pStyle w:val="EndnoteText"/>
        <w:keepNext/>
        <w:widowControl w:val="0"/>
        <w:tabs>
          <w:tab w:val="clear" w:pos="567"/>
        </w:tabs>
        <w:rPr>
          <w:color w:val="000000"/>
          <w:u w:val="single"/>
        </w:rPr>
      </w:pPr>
    </w:p>
    <w:p w14:paraId="5AA4833D" w14:textId="77777777" w:rsidR="00EA5993" w:rsidRPr="009B1A37" w:rsidRDefault="00EA5993" w:rsidP="00BE3D48">
      <w:pPr>
        <w:pStyle w:val="EndnoteText"/>
        <w:keepNext/>
        <w:widowControl w:val="0"/>
        <w:tabs>
          <w:tab w:val="clear" w:pos="567"/>
        </w:tabs>
        <w:rPr>
          <w:color w:val="000000"/>
          <w:u w:val="single"/>
        </w:rPr>
      </w:pPr>
      <w:r w:rsidRPr="009B1A37">
        <w:rPr>
          <w:color w:val="000000"/>
          <w:u w:val="single"/>
        </w:rPr>
        <w:t>Mechanismus účinku</w:t>
      </w:r>
    </w:p>
    <w:p w14:paraId="744BA003" w14:textId="77777777" w:rsidR="00EA5993" w:rsidRPr="009B1A37" w:rsidRDefault="00EA5993" w:rsidP="00BE3D48">
      <w:pPr>
        <w:pStyle w:val="EndnoteText"/>
        <w:widowControl w:val="0"/>
        <w:tabs>
          <w:tab w:val="clear" w:pos="567"/>
        </w:tabs>
      </w:pPr>
      <w:r w:rsidRPr="009B1A37">
        <w:t>Imatinib je nízkomolekulární inhibitor tyrosinkinázy, který účinně inhibuje aktivitu BCR-ABL tyrosinkinázy (TK) a dalších receptorových tyrosinkináz: K</w:t>
      </w:r>
      <w:r w:rsidR="000C14F2" w:rsidRPr="009B1A37">
        <w:t>it</w:t>
      </w:r>
      <w:r w:rsidRPr="009B1A37">
        <w:t>, receptor pro růstový faktor kmenových buněk (SCF, stem cell factor) kódovaný protoonkogenem c-Kit, receptory dis</w:t>
      </w:r>
      <w:r w:rsidR="000C14F2" w:rsidRPr="009B1A37">
        <w:t>k</w:t>
      </w:r>
      <w:r w:rsidRPr="009B1A37">
        <w:t xml:space="preserve">oidinové domény (DDR1 and DDR2), receptor kolonie stimulujícího faktoru (CSF-1R) a receptory pro </w:t>
      </w:r>
      <w:r w:rsidR="000C14F2" w:rsidRPr="009B1A37">
        <w:t xml:space="preserve">trombocytární </w:t>
      </w:r>
      <w:r w:rsidRPr="009B1A37">
        <w:t>růstový faktor alfa a beta (PDGFR-alfa a PDGFR-beta). Imatinib také může inhibovat buněčné procesy, na kterých se tyto receptorové kinázy podílí</w:t>
      </w:r>
      <w:r w:rsidRPr="009B1A37">
        <w:rPr>
          <w:color w:val="0000FF"/>
        </w:rPr>
        <w:t>.</w:t>
      </w:r>
    </w:p>
    <w:p w14:paraId="14467FAA" w14:textId="77777777" w:rsidR="00EA5993" w:rsidRPr="009B1A37" w:rsidRDefault="00EA5993" w:rsidP="00BE3D48">
      <w:pPr>
        <w:pStyle w:val="EndnoteText"/>
        <w:widowControl w:val="0"/>
        <w:tabs>
          <w:tab w:val="clear" w:pos="567"/>
        </w:tabs>
        <w:rPr>
          <w:color w:val="000000"/>
          <w:u w:val="single"/>
        </w:rPr>
      </w:pPr>
    </w:p>
    <w:p w14:paraId="6F9C57E0" w14:textId="77777777" w:rsidR="00EA5993" w:rsidRPr="009B1A37" w:rsidRDefault="00EA5993" w:rsidP="00BE3D48">
      <w:pPr>
        <w:pStyle w:val="EndnoteText"/>
        <w:keepNext/>
        <w:widowControl w:val="0"/>
        <w:tabs>
          <w:tab w:val="clear" w:pos="567"/>
        </w:tabs>
        <w:rPr>
          <w:color w:val="000000"/>
        </w:rPr>
      </w:pPr>
      <w:r w:rsidRPr="009B1A37">
        <w:rPr>
          <w:color w:val="000000"/>
          <w:u w:val="single"/>
        </w:rPr>
        <w:t>Farmakodynamické účinky</w:t>
      </w:r>
    </w:p>
    <w:p w14:paraId="5BE41247" w14:textId="77777777" w:rsidR="00EA5993" w:rsidRPr="009B1A37" w:rsidRDefault="00EA5993" w:rsidP="00BE3D48">
      <w:pPr>
        <w:pStyle w:val="EndnoteText"/>
        <w:widowControl w:val="0"/>
        <w:tabs>
          <w:tab w:val="clear" w:pos="567"/>
        </w:tabs>
        <w:rPr>
          <w:color w:val="000000"/>
        </w:rPr>
      </w:pPr>
      <w:r w:rsidRPr="009B1A37">
        <w:rPr>
          <w:color w:val="000000"/>
        </w:rPr>
        <w:t xml:space="preserve">Imatinib je inhibitor tyrosinkinázy, který účinně inhibuje Bcr-Abl tyrosinkinázu na buněčné úrovni </w:t>
      </w:r>
      <w:r w:rsidRPr="009B1A37">
        <w:rPr>
          <w:i/>
          <w:iCs/>
          <w:color w:val="000000"/>
        </w:rPr>
        <w:t>in vitro</w:t>
      </w:r>
      <w:r w:rsidRPr="009B1A37">
        <w:rPr>
          <w:color w:val="000000"/>
        </w:rPr>
        <w:t xml:space="preserve"> i </w:t>
      </w:r>
      <w:r w:rsidRPr="009B1A37">
        <w:rPr>
          <w:i/>
          <w:iCs/>
          <w:color w:val="000000"/>
        </w:rPr>
        <w:t>in vivo</w:t>
      </w:r>
      <w:r w:rsidRPr="009B1A37">
        <w:rPr>
          <w:color w:val="000000"/>
        </w:rPr>
        <w:t>. Látka selektivně inhibuje proliferaci a indukuje apoptózu u Bcr-Abl pozitivních buněčných linií, stejně jako u čerstvých leukemických buněk od pacientů s CML s pozitivním Philadelphia chromozomem a od pacientů s akutní lymfoblastickou leukemií (</w:t>
      </w:r>
      <w:smartTag w:uri="urn:schemas-microsoft-com:office:smarttags" w:element="stockticker">
        <w:r w:rsidRPr="009B1A37">
          <w:rPr>
            <w:color w:val="000000"/>
          </w:rPr>
          <w:t>ALL</w:t>
        </w:r>
      </w:smartTag>
      <w:r w:rsidRPr="009B1A37">
        <w:rPr>
          <w:color w:val="000000"/>
        </w:rPr>
        <w:t>).</w:t>
      </w:r>
    </w:p>
    <w:p w14:paraId="579E08D4" w14:textId="77777777" w:rsidR="00EA5993" w:rsidRPr="009B1A37" w:rsidRDefault="00EA5993" w:rsidP="00BE3D48">
      <w:pPr>
        <w:pStyle w:val="EndnoteText"/>
        <w:widowControl w:val="0"/>
        <w:tabs>
          <w:tab w:val="clear" w:pos="567"/>
        </w:tabs>
        <w:rPr>
          <w:color w:val="000000"/>
        </w:rPr>
      </w:pPr>
    </w:p>
    <w:p w14:paraId="64C5A174" w14:textId="77777777" w:rsidR="00EA5993" w:rsidRPr="009B1A37" w:rsidRDefault="00EA5993" w:rsidP="00BE3D48">
      <w:pPr>
        <w:pStyle w:val="EndnoteText"/>
        <w:widowControl w:val="0"/>
        <w:tabs>
          <w:tab w:val="clear" w:pos="567"/>
        </w:tabs>
        <w:rPr>
          <w:color w:val="000000"/>
        </w:rPr>
      </w:pPr>
      <w:r w:rsidRPr="009B1A37">
        <w:rPr>
          <w:i/>
          <w:iCs/>
          <w:color w:val="000000"/>
        </w:rPr>
        <w:t>In vivo</w:t>
      </w:r>
      <w:r w:rsidRPr="009B1A37">
        <w:rPr>
          <w:color w:val="000000"/>
        </w:rPr>
        <w:t xml:space="preserve"> byl na zvířecích modelech s Bcr-Abl pozitivními nádorovými buňkami při monoterapii pozorován protinádorový účinek této látky.</w:t>
      </w:r>
    </w:p>
    <w:p w14:paraId="0CCFC353" w14:textId="77777777" w:rsidR="00EA5993" w:rsidRPr="009B1A37" w:rsidRDefault="00EA5993" w:rsidP="00BE3D48">
      <w:pPr>
        <w:pStyle w:val="EndnoteText"/>
        <w:widowControl w:val="0"/>
        <w:tabs>
          <w:tab w:val="clear" w:pos="567"/>
        </w:tabs>
        <w:rPr>
          <w:color w:val="000000"/>
        </w:rPr>
      </w:pPr>
    </w:p>
    <w:p w14:paraId="1984F503" w14:textId="77777777" w:rsidR="00EA5993" w:rsidRPr="009B1A37" w:rsidRDefault="00EA5993" w:rsidP="00BE3D48">
      <w:pPr>
        <w:pStyle w:val="EndnoteText"/>
        <w:widowControl w:val="0"/>
        <w:tabs>
          <w:tab w:val="clear" w:pos="567"/>
        </w:tabs>
        <w:rPr>
          <w:color w:val="000000"/>
        </w:rPr>
      </w:pPr>
      <w:r w:rsidRPr="009B1A37">
        <w:rPr>
          <w:color w:val="000000"/>
        </w:rPr>
        <w:t>Imatinib je také inhibitor receptor</w:t>
      </w:r>
      <w:r w:rsidR="000C14F2" w:rsidRPr="009B1A37">
        <w:rPr>
          <w:color w:val="000000"/>
        </w:rPr>
        <w:t>ových</w:t>
      </w:r>
      <w:r w:rsidRPr="009B1A37">
        <w:rPr>
          <w:color w:val="000000"/>
        </w:rPr>
        <w:t xml:space="preserve"> tyrosinkináz pro růstový faktor destiček - platelet-derived growth factor (PDGF), PDGF-R, </w:t>
      </w:r>
      <w:r w:rsidR="000C14F2" w:rsidRPr="009B1A37">
        <w:rPr>
          <w:color w:val="000000"/>
        </w:rPr>
        <w:t xml:space="preserve">růstový </w:t>
      </w:r>
      <w:r w:rsidRPr="009B1A37">
        <w:rPr>
          <w:color w:val="000000"/>
        </w:rPr>
        <w:t xml:space="preserve">faktor kmenových buněk - stem cell factor (SCF), c-Kit, a inhibuje </w:t>
      </w:r>
      <w:r w:rsidR="000C14F2" w:rsidRPr="009B1A37">
        <w:rPr>
          <w:color w:val="000000"/>
        </w:rPr>
        <w:t xml:space="preserve">buněčné pochody zprostředkované </w:t>
      </w:r>
      <w:r w:rsidRPr="009B1A37">
        <w:rPr>
          <w:color w:val="000000"/>
        </w:rPr>
        <w:t xml:space="preserve">PDGF a SCF. </w:t>
      </w:r>
      <w:r w:rsidRPr="009B1A37">
        <w:rPr>
          <w:i/>
          <w:iCs/>
          <w:color w:val="000000"/>
        </w:rPr>
        <w:t>In vitro</w:t>
      </w:r>
      <w:r w:rsidRPr="009B1A37">
        <w:rPr>
          <w:color w:val="000000"/>
        </w:rPr>
        <w:t xml:space="preserve">, imatinib inhibuje proliferaci a indukuje apoptózu </w:t>
      </w:r>
      <w:r w:rsidR="000C14F2" w:rsidRPr="009B1A37">
        <w:rPr>
          <w:color w:val="000000"/>
        </w:rPr>
        <w:t xml:space="preserve">v </w:t>
      </w:r>
      <w:r w:rsidRPr="009B1A37">
        <w:rPr>
          <w:color w:val="000000"/>
        </w:rPr>
        <w:t>gastrointestinálních stromálních nádorových bu</w:t>
      </w:r>
      <w:r w:rsidR="000C14F2" w:rsidRPr="009B1A37">
        <w:rPr>
          <w:color w:val="000000"/>
        </w:rPr>
        <w:t>ňkách</w:t>
      </w:r>
      <w:r w:rsidRPr="009B1A37">
        <w:rPr>
          <w:color w:val="000000"/>
        </w:rPr>
        <w:t xml:space="preserve"> (GIST), které mají schopnost aktivovat </w:t>
      </w:r>
      <w:r w:rsidRPr="009B1A37">
        <w:rPr>
          <w:i/>
          <w:iCs/>
          <w:color w:val="000000"/>
        </w:rPr>
        <w:t>kit</w:t>
      </w:r>
      <w:r w:rsidRPr="009B1A37">
        <w:rPr>
          <w:color w:val="000000"/>
        </w:rPr>
        <w:t xml:space="preserve"> mutaci. Konstitutivní aktivace receptorů pro PDGF či Abl proteinu tyrosinkinázy jako následek spojení rozdílných partnerských proteinů či konstitutivní produkce PDGF zřejmě hrají roli v patogenezi </w:t>
      </w:r>
      <w:smartTag w:uri="urn:schemas-microsoft-com:office:smarttags" w:element="stockticker">
        <w:r w:rsidRPr="009B1A37">
          <w:rPr>
            <w:color w:val="000000"/>
          </w:rPr>
          <w:t>MDS</w:t>
        </w:r>
      </w:smartTag>
      <w:r w:rsidRPr="009B1A37">
        <w:rPr>
          <w:color w:val="000000"/>
        </w:rPr>
        <w:t>/MPD, HES/</w:t>
      </w:r>
      <w:smartTag w:uri="urn:schemas-microsoft-com:office:smarttags" w:element="stockticker">
        <w:r w:rsidRPr="009B1A37">
          <w:rPr>
            <w:color w:val="000000"/>
          </w:rPr>
          <w:t>CEL</w:t>
        </w:r>
      </w:smartTag>
      <w:r w:rsidRPr="009B1A37">
        <w:rPr>
          <w:color w:val="000000"/>
        </w:rPr>
        <w:t xml:space="preserve"> a DFSP. Imatinib inhibuje signalizaci a proliferaci buněk ovlivňovaných porušenou regulací aktivity PDGFR a Abl kinázy.</w:t>
      </w:r>
    </w:p>
    <w:p w14:paraId="1CB82DDD" w14:textId="77777777" w:rsidR="00EA5993" w:rsidRPr="009B1A37" w:rsidRDefault="00EA5993" w:rsidP="00BE3D48">
      <w:pPr>
        <w:pStyle w:val="EndnoteText"/>
        <w:widowControl w:val="0"/>
        <w:tabs>
          <w:tab w:val="clear" w:pos="567"/>
        </w:tabs>
        <w:rPr>
          <w:color w:val="000000"/>
        </w:rPr>
      </w:pPr>
    </w:p>
    <w:p w14:paraId="60C42C7C" w14:textId="77777777" w:rsidR="00EA5993" w:rsidRPr="009B1A37" w:rsidRDefault="00EA5993" w:rsidP="00BE3D48">
      <w:pPr>
        <w:pStyle w:val="EndnoteText"/>
        <w:keepNext/>
        <w:widowControl w:val="0"/>
        <w:tabs>
          <w:tab w:val="clear" w:pos="567"/>
        </w:tabs>
        <w:rPr>
          <w:color w:val="000000"/>
          <w:u w:val="single"/>
        </w:rPr>
      </w:pPr>
      <w:r w:rsidRPr="009B1A37">
        <w:rPr>
          <w:color w:val="000000"/>
          <w:u w:val="single"/>
        </w:rPr>
        <w:t>Klinické studie u chronické myeloidní leukemie</w:t>
      </w:r>
    </w:p>
    <w:p w14:paraId="60EB6989" w14:textId="77777777" w:rsidR="00EA5993" w:rsidRPr="009B1A37" w:rsidRDefault="00EA5993" w:rsidP="00BE3D48">
      <w:pPr>
        <w:pStyle w:val="EndnoteText"/>
        <w:widowControl w:val="0"/>
        <w:tabs>
          <w:tab w:val="clear" w:pos="567"/>
        </w:tabs>
        <w:rPr>
          <w:color w:val="000000"/>
        </w:rPr>
      </w:pPr>
      <w:r w:rsidRPr="009B1A37">
        <w:rPr>
          <w:color w:val="000000"/>
        </w:rPr>
        <w:t xml:space="preserve">Účinnost Glivecu je založena na </w:t>
      </w:r>
      <w:r w:rsidR="000C14F2" w:rsidRPr="009B1A37">
        <w:rPr>
          <w:color w:val="000000"/>
        </w:rPr>
        <w:t>výskytu</w:t>
      </w:r>
      <w:r w:rsidRPr="009B1A37">
        <w:rPr>
          <w:color w:val="000000"/>
        </w:rPr>
        <w:t xml:space="preserve"> celkové hematologické a cytologické odpovědi a doby přežití bez progrese onemocnění. Kromě nově diagnostikované chronické fáze CML nejsou k dispozici kontrolované klinické studie, které by demonstrovaly klinický přínos, jako je zlepšení projevů onemocnění nebo prodloužení </w:t>
      </w:r>
      <w:r w:rsidR="000C14F2" w:rsidRPr="009B1A37">
        <w:rPr>
          <w:color w:val="000000"/>
        </w:rPr>
        <w:t xml:space="preserve">doby </w:t>
      </w:r>
      <w:r w:rsidRPr="009B1A37">
        <w:rPr>
          <w:color w:val="000000"/>
        </w:rPr>
        <w:t>přežití.</w:t>
      </w:r>
    </w:p>
    <w:p w14:paraId="423C9A77" w14:textId="77777777" w:rsidR="00EA5993" w:rsidRPr="009B1A37" w:rsidRDefault="00EA5993" w:rsidP="00BE3D48">
      <w:pPr>
        <w:pStyle w:val="EndnoteText"/>
        <w:widowControl w:val="0"/>
        <w:tabs>
          <w:tab w:val="clear" w:pos="567"/>
        </w:tabs>
        <w:rPr>
          <w:color w:val="000000"/>
        </w:rPr>
      </w:pPr>
    </w:p>
    <w:p w14:paraId="29FE9E13" w14:textId="77777777" w:rsidR="00EA5993" w:rsidRPr="009B1A37" w:rsidRDefault="00EA5993" w:rsidP="00BE3D48">
      <w:pPr>
        <w:pStyle w:val="EndnoteText"/>
        <w:widowControl w:val="0"/>
        <w:tabs>
          <w:tab w:val="clear" w:pos="567"/>
        </w:tabs>
        <w:rPr>
          <w:color w:val="000000"/>
        </w:rPr>
      </w:pPr>
      <w:r w:rsidRPr="009B1A37">
        <w:rPr>
          <w:color w:val="000000"/>
        </w:rPr>
        <w:t>Tři velké, mezinárodní, otevřené, nekontrolované studie fáze II byly provedeny u pacientů s pozitivním Philadelphia chromozomem (Ph+) s pokročilou CML, blastickou nebo akcelerovanou fází onemocnění, jinými Ph+ leukemiemi nebo s CML v chronické fázi, ale kde selhala předchozí léčba interferonem-alpha (IFN). Jedna velká, otevřená, multicentrická, mezinárodní randomizovaná studie fáze </w:t>
      </w:r>
      <w:smartTag w:uri="urn:schemas-microsoft-com:office:smarttags" w:element="stockticker">
        <w:r w:rsidRPr="009B1A37">
          <w:rPr>
            <w:color w:val="000000"/>
          </w:rPr>
          <w:t>III</w:t>
        </w:r>
      </w:smartTag>
      <w:r w:rsidRPr="009B1A37">
        <w:rPr>
          <w:color w:val="000000"/>
        </w:rPr>
        <w:t xml:space="preserve"> byla provedena u pacientů s nově diagnostikovanou Ph+ CML. Navíc děti byly léčeny ve dvou studiích fáze I a v jedné studii fáze II.</w:t>
      </w:r>
    </w:p>
    <w:p w14:paraId="28030663" w14:textId="77777777" w:rsidR="00EA5993" w:rsidRPr="009B1A37" w:rsidRDefault="00EA5993" w:rsidP="00BE3D48">
      <w:pPr>
        <w:pStyle w:val="EndnoteText"/>
        <w:widowControl w:val="0"/>
        <w:tabs>
          <w:tab w:val="clear" w:pos="567"/>
        </w:tabs>
        <w:rPr>
          <w:color w:val="000000"/>
        </w:rPr>
      </w:pPr>
    </w:p>
    <w:p w14:paraId="1718C262" w14:textId="77777777" w:rsidR="00EA5993" w:rsidRPr="009B1A37" w:rsidRDefault="00EA5993" w:rsidP="00BE3D48">
      <w:pPr>
        <w:pStyle w:val="EndnoteText"/>
        <w:widowControl w:val="0"/>
        <w:tabs>
          <w:tab w:val="clear" w:pos="567"/>
        </w:tabs>
        <w:rPr>
          <w:color w:val="000000"/>
        </w:rPr>
      </w:pPr>
      <w:r w:rsidRPr="009B1A37">
        <w:rPr>
          <w:color w:val="000000"/>
        </w:rPr>
        <w:t>Ve všech klinických studiích bylo 38–40</w:t>
      </w:r>
      <w:r w:rsidR="000C14F2" w:rsidRPr="009B1A37">
        <w:rPr>
          <w:color w:val="000000"/>
        </w:rPr>
        <w:t> </w:t>
      </w:r>
      <w:r w:rsidRPr="009B1A37">
        <w:rPr>
          <w:color w:val="000000"/>
        </w:rPr>
        <w:t xml:space="preserve">% pacientů ve věku </w:t>
      </w:r>
      <w:r w:rsidRPr="009B1A37">
        <w:rPr>
          <w:rFonts w:ascii="Symbol" w:hAnsi="Symbol"/>
          <w:color w:val="000000"/>
        </w:rPr>
        <w:t></w:t>
      </w:r>
      <w:r w:rsidRPr="009B1A37">
        <w:rPr>
          <w:color w:val="000000"/>
        </w:rPr>
        <w:t> 60 let a 10–12</w:t>
      </w:r>
      <w:r w:rsidR="000C14F2" w:rsidRPr="009B1A37">
        <w:rPr>
          <w:color w:val="000000"/>
        </w:rPr>
        <w:t xml:space="preserve"> </w:t>
      </w:r>
      <w:r w:rsidRPr="009B1A37">
        <w:rPr>
          <w:color w:val="000000"/>
        </w:rPr>
        <w:t xml:space="preserve">% pacientů bylo ve věku </w:t>
      </w:r>
      <w:r w:rsidRPr="009B1A37">
        <w:rPr>
          <w:rFonts w:ascii="Symbol" w:hAnsi="Symbol"/>
          <w:color w:val="000000"/>
        </w:rPr>
        <w:t></w:t>
      </w:r>
      <w:r w:rsidRPr="009B1A37">
        <w:rPr>
          <w:color w:val="000000"/>
        </w:rPr>
        <w:t> 70 let.</w:t>
      </w:r>
    </w:p>
    <w:p w14:paraId="2BE5E8D8" w14:textId="77777777" w:rsidR="00EA5993" w:rsidRPr="009B1A37" w:rsidRDefault="00EA5993" w:rsidP="00BE3D48">
      <w:pPr>
        <w:pStyle w:val="EndnoteText"/>
        <w:widowControl w:val="0"/>
        <w:tabs>
          <w:tab w:val="clear" w:pos="567"/>
        </w:tabs>
        <w:rPr>
          <w:color w:val="000000"/>
        </w:rPr>
      </w:pPr>
    </w:p>
    <w:p w14:paraId="2E2265A2" w14:textId="77777777" w:rsidR="00EA5993" w:rsidRPr="009B1A37" w:rsidRDefault="00EA5993" w:rsidP="00BE3D48">
      <w:pPr>
        <w:pStyle w:val="EndnoteText"/>
        <w:widowControl w:val="0"/>
        <w:rPr>
          <w:color w:val="000000"/>
        </w:rPr>
      </w:pPr>
      <w:r w:rsidRPr="009B1A37">
        <w:rPr>
          <w:i/>
          <w:iCs/>
          <w:color w:val="000000"/>
        </w:rPr>
        <w:t>Chronická fáze, nově diagnostikovaná:</w:t>
      </w:r>
      <w:r w:rsidRPr="009B1A37">
        <w:rPr>
          <w:color w:val="000000"/>
        </w:rPr>
        <w:t xml:space="preserve"> Studie fáze </w:t>
      </w:r>
      <w:smartTag w:uri="urn:schemas-microsoft-com:office:smarttags" w:element="stockticker">
        <w:r w:rsidRPr="009B1A37">
          <w:rPr>
            <w:color w:val="000000"/>
          </w:rPr>
          <w:t>III</w:t>
        </w:r>
      </w:smartTag>
      <w:r w:rsidRPr="009B1A37">
        <w:rPr>
          <w:color w:val="000000"/>
        </w:rPr>
        <w:t xml:space="preserve"> u dospělých pacientů srovnávala léčbu Glivecem v monoterapii s kombinovanou léčbou interferonem-al</w:t>
      </w:r>
      <w:r w:rsidR="000C14F2" w:rsidRPr="009B1A37">
        <w:rPr>
          <w:color w:val="000000"/>
        </w:rPr>
        <w:t>f</w:t>
      </w:r>
      <w:r w:rsidRPr="009B1A37">
        <w:rPr>
          <w:color w:val="000000"/>
        </w:rPr>
        <w:t>a (IFN) a cytarabinem (Ara-C). Bylo dovoleno, aby pacienti, u kterých nebylo dosaženo léčebné odpovědi (chybění kompletní hematologické odpovědi (</w:t>
      </w:r>
      <w:smartTag w:uri="urn:schemas-microsoft-com:office:smarttags" w:element="stockticker">
        <w:r w:rsidRPr="009B1A37">
          <w:rPr>
            <w:color w:val="000000"/>
          </w:rPr>
          <w:t>CHR</w:t>
        </w:r>
      </w:smartTag>
      <w:r w:rsidRPr="009B1A37">
        <w:rPr>
          <w:color w:val="000000"/>
        </w:rPr>
        <w:t xml:space="preserve">) v 6. měsíci, zvýšení počtu </w:t>
      </w:r>
      <w:r w:rsidR="000C14F2" w:rsidRPr="009B1A37">
        <w:rPr>
          <w:color w:val="000000"/>
        </w:rPr>
        <w:t>leukocytů</w:t>
      </w:r>
      <w:r w:rsidRPr="009B1A37">
        <w:rPr>
          <w:color w:val="000000"/>
        </w:rPr>
        <w:t>, bez velké cytogenetické odpovědi (MCyR) ve 24. měsíci), se ztrátou odpovědi (</w:t>
      </w:r>
      <w:smartTag w:uri="urn:schemas-microsoft-com:office:smarttags" w:element="stockticker">
        <w:r w:rsidRPr="009B1A37">
          <w:rPr>
            <w:color w:val="000000"/>
          </w:rPr>
          <w:t>CHR</w:t>
        </w:r>
      </w:smartTag>
      <w:r w:rsidRPr="009B1A37">
        <w:rPr>
          <w:color w:val="000000"/>
        </w:rPr>
        <w:t xml:space="preserve"> nebo MCyR) nebo se závažnou intolerancí léčby, byli převedeni do alternativního ramene léčby. V rameni s Glivecem byli pacienti léčeni dávkou 400 mg denně. V rameni s IFN byli pacienti léčeni s cílovou dávkou IFN 5 MIU/m</w:t>
      </w:r>
      <w:r w:rsidRPr="009B1A37">
        <w:rPr>
          <w:color w:val="000000"/>
          <w:vertAlign w:val="superscript"/>
        </w:rPr>
        <w:t>2</w:t>
      </w:r>
      <w:r w:rsidRPr="009B1A37">
        <w:rPr>
          <w:color w:val="000000"/>
        </w:rPr>
        <w:t>/den subkutánně v kombinaci se subkutánním podáním Ara-C 20 mg/m</w:t>
      </w:r>
      <w:r w:rsidRPr="009B1A37">
        <w:rPr>
          <w:color w:val="000000"/>
          <w:vertAlign w:val="superscript"/>
        </w:rPr>
        <w:t>2</w:t>
      </w:r>
      <w:r w:rsidRPr="009B1A37">
        <w:rPr>
          <w:color w:val="000000"/>
        </w:rPr>
        <w:t>/den po 10 dnů/měsíc.</w:t>
      </w:r>
    </w:p>
    <w:p w14:paraId="78A1D668" w14:textId="77777777" w:rsidR="00EA5993" w:rsidRPr="009B1A37" w:rsidRDefault="00EA5993" w:rsidP="00BE3D48">
      <w:pPr>
        <w:pStyle w:val="EndnoteText"/>
        <w:widowControl w:val="0"/>
        <w:rPr>
          <w:color w:val="000000"/>
        </w:rPr>
      </w:pPr>
    </w:p>
    <w:p w14:paraId="73AB5CD3" w14:textId="77777777" w:rsidR="00EA5993" w:rsidRPr="009B1A37" w:rsidRDefault="00EA5993" w:rsidP="00BE3D48">
      <w:pPr>
        <w:pStyle w:val="EndnoteText"/>
        <w:widowControl w:val="0"/>
        <w:rPr>
          <w:color w:val="000000"/>
        </w:rPr>
      </w:pPr>
      <w:r w:rsidRPr="009B1A37">
        <w:rPr>
          <w:color w:val="000000"/>
        </w:rPr>
        <w:t>Celkem bylo randomizováno 1 106 pacientů, 553 do každého ramene. Výchozí charakteristiky byly mezi oběma rameny dobře vyvážené. Medián věku byl 51 let (rozmezí 18–70 let), 21,9</w:t>
      </w:r>
      <w:r w:rsidR="00D82A16" w:rsidRPr="009B1A37">
        <w:rPr>
          <w:color w:val="000000"/>
        </w:rPr>
        <w:t> </w:t>
      </w:r>
      <w:r w:rsidRPr="009B1A37">
        <w:rPr>
          <w:color w:val="000000"/>
        </w:rPr>
        <w:t>% pacientů bylo ve věku ≥ 60 let. Bylo zde 59</w:t>
      </w:r>
      <w:r w:rsidR="00D82A16" w:rsidRPr="009B1A37">
        <w:rPr>
          <w:color w:val="000000"/>
        </w:rPr>
        <w:t> </w:t>
      </w:r>
      <w:r w:rsidRPr="009B1A37">
        <w:rPr>
          <w:color w:val="000000"/>
        </w:rPr>
        <w:t>% mužů a 41</w:t>
      </w:r>
      <w:r w:rsidR="00D82A16" w:rsidRPr="009B1A37">
        <w:rPr>
          <w:color w:val="000000"/>
        </w:rPr>
        <w:t xml:space="preserve"> </w:t>
      </w:r>
      <w:r w:rsidRPr="009B1A37">
        <w:rPr>
          <w:color w:val="000000"/>
        </w:rPr>
        <w:t>% žen; 89,9</w:t>
      </w:r>
      <w:r w:rsidR="00D82A16" w:rsidRPr="009B1A37">
        <w:rPr>
          <w:color w:val="000000"/>
        </w:rPr>
        <w:t xml:space="preserve"> </w:t>
      </w:r>
      <w:r w:rsidRPr="009B1A37">
        <w:rPr>
          <w:color w:val="000000"/>
        </w:rPr>
        <w:t>% pacientů bylo bílé pleti a 4,7% černé pleti. Po sedmi letech od zařazení posledního pacienta byl medián trvání léčby v první linii 82 měsíců v rameni s Glivecem a 8 měsíců v rameni s IFN. Medián trvání léčby v druhé linii byl 64 měsíců v rameni s Glivecem. Souhrnně u pacientů</w:t>
      </w:r>
      <w:r w:rsidR="00D82A16" w:rsidRPr="009B1A37">
        <w:rPr>
          <w:color w:val="000000"/>
        </w:rPr>
        <w:t xml:space="preserve"> </w:t>
      </w:r>
      <w:r w:rsidRPr="009B1A37">
        <w:rPr>
          <w:color w:val="000000"/>
        </w:rPr>
        <w:t xml:space="preserve">léčených Glivecem v první linii byla průměrná podávaná denní dávka 406 ± 76 mg. Primárním cílovým parametrem účinnosti ve studii bylo přežití bez progrese onemocnění. Progrese byla definována jako jakákoliv z následujících událostí: progrese do akcelerované fáze nebo blastické krize, úmrtí, ztráta </w:t>
      </w:r>
      <w:smartTag w:uri="urn:schemas-microsoft-com:office:smarttags" w:element="stockticker">
        <w:r w:rsidRPr="009B1A37">
          <w:rPr>
            <w:color w:val="000000"/>
          </w:rPr>
          <w:t>CHR</w:t>
        </w:r>
      </w:smartTag>
      <w:r w:rsidRPr="009B1A37">
        <w:rPr>
          <w:color w:val="000000"/>
        </w:rPr>
        <w:t xml:space="preserve"> nebo MCyR, nebo u pacientů, kteří nedosáhli </w:t>
      </w:r>
      <w:smartTag w:uri="urn:schemas-microsoft-com:office:smarttags" w:element="stockticker">
        <w:r w:rsidRPr="009B1A37">
          <w:rPr>
            <w:color w:val="000000"/>
          </w:rPr>
          <w:t>CHR</w:t>
        </w:r>
      </w:smartTag>
      <w:r w:rsidRPr="009B1A37">
        <w:rPr>
          <w:color w:val="000000"/>
        </w:rPr>
        <w:t xml:space="preserve">, zvýšení počtu </w:t>
      </w:r>
      <w:r w:rsidR="00D82A16" w:rsidRPr="009B1A37">
        <w:rPr>
          <w:color w:val="000000"/>
        </w:rPr>
        <w:t>leukocytů</w:t>
      </w:r>
      <w:r w:rsidRPr="009B1A37">
        <w:rPr>
          <w:color w:val="000000"/>
        </w:rPr>
        <w:t xml:space="preserve"> navzdory přiměřené léčbě. Velká cytogenetická odpověď, hematologická odpověď, molekulární odpověď (hodnocení minimálního reziduálního onemocnění) doba do akcelerované fáze nebo blastické krize a přežívání jsou hlavními sekundárními cílovými parametry. Údaje o odpovědích jsou uvedeny v </w:t>
      </w:r>
      <w:r w:rsidR="00D82A16" w:rsidRPr="009B1A37">
        <w:rPr>
          <w:color w:val="000000"/>
        </w:rPr>
        <w:t>t</w:t>
      </w:r>
      <w:r w:rsidRPr="009B1A37">
        <w:rPr>
          <w:color w:val="000000"/>
        </w:rPr>
        <w:t>abulce </w:t>
      </w:r>
      <w:r w:rsidR="00A2522A" w:rsidRPr="009B1A37">
        <w:rPr>
          <w:color w:val="000000"/>
        </w:rPr>
        <w:t>2</w:t>
      </w:r>
      <w:r w:rsidRPr="009B1A37">
        <w:rPr>
          <w:color w:val="000000"/>
        </w:rPr>
        <w:t>.</w:t>
      </w:r>
    </w:p>
    <w:p w14:paraId="1014ED09" w14:textId="77777777" w:rsidR="00EA5993" w:rsidRPr="009B1A37" w:rsidRDefault="00EA5993" w:rsidP="00BE3D48">
      <w:pPr>
        <w:pStyle w:val="EndnoteText"/>
        <w:widowControl w:val="0"/>
        <w:tabs>
          <w:tab w:val="clear" w:pos="567"/>
          <w:tab w:val="left" w:pos="1134"/>
        </w:tabs>
        <w:rPr>
          <w:color w:val="000000"/>
        </w:rPr>
      </w:pPr>
    </w:p>
    <w:p w14:paraId="0DD638C8" w14:textId="77777777" w:rsidR="00EA5993" w:rsidRPr="009B1A37" w:rsidRDefault="00EA5993" w:rsidP="00EB4FF7">
      <w:pPr>
        <w:pStyle w:val="EndnoteText"/>
        <w:keepNext/>
        <w:widowControl w:val="0"/>
        <w:tabs>
          <w:tab w:val="clear" w:pos="567"/>
          <w:tab w:val="left" w:pos="1134"/>
        </w:tabs>
        <w:rPr>
          <w:b/>
          <w:bCs/>
          <w:color w:val="000000"/>
        </w:rPr>
      </w:pPr>
      <w:r w:rsidRPr="009B1A37">
        <w:rPr>
          <w:b/>
          <w:bCs/>
          <w:color w:val="000000"/>
        </w:rPr>
        <w:t>Tabulka </w:t>
      </w:r>
      <w:r w:rsidR="00A2522A" w:rsidRPr="009B1A37">
        <w:rPr>
          <w:b/>
          <w:bCs/>
          <w:color w:val="000000"/>
        </w:rPr>
        <w:t>2</w:t>
      </w:r>
      <w:r w:rsidRPr="009B1A37">
        <w:rPr>
          <w:b/>
          <w:bCs/>
          <w:color w:val="000000"/>
        </w:rPr>
        <w:tab/>
        <w:t>Odpovědi na léčbu ve studii u nově diagnostikované CML (84měsíční data)</w:t>
      </w:r>
    </w:p>
    <w:p w14:paraId="6E4D0135" w14:textId="77777777" w:rsidR="00EA5993" w:rsidRPr="009B1A37" w:rsidRDefault="00EA5993" w:rsidP="00EB4FF7">
      <w:pPr>
        <w:pStyle w:val="EndnoteText"/>
        <w:keepNext/>
        <w:widowControl w:val="0"/>
        <w:rPr>
          <w:color w:val="000000"/>
        </w:rPr>
      </w:pPr>
    </w:p>
    <w:tbl>
      <w:tblPr>
        <w:tblW w:w="0" w:type="auto"/>
        <w:tblInd w:w="-20" w:type="dxa"/>
        <w:tblLayout w:type="fixed"/>
        <w:tblLook w:val="0000" w:firstRow="0" w:lastRow="0" w:firstColumn="0" w:lastColumn="0" w:noHBand="0" w:noVBand="0"/>
      </w:tblPr>
      <w:tblGrid>
        <w:gridCol w:w="3794"/>
        <w:gridCol w:w="2693"/>
        <w:gridCol w:w="2758"/>
      </w:tblGrid>
      <w:tr w:rsidR="00EA5993" w:rsidRPr="009B1A37" w14:paraId="5AE3F6F4" w14:textId="77777777" w:rsidTr="00EB4FF7">
        <w:trPr>
          <w:cantSplit/>
        </w:trPr>
        <w:tc>
          <w:tcPr>
            <w:tcW w:w="3794" w:type="dxa"/>
            <w:tcBorders>
              <w:top w:val="single" w:sz="4" w:space="0" w:color="000000"/>
              <w:left w:val="single" w:sz="4" w:space="0" w:color="000000"/>
            </w:tcBorders>
          </w:tcPr>
          <w:p w14:paraId="1B344312"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p>
        </w:tc>
        <w:tc>
          <w:tcPr>
            <w:tcW w:w="2693" w:type="dxa"/>
            <w:tcBorders>
              <w:top w:val="single" w:sz="4" w:space="0" w:color="000000"/>
            </w:tcBorders>
          </w:tcPr>
          <w:p w14:paraId="3EFDC3E9" w14:textId="77777777" w:rsidR="00EA5993" w:rsidRPr="009B1A37" w:rsidRDefault="00EA5993" w:rsidP="00EB4FF7">
            <w:pPr>
              <w:pStyle w:val="Table"/>
              <w:keepLines w:val="0"/>
              <w:widowControl w:val="0"/>
              <w:snapToGrid w:val="0"/>
              <w:spacing w:before="0" w:after="0"/>
              <w:jc w:val="center"/>
              <w:rPr>
                <w:rFonts w:ascii="Times New Roman" w:hAnsi="Times New Roman" w:cs="Times New Roman"/>
                <w:b/>
                <w:bCs/>
                <w:color w:val="000000"/>
                <w:sz w:val="22"/>
                <w:szCs w:val="22"/>
                <w:lang w:val="cs-CZ"/>
              </w:rPr>
            </w:pPr>
            <w:r w:rsidRPr="009B1A37">
              <w:rPr>
                <w:rFonts w:ascii="Times New Roman" w:hAnsi="Times New Roman" w:cs="Times New Roman"/>
                <w:b/>
                <w:bCs/>
                <w:color w:val="000000"/>
                <w:sz w:val="22"/>
                <w:szCs w:val="22"/>
                <w:lang w:val="cs-CZ"/>
              </w:rPr>
              <w:t>Glivec</w:t>
            </w:r>
          </w:p>
        </w:tc>
        <w:tc>
          <w:tcPr>
            <w:tcW w:w="2758" w:type="dxa"/>
            <w:tcBorders>
              <w:top w:val="single" w:sz="4" w:space="0" w:color="000000"/>
              <w:right w:val="single" w:sz="4" w:space="0" w:color="000000"/>
            </w:tcBorders>
          </w:tcPr>
          <w:p w14:paraId="2851883B" w14:textId="77777777" w:rsidR="00EA5993" w:rsidRPr="009B1A37" w:rsidRDefault="00EA5993" w:rsidP="00EB4FF7">
            <w:pPr>
              <w:pStyle w:val="Table"/>
              <w:keepLines w:val="0"/>
              <w:widowControl w:val="0"/>
              <w:snapToGrid w:val="0"/>
              <w:spacing w:before="0" w:after="0"/>
              <w:jc w:val="center"/>
              <w:rPr>
                <w:rFonts w:ascii="Times New Roman" w:hAnsi="Times New Roman" w:cs="Times New Roman"/>
                <w:b/>
                <w:bCs/>
                <w:color w:val="000000"/>
                <w:sz w:val="22"/>
                <w:szCs w:val="22"/>
                <w:lang w:val="cs-CZ"/>
              </w:rPr>
            </w:pPr>
            <w:r w:rsidRPr="009B1A37">
              <w:rPr>
                <w:rFonts w:ascii="Times New Roman" w:hAnsi="Times New Roman" w:cs="Times New Roman"/>
                <w:b/>
                <w:bCs/>
                <w:color w:val="000000"/>
                <w:sz w:val="22"/>
                <w:szCs w:val="22"/>
                <w:lang w:val="cs-CZ"/>
              </w:rPr>
              <w:t>IFN+Ara-C</w:t>
            </w:r>
          </w:p>
        </w:tc>
      </w:tr>
      <w:tr w:rsidR="00EA5993" w:rsidRPr="009B1A37" w14:paraId="1AB9ABB8" w14:textId="77777777" w:rsidTr="00EB4FF7">
        <w:trPr>
          <w:cantSplit/>
        </w:trPr>
        <w:tc>
          <w:tcPr>
            <w:tcW w:w="3794" w:type="dxa"/>
            <w:tcBorders>
              <w:left w:val="single" w:sz="4" w:space="0" w:color="000000"/>
              <w:bottom w:val="single" w:sz="4" w:space="0" w:color="000000"/>
            </w:tcBorders>
          </w:tcPr>
          <w:p w14:paraId="7685DF54" w14:textId="77777777" w:rsidR="00EA5993" w:rsidRPr="009B1A37" w:rsidRDefault="00EA5993" w:rsidP="00EB4FF7">
            <w:pPr>
              <w:pStyle w:val="Table"/>
              <w:keepLines w:val="0"/>
              <w:widowControl w:val="0"/>
              <w:snapToGrid w:val="0"/>
              <w:spacing w:before="0" w:after="0"/>
              <w:rPr>
                <w:rFonts w:ascii="Times New Roman" w:hAnsi="Times New Roman" w:cs="Times New Roman"/>
                <w:b/>
                <w:bCs/>
                <w:color w:val="000000"/>
                <w:sz w:val="22"/>
                <w:szCs w:val="22"/>
                <w:lang w:val="cs-CZ"/>
              </w:rPr>
            </w:pPr>
            <w:r w:rsidRPr="009B1A37">
              <w:rPr>
                <w:rFonts w:ascii="Times New Roman" w:hAnsi="Times New Roman" w:cs="Times New Roman"/>
                <w:b/>
                <w:bCs/>
                <w:color w:val="000000"/>
                <w:sz w:val="22"/>
                <w:szCs w:val="22"/>
                <w:lang w:val="cs-CZ"/>
              </w:rPr>
              <w:t>(Nejlepší míra odpovědi)</w:t>
            </w:r>
          </w:p>
        </w:tc>
        <w:tc>
          <w:tcPr>
            <w:tcW w:w="2693" w:type="dxa"/>
            <w:tcBorders>
              <w:bottom w:val="single" w:sz="4" w:space="0" w:color="000000"/>
            </w:tcBorders>
          </w:tcPr>
          <w:p w14:paraId="08D5A0EA" w14:textId="77777777" w:rsidR="00EA5993" w:rsidRPr="009B1A37" w:rsidRDefault="00EA5993" w:rsidP="00EB4FF7">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n=553</w:t>
            </w:r>
          </w:p>
        </w:tc>
        <w:tc>
          <w:tcPr>
            <w:tcW w:w="2758" w:type="dxa"/>
            <w:tcBorders>
              <w:bottom w:val="single" w:sz="4" w:space="0" w:color="000000"/>
              <w:right w:val="single" w:sz="4" w:space="0" w:color="000000"/>
            </w:tcBorders>
          </w:tcPr>
          <w:p w14:paraId="068AED2E" w14:textId="77777777" w:rsidR="00EA5993" w:rsidRPr="009B1A37" w:rsidRDefault="00EA5993" w:rsidP="00EB4FF7">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n=553</w:t>
            </w:r>
          </w:p>
        </w:tc>
      </w:tr>
      <w:tr w:rsidR="00EA5993" w:rsidRPr="009B1A37" w14:paraId="025ADCF4" w14:textId="77777777" w:rsidTr="00EB4FF7">
        <w:trPr>
          <w:cantSplit/>
        </w:trPr>
        <w:tc>
          <w:tcPr>
            <w:tcW w:w="3794" w:type="dxa"/>
            <w:tcBorders>
              <w:left w:val="single" w:sz="4" w:space="0" w:color="000000"/>
            </w:tcBorders>
          </w:tcPr>
          <w:p w14:paraId="5FFD798C" w14:textId="77777777" w:rsidR="00EA5993" w:rsidRPr="009B1A37" w:rsidRDefault="00EA5993" w:rsidP="00EB4FF7">
            <w:pPr>
              <w:pStyle w:val="Table"/>
              <w:keepLines w:val="0"/>
              <w:widowControl w:val="0"/>
              <w:snapToGrid w:val="0"/>
              <w:spacing w:before="0" w:after="0"/>
              <w:rPr>
                <w:rFonts w:ascii="Times New Roman" w:hAnsi="Times New Roman" w:cs="Times New Roman"/>
                <w:b/>
                <w:bCs/>
                <w:color w:val="000000"/>
                <w:sz w:val="22"/>
                <w:szCs w:val="22"/>
                <w:lang w:val="cs-CZ"/>
              </w:rPr>
            </w:pPr>
            <w:r w:rsidRPr="009B1A37">
              <w:rPr>
                <w:rFonts w:ascii="Times New Roman" w:hAnsi="Times New Roman" w:cs="Times New Roman"/>
                <w:b/>
                <w:bCs/>
                <w:color w:val="000000"/>
                <w:sz w:val="22"/>
                <w:szCs w:val="22"/>
                <w:lang w:val="cs-CZ"/>
              </w:rPr>
              <w:t>Hematologická odpověď</w:t>
            </w:r>
          </w:p>
        </w:tc>
        <w:tc>
          <w:tcPr>
            <w:tcW w:w="2693" w:type="dxa"/>
          </w:tcPr>
          <w:p w14:paraId="1A2CE98C" w14:textId="77777777" w:rsidR="00EA5993" w:rsidRPr="009B1A37" w:rsidRDefault="00EA5993" w:rsidP="00EB4FF7">
            <w:pPr>
              <w:pStyle w:val="Table"/>
              <w:keepLines w:val="0"/>
              <w:widowControl w:val="0"/>
              <w:snapToGrid w:val="0"/>
              <w:spacing w:before="0" w:after="0"/>
              <w:jc w:val="center"/>
              <w:rPr>
                <w:rFonts w:ascii="Times New Roman" w:hAnsi="Times New Roman" w:cs="Times New Roman"/>
                <w:b/>
                <w:bCs/>
                <w:color w:val="000000"/>
                <w:sz w:val="22"/>
                <w:szCs w:val="22"/>
                <w:lang w:val="cs-CZ"/>
              </w:rPr>
            </w:pPr>
          </w:p>
        </w:tc>
        <w:tc>
          <w:tcPr>
            <w:tcW w:w="2758" w:type="dxa"/>
            <w:tcBorders>
              <w:right w:val="single" w:sz="4" w:space="0" w:color="000000"/>
            </w:tcBorders>
          </w:tcPr>
          <w:p w14:paraId="480852BC" w14:textId="77777777" w:rsidR="00EA5993" w:rsidRPr="009B1A37" w:rsidRDefault="00EA5993" w:rsidP="00EB4FF7">
            <w:pPr>
              <w:pStyle w:val="Table"/>
              <w:keepLines w:val="0"/>
              <w:widowControl w:val="0"/>
              <w:snapToGrid w:val="0"/>
              <w:spacing w:before="0" w:after="0"/>
              <w:jc w:val="center"/>
              <w:rPr>
                <w:rFonts w:ascii="Times New Roman" w:hAnsi="Times New Roman" w:cs="Times New Roman"/>
                <w:b/>
                <w:bCs/>
                <w:color w:val="000000"/>
                <w:sz w:val="22"/>
                <w:szCs w:val="22"/>
                <w:lang w:val="cs-CZ"/>
              </w:rPr>
            </w:pPr>
          </w:p>
        </w:tc>
      </w:tr>
      <w:tr w:rsidR="00EA5993" w:rsidRPr="009B1A37" w14:paraId="64FB8489" w14:textId="77777777" w:rsidTr="00EB4FF7">
        <w:trPr>
          <w:cantSplit/>
        </w:trPr>
        <w:tc>
          <w:tcPr>
            <w:tcW w:w="3794" w:type="dxa"/>
            <w:tcBorders>
              <w:left w:val="single" w:sz="4" w:space="0" w:color="000000"/>
            </w:tcBorders>
          </w:tcPr>
          <w:p w14:paraId="72DB2A45"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 xml:space="preserve">Míra </w:t>
            </w:r>
            <w:smartTag w:uri="urn:schemas-microsoft-com:office:smarttags" w:element="stockticker">
              <w:r w:rsidRPr="009B1A37">
                <w:rPr>
                  <w:rFonts w:ascii="Times New Roman" w:hAnsi="Times New Roman" w:cs="Times New Roman"/>
                  <w:color w:val="000000"/>
                  <w:sz w:val="22"/>
                  <w:szCs w:val="22"/>
                  <w:lang w:val="cs-CZ"/>
                </w:rPr>
                <w:t>CHR</w:t>
              </w:r>
            </w:smartTag>
            <w:r w:rsidRPr="009B1A37">
              <w:rPr>
                <w:rFonts w:ascii="Times New Roman" w:hAnsi="Times New Roman" w:cs="Times New Roman"/>
                <w:color w:val="000000"/>
                <w:sz w:val="22"/>
                <w:szCs w:val="22"/>
                <w:lang w:val="cs-CZ"/>
              </w:rPr>
              <w:t xml:space="preserve"> n (%)</w:t>
            </w:r>
          </w:p>
        </w:tc>
        <w:tc>
          <w:tcPr>
            <w:tcW w:w="2693" w:type="dxa"/>
          </w:tcPr>
          <w:p w14:paraId="5CF18AA9" w14:textId="77777777" w:rsidR="00EA5993" w:rsidRPr="009B1A37" w:rsidRDefault="00EA5993" w:rsidP="00EB4FF7">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534 (96,6</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c>
          <w:tcPr>
            <w:tcW w:w="2758" w:type="dxa"/>
            <w:tcBorders>
              <w:right w:val="single" w:sz="4" w:space="0" w:color="000000"/>
            </w:tcBorders>
          </w:tcPr>
          <w:p w14:paraId="39614E09" w14:textId="77777777" w:rsidR="00EA5993" w:rsidRPr="009B1A37" w:rsidRDefault="00EA5993" w:rsidP="00EB4FF7">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313 (56,6</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r>
      <w:tr w:rsidR="00EA5993" w:rsidRPr="009B1A37" w14:paraId="0306310D" w14:textId="77777777" w:rsidTr="00EB4FF7">
        <w:trPr>
          <w:cantSplit/>
        </w:trPr>
        <w:tc>
          <w:tcPr>
            <w:tcW w:w="3794" w:type="dxa"/>
            <w:tcBorders>
              <w:left w:val="single" w:sz="4" w:space="0" w:color="000000"/>
            </w:tcBorders>
          </w:tcPr>
          <w:p w14:paraId="201870BC"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b/>
              <w:t>[95% CI]</w:t>
            </w:r>
          </w:p>
        </w:tc>
        <w:tc>
          <w:tcPr>
            <w:tcW w:w="2693" w:type="dxa"/>
          </w:tcPr>
          <w:p w14:paraId="64A9A487" w14:textId="77777777" w:rsidR="00EA5993" w:rsidRPr="009B1A37" w:rsidRDefault="00EA5993" w:rsidP="00EB4FF7">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[94,7</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 97,9</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c>
          <w:tcPr>
            <w:tcW w:w="2758" w:type="dxa"/>
            <w:tcBorders>
              <w:right w:val="single" w:sz="4" w:space="0" w:color="000000"/>
            </w:tcBorders>
          </w:tcPr>
          <w:p w14:paraId="5B19ACC7" w14:textId="77777777" w:rsidR="00EA5993" w:rsidRPr="009B1A37" w:rsidRDefault="00EA5993" w:rsidP="00EB4FF7">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[52,4%, 60,8</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r>
      <w:tr w:rsidR="00EA5993" w:rsidRPr="009B1A37" w14:paraId="6FF755A9" w14:textId="77777777" w:rsidTr="00EB4FF7">
        <w:trPr>
          <w:cantSplit/>
        </w:trPr>
        <w:tc>
          <w:tcPr>
            <w:tcW w:w="3794" w:type="dxa"/>
            <w:tcBorders>
              <w:left w:val="single" w:sz="4" w:space="0" w:color="000000"/>
            </w:tcBorders>
          </w:tcPr>
          <w:p w14:paraId="1F9482A3"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p>
        </w:tc>
        <w:tc>
          <w:tcPr>
            <w:tcW w:w="2693" w:type="dxa"/>
          </w:tcPr>
          <w:p w14:paraId="1F646290"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p>
        </w:tc>
        <w:tc>
          <w:tcPr>
            <w:tcW w:w="2758" w:type="dxa"/>
            <w:tcBorders>
              <w:right w:val="single" w:sz="4" w:space="0" w:color="000000"/>
            </w:tcBorders>
          </w:tcPr>
          <w:p w14:paraId="6925F365"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p>
        </w:tc>
      </w:tr>
      <w:tr w:rsidR="00EA5993" w:rsidRPr="009B1A37" w14:paraId="3E6C9FE6" w14:textId="77777777" w:rsidTr="00EB4FF7">
        <w:trPr>
          <w:cantSplit/>
        </w:trPr>
        <w:tc>
          <w:tcPr>
            <w:tcW w:w="3794" w:type="dxa"/>
            <w:tcBorders>
              <w:left w:val="single" w:sz="4" w:space="0" w:color="000000"/>
            </w:tcBorders>
          </w:tcPr>
          <w:p w14:paraId="7E9E2AC7" w14:textId="77777777" w:rsidR="00EA5993" w:rsidRPr="009B1A37" w:rsidRDefault="00EA5993" w:rsidP="00EB4FF7">
            <w:pPr>
              <w:pStyle w:val="Table"/>
              <w:keepLines w:val="0"/>
              <w:widowControl w:val="0"/>
              <w:snapToGrid w:val="0"/>
              <w:spacing w:before="0" w:after="0"/>
              <w:rPr>
                <w:rFonts w:ascii="Times New Roman" w:hAnsi="Times New Roman" w:cs="Times New Roman"/>
                <w:b/>
                <w:bCs/>
                <w:color w:val="000000"/>
                <w:sz w:val="22"/>
                <w:szCs w:val="22"/>
                <w:lang w:val="cs-CZ"/>
              </w:rPr>
            </w:pPr>
            <w:r w:rsidRPr="009B1A37">
              <w:rPr>
                <w:rFonts w:ascii="Times New Roman" w:hAnsi="Times New Roman" w:cs="Times New Roman"/>
                <w:b/>
                <w:bCs/>
                <w:color w:val="000000"/>
                <w:sz w:val="22"/>
                <w:szCs w:val="22"/>
                <w:lang w:val="cs-CZ"/>
              </w:rPr>
              <w:t>Cytogenetická odpověď</w:t>
            </w:r>
          </w:p>
        </w:tc>
        <w:tc>
          <w:tcPr>
            <w:tcW w:w="2693" w:type="dxa"/>
          </w:tcPr>
          <w:p w14:paraId="14DC1433" w14:textId="77777777" w:rsidR="00EA5993" w:rsidRPr="009B1A37" w:rsidRDefault="00EA5993" w:rsidP="00EB4FF7">
            <w:pPr>
              <w:pStyle w:val="Table"/>
              <w:keepLines w:val="0"/>
              <w:widowControl w:val="0"/>
              <w:snapToGrid w:val="0"/>
              <w:spacing w:before="0" w:after="0"/>
              <w:rPr>
                <w:rFonts w:ascii="Times New Roman" w:hAnsi="Times New Roman" w:cs="Times New Roman"/>
                <w:b/>
                <w:bCs/>
                <w:color w:val="000000"/>
                <w:sz w:val="22"/>
                <w:szCs w:val="22"/>
                <w:lang w:val="cs-CZ"/>
              </w:rPr>
            </w:pPr>
          </w:p>
        </w:tc>
        <w:tc>
          <w:tcPr>
            <w:tcW w:w="2758" w:type="dxa"/>
            <w:tcBorders>
              <w:right w:val="single" w:sz="4" w:space="0" w:color="000000"/>
            </w:tcBorders>
          </w:tcPr>
          <w:p w14:paraId="59FF9E66" w14:textId="77777777" w:rsidR="00EA5993" w:rsidRPr="009B1A37" w:rsidRDefault="00EA5993" w:rsidP="00EB4FF7">
            <w:pPr>
              <w:pStyle w:val="Table"/>
              <w:keepLines w:val="0"/>
              <w:widowControl w:val="0"/>
              <w:snapToGrid w:val="0"/>
              <w:spacing w:before="0" w:after="0"/>
              <w:rPr>
                <w:rFonts w:ascii="Times New Roman" w:hAnsi="Times New Roman" w:cs="Times New Roman"/>
                <w:b/>
                <w:bCs/>
                <w:color w:val="000000"/>
                <w:sz w:val="22"/>
                <w:szCs w:val="22"/>
                <w:lang w:val="cs-CZ"/>
              </w:rPr>
            </w:pPr>
          </w:p>
        </w:tc>
      </w:tr>
      <w:tr w:rsidR="00EA5993" w:rsidRPr="009B1A37" w14:paraId="3C067AF0" w14:textId="77777777" w:rsidTr="00EB4FF7">
        <w:trPr>
          <w:cantSplit/>
        </w:trPr>
        <w:tc>
          <w:tcPr>
            <w:tcW w:w="3794" w:type="dxa"/>
            <w:tcBorders>
              <w:left w:val="single" w:sz="4" w:space="0" w:color="000000"/>
            </w:tcBorders>
          </w:tcPr>
          <w:p w14:paraId="683F0328"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Velká odpověď n (%)</w:t>
            </w:r>
          </w:p>
        </w:tc>
        <w:tc>
          <w:tcPr>
            <w:tcW w:w="2693" w:type="dxa"/>
          </w:tcPr>
          <w:p w14:paraId="5469161B" w14:textId="77777777" w:rsidR="00EA5993" w:rsidRPr="009B1A37" w:rsidRDefault="00EA5993" w:rsidP="00EB4FF7">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490 (88,6</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c>
          <w:tcPr>
            <w:tcW w:w="2758" w:type="dxa"/>
            <w:tcBorders>
              <w:right w:val="single" w:sz="4" w:space="0" w:color="000000"/>
            </w:tcBorders>
          </w:tcPr>
          <w:p w14:paraId="5E81FE52" w14:textId="77777777" w:rsidR="00EA5993" w:rsidRPr="009B1A37" w:rsidRDefault="00EA5993" w:rsidP="00EB4FF7">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129 (23,3</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r>
      <w:tr w:rsidR="00EA5993" w:rsidRPr="009B1A37" w14:paraId="4DD2A860" w14:textId="77777777" w:rsidTr="00EB4FF7">
        <w:trPr>
          <w:cantSplit/>
        </w:trPr>
        <w:tc>
          <w:tcPr>
            <w:tcW w:w="3794" w:type="dxa"/>
            <w:tcBorders>
              <w:left w:val="single" w:sz="4" w:space="0" w:color="000000"/>
            </w:tcBorders>
          </w:tcPr>
          <w:p w14:paraId="5FA71949"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b/>
              <w:t>[95% CI]</w:t>
            </w:r>
          </w:p>
        </w:tc>
        <w:tc>
          <w:tcPr>
            <w:tcW w:w="2693" w:type="dxa"/>
          </w:tcPr>
          <w:p w14:paraId="2881E607" w14:textId="77777777" w:rsidR="00EA5993" w:rsidRPr="009B1A37" w:rsidRDefault="00EA5993" w:rsidP="00EB4FF7">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[85,7%, 91,1</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c>
          <w:tcPr>
            <w:tcW w:w="2758" w:type="dxa"/>
            <w:tcBorders>
              <w:right w:val="single" w:sz="4" w:space="0" w:color="000000"/>
            </w:tcBorders>
          </w:tcPr>
          <w:p w14:paraId="1A627296" w14:textId="77777777" w:rsidR="00EA5993" w:rsidRPr="009B1A37" w:rsidRDefault="00EA5993" w:rsidP="00EB4FF7">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[19,9%, 27,1</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r>
      <w:tr w:rsidR="00EA5993" w:rsidRPr="009B1A37" w14:paraId="4AFF660D" w14:textId="77777777" w:rsidTr="00EB4FF7">
        <w:trPr>
          <w:cantSplit/>
        </w:trPr>
        <w:tc>
          <w:tcPr>
            <w:tcW w:w="3794" w:type="dxa"/>
            <w:tcBorders>
              <w:left w:val="single" w:sz="4" w:space="0" w:color="000000"/>
            </w:tcBorders>
          </w:tcPr>
          <w:p w14:paraId="25925A72"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b/>
              <w:t>Kompletní CyR n (%)</w:t>
            </w:r>
          </w:p>
        </w:tc>
        <w:tc>
          <w:tcPr>
            <w:tcW w:w="2693" w:type="dxa"/>
          </w:tcPr>
          <w:p w14:paraId="7AA48CA5" w14:textId="77777777" w:rsidR="00EA5993" w:rsidRPr="009B1A37" w:rsidRDefault="00EA5993" w:rsidP="00EB4FF7">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456 (82,5</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c>
          <w:tcPr>
            <w:tcW w:w="2758" w:type="dxa"/>
            <w:tcBorders>
              <w:right w:val="single" w:sz="4" w:space="0" w:color="000000"/>
            </w:tcBorders>
          </w:tcPr>
          <w:p w14:paraId="15B48FDA" w14:textId="77777777" w:rsidR="00EA5993" w:rsidRPr="009B1A37" w:rsidRDefault="00EA5993" w:rsidP="00EB4FF7">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64 (11,6</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r>
      <w:tr w:rsidR="00EA5993" w:rsidRPr="009B1A37" w14:paraId="4B07047C" w14:textId="77777777" w:rsidTr="00EB4FF7">
        <w:trPr>
          <w:cantSplit/>
        </w:trPr>
        <w:tc>
          <w:tcPr>
            <w:tcW w:w="3794" w:type="dxa"/>
            <w:tcBorders>
              <w:left w:val="single" w:sz="4" w:space="0" w:color="000000"/>
            </w:tcBorders>
          </w:tcPr>
          <w:p w14:paraId="42FAE1FB"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b/>
              <w:t>Parciální CyR n (%)</w:t>
            </w:r>
          </w:p>
        </w:tc>
        <w:tc>
          <w:tcPr>
            <w:tcW w:w="2693" w:type="dxa"/>
          </w:tcPr>
          <w:p w14:paraId="2DBC2B2F" w14:textId="77777777" w:rsidR="00EA5993" w:rsidRPr="009B1A37" w:rsidRDefault="00EA5993" w:rsidP="00EB4FF7">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34 (6,1</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c>
          <w:tcPr>
            <w:tcW w:w="2758" w:type="dxa"/>
            <w:tcBorders>
              <w:right w:val="single" w:sz="4" w:space="0" w:color="000000"/>
            </w:tcBorders>
          </w:tcPr>
          <w:p w14:paraId="26D16B1D" w14:textId="77777777" w:rsidR="00EA5993" w:rsidRPr="009B1A37" w:rsidRDefault="00EA5993" w:rsidP="00EB4FF7">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65 (11,8</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r>
      <w:tr w:rsidR="00EA5993" w:rsidRPr="009B1A37" w14:paraId="21066A9C" w14:textId="77777777" w:rsidTr="00EB4FF7">
        <w:trPr>
          <w:cantSplit/>
        </w:trPr>
        <w:tc>
          <w:tcPr>
            <w:tcW w:w="3794" w:type="dxa"/>
            <w:tcBorders>
              <w:left w:val="single" w:sz="4" w:space="0" w:color="000000"/>
            </w:tcBorders>
          </w:tcPr>
          <w:p w14:paraId="6743F7CA"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p>
        </w:tc>
        <w:tc>
          <w:tcPr>
            <w:tcW w:w="2693" w:type="dxa"/>
          </w:tcPr>
          <w:p w14:paraId="3585EC0E"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p>
        </w:tc>
        <w:tc>
          <w:tcPr>
            <w:tcW w:w="2758" w:type="dxa"/>
            <w:tcBorders>
              <w:right w:val="single" w:sz="4" w:space="0" w:color="000000"/>
            </w:tcBorders>
          </w:tcPr>
          <w:p w14:paraId="6DBDAF99"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p>
        </w:tc>
      </w:tr>
      <w:tr w:rsidR="00EA5993" w:rsidRPr="009B1A37" w14:paraId="63679CC6" w14:textId="77777777" w:rsidTr="00EB4FF7">
        <w:trPr>
          <w:cantSplit/>
        </w:trPr>
        <w:tc>
          <w:tcPr>
            <w:tcW w:w="3794" w:type="dxa"/>
            <w:tcBorders>
              <w:left w:val="single" w:sz="4" w:space="0" w:color="000000"/>
            </w:tcBorders>
          </w:tcPr>
          <w:p w14:paraId="0E34970D"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b/>
                <w:bCs/>
                <w:color w:val="000000"/>
                <w:sz w:val="22"/>
                <w:szCs w:val="22"/>
                <w:lang w:val="cs-CZ"/>
              </w:rPr>
              <w:t>Molekulární odpověď</w:t>
            </w:r>
            <w:r w:rsidRPr="009B1A37">
              <w:rPr>
                <w:rFonts w:ascii="Times New Roman" w:hAnsi="Times New Roman" w:cs="Times New Roman"/>
                <w:color w:val="000000"/>
                <w:sz w:val="22"/>
                <w:szCs w:val="22"/>
                <w:lang w:val="cs-CZ"/>
              </w:rPr>
              <w:t>**</w:t>
            </w:r>
          </w:p>
        </w:tc>
        <w:tc>
          <w:tcPr>
            <w:tcW w:w="2693" w:type="dxa"/>
          </w:tcPr>
          <w:p w14:paraId="12937FED"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p>
        </w:tc>
        <w:tc>
          <w:tcPr>
            <w:tcW w:w="2758" w:type="dxa"/>
            <w:tcBorders>
              <w:right w:val="single" w:sz="4" w:space="0" w:color="000000"/>
            </w:tcBorders>
          </w:tcPr>
          <w:p w14:paraId="3F9F7566"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p>
        </w:tc>
      </w:tr>
      <w:tr w:rsidR="00EA5993" w:rsidRPr="009B1A37" w14:paraId="6C525399" w14:textId="77777777" w:rsidTr="00EB4FF7">
        <w:trPr>
          <w:cantSplit/>
        </w:trPr>
        <w:tc>
          <w:tcPr>
            <w:tcW w:w="3794" w:type="dxa"/>
            <w:tcBorders>
              <w:left w:val="single" w:sz="4" w:space="0" w:color="000000"/>
            </w:tcBorders>
          </w:tcPr>
          <w:p w14:paraId="18F64627"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Velká odpověď ve 12. měsíci (%)</w:t>
            </w:r>
          </w:p>
        </w:tc>
        <w:tc>
          <w:tcPr>
            <w:tcW w:w="2693" w:type="dxa"/>
          </w:tcPr>
          <w:p w14:paraId="3AEE0110" w14:textId="77777777" w:rsidR="00EA5993" w:rsidRPr="009B1A37" w:rsidRDefault="00EA5993" w:rsidP="00EB4FF7">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153/305=50,2</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c>
          <w:tcPr>
            <w:tcW w:w="2758" w:type="dxa"/>
            <w:tcBorders>
              <w:right w:val="single" w:sz="4" w:space="0" w:color="000000"/>
            </w:tcBorders>
          </w:tcPr>
          <w:p w14:paraId="57AB93CF" w14:textId="77777777" w:rsidR="00EA5993" w:rsidRPr="009B1A37" w:rsidRDefault="00EA5993" w:rsidP="00EB4FF7">
            <w:pPr>
              <w:pStyle w:val="Table"/>
              <w:keepLines w:val="0"/>
              <w:widowControl w:val="0"/>
              <w:snapToGrid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8/83=9,6</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r>
      <w:tr w:rsidR="00EA5993" w:rsidRPr="009B1A37" w14:paraId="19C88838" w14:textId="77777777" w:rsidTr="00EB4FF7">
        <w:trPr>
          <w:cantSplit/>
        </w:trPr>
        <w:tc>
          <w:tcPr>
            <w:tcW w:w="3794" w:type="dxa"/>
            <w:tcBorders>
              <w:left w:val="single" w:sz="4" w:space="0" w:color="000000"/>
            </w:tcBorders>
          </w:tcPr>
          <w:p w14:paraId="2D5E07E6"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Velká odpověď ve 24. měsíci (%)</w:t>
            </w:r>
          </w:p>
          <w:p w14:paraId="0B61CB04" w14:textId="77777777" w:rsidR="00EA5993" w:rsidRPr="009B1A37" w:rsidRDefault="00EA5993" w:rsidP="00EB4FF7">
            <w:pPr>
              <w:pStyle w:val="Table"/>
              <w:keepLines w:val="0"/>
              <w:widowControl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Velká odpověď v 84. měsíci (%)</w:t>
            </w:r>
          </w:p>
        </w:tc>
        <w:tc>
          <w:tcPr>
            <w:tcW w:w="2693" w:type="dxa"/>
          </w:tcPr>
          <w:p w14:paraId="41B5FE5E" w14:textId="77777777" w:rsidR="00EA5993" w:rsidRPr="009B1A37" w:rsidRDefault="00EA5993" w:rsidP="00EB4FF7">
            <w:pPr>
              <w:pStyle w:val="Table"/>
              <w:keepLines w:val="0"/>
              <w:widowControl w:val="0"/>
              <w:snapToGrid w:val="0"/>
              <w:spacing w:before="0" w:after="0"/>
              <w:jc w:val="center"/>
              <w:rPr>
                <w:lang w:val="cs-CZ"/>
              </w:rPr>
            </w:pPr>
            <w:r w:rsidRPr="009B1A37">
              <w:rPr>
                <w:rFonts w:ascii="Times New Roman" w:hAnsi="Times New Roman" w:cs="Times New Roman"/>
                <w:color w:val="000000"/>
                <w:sz w:val="22"/>
                <w:szCs w:val="22"/>
                <w:lang w:val="cs-CZ"/>
              </w:rPr>
              <w:t>73/104=70,2</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p w14:paraId="7DEC328A" w14:textId="77777777" w:rsidR="00EA5993" w:rsidRPr="009B1A37" w:rsidRDefault="00EA5993" w:rsidP="00EB4FF7">
            <w:pPr>
              <w:pStyle w:val="Table"/>
              <w:keepLines w:val="0"/>
              <w:widowControl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102/116=87,9</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c>
          <w:tcPr>
            <w:tcW w:w="2758" w:type="dxa"/>
            <w:tcBorders>
              <w:right w:val="single" w:sz="4" w:space="0" w:color="000000"/>
            </w:tcBorders>
          </w:tcPr>
          <w:p w14:paraId="695BC287" w14:textId="77777777" w:rsidR="00EA5993" w:rsidRPr="009B1A37" w:rsidRDefault="00EA5993" w:rsidP="00EB4FF7">
            <w:pPr>
              <w:pStyle w:val="Table"/>
              <w:keepLines w:val="0"/>
              <w:widowControl w:val="0"/>
              <w:snapToGrid w:val="0"/>
              <w:spacing w:before="0" w:after="0"/>
              <w:jc w:val="center"/>
              <w:rPr>
                <w:lang w:val="cs-CZ"/>
              </w:rPr>
            </w:pPr>
            <w:r w:rsidRPr="009B1A37">
              <w:rPr>
                <w:rFonts w:ascii="Times New Roman" w:hAnsi="Times New Roman" w:cs="Times New Roman"/>
                <w:color w:val="000000"/>
                <w:sz w:val="22"/>
                <w:szCs w:val="22"/>
                <w:lang w:val="cs-CZ"/>
              </w:rPr>
              <w:t>3/12=25</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p w14:paraId="0042B28D" w14:textId="77777777" w:rsidR="00EA5993" w:rsidRPr="009B1A37" w:rsidRDefault="00EA5993" w:rsidP="00EB4FF7">
            <w:pPr>
              <w:pStyle w:val="Table"/>
              <w:keepLines w:val="0"/>
              <w:widowControl w:val="0"/>
              <w:spacing w:before="0" w:after="0"/>
              <w:jc w:val="center"/>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3/4=75</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w:t>
            </w:r>
          </w:p>
        </w:tc>
      </w:tr>
      <w:tr w:rsidR="00EA5993" w:rsidRPr="009B1A37" w14:paraId="4249D55E" w14:textId="77777777" w:rsidTr="00EB4FF7">
        <w:trPr>
          <w:cantSplit/>
        </w:trPr>
        <w:tc>
          <w:tcPr>
            <w:tcW w:w="9245" w:type="dxa"/>
            <w:gridSpan w:val="3"/>
            <w:tcBorders>
              <w:top w:val="single" w:sz="4" w:space="0" w:color="000000"/>
              <w:left w:val="single" w:sz="4" w:space="0" w:color="000000"/>
              <w:bottom w:val="single" w:sz="4" w:space="0" w:color="000000"/>
              <w:right w:val="single" w:sz="4" w:space="0" w:color="000000"/>
            </w:tcBorders>
          </w:tcPr>
          <w:p w14:paraId="3D1E7A47" w14:textId="77777777" w:rsidR="00EA5993" w:rsidRPr="009B1A37" w:rsidRDefault="00EA5993" w:rsidP="00EB4FF7">
            <w:pPr>
              <w:pStyle w:val="Table"/>
              <w:keepNext w:val="0"/>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 p&lt;0,001, Fischerův test významnosti</w:t>
            </w:r>
          </w:p>
          <w:p w14:paraId="5545C4E6" w14:textId="77777777" w:rsidR="00EA5993" w:rsidRPr="009B1A37" w:rsidRDefault="00EA5993" w:rsidP="00EB4FF7">
            <w:pPr>
              <w:pStyle w:val="Table"/>
              <w:keepNext w:val="0"/>
              <w:keepLines w:val="0"/>
              <w:widowControl w:val="0"/>
              <w:spacing w:before="0" w:after="0"/>
              <w:rPr>
                <w:rFonts w:ascii="Times New Roman" w:hAnsi="Times New Roman" w:cs="Times New Roman"/>
                <w:b/>
                <w:bCs/>
                <w:color w:val="000000"/>
                <w:sz w:val="22"/>
                <w:szCs w:val="22"/>
                <w:lang w:val="cs-CZ"/>
              </w:rPr>
            </w:pPr>
            <w:r w:rsidRPr="009B1A37">
              <w:rPr>
                <w:rFonts w:ascii="Times New Roman" w:hAnsi="Times New Roman" w:cs="Times New Roman"/>
                <w:color w:val="000000"/>
                <w:sz w:val="22"/>
                <w:szCs w:val="22"/>
                <w:lang w:val="cs-CZ"/>
              </w:rPr>
              <w:t>** procenta molekulární odpovědi jsou založená na dostupných vzorcích</w:t>
            </w:r>
          </w:p>
          <w:p w14:paraId="709F8611" w14:textId="77777777" w:rsidR="00EA5993" w:rsidRPr="009B1A37" w:rsidRDefault="00EA5993" w:rsidP="00EB4FF7">
            <w:pPr>
              <w:pStyle w:val="Table"/>
              <w:keepNext w:val="0"/>
              <w:keepLines w:val="0"/>
              <w:widowControl w:val="0"/>
              <w:spacing w:before="0" w:after="0"/>
              <w:rPr>
                <w:rFonts w:ascii="Times New Roman" w:hAnsi="Times New Roman" w:cs="Times New Roman"/>
                <w:b/>
                <w:bCs/>
                <w:color w:val="000000"/>
                <w:sz w:val="22"/>
                <w:szCs w:val="22"/>
                <w:lang w:val="cs-CZ"/>
              </w:rPr>
            </w:pPr>
            <w:r w:rsidRPr="009B1A37">
              <w:rPr>
                <w:rFonts w:ascii="Times New Roman" w:hAnsi="Times New Roman" w:cs="Times New Roman"/>
                <w:b/>
                <w:bCs/>
                <w:color w:val="000000"/>
                <w:sz w:val="22"/>
                <w:szCs w:val="22"/>
                <w:lang w:val="cs-CZ"/>
              </w:rPr>
              <w:t xml:space="preserve">Kritéria hematologické odpovědi (všechny odpovědi byly potvrzeny po </w:t>
            </w:r>
            <w:r w:rsidRPr="009B1A37">
              <w:rPr>
                <w:rFonts w:ascii="Symbol" w:hAnsi="Symbol"/>
                <w:b/>
                <w:bCs/>
                <w:color w:val="000000"/>
                <w:sz w:val="22"/>
                <w:szCs w:val="22"/>
                <w:lang w:val="cs-CZ"/>
              </w:rPr>
              <w:t></w:t>
            </w:r>
            <w:r w:rsidRPr="009B1A37">
              <w:rPr>
                <w:rFonts w:ascii="Times New Roman" w:hAnsi="Times New Roman" w:cs="Times New Roman"/>
                <w:b/>
                <w:bCs/>
                <w:color w:val="000000"/>
                <w:sz w:val="22"/>
                <w:szCs w:val="22"/>
                <w:lang w:val="cs-CZ"/>
              </w:rPr>
              <w:t> 4 týdnech):</w:t>
            </w:r>
          </w:p>
          <w:p w14:paraId="32E72433" w14:textId="77777777" w:rsidR="00EA5993" w:rsidRPr="009B1A37" w:rsidRDefault="00D82A16" w:rsidP="00EB4FF7">
            <w:pPr>
              <w:pStyle w:val="Table"/>
              <w:keepNext w:val="0"/>
              <w:keepLines w:val="0"/>
              <w:widowControl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Leukocyty</w:t>
            </w:r>
            <w:r w:rsidR="00EA5993" w:rsidRPr="009B1A37">
              <w:rPr>
                <w:rFonts w:ascii="Times New Roman" w:hAnsi="Times New Roman" w:cs="Times New Roman"/>
                <w:color w:val="000000"/>
                <w:sz w:val="22"/>
                <w:szCs w:val="22"/>
                <w:lang w:val="cs-CZ"/>
              </w:rPr>
              <w:t xml:space="preserve"> &lt; 10 x 10</w:t>
            </w:r>
            <w:r w:rsidR="00EA5993" w:rsidRPr="009B1A37">
              <w:rPr>
                <w:rFonts w:ascii="Times New Roman" w:hAnsi="Times New Roman" w:cs="Times New Roman"/>
                <w:color w:val="000000"/>
                <w:sz w:val="22"/>
                <w:szCs w:val="22"/>
                <w:vertAlign w:val="superscript"/>
                <w:lang w:val="cs-CZ"/>
              </w:rPr>
              <w:t>9</w:t>
            </w:r>
            <w:r w:rsidR="00EA5993" w:rsidRPr="009B1A37">
              <w:rPr>
                <w:rFonts w:ascii="Times New Roman" w:hAnsi="Times New Roman" w:cs="Times New Roman"/>
                <w:color w:val="000000"/>
                <w:sz w:val="22"/>
                <w:szCs w:val="22"/>
                <w:lang w:val="cs-CZ"/>
              </w:rPr>
              <w:t xml:space="preserve">/l, </w:t>
            </w:r>
            <w:r w:rsidRPr="009B1A37">
              <w:rPr>
                <w:rFonts w:ascii="Times New Roman" w:hAnsi="Times New Roman" w:cs="Times New Roman"/>
                <w:color w:val="000000"/>
                <w:sz w:val="22"/>
                <w:szCs w:val="22"/>
                <w:lang w:val="cs-CZ"/>
              </w:rPr>
              <w:t>trombocyty</w:t>
            </w:r>
            <w:r w:rsidR="00EA5993" w:rsidRPr="009B1A37">
              <w:rPr>
                <w:rFonts w:ascii="Times New Roman" w:hAnsi="Times New Roman" w:cs="Times New Roman"/>
                <w:color w:val="000000"/>
                <w:sz w:val="22"/>
                <w:szCs w:val="22"/>
                <w:lang w:val="cs-CZ"/>
              </w:rPr>
              <w:t xml:space="preserve"> &lt; 450 x 10</w:t>
            </w:r>
            <w:r w:rsidR="00EA5993" w:rsidRPr="009B1A37">
              <w:rPr>
                <w:rFonts w:ascii="Times New Roman" w:hAnsi="Times New Roman" w:cs="Times New Roman"/>
                <w:color w:val="000000"/>
                <w:sz w:val="22"/>
                <w:szCs w:val="22"/>
                <w:vertAlign w:val="superscript"/>
                <w:lang w:val="cs-CZ"/>
              </w:rPr>
              <w:t>9</w:t>
            </w:r>
            <w:r w:rsidR="00EA5993" w:rsidRPr="009B1A37">
              <w:rPr>
                <w:rFonts w:ascii="Times New Roman" w:hAnsi="Times New Roman" w:cs="Times New Roman"/>
                <w:color w:val="000000"/>
                <w:sz w:val="22"/>
                <w:szCs w:val="22"/>
                <w:lang w:val="cs-CZ"/>
              </w:rPr>
              <w:t>/l, myelocyty+metamyelocyty &lt; 5</w:t>
            </w:r>
            <w:r w:rsidR="004B270C" w:rsidRPr="009B1A37">
              <w:rPr>
                <w:rFonts w:ascii="Times New Roman" w:hAnsi="Times New Roman" w:cs="Times New Roman"/>
                <w:color w:val="000000"/>
                <w:sz w:val="22"/>
                <w:szCs w:val="22"/>
                <w:lang w:val="cs-CZ"/>
              </w:rPr>
              <w:t> </w:t>
            </w:r>
            <w:r w:rsidR="00EA5993" w:rsidRPr="009B1A37">
              <w:rPr>
                <w:rFonts w:ascii="Times New Roman" w:hAnsi="Times New Roman" w:cs="Times New Roman"/>
                <w:color w:val="000000"/>
                <w:sz w:val="22"/>
                <w:szCs w:val="22"/>
                <w:lang w:val="cs-CZ"/>
              </w:rPr>
              <w:t>% v krvi, žádné blasty a promyelocyty v krvi, basofily &lt; 20</w:t>
            </w:r>
            <w:r w:rsidR="004B270C" w:rsidRPr="009B1A37">
              <w:rPr>
                <w:rFonts w:ascii="Times New Roman" w:hAnsi="Times New Roman" w:cs="Times New Roman"/>
                <w:color w:val="000000"/>
                <w:sz w:val="22"/>
                <w:szCs w:val="22"/>
                <w:lang w:val="cs-CZ"/>
              </w:rPr>
              <w:t> </w:t>
            </w:r>
            <w:r w:rsidR="00EA5993" w:rsidRPr="009B1A37">
              <w:rPr>
                <w:rFonts w:ascii="Times New Roman" w:hAnsi="Times New Roman" w:cs="Times New Roman"/>
                <w:color w:val="000000"/>
                <w:sz w:val="22"/>
                <w:szCs w:val="22"/>
                <w:lang w:val="cs-CZ"/>
              </w:rPr>
              <w:t>%, žádné extramedulární postižení</w:t>
            </w:r>
          </w:p>
          <w:p w14:paraId="68649343" w14:textId="77777777" w:rsidR="00EA5993" w:rsidRPr="009B1A37" w:rsidRDefault="00EA5993" w:rsidP="00EB4FF7">
            <w:pPr>
              <w:pStyle w:val="Table"/>
              <w:keepNext w:val="0"/>
              <w:keepLines w:val="0"/>
              <w:widowControl w:val="0"/>
              <w:spacing w:before="0" w:after="0"/>
              <w:rPr>
                <w:rFonts w:ascii="Times New Roman" w:hAnsi="Times New Roman" w:cs="Times New Roman"/>
                <w:color w:val="000000"/>
                <w:sz w:val="22"/>
                <w:szCs w:val="22"/>
                <w:lang w:val="cs-CZ"/>
              </w:rPr>
            </w:pPr>
            <w:r w:rsidRPr="009B1A37">
              <w:rPr>
                <w:rFonts w:ascii="Times New Roman" w:hAnsi="Times New Roman" w:cs="Times New Roman"/>
                <w:b/>
                <w:bCs/>
                <w:color w:val="000000"/>
                <w:sz w:val="22"/>
                <w:szCs w:val="22"/>
                <w:lang w:val="cs-CZ"/>
              </w:rPr>
              <w:t xml:space="preserve">Kriteria cytogenetické odpovědi: </w:t>
            </w:r>
            <w:r w:rsidRPr="009B1A37">
              <w:rPr>
                <w:rFonts w:ascii="Times New Roman" w:hAnsi="Times New Roman" w:cs="Times New Roman"/>
                <w:color w:val="000000"/>
                <w:sz w:val="22"/>
                <w:szCs w:val="22"/>
                <w:lang w:val="cs-CZ"/>
              </w:rPr>
              <w:t>kompletní (0</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 Ph+ metafáze), parciální (1–35</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 malá (36–65</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 nebo minimální (66–95</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 Velká odpověď (0–35</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 kombinuje obě odpovědi - kompletní a parciální.</w:t>
            </w:r>
          </w:p>
          <w:p w14:paraId="75727044" w14:textId="77777777" w:rsidR="00EA5993" w:rsidRPr="009B1A37" w:rsidRDefault="00EA5993" w:rsidP="00EB4FF7">
            <w:pPr>
              <w:pStyle w:val="Table"/>
              <w:keepNext w:val="0"/>
              <w:keepLines w:val="0"/>
              <w:widowControl w:val="0"/>
              <w:spacing w:before="0" w:after="0"/>
              <w:rPr>
                <w:rFonts w:ascii="Times New Roman" w:hAnsi="Times New Roman" w:cs="Times New Roman"/>
                <w:color w:val="000000"/>
                <w:sz w:val="22"/>
                <w:szCs w:val="22"/>
                <w:lang w:val="cs-CZ"/>
              </w:rPr>
            </w:pPr>
            <w:r w:rsidRPr="009B1A37">
              <w:rPr>
                <w:rFonts w:ascii="Times New Roman" w:hAnsi="Times New Roman" w:cs="Times New Roman"/>
                <w:b/>
                <w:bCs/>
                <w:color w:val="000000"/>
                <w:sz w:val="22"/>
                <w:szCs w:val="22"/>
                <w:lang w:val="cs-CZ"/>
              </w:rPr>
              <w:t>Kritéria velké molekulární odpovědi</w:t>
            </w:r>
            <w:r w:rsidRPr="009B1A37">
              <w:rPr>
                <w:rFonts w:ascii="Times New Roman" w:hAnsi="Times New Roman" w:cs="Times New Roman"/>
                <w:color w:val="000000"/>
                <w:sz w:val="22"/>
                <w:szCs w:val="22"/>
                <w:lang w:val="cs-CZ"/>
              </w:rPr>
              <w:t>: v periferní krvi ≥ 3-logaritmové snížení množství Bcr-Abl transkriptů (měřeno pomocí testu kvantitativní polymerázové řetězové reakce (</w:t>
            </w:r>
            <w:smartTag w:uri="urn:schemas-microsoft-com:office:smarttags" w:element="stockticker">
              <w:r w:rsidRPr="009B1A37">
                <w:rPr>
                  <w:rFonts w:ascii="Times New Roman" w:hAnsi="Times New Roman" w:cs="Times New Roman"/>
                  <w:color w:val="000000"/>
                  <w:sz w:val="22"/>
                  <w:szCs w:val="22"/>
                  <w:lang w:val="cs-CZ"/>
                </w:rPr>
                <w:t>PCR</w:t>
              </w:r>
            </w:smartTag>
            <w:r w:rsidRPr="009B1A37">
              <w:rPr>
                <w:rFonts w:ascii="Times New Roman" w:hAnsi="Times New Roman" w:cs="Times New Roman"/>
                <w:color w:val="000000"/>
                <w:sz w:val="22"/>
                <w:szCs w:val="22"/>
                <w:lang w:val="cs-CZ"/>
              </w:rPr>
              <w:t>) reverzní transkriptázy v reálném čase) proti standardizované výchozí hodnotě.</w:t>
            </w:r>
          </w:p>
        </w:tc>
      </w:tr>
    </w:tbl>
    <w:p w14:paraId="258B49F2" w14:textId="77777777" w:rsidR="00EA5993" w:rsidRPr="009B1A37" w:rsidRDefault="00EA5993" w:rsidP="00BE3D48">
      <w:pPr>
        <w:pStyle w:val="EndnoteText"/>
        <w:widowControl w:val="0"/>
      </w:pPr>
    </w:p>
    <w:p w14:paraId="6BA097BC" w14:textId="77777777" w:rsidR="00EA5993" w:rsidRPr="009B1A37" w:rsidRDefault="00D82A16" w:rsidP="00BE3D48">
      <w:pPr>
        <w:pStyle w:val="EndnoteText"/>
        <w:widowControl w:val="0"/>
        <w:rPr>
          <w:color w:val="000000"/>
        </w:rPr>
      </w:pPr>
      <w:r w:rsidRPr="009B1A37">
        <w:rPr>
          <w:color w:val="000000"/>
        </w:rPr>
        <w:t>Výskyt</w:t>
      </w:r>
      <w:r w:rsidR="00EA5993" w:rsidRPr="009B1A37">
        <w:rPr>
          <w:color w:val="000000"/>
        </w:rPr>
        <w:t xml:space="preserve"> kompletní hematologické odpovědi, velké cytogenetické odpovědi a kompletní cytogenetické odpovědi na první linii léčby byl stanoven použitím Kaplan-Meierova postupu, pro který byly nedosažené odpovědi vyřazeny v den posledního vyšetření. S použitím tohoto postupu se stanovená kumulativní míra odpovědi v první linii léčby Glivecem zlepšila od 12. měsíce léčby do 84. měsíce léčby následovně: </w:t>
      </w:r>
      <w:smartTag w:uri="urn:schemas-microsoft-com:office:smarttags" w:element="stockticker">
        <w:r w:rsidR="00EA5993" w:rsidRPr="009B1A37">
          <w:rPr>
            <w:color w:val="000000"/>
          </w:rPr>
          <w:t>CHR</w:t>
        </w:r>
      </w:smartTag>
      <w:r w:rsidR="00EA5993" w:rsidRPr="009B1A37">
        <w:rPr>
          <w:color w:val="000000"/>
        </w:rPr>
        <w:t xml:space="preserve"> z 96,4</w:t>
      </w:r>
      <w:r w:rsidRPr="009B1A37">
        <w:rPr>
          <w:color w:val="000000"/>
        </w:rPr>
        <w:t> </w:t>
      </w:r>
      <w:r w:rsidR="00EA5993" w:rsidRPr="009B1A37">
        <w:rPr>
          <w:color w:val="000000"/>
        </w:rPr>
        <w:t>% na 98,4</w:t>
      </w:r>
      <w:r w:rsidRPr="009B1A37">
        <w:rPr>
          <w:color w:val="000000"/>
        </w:rPr>
        <w:t xml:space="preserve"> </w:t>
      </w:r>
      <w:r w:rsidR="00EA5993" w:rsidRPr="009B1A37">
        <w:rPr>
          <w:color w:val="000000"/>
        </w:rPr>
        <w:t>% a CCyR z 69,5</w:t>
      </w:r>
      <w:r w:rsidRPr="009B1A37">
        <w:rPr>
          <w:color w:val="000000"/>
        </w:rPr>
        <w:t> </w:t>
      </w:r>
      <w:r w:rsidR="00EA5993" w:rsidRPr="009B1A37">
        <w:rPr>
          <w:color w:val="000000"/>
        </w:rPr>
        <w:t>% na 87,2</w:t>
      </w:r>
      <w:r w:rsidRPr="009B1A37">
        <w:rPr>
          <w:color w:val="000000"/>
        </w:rPr>
        <w:t> </w:t>
      </w:r>
      <w:r w:rsidR="00EA5993" w:rsidRPr="009B1A37">
        <w:rPr>
          <w:color w:val="000000"/>
        </w:rPr>
        <w:t>%.</w:t>
      </w:r>
    </w:p>
    <w:p w14:paraId="0AEA0ACD" w14:textId="77777777" w:rsidR="00EA5993" w:rsidRPr="009B1A37" w:rsidRDefault="00EA5993" w:rsidP="00BE3D48">
      <w:pPr>
        <w:pStyle w:val="EndnoteText"/>
        <w:widowControl w:val="0"/>
        <w:rPr>
          <w:color w:val="000000"/>
        </w:rPr>
      </w:pPr>
    </w:p>
    <w:p w14:paraId="4FAD058E" w14:textId="77777777" w:rsidR="00EA5993" w:rsidRPr="009B1A37" w:rsidRDefault="00EA5993" w:rsidP="00BE3D48">
      <w:pPr>
        <w:pStyle w:val="EndnoteText"/>
        <w:widowControl w:val="0"/>
        <w:rPr>
          <w:color w:val="000000"/>
        </w:rPr>
      </w:pPr>
      <w:r w:rsidRPr="009B1A37">
        <w:rPr>
          <w:color w:val="000000"/>
        </w:rPr>
        <w:t>Při 7letém sledování bylo v rameni s Glivecem 93 (16,8</w:t>
      </w:r>
      <w:r w:rsidR="00D82A16" w:rsidRPr="009B1A37">
        <w:rPr>
          <w:color w:val="000000"/>
        </w:rPr>
        <w:t> </w:t>
      </w:r>
      <w:r w:rsidRPr="009B1A37">
        <w:rPr>
          <w:color w:val="000000"/>
        </w:rPr>
        <w:t>%) příhod progrese: v 37 (6,7</w:t>
      </w:r>
      <w:r w:rsidR="00D82A16" w:rsidRPr="009B1A37">
        <w:rPr>
          <w:color w:val="000000"/>
        </w:rPr>
        <w:t> </w:t>
      </w:r>
      <w:r w:rsidRPr="009B1A37">
        <w:rPr>
          <w:color w:val="000000"/>
        </w:rPr>
        <w:t>%) případech se jednalo o progresi do akcelerované fáze/blastické krize, v 31 (5,6</w:t>
      </w:r>
      <w:r w:rsidR="00D82A16" w:rsidRPr="009B1A37">
        <w:rPr>
          <w:color w:val="000000"/>
        </w:rPr>
        <w:t xml:space="preserve"> </w:t>
      </w:r>
      <w:r w:rsidRPr="009B1A37">
        <w:rPr>
          <w:color w:val="000000"/>
        </w:rPr>
        <w:t>%) o ztrátu MCyR, v 15 (2,7</w:t>
      </w:r>
      <w:r w:rsidR="00D82A16" w:rsidRPr="009B1A37">
        <w:rPr>
          <w:color w:val="000000"/>
        </w:rPr>
        <w:t> </w:t>
      </w:r>
      <w:r w:rsidRPr="009B1A37">
        <w:rPr>
          <w:color w:val="000000"/>
        </w:rPr>
        <w:t xml:space="preserve">%) o ztrátu </w:t>
      </w:r>
      <w:smartTag w:uri="urn:schemas-microsoft-com:office:smarttags" w:element="stockticker">
        <w:r w:rsidRPr="009B1A37">
          <w:rPr>
            <w:color w:val="000000"/>
          </w:rPr>
          <w:t>CHR</w:t>
        </w:r>
      </w:smartTag>
      <w:r w:rsidRPr="009B1A37">
        <w:rPr>
          <w:color w:val="000000"/>
        </w:rPr>
        <w:t xml:space="preserve"> nebo zvýšení WBC a v 10 (1,8</w:t>
      </w:r>
      <w:r w:rsidR="00D82A16" w:rsidRPr="009B1A37">
        <w:rPr>
          <w:color w:val="000000"/>
        </w:rPr>
        <w:t> </w:t>
      </w:r>
      <w:r w:rsidRPr="009B1A37">
        <w:rPr>
          <w:color w:val="000000"/>
        </w:rPr>
        <w:t>%) o úmrtí nesouvisejících s CML. Naproti tomu bylo v rameni s IFN</w:t>
      </w:r>
      <w:r w:rsidRPr="009B1A37">
        <w:rPr>
          <w:rFonts w:ascii="Arial" w:hAnsi="Arial" w:cs="Arial"/>
          <w:color w:val="000000"/>
        </w:rPr>
        <w:t>+</w:t>
      </w:r>
      <w:r w:rsidRPr="009B1A37">
        <w:rPr>
          <w:color w:val="000000"/>
        </w:rPr>
        <w:t>Ara-C 165 (29,8</w:t>
      </w:r>
      <w:r w:rsidR="00D82A16" w:rsidRPr="009B1A37">
        <w:rPr>
          <w:color w:val="000000"/>
        </w:rPr>
        <w:t> </w:t>
      </w:r>
      <w:r w:rsidRPr="009B1A37">
        <w:rPr>
          <w:color w:val="000000"/>
        </w:rPr>
        <w:t>%) příhod, z nichž 130 se vyskytlo během léčby IFN+Ara-C v první linii.</w:t>
      </w:r>
    </w:p>
    <w:p w14:paraId="3BBB036F" w14:textId="77777777" w:rsidR="00EA5993" w:rsidRPr="009B1A37" w:rsidRDefault="00EA5993" w:rsidP="00BE3D48">
      <w:pPr>
        <w:pStyle w:val="EndnoteText"/>
        <w:widowControl w:val="0"/>
        <w:rPr>
          <w:color w:val="000000"/>
        </w:rPr>
      </w:pPr>
    </w:p>
    <w:p w14:paraId="107F93EA" w14:textId="77777777" w:rsidR="00EA5993" w:rsidRPr="009B1A37" w:rsidRDefault="00EA5993" w:rsidP="00BE3D48">
      <w:pPr>
        <w:pStyle w:val="EndnoteText"/>
        <w:widowControl w:val="0"/>
        <w:rPr>
          <w:color w:val="000000"/>
        </w:rPr>
      </w:pPr>
      <w:r w:rsidRPr="009B1A37">
        <w:rPr>
          <w:color w:val="000000"/>
        </w:rPr>
        <w:t>Odhadovaný podíl pacientů bez progrese do akcelerované fáze nebo blastické krize v 84. měsíci byl významně vyšší v rameni s Glivecem ve srovnání s ramenem s IFN (92,5</w:t>
      </w:r>
      <w:r w:rsidR="002C3F5C" w:rsidRPr="009B1A37">
        <w:rPr>
          <w:color w:val="000000"/>
        </w:rPr>
        <w:t> </w:t>
      </w:r>
      <w:r w:rsidRPr="009B1A37">
        <w:rPr>
          <w:color w:val="000000"/>
        </w:rPr>
        <w:t>% proti 85,1</w:t>
      </w:r>
      <w:r w:rsidR="00D82A16" w:rsidRPr="009B1A37">
        <w:rPr>
          <w:color w:val="000000"/>
        </w:rPr>
        <w:t> </w:t>
      </w:r>
      <w:r w:rsidRPr="009B1A37">
        <w:rPr>
          <w:color w:val="000000"/>
        </w:rPr>
        <w:t>%, p&lt;0,001). Roční míra progrese do akcelerované fáze nebo blastické krize se v průběhu léčby snižovala a ve čtvrtém a pátém roce byla menší než 1</w:t>
      </w:r>
      <w:r w:rsidR="002C3F5C" w:rsidRPr="009B1A37">
        <w:rPr>
          <w:color w:val="000000"/>
        </w:rPr>
        <w:t> </w:t>
      </w:r>
      <w:r w:rsidRPr="009B1A37">
        <w:rPr>
          <w:color w:val="000000"/>
        </w:rPr>
        <w:t>% za rok. Odhadovaná míra přežití bez progrese v 84. měsíci byla 81,2</w:t>
      </w:r>
      <w:r w:rsidR="002C3F5C" w:rsidRPr="009B1A37">
        <w:rPr>
          <w:color w:val="000000"/>
        </w:rPr>
        <w:t> </w:t>
      </w:r>
      <w:r w:rsidRPr="009B1A37">
        <w:rPr>
          <w:color w:val="000000"/>
        </w:rPr>
        <w:t>% v rameni s Glivecem a 60,6</w:t>
      </w:r>
      <w:r w:rsidR="002C3F5C" w:rsidRPr="009B1A37">
        <w:rPr>
          <w:color w:val="000000"/>
        </w:rPr>
        <w:t> </w:t>
      </w:r>
      <w:r w:rsidRPr="009B1A37">
        <w:rPr>
          <w:color w:val="000000"/>
        </w:rPr>
        <w:t>% u kontrolní skupiny (p&lt;0,001). Roční míra progrese jakéhokoli typu se pro Glivec rovněž snižovala s časem.</w:t>
      </w:r>
    </w:p>
    <w:p w14:paraId="095A42A4" w14:textId="77777777" w:rsidR="00EA5993" w:rsidRPr="009B1A37" w:rsidRDefault="00EA5993" w:rsidP="00BE3D48">
      <w:pPr>
        <w:pStyle w:val="EndnoteText"/>
        <w:widowControl w:val="0"/>
        <w:rPr>
          <w:color w:val="000000"/>
        </w:rPr>
      </w:pPr>
    </w:p>
    <w:p w14:paraId="66BB3DC1" w14:textId="77777777" w:rsidR="00EA5993" w:rsidRPr="009B1A37" w:rsidRDefault="00EA5993" w:rsidP="00BE3D48">
      <w:pPr>
        <w:pStyle w:val="EndnoteText"/>
        <w:widowControl w:val="0"/>
        <w:rPr>
          <w:color w:val="000000"/>
        </w:rPr>
      </w:pPr>
      <w:r w:rsidRPr="009B1A37">
        <w:rPr>
          <w:color w:val="000000"/>
        </w:rPr>
        <w:t>Celkem ve skupině s Glivecem zemřelo 71 pacientů (12,8</w:t>
      </w:r>
      <w:r w:rsidR="002C3F5C" w:rsidRPr="009B1A37">
        <w:rPr>
          <w:color w:val="000000"/>
        </w:rPr>
        <w:t> </w:t>
      </w:r>
      <w:r w:rsidRPr="009B1A37">
        <w:rPr>
          <w:color w:val="000000"/>
        </w:rPr>
        <w:t>%) a 85 pacientů (15,4</w:t>
      </w:r>
      <w:r w:rsidR="00D82A16" w:rsidRPr="009B1A37">
        <w:rPr>
          <w:color w:val="000000"/>
        </w:rPr>
        <w:t> </w:t>
      </w:r>
      <w:r w:rsidRPr="009B1A37">
        <w:rPr>
          <w:color w:val="000000"/>
        </w:rPr>
        <w:t>%) ve skupině s IFN+Ara-C. V 84. měsíci bylo celkové přežití ve skupině s Glivecem 86,4</w:t>
      </w:r>
      <w:r w:rsidR="002C3F5C" w:rsidRPr="009B1A37">
        <w:rPr>
          <w:color w:val="000000"/>
        </w:rPr>
        <w:t> </w:t>
      </w:r>
      <w:r w:rsidRPr="009B1A37">
        <w:rPr>
          <w:color w:val="000000"/>
        </w:rPr>
        <w:t>% (83, 90) oproti 83,3</w:t>
      </w:r>
      <w:r w:rsidR="002C3F5C" w:rsidRPr="009B1A37">
        <w:rPr>
          <w:color w:val="000000"/>
        </w:rPr>
        <w:t> </w:t>
      </w:r>
      <w:r w:rsidRPr="009B1A37">
        <w:rPr>
          <w:color w:val="000000"/>
        </w:rPr>
        <w:t xml:space="preserve">% (80, 87) ve skupině s IFN+Ara-C, (p=0,073, log-rank test). Cílový parametr „doba do výskytu příhody“ je výrazně ovlivněn vysokým podílem převedení z léčby IFN+Ara-C na léčbu Glivecem. Vliv léčby Glivecem na přežití v chronické fázi onemocnění nově diagnostikované CML byl dále zkoumán v retrospektivní analýze výše uvedených údajů o Glivecu s původními údaji z jiné studie fáze </w:t>
      </w:r>
      <w:smartTag w:uri="urn:schemas-microsoft-com:office:smarttags" w:element="stockticker">
        <w:r w:rsidRPr="009B1A37">
          <w:rPr>
            <w:color w:val="000000"/>
          </w:rPr>
          <w:t>III</w:t>
        </w:r>
      </w:smartTag>
      <w:r w:rsidRPr="009B1A37">
        <w:rPr>
          <w:color w:val="000000"/>
        </w:rPr>
        <w:t>, kde byl použit stejný léčebný režim IFN+Ara-C (n=325). V této retrospektivní analýze byly prokázány lepší výsledky celkového přežití (p&lt;0,001) při podávání Glivecu oproti IFN+Ara-C; během 42 měsíců zemřelo 47 (8,5</w:t>
      </w:r>
      <w:r w:rsidR="00D82A16" w:rsidRPr="009B1A37">
        <w:rPr>
          <w:color w:val="000000"/>
        </w:rPr>
        <w:t> </w:t>
      </w:r>
      <w:r w:rsidRPr="009B1A37">
        <w:rPr>
          <w:color w:val="000000"/>
        </w:rPr>
        <w:t>%) pacientů s Glivecem oproti 63 (19,4</w:t>
      </w:r>
      <w:r w:rsidR="002C3F5C" w:rsidRPr="009B1A37">
        <w:rPr>
          <w:color w:val="000000"/>
        </w:rPr>
        <w:t> </w:t>
      </w:r>
      <w:r w:rsidRPr="009B1A37">
        <w:rPr>
          <w:color w:val="000000"/>
        </w:rPr>
        <w:t>%) pacientům s IFN+Ara-C.</w:t>
      </w:r>
    </w:p>
    <w:p w14:paraId="383D0D73" w14:textId="77777777" w:rsidR="00EA5993" w:rsidRPr="009B1A37" w:rsidRDefault="00EA5993" w:rsidP="00BE3D48">
      <w:pPr>
        <w:pStyle w:val="EndnoteText"/>
        <w:widowControl w:val="0"/>
        <w:rPr>
          <w:color w:val="000000"/>
        </w:rPr>
      </w:pPr>
    </w:p>
    <w:p w14:paraId="1939C3AE" w14:textId="77777777" w:rsidR="00EA5993" w:rsidRPr="009B1A37" w:rsidRDefault="00EA5993" w:rsidP="00BE3D48">
      <w:pPr>
        <w:spacing w:line="240" w:lineRule="auto"/>
      </w:pPr>
      <w:r w:rsidRPr="009B1A37">
        <w:t>U pacientů léčených Glivecem měl stupeň dosažené cytogenetické odpovědi a molekulární odpovědi jednoznačný vliv na dlouhodobé výsledky léčby. Zatímco 96</w:t>
      </w:r>
      <w:r w:rsidR="00F62619" w:rsidRPr="009B1A37">
        <w:t> </w:t>
      </w:r>
      <w:r w:rsidRPr="009B1A37">
        <w:t>% (93</w:t>
      </w:r>
      <w:r w:rsidR="00F62619" w:rsidRPr="009B1A37">
        <w:t> </w:t>
      </w:r>
      <w:r w:rsidRPr="009B1A37">
        <w:t>%) pacientů s CCyR (PCyR) ve 12. měsíci, bylo v 84. měsíci bez progrese do akcelerované fáze/blastické krize, bylo bez progrese do pokročilé CML v 84 měsících pouze 81</w:t>
      </w:r>
      <w:r w:rsidR="00F62619" w:rsidRPr="009B1A37">
        <w:t> </w:t>
      </w:r>
      <w:r w:rsidRPr="009B1A37">
        <w:t>% pacientů bez MCyR ve 12 měsících (p&lt;0,001 celkově, p=0,25 mezi CCyR a PCyR). U pacientů s nejméně 3-log redukcí Bcr-Abl transkriptů ve 12 měsících léčby, byla pravděpodobnost setrvání bez progrese do akcelerované fáze/blastické krize v 84 měsících 99</w:t>
      </w:r>
      <w:r w:rsidR="004B270C" w:rsidRPr="009B1A37">
        <w:t> </w:t>
      </w:r>
      <w:r w:rsidRPr="009B1A37">
        <w:t>%. Podobná zjištění byla shledána v analýze 18 měsíců léčby.</w:t>
      </w:r>
    </w:p>
    <w:p w14:paraId="5814A7F3" w14:textId="77777777" w:rsidR="00EA5993" w:rsidRPr="009B1A37" w:rsidRDefault="00EA5993" w:rsidP="00BE3D48">
      <w:pPr>
        <w:pStyle w:val="EndnoteText"/>
        <w:widowControl w:val="0"/>
        <w:rPr>
          <w:color w:val="000000"/>
        </w:rPr>
      </w:pPr>
    </w:p>
    <w:p w14:paraId="2B7C08E5" w14:textId="77777777" w:rsidR="00EA5993" w:rsidRPr="009B1A37" w:rsidRDefault="00EA5993" w:rsidP="00BE3D48">
      <w:pPr>
        <w:pStyle w:val="EndnoteText"/>
        <w:widowControl w:val="0"/>
        <w:rPr>
          <w:color w:val="000000"/>
        </w:rPr>
      </w:pPr>
      <w:r w:rsidRPr="009B1A37">
        <w:rPr>
          <w:color w:val="000000"/>
        </w:rPr>
        <w:t>V této studii bylo povolené zvýšení dávky ze 400 mg denně na 600 mg denně, a potom ze 600 mg denně na 800 mg denně. Po 42 měsících sledování došlo u 11 pacientů k potvrzené ztrátě jejich cytogenetické odpovědi (během 4 týdnů). Z těchto 11 pacientů byla u 4 zvýšena dávka až na 800 mg denně, dva z nich znovu dosáhli cytogenetické odpovědi (jeden částečné a jeden kompletní, ten později dosáhl také molekulární odpovědi). Zatímco u 7 pacientů, kterým nebyla zvýšena dávka, pouze jeden dosáhl kompletní cytogenetické odpovědi. Procento výskytu některých nežádoucích účinků bylo vyšší u 40 pacientů, kterým byla dávka zvýšena na 800 mg denně, ve srovnání s populací pacientů před zvýšením dávky (n=551). Častější nežádoucí účinky zahrnovaly gastrointestinální krvácení, konjunktivitidu a zvýšení transamináz a bilirubinu. Další nežádoucí účinky byly hlášeny s menší nebo se stejnou frekvencí.</w:t>
      </w:r>
    </w:p>
    <w:p w14:paraId="506DF715" w14:textId="77777777" w:rsidR="00EA5993" w:rsidRPr="009B1A37" w:rsidRDefault="00EA5993" w:rsidP="00BE3D48">
      <w:pPr>
        <w:pStyle w:val="EndnoteText"/>
        <w:widowControl w:val="0"/>
        <w:rPr>
          <w:color w:val="000000"/>
        </w:rPr>
      </w:pPr>
    </w:p>
    <w:p w14:paraId="25ACBBD2" w14:textId="77777777" w:rsidR="00EA5993" w:rsidRPr="009B1A37" w:rsidRDefault="00EA5993" w:rsidP="00BE3D48">
      <w:pPr>
        <w:pStyle w:val="EndnoteText"/>
        <w:widowControl w:val="0"/>
        <w:tabs>
          <w:tab w:val="clear" w:pos="567"/>
        </w:tabs>
        <w:rPr>
          <w:color w:val="000000"/>
        </w:rPr>
      </w:pPr>
      <w:r w:rsidRPr="009B1A37">
        <w:rPr>
          <w:i/>
          <w:iCs/>
          <w:color w:val="000000"/>
        </w:rPr>
        <w:t xml:space="preserve">Chronická fáze, selhání léčby interferonem: </w:t>
      </w:r>
      <w:r w:rsidRPr="009B1A37">
        <w:rPr>
          <w:color w:val="000000"/>
        </w:rPr>
        <w:t>532 dospělých pacientů bylo léčeno úvodní dávkou 400 mg. Pacienti byli rozděleni do tří hlavních kategorií: hematologické selhání (29</w:t>
      </w:r>
      <w:r w:rsidR="00F62619" w:rsidRPr="009B1A37">
        <w:rPr>
          <w:color w:val="000000"/>
        </w:rPr>
        <w:t> </w:t>
      </w:r>
      <w:r w:rsidRPr="009B1A37">
        <w:rPr>
          <w:color w:val="000000"/>
        </w:rPr>
        <w:t>%), cytogenetické selhání (35</w:t>
      </w:r>
      <w:r w:rsidR="00F62619" w:rsidRPr="009B1A37">
        <w:rPr>
          <w:color w:val="000000"/>
        </w:rPr>
        <w:t> </w:t>
      </w:r>
      <w:r w:rsidRPr="009B1A37">
        <w:rPr>
          <w:color w:val="000000"/>
        </w:rPr>
        <w:t>%), nebo intolerance interferonu (36</w:t>
      </w:r>
      <w:r w:rsidR="00F62619" w:rsidRPr="009B1A37">
        <w:rPr>
          <w:color w:val="000000"/>
        </w:rPr>
        <w:t> </w:t>
      </w:r>
      <w:r w:rsidRPr="009B1A37">
        <w:rPr>
          <w:color w:val="000000"/>
        </w:rPr>
        <w:t xml:space="preserve">%). Medián doby, po kterou pacienti užívali předchozí léčbu IFN v dávce </w:t>
      </w:r>
      <w:r w:rsidRPr="009B1A37">
        <w:rPr>
          <w:rFonts w:ascii="Symbol" w:hAnsi="Symbol"/>
          <w:color w:val="000000"/>
        </w:rPr>
        <w:t></w:t>
      </w:r>
      <w:r w:rsidRPr="009B1A37">
        <w:rPr>
          <w:color w:val="000000"/>
        </w:rPr>
        <w:t> 25 x 10</w:t>
      </w:r>
      <w:r w:rsidRPr="009B1A37">
        <w:rPr>
          <w:color w:val="000000"/>
          <w:vertAlign w:val="superscript"/>
        </w:rPr>
        <w:t>6</w:t>
      </w:r>
      <w:r w:rsidRPr="009B1A37">
        <w:rPr>
          <w:color w:val="000000"/>
        </w:rPr>
        <w:t xml:space="preserve"> IU/týden, byl 14 měsíců a všichni byli v pozdní chronické fázi, medián doby od diagnózy byl 32 měsíců. Základním parametrem účinnosti ve studii byla míra velké cytogenetické odpovědi (kompletní a parciální odpověď, 0 až 35</w:t>
      </w:r>
      <w:r w:rsidR="00F62619" w:rsidRPr="009B1A37">
        <w:rPr>
          <w:color w:val="000000"/>
        </w:rPr>
        <w:t> </w:t>
      </w:r>
      <w:r w:rsidRPr="009B1A37">
        <w:rPr>
          <w:color w:val="000000"/>
        </w:rPr>
        <w:t>% Ph+ metafází v kostní dřeni).</w:t>
      </w:r>
    </w:p>
    <w:p w14:paraId="6EAE1CEF" w14:textId="77777777" w:rsidR="00EA5993" w:rsidRPr="009B1A37" w:rsidRDefault="00EA5993" w:rsidP="00BE3D48">
      <w:pPr>
        <w:pStyle w:val="EndnoteText"/>
        <w:widowControl w:val="0"/>
        <w:tabs>
          <w:tab w:val="clear" w:pos="567"/>
        </w:tabs>
        <w:rPr>
          <w:color w:val="000000"/>
        </w:rPr>
      </w:pPr>
    </w:p>
    <w:p w14:paraId="2898FF20" w14:textId="77777777" w:rsidR="00EA5993" w:rsidRPr="009B1A37" w:rsidRDefault="00EA5993" w:rsidP="00BE3D48">
      <w:pPr>
        <w:pStyle w:val="EndnoteText"/>
        <w:widowControl w:val="0"/>
        <w:tabs>
          <w:tab w:val="clear" w:pos="567"/>
        </w:tabs>
        <w:rPr>
          <w:color w:val="000000"/>
        </w:rPr>
      </w:pPr>
      <w:r w:rsidRPr="009B1A37">
        <w:rPr>
          <w:color w:val="000000"/>
        </w:rPr>
        <w:t>V této studii dosáhlo 65</w:t>
      </w:r>
      <w:r w:rsidR="00D82A16" w:rsidRPr="009B1A37">
        <w:rPr>
          <w:color w:val="000000"/>
        </w:rPr>
        <w:t> </w:t>
      </w:r>
      <w:r w:rsidRPr="009B1A37">
        <w:rPr>
          <w:color w:val="000000"/>
        </w:rPr>
        <w:t>% pacientů velké cytogenetické odpovědi, která byla kompletní u 53</w:t>
      </w:r>
      <w:r w:rsidR="00F62619" w:rsidRPr="009B1A37">
        <w:rPr>
          <w:color w:val="000000"/>
        </w:rPr>
        <w:t> </w:t>
      </w:r>
      <w:r w:rsidRPr="009B1A37">
        <w:rPr>
          <w:color w:val="000000"/>
        </w:rPr>
        <w:t>% (potvrzeno 43</w:t>
      </w:r>
      <w:r w:rsidR="00D82A16" w:rsidRPr="009B1A37">
        <w:rPr>
          <w:color w:val="000000"/>
        </w:rPr>
        <w:t> </w:t>
      </w:r>
      <w:r w:rsidRPr="009B1A37">
        <w:rPr>
          <w:color w:val="000000"/>
        </w:rPr>
        <w:t>%) pacientů (</w:t>
      </w:r>
      <w:r w:rsidR="00D82A16" w:rsidRPr="009B1A37">
        <w:rPr>
          <w:color w:val="000000"/>
        </w:rPr>
        <w:t>t</w:t>
      </w:r>
      <w:r w:rsidRPr="009B1A37">
        <w:rPr>
          <w:color w:val="000000"/>
        </w:rPr>
        <w:t>abulka </w:t>
      </w:r>
      <w:r w:rsidR="00A2522A" w:rsidRPr="009B1A37">
        <w:rPr>
          <w:color w:val="000000"/>
        </w:rPr>
        <w:t>3</w:t>
      </w:r>
      <w:r w:rsidRPr="009B1A37">
        <w:rPr>
          <w:color w:val="000000"/>
        </w:rPr>
        <w:t>). Kompletní hematologické odpovědi bylo dosaženo u 95</w:t>
      </w:r>
      <w:r w:rsidR="00D82A16" w:rsidRPr="009B1A37">
        <w:rPr>
          <w:color w:val="000000"/>
        </w:rPr>
        <w:t> </w:t>
      </w:r>
      <w:r w:rsidRPr="009B1A37">
        <w:rPr>
          <w:color w:val="000000"/>
        </w:rPr>
        <w:t>% pacientů.</w:t>
      </w:r>
    </w:p>
    <w:p w14:paraId="108043AC" w14:textId="77777777" w:rsidR="00EA5993" w:rsidRPr="009B1A37" w:rsidRDefault="00EA5993" w:rsidP="00BE3D48">
      <w:pPr>
        <w:pStyle w:val="EndnoteText"/>
        <w:widowControl w:val="0"/>
        <w:tabs>
          <w:tab w:val="clear" w:pos="567"/>
        </w:tabs>
        <w:rPr>
          <w:color w:val="000000"/>
        </w:rPr>
      </w:pPr>
    </w:p>
    <w:p w14:paraId="23B0D72E" w14:textId="77777777" w:rsidR="00EA5993" w:rsidRPr="009B1A37" w:rsidRDefault="00EA5993" w:rsidP="00BE3D48">
      <w:pPr>
        <w:pStyle w:val="EndnoteText"/>
        <w:widowControl w:val="0"/>
        <w:tabs>
          <w:tab w:val="clear" w:pos="567"/>
        </w:tabs>
        <w:rPr>
          <w:color w:val="000000"/>
        </w:rPr>
      </w:pPr>
      <w:r w:rsidRPr="009B1A37">
        <w:rPr>
          <w:i/>
          <w:iCs/>
          <w:color w:val="000000"/>
        </w:rPr>
        <w:t>Akcelerovaná fáze</w:t>
      </w:r>
      <w:r w:rsidRPr="009B1A37">
        <w:rPr>
          <w:color w:val="000000"/>
        </w:rPr>
        <w:t>: Do studie bylo zařazeno 235 dospělých pacientů s akcelerovanou fází onemocnění. Léčba prvních 77 pacientů byla zahájena dávkou 400 mg, následně byl protokol doplněn a dovoloval podání vyšších dávek, zahajovací dávka pro zbývajících 158 pacientů byla 600 mg.</w:t>
      </w:r>
    </w:p>
    <w:p w14:paraId="523BD44E" w14:textId="77777777" w:rsidR="00EA5993" w:rsidRPr="009B1A37" w:rsidRDefault="00EA5993" w:rsidP="00BE3D48">
      <w:pPr>
        <w:pStyle w:val="EndnoteText"/>
        <w:widowControl w:val="0"/>
        <w:tabs>
          <w:tab w:val="clear" w:pos="567"/>
        </w:tabs>
        <w:rPr>
          <w:color w:val="000000"/>
        </w:rPr>
      </w:pPr>
    </w:p>
    <w:p w14:paraId="5C4C90F2" w14:textId="77777777" w:rsidR="00EA5993" w:rsidRPr="009B1A37" w:rsidRDefault="00EA5993" w:rsidP="00BE3D48">
      <w:pPr>
        <w:pStyle w:val="EndnoteText"/>
        <w:widowControl w:val="0"/>
        <w:tabs>
          <w:tab w:val="clear" w:pos="567"/>
        </w:tabs>
        <w:rPr>
          <w:color w:val="000000"/>
        </w:rPr>
      </w:pPr>
      <w:r w:rsidRPr="009B1A37">
        <w:rPr>
          <w:color w:val="000000"/>
        </w:rPr>
        <w:t xml:space="preserve">Základním parametrem účinnosti byl </w:t>
      </w:r>
      <w:r w:rsidR="00D82A16" w:rsidRPr="009B1A37">
        <w:rPr>
          <w:color w:val="000000"/>
        </w:rPr>
        <w:t xml:space="preserve">výskyt </w:t>
      </w:r>
      <w:r w:rsidRPr="009B1A37">
        <w:rPr>
          <w:color w:val="000000"/>
        </w:rPr>
        <w:t>hematologické odpovědi, udávan</w:t>
      </w:r>
      <w:r w:rsidR="00D82A16" w:rsidRPr="009B1A37">
        <w:rPr>
          <w:color w:val="000000"/>
        </w:rPr>
        <w:t>ý</w:t>
      </w:r>
      <w:r w:rsidRPr="009B1A37">
        <w:rPr>
          <w:color w:val="000000"/>
        </w:rPr>
        <w:t xml:space="preserve"> jako buď kompletní hematologická odpověď, žádný průkaz leukemie (tj. vymizení blastů z kostní dřeně a krve, ale bez úplné obnovy periferní krve jako při kompletní odpovědi), nebo návrat do chronické fáze CML. Potvrzené hematologické odpovědi bylo dosaženo u 71,5</w:t>
      </w:r>
      <w:r w:rsidR="00F62619" w:rsidRPr="009B1A37">
        <w:rPr>
          <w:color w:val="000000"/>
        </w:rPr>
        <w:t> </w:t>
      </w:r>
      <w:r w:rsidRPr="009B1A37">
        <w:rPr>
          <w:color w:val="000000"/>
        </w:rPr>
        <w:t>% pacientů (</w:t>
      </w:r>
      <w:r w:rsidR="00D82A16" w:rsidRPr="009B1A37">
        <w:rPr>
          <w:color w:val="000000"/>
        </w:rPr>
        <w:t>t</w:t>
      </w:r>
      <w:r w:rsidRPr="009B1A37">
        <w:rPr>
          <w:color w:val="000000"/>
        </w:rPr>
        <w:t>abulka </w:t>
      </w:r>
      <w:r w:rsidR="00A2522A" w:rsidRPr="009B1A37">
        <w:rPr>
          <w:color w:val="000000"/>
        </w:rPr>
        <w:t>3</w:t>
      </w:r>
      <w:r w:rsidRPr="009B1A37">
        <w:rPr>
          <w:color w:val="000000"/>
        </w:rPr>
        <w:t>). Důležité je, že 27,7</w:t>
      </w:r>
      <w:r w:rsidR="00F62619" w:rsidRPr="009B1A37">
        <w:rPr>
          <w:color w:val="000000"/>
        </w:rPr>
        <w:t> </w:t>
      </w:r>
      <w:r w:rsidRPr="009B1A37">
        <w:rPr>
          <w:color w:val="000000"/>
        </w:rPr>
        <w:t>% pacientů dosáhlo také hlavní cytogenetické odpovědi, která byla kompletní u 20,4</w:t>
      </w:r>
      <w:r w:rsidR="00F62619" w:rsidRPr="009B1A37">
        <w:rPr>
          <w:color w:val="000000"/>
        </w:rPr>
        <w:t> </w:t>
      </w:r>
      <w:r w:rsidRPr="009B1A37">
        <w:rPr>
          <w:color w:val="000000"/>
        </w:rPr>
        <w:t>% (potvrzena u 16</w:t>
      </w:r>
      <w:r w:rsidR="00D82A16" w:rsidRPr="009B1A37">
        <w:rPr>
          <w:color w:val="000000"/>
        </w:rPr>
        <w:t> </w:t>
      </w:r>
      <w:r w:rsidRPr="009B1A37">
        <w:rPr>
          <w:color w:val="000000"/>
        </w:rPr>
        <w:t>%) pacientů. U pacientů léčených dávkou 600 mg, byl aktuální odhad mediánu přežití bez progrese 22,9 měsíců a celkového přežití 42,5 měsíce.</w:t>
      </w:r>
    </w:p>
    <w:p w14:paraId="0061813D" w14:textId="77777777" w:rsidR="00EA5993" w:rsidRPr="009B1A37" w:rsidRDefault="00EA5993" w:rsidP="00BE3D48">
      <w:pPr>
        <w:pStyle w:val="EndnoteText"/>
        <w:widowControl w:val="0"/>
        <w:tabs>
          <w:tab w:val="clear" w:pos="567"/>
        </w:tabs>
        <w:rPr>
          <w:color w:val="000000"/>
        </w:rPr>
      </w:pPr>
    </w:p>
    <w:p w14:paraId="37A7B529" w14:textId="77777777" w:rsidR="00EA5993" w:rsidRPr="009B1A37" w:rsidRDefault="00EA5993" w:rsidP="00BE3D48">
      <w:pPr>
        <w:pStyle w:val="EndnoteText"/>
        <w:widowControl w:val="0"/>
        <w:tabs>
          <w:tab w:val="clear" w:pos="567"/>
        </w:tabs>
        <w:rPr>
          <w:color w:val="000000"/>
        </w:rPr>
      </w:pPr>
      <w:r w:rsidRPr="009B1A37">
        <w:rPr>
          <w:i/>
          <w:iCs/>
          <w:color w:val="000000"/>
        </w:rPr>
        <w:t>Myeloidní blastická krize:</w:t>
      </w:r>
      <w:r w:rsidRPr="009B1A37">
        <w:rPr>
          <w:color w:val="000000"/>
        </w:rPr>
        <w:t xml:space="preserve"> Do studie bylo zařazeno 260 pacientů s myeloidní blastickou krizí. 95 (37</w:t>
      </w:r>
      <w:r w:rsidR="00D82A16" w:rsidRPr="009B1A37">
        <w:rPr>
          <w:color w:val="000000"/>
        </w:rPr>
        <w:t> </w:t>
      </w:r>
      <w:r w:rsidRPr="009B1A37">
        <w:rPr>
          <w:color w:val="000000"/>
        </w:rPr>
        <w:t>%) pacientů mělo předchozí chemoterapii buď pro akcelerovanou fázi nebo blastickou krizi („předléčení pacienti</w:t>
      </w:r>
      <w:r w:rsidRPr="009B1A37">
        <w:rPr>
          <w:color w:val="000000"/>
          <w:spacing w:val="-2"/>
        </w:rPr>
        <w:t>“</w:t>
      </w:r>
      <w:r w:rsidRPr="009B1A37">
        <w:rPr>
          <w:color w:val="000000"/>
        </w:rPr>
        <w:t>), zatímco 165 (63</w:t>
      </w:r>
      <w:r w:rsidR="00D82A16" w:rsidRPr="009B1A37">
        <w:rPr>
          <w:color w:val="000000"/>
        </w:rPr>
        <w:t> </w:t>
      </w:r>
      <w:r w:rsidRPr="009B1A37">
        <w:rPr>
          <w:color w:val="000000"/>
        </w:rPr>
        <w:t>%) pacientů nebylo dosud léčeno („neléčení pacienti</w:t>
      </w:r>
      <w:r w:rsidRPr="009B1A37">
        <w:rPr>
          <w:color w:val="000000"/>
          <w:spacing w:val="-2"/>
        </w:rPr>
        <w:t>“</w:t>
      </w:r>
      <w:r w:rsidRPr="009B1A37">
        <w:rPr>
          <w:color w:val="000000"/>
        </w:rPr>
        <w:t>). Léčba prvních 37 pacientů byla zahájena dávkou 400 mg, následně byl protokol doplněn a dovoloval podání vyšších dávek, zahajovací dávka pro zbývajících 223 pacientů byla 600 mg.</w:t>
      </w:r>
    </w:p>
    <w:p w14:paraId="37DDC1FC" w14:textId="77777777" w:rsidR="00EA5993" w:rsidRPr="009B1A37" w:rsidRDefault="00EA5993" w:rsidP="00BE3D48">
      <w:pPr>
        <w:pStyle w:val="EndnoteText"/>
        <w:widowControl w:val="0"/>
        <w:tabs>
          <w:tab w:val="clear" w:pos="567"/>
        </w:tabs>
        <w:rPr>
          <w:color w:val="000000"/>
        </w:rPr>
      </w:pPr>
    </w:p>
    <w:p w14:paraId="5167AB79" w14:textId="77777777" w:rsidR="00EA5993" w:rsidRPr="009B1A37" w:rsidRDefault="00EA5993" w:rsidP="00BE3D48">
      <w:pPr>
        <w:pStyle w:val="EndnoteText"/>
        <w:widowControl w:val="0"/>
        <w:tabs>
          <w:tab w:val="clear" w:pos="567"/>
        </w:tabs>
        <w:rPr>
          <w:color w:val="000000"/>
        </w:rPr>
      </w:pPr>
      <w:r w:rsidRPr="009B1A37">
        <w:rPr>
          <w:color w:val="000000"/>
        </w:rPr>
        <w:t>Základním parametrem účinnosti, při použití stejných kritérií jako ve studii u akcelerované fáze, byla míra dosažení hematologické odpovědi, popisovaná buď jako kompletní hematologická odpověď, žádný průkaz leukemie, nebo návrat do chronické fáze CML. V této studii dosáhlo 31</w:t>
      </w:r>
      <w:r w:rsidR="00F62619" w:rsidRPr="009B1A37">
        <w:rPr>
          <w:color w:val="000000"/>
        </w:rPr>
        <w:t> </w:t>
      </w:r>
      <w:r w:rsidRPr="009B1A37">
        <w:rPr>
          <w:color w:val="000000"/>
        </w:rPr>
        <w:t>% pacientů hematologické odpovědi (36</w:t>
      </w:r>
      <w:r w:rsidR="00F62619" w:rsidRPr="009B1A37">
        <w:rPr>
          <w:color w:val="000000"/>
        </w:rPr>
        <w:t> </w:t>
      </w:r>
      <w:r w:rsidRPr="009B1A37">
        <w:rPr>
          <w:color w:val="000000"/>
        </w:rPr>
        <w:t>% u dříve neléčených pacientů a 22</w:t>
      </w:r>
      <w:r w:rsidR="00D82A16" w:rsidRPr="009B1A37">
        <w:rPr>
          <w:color w:val="000000"/>
        </w:rPr>
        <w:t> </w:t>
      </w:r>
      <w:r w:rsidRPr="009B1A37">
        <w:rPr>
          <w:color w:val="000000"/>
        </w:rPr>
        <w:t>% u dříve léčených pacientů). Míra dosažených odpovědi byla vyšší u pacientů léčených dávkou 600 mg (33</w:t>
      </w:r>
      <w:r w:rsidR="004B270C" w:rsidRPr="009B1A37">
        <w:rPr>
          <w:color w:val="000000"/>
        </w:rPr>
        <w:t> </w:t>
      </w:r>
      <w:r w:rsidRPr="009B1A37">
        <w:rPr>
          <w:color w:val="000000"/>
        </w:rPr>
        <w:t>%) ve srovnání s pacienty, kteří dostávali dávku 400 mg (16%, p=0,0220). Aktuální odhadovaný medián přežití dříve neléčených pacientů byl 7,7 měsíců a předléčených pacientů byl 4,7 měsíců.</w:t>
      </w:r>
    </w:p>
    <w:p w14:paraId="112A3360" w14:textId="77777777" w:rsidR="00EA5993" w:rsidRPr="009B1A37" w:rsidRDefault="00EA5993" w:rsidP="00BE3D48">
      <w:pPr>
        <w:pStyle w:val="EndnoteText"/>
        <w:widowControl w:val="0"/>
        <w:tabs>
          <w:tab w:val="clear" w:pos="567"/>
        </w:tabs>
        <w:rPr>
          <w:color w:val="000000"/>
        </w:rPr>
      </w:pPr>
    </w:p>
    <w:p w14:paraId="1B01AB5D" w14:textId="77777777" w:rsidR="00EA5993" w:rsidRPr="009B1A37" w:rsidRDefault="00EA5993" w:rsidP="00BE3D48">
      <w:pPr>
        <w:pStyle w:val="BodyText"/>
        <w:widowControl w:val="0"/>
        <w:spacing w:line="240" w:lineRule="auto"/>
        <w:rPr>
          <w:b w:val="0"/>
          <w:i w:val="0"/>
          <w:color w:val="000000"/>
        </w:rPr>
      </w:pPr>
      <w:r w:rsidRPr="009B1A37">
        <w:rPr>
          <w:b w:val="0"/>
          <w:iCs w:val="0"/>
          <w:color w:val="000000"/>
        </w:rPr>
        <w:t>Lymfoidní blastická krize</w:t>
      </w:r>
      <w:r w:rsidRPr="009B1A37">
        <w:rPr>
          <w:b w:val="0"/>
          <w:color w:val="000000"/>
        </w:rPr>
        <w:t>:</w:t>
      </w:r>
      <w:r w:rsidRPr="009B1A37">
        <w:rPr>
          <w:b w:val="0"/>
          <w:i w:val="0"/>
          <w:color w:val="000000"/>
        </w:rPr>
        <w:t xml:space="preserve"> Do studie fáze I byl zařazen omezený počet pacientů (n=10). </w:t>
      </w:r>
      <w:r w:rsidR="00D82A16" w:rsidRPr="009B1A37">
        <w:rPr>
          <w:b w:val="0"/>
          <w:i w:val="0"/>
          <w:color w:val="000000"/>
        </w:rPr>
        <w:t>Výskyt</w:t>
      </w:r>
      <w:r w:rsidRPr="009B1A37">
        <w:rPr>
          <w:b w:val="0"/>
          <w:i w:val="0"/>
          <w:color w:val="000000"/>
        </w:rPr>
        <w:t xml:space="preserve"> dosažené hematologické odpovědi byl 70</w:t>
      </w:r>
      <w:r w:rsidR="00D82A16" w:rsidRPr="009B1A37">
        <w:rPr>
          <w:b w:val="0"/>
          <w:i w:val="0"/>
          <w:color w:val="000000"/>
        </w:rPr>
        <w:t> </w:t>
      </w:r>
      <w:r w:rsidRPr="009B1A37">
        <w:rPr>
          <w:b w:val="0"/>
          <w:i w:val="0"/>
          <w:color w:val="000000"/>
        </w:rPr>
        <w:t>% s trváním 2</w:t>
      </w:r>
      <w:r w:rsidRPr="009B1A37">
        <w:rPr>
          <w:b w:val="0"/>
          <w:bCs w:val="0"/>
          <w:i w:val="0"/>
          <w:iCs w:val="0"/>
          <w:color w:val="000000"/>
        </w:rPr>
        <w:t>–</w:t>
      </w:r>
      <w:r w:rsidRPr="009B1A37">
        <w:rPr>
          <w:b w:val="0"/>
          <w:i w:val="0"/>
          <w:color w:val="000000"/>
        </w:rPr>
        <w:t>3 měsíce.</w:t>
      </w:r>
    </w:p>
    <w:p w14:paraId="2A17DF2F" w14:textId="77777777" w:rsidR="00EA5993" w:rsidRPr="009B1A37" w:rsidRDefault="00EA5993" w:rsidP="00BE3D48">
      <w:pPr>
        <w:pStyle w:val="EndnoteText"/>
        <w:widowControl w:val="0"/>
        <w:tabs>
          <w:tab w:val="clear" w:pos="567"/>
        </w:tabs>
        <w:rPr>
          <w:color w:val="000000"/>
        </w:rPr>
      </w:pPr>
    </w:p>
    <w:p w14:paraId="70D9E417" w14:textId="77777777" w:rsidR="00EA5993" w:rsidRPr="009B1A37" w:rsidRDefault="00EA5993" w:rsidP="00EB4FF7">
      <w:pPr>
        <w:pStyle w:val="EndnoteText"/>
        <w:keepNext/>
        <w:widowControl w:val="0"/>
        <w:tabs>
          <w:tab w:val="clear" w:pos="567"/>
          <w:tab w:val="left" w:pos="1134"/>
        </w:tabs>
        <w:rPr>
          <w:b/>
          <w:bCs/>
          <w:color w:val="000000"/>
        </w:rPr>
      </w:pPr>
      <w:r w:rsidRPr="009B1A37">
        <w:rPr>
          <w:b/>
          <w:bCs/>
          <w:color w:val="000000"/>
        </w:rPr>
        <w:t>Tabulka </w:t>
      </w:r>
      <w:r w:rsidR="00A2522A" w:rsidRPr="009B1A37">
        <w:rPr>
          <w:b/>
          <w:bCs/>
          <w:color w:val="000000"/>
        </w:rPr>
        <w:t>3</w:t>
      </w:r>
      <w:r w:rsidRPr="009B1A37">
        <w:rPr>
          <w:b/>
          <w:bCs/>
          <w:color w:val="000000"/>
        </w:rPr>
        <w:tab/>
        <w:t>Odpovědi ve studiích dospělých pacientů s CML</w:t>
      </w:r>
    </w:p>
    <w:p w14:paraId="72103446" w14:textId="77777777" w:rsidR="00EA5993" w:rsidRPr="009B1A37" w:rsidRDefault="00EA5993" w:rsidP="00EB4FF7">
      <w:pPr>
        <w:pStyle w:val="EndnoteText"/>
        <w:keepNext/>
        <w:widowControl w:val="0"/>
        <w:tabs>
          <w:tab w:val="clear" w:pos="567"/>
        </w:tabs>
        <w:rPr>
          <w:color w:val="000000"/>
        </w:rPr>
      </w:pPr>
    </w:p>
    <w:tbl>
      <w:tblPr>
        <w:tblW w:w="0" w:type="auto"/>
        <w:tblInd w:w="-20" w:type="dxa"/>
        <w:tblLayout w:type="fixed"/>
        <w:tblLook w:val="0000" w:firstRow="0" w:lastRow="0" w:firstColumn="0" w:lastColumn="0" w:noHBand="0" w:noVBand="0"/>
      </w:tblPr>
      <w:tblGrid>
        <w:gridCol w:w="3227"/>
        <w:gridCol w:w="1898"/>
        <w:gridCol w:w="1985"/>
        <w:gridCol w:w="1969"/>
      </w:tblGrid>
      <w:tr w:rsidR="00EA5993" w:rsidRPr="009B1A37" w14:paraId="54B549CE" w14:textId="77777777" w:rsidTr="00EB4FF7">
        <w:trPr>
          <w:cantSplit/>
        </w:trPr>
        <w:tc>
          <w:tcPr>
            <w:tcW w:w="3227" w:type="dxa"/>
            <w:tcBorders>
              <w:top w:val="single" w:sz="4" w:space="0" w:color="000000"/>
              <w:left w:val="single" w:sz="4" w:space="0" w:color="000000"/>
            </w:tcBorders>
          </w:tcPr>
          <w:p w14:paraId="72B24D40" w14:textId="77777777" w:rsidR="00EA5993" w:rsidRPr="009B1A37" w:rsidRDefault="00EA5993" w:rsidP="00EB4FF7">
            <w:pPr>
              <w:pStyle w:val="EndnoteText"/>
              <w:keepNext/>
              <w:widowControl w:val="0"/>
              <w:tabs>
                <w:tab w:val="clear" w:pos="567"/>
              </w:tabs>
              <w:snapToGrid w:val="0"/>
              <w:rPr>
                <w:color w:val="000000"/>
              </w:rPr>
            </w:pPr>
          </w:p>
        </w:tc>
        <w:tc>
          <w:tcPr>
            <w:tcW w:w="1898" w:type="dxa"/>
            <w:tcBorders>
              <w:top w:val="single" w:sz="4" w:space="0" w:color="000000"/>
              <w:left w:val="single" w:sz="4" w:space="0" w:color="000000"/>
            </w:tcBorders>
          </w:tcPr>
          <w:p w14:paraId="3D4A78C7"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Studie 0110</w:t>
            </w:r>
          </w:p>
          <w:p w14:paraId="6D082CC0" w14:textId="77777777" w:rsidR="00EA5993" w:rsidRPr="009B1A37" w:rsidRDefault="00EA5993" w:rsidP="00EB4FF7">
            <w:pPr>
              <w:pStyle w:val="EndnoteText"/>
              <w:keepNext/>
              <w:widowControl w:val="0"/>
              <w:tabs>
                <w:tab w:val="clear" w:pos="567"/>
              </w:tabs>
              <w:jc w:val="center"/>
              <w:rPr>
                <w:color w:val="000000"/>
              </w:rPr>
            </w:pPr>
            <w:r w:rsidRPr="009B1A37">
              <w:rPr>
                <w:color w:val="000000"/>
              </w:rPr>
              <w:t>37měsíční data</w:t>
            </w:r>
          </w:p>
          <w:p w14:paraId="6DA9C65F" w14:textId="77777777" w:rsidR="00EA5993" w:rsidRPr="009B1A37" w:rsidRDefault="00EA5993" w:rsidP="00EB4FF7">
            <w:pPr>
              <w:pStyle w:val="EndnoteText"/>
              <w:keepNext/>
              <w:widowControl w:val="0"/>
              <w:tabs>
                <w:tab w:val="clear" w:pos="567"/>
              </w:tabs>
              <w:jc w:val="center"/>
              <w:rPr>
                <w:color w:val="000000"/>
              </w:rPr>
            </w:pPr>
            <w:r w:rsidRPr="009B1A37">
              <w:rPr>
                <w:color w:val="000000"/>
              </w:rPr>
              <w:t>Chronická fáze, IFN selhání</w:t>
            </w:r>
          </w:p>
          <w:p w14:paraId="252C17D6" w14:textId="77777777" w:rsidR="00EA5993" w:rsidRPr="009B1A37" w:rsidRDefault="00EA5993" w:rsidP="00EB4FF7">
            <w:pPr>
              <w:pStyle w:val="EndnoteText"/>
              <w:keepNext/>
              <w:widowControl w:val="0"/>
              <w:tabs>
                <w:tab w:val="clear" w:pos="567"/>
              </w:tabs>
              <w:jc w:val="center"/>
              <w:rPr>
                <w:color w:val="000000"/>
              </w:rPr>
            </w:pPr>
            <w:r w:rsidRPr="009B1A37">
              <w:rPr>
                <w:color w:val="000000"/>
              </w:rPr>
              <w:t>(n=532)</w:t>
            </w:r>
          </w:p>
        </w:tc>
        <w:tc>
          <w:tcPr>
            <w:tcW w:w="1985" w:type="dxa"/>
            <w:tcBorders>
              <w:top w:val="single" w:sz="4" w:space="0" w:color="000000"/>
              <w:left w:val="single" w:sz="4" w:space="0" w:color="000000"/>
            </w:tcBorders>
          </w:tcPr>
          <w:p w14:paraId="279B20D2"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Studie 0109</w:t>
            </w:r>
          </w:p>
          <w:p w14:paraId="0546D4FC" w14:textId="77777777" w:rsidR="00EA5993" w:rsidRPr="009B1A37" w:rsidRDefault="00EA5993" w:rsidP="00EB4FF7">
            <w:pPr>
              <w:pStyle w:val="EndnoteText"/>
              <w:keepNext/>
              <w:widowControl w:val="0"/>
              <w:tabs>
                <w:tab w:val="clear" w:pos="567"/>
              </w:tabs>
              <w:jc w:val="center"/>
              <w:rPr>
                <w:color w:val="000000"/>
              </w:rPr>
            </w:pPr>
            <w:r w:rsidRPr="009B1A37">
              <w:rPr>
                <w:color w:val="000000"/>
              </w:rPr>
              <w:t>40,5měsíční data</w:t>
            </w:r>
          </w:p>
          <w:p w14:paraId="09657FF9" w14:textId="77777777" w:rsidR="00EA5993" w:rsidRPr="009B1A37" w:rsidRDefault="00EA5993" w:rsidP="00EB4FF7">
            <w:pPr>
              <w:pStyle w:val="EndnoteText"/>
              <w:keepNext/>
              <w:widowControl w:val="0"/>
              <w:tabs>
                <w:tab w:val="clear" w:pos="567"/>
              </w:tabs>
              <w:jc w:val="center"/>
              <w:rPr>
                <w:color w:val="000000"/>
              </w:rPr>
            </w:pPr>
            <w:r w:rsidRPr="009B1A37">
              <w:rPr>
                <w:color w:val="000000"/>
              </w:rPr>
              <w:t>Akcelerovaná fáze</w:t>
            </w:r>
          </w:p>
          <w:p w14:paraId="15EB1E52" w14:textId="77777777" w:rsidR="00EA5993" w:rsidRPr="009B1A37" w:rsidRDefault="00EA5993" w:rsidP="00EB4FF7">
            <w:pPr>
              <w:pStyle w:val="EndnoteText"/>
              <w:keepNext/>
              <w:widowControl w:val="0"/>
              <w:tabs>
                <w:tab w:val="clear" w:pos="567"/>
              </w:tabs>
              <w:jc w:val="center"/>
              <w:rPr>
                <w:color w:val="000000"/>
              </w:rPr>
            </w:pPr>
            <w:r w:rsidRPr="009B1A37">
              <w:rPr>
                <w:color w:val="000000"/>
              </w:rPr>
              <w:t>(n=235)</w:t>
            </w:r>
          </w:p>
        </w:tc>
        <w:tc>
          <w:tcPr>
            <w:tcW w:w="1969" w:type="dxa"/>
            <w:tcBorders>
              <w:top w:val="single" w:sz="4" w:space="0" w:color="000000"/>
              <w:left w:val="single" w:sz="4" w:space="0" w:color="000000"/>
              <w:right w:val="single" w:sz="4" w:space="0" w:color="000000"/>
            </w:tcBorders>
          </w:tcPr>
          <w:p w14:paraId="77F6DF5E"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Studie 0102</w:t>
            </w:r>
          </w:p>
          <w:p w14:paraId="54E40019" w14:textId="77777777" w:rsidR="00EA5993" w:rsidRPr="009B1A37" w:rsidRDefault="00EA5993" w:rsidP="00EB4FF7">
            <w:pPr>
              <w:pStyle w:val="EndnoteText"/>
              <w:keepNext/>
              <w:widowControl w:val="0"/>
              <w:tabs>
                <w:tab w:val="clear" w:pos="567"/>
              </w:tabs>
              <w:jc w:val="center"/>
              <w:rPr>
                <w:color w:val="000000"/>
              </w:rPr>
            </w:pPr>
            <w:r w:rsidRPr="009B1A37">
              <w:rPr>
                <w:color w:val="000000"/>
              </w:rPr>
              <w:t>38měsíční data</w:t>
            </w:r>
          </w:p>
          <w:p w14:paraId="49E4AF19" w14:textId="77777777" w:rsidR="00EA5993" w:rsidRPr="009B1A37" w:rsidRDefault="00EA5993" w:rsidP="00EB4FF7">
            <w:pPr>
              <w:pStyle w:val="EndnoteText"/>
              <w:keepNext/>
              <w:widowControl w:val="0"/>
              <w:tabs>
                <w:tab w:val="clear" w:pos="567"/>
              </w:tabs>
              <w:jc w:val="center"/>
              <w:rPr>
                <w:color w:val="000000"/>
              </w:rPr>
            </w:pPr>
            <w:r w:rsidRPr="009B1A37">
              <w:rPr>
                <w:color w:val="000000"/>
              </w:rPr>
              <w:t>Myeloidní blastická krize</w:t>
            </w:r>
          </w:p>
          <w:p w14:paraId="651E4120" w14:textId="77777777" w:rsidR="00EA5993" w:rsidRPr="009B1A37" w:rsidRDefault="00EA5993" w:rsidP="00EB4FF7">
            <w:pPr>
              <w:pStyle w:val="EndnoteText"/>
              <w:keepNext/>
              <w:widowControl w:val="0"/>
              <w:tabs>
                <w:tab w:val="clear" w:pos="567"/>
              </w:tabs>
              <w:jc w:val="center"/>
              <w:rPr>
                <w:color w:val="000000"/>
              </w:rPr>
            </w:pPr>
            <w:r w:rsidRPr="009B1A37">
              <w:rPr>
                <w:color w:val="000000"/>
              </w:rPr>
              <w:t>(n=260)</w:t>
            </w:r>
          </w:p>
        </w:tc>
      </w:tr>
      <w:tr w:rsidR="00EA5993" w:rsidRPr="009B1A37" w14:paraId="38F033CC" w14:textId="77777777" w:rsidTr="00EB4FF7">
        <w:trPr>
          <w:cantSplit/>
        </w:trPr>
        <w:tc>
          <w:tcPr>
            <w:tcW w:w="3227" w:type="dxa"/>
            <w:tcBorders>
              <w:top w:val="single" w:sz="4" w:space="0" w:color="000000"/>
              <w:left w:val="single" w:sz="4" w:space="0" w:color="000000"/>
            </w:tcBorders>
          </w:tcPr>
          <w:p w14:paraId="49DD543A" w14:textId="77777777" w:rsidR="00EA5993" w:rsidRPr="009B1A37" w:rsidRDefault="00EA5993" w:rsidP="00EB4FF7">
            <w:pPr>
              <w:pStyle w:val="EndnoteText"/>
              <w:keepNext/>
              <w:widowControl w:val="0"/>
              <w:tabs>
                <w:tab w:val="clear" w:pos="567"/>
              </w:tabs>
              <w:snapToGrid w:val="0"/>
              <w:rPr>
                <w:color w:val="000000"/>
              </w:rPr>
            </w:pPr>
          </w:p>
        </w:tc>
        <w:tc>
          <w:tcPr>
            <w:tcW w:w="5852" w:type="dxa"/>
            <w:gridSpan w:val="3"/>
            <w:tcBorders>
              <w:top w:val="single" w:sz="4" w:space="0" w:color="000000"/>
              <w:left w:val="single" w:sz="4" w:space="0" w:color="000000"/>
              <w:right w:val="single" w:sz="4" w:space="0" w:color="000000"/>
            </w:tcBorders>
          </w:tcPr>
          <w:p w14:paraId="4AF52098"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 pacientů (CI</w:t>
            </w:r>
            <w:r w:rsidRPr="009B1A37">
              <w:rPr>
                <w:color w:val="000000"/>
                <w:vertAlign w:val="subscript"/>
              </w:rPr>
              <w:t>95%</w:t>
            </w:r>
            <w:r w:rsidRPr="009B1A37">
              <w:rPr>
                <w:color w:val="000000"/>
              </w:rPr>
              <w:t>)</w:t>
            </w:r>
          </w:p>
        </w:tc>
      </w:tr>
      <w:tr w:rsidR="00EA5993" w:rsidRPr="009B1A37" w14:paraId="7C0CFCF3" w14:textId="77777777" w:rsidTr="00EB4FF7">
        <w:trPr>
          <w:cantSplit/>
        </w:trPr>
        <w:tc>
          <w:tcPr>
            <w:tcW w:w="3227" w:type="dxa"/>
            <w:tcBorders>
              <w:top w:val="single" w:sz="4" w:space="0" w:color="000000"/>
              <w:left w:val="single" w:sz="4" w:space="0" w:color="000000"/>
            </w:tcBorders>
          </w:tcPr>
          <w:p w14:paraId="71FFE502" w14:textId="77777777" w:rsidR="00EA5993" w:rsidRPr="009B1A37" w:rsidRDefault="00EA5993" w:rsidP="00EB4FF7">
            <w:pPr>
              <w:pStyle w:val="EndnoteText"/>
              <w:keepNext/>
              <w:widowControl w:val="0"/>
              <w:tabs>
                <w:tab w:val="clear" w:pos="567"/>
              </w:tabs>
              <w:snapToGrid w:val="0"/>
              <w:rPr>
                <w:color w:val="000000"/>
                <w:vertAlign w:val="superscript"/>
              </w:rPr>
            </w:pPr>
            <w:r w:rsidRPr="009B1A37">
              <w:rPr>
                <w:color w:val="000000"/>
              </w:rPr>
              <w:t>Hematologická odpověď</w:t>
            </w:r>
            <w:r w:rsidRPr="009B1A37">
              <w:rPr>
                <w:color w:val="000000"/>
                <w:vertAlign w:val="superscript"/>
              </w:rPr>
              <w:t>1</w:t>
            </w:r>
          </w:p>
        </w:tc>
        <w:tc>
          <w:tcPr>
            <w:tcW w:w="1898" w:type="dxa"/>
            <w:tcBorders>
              <w:top w:val="single" w:sz="4" w:space="0" w:color="000000"/>
              <w:left w:val="single" w:sz="4" w:space="0" w:color="000000"/>
            </w:tcBorders>
          </w:tcPr>
          <w:p w14:paraId="01017E02"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95</w:t>
            </w:r>
            <w:r w:rsidR="004B270C" w:rsidRPr="009B1A37">
              <w:rPr>
                <w:color w:val="000000"/>
              </w:rPr>
              <w:t> </w:t>
            </w:r>
            <w:r w:rsidRPr="009B1A37">
              <w:rPr>
                <w:color w:val="000000"/>
              </w:rPr>
              <w:t>% (92,3–96,3)</w:t>
            </w:r>
          </w:p>
        </w:tc>
        <w:tc>
          <w:tcPr>
            <w:tcW w:w="1985" w:type="dxa"/>
            <w:tcBorders>
              <w:top w:val="single" w:sz="4" w:space="0" w:color="000000"/>
              <w:left w:val="single" w:sz="4" w:space="0" w:color="000000"/>
            </w:tcBorders>
          </w:tcPr>
          <w:p w14:paraId="314BC501"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71</w:t>
            </w:r>
            <w:r w:rsidR="004B270C" w:rsidRPr="009B1A37">
              <w:rPr>
                <w:color w:val="000000"/>
              </w:rPr>
              <w:t> </w:t>
            </w:r>
            <w:r w:rsidRPr="009B1A37">
              <w:rPr>
                <w:color w:val="000000"/>
              </w:rPr>
              <w:t>% (65,3–77,2)</w:t>
            </w:r>
          </w:p>
        </w:tc>
        <w:tc>
          <w:tcPr>
            <w:tcW w:w="1969" w:type="dxa"/>
            <w:tcBorders>
              <w:top w:val="single" w:sz="4" w:space="0" w:color="000000"/>
              <w:left w:val="single" w:sz="4" w:space="0" w:color="000000"/>
              <w:right w:val="single" w:sz="4" w:space="0" w:color="000000"/>
            </w:tcBorders>
          </w:tcPr>
          <w:p w14:paraId="42D18CA2"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31</w:t>
            </w:r>
            <w:r w:rsidR="004B270C" w:rsidRPr="009B1A37">
              <w:rPr>
                <w:color w:val="000000"/>
              </w:rPr>
              <w:t> </w:t>
            </w:r>
            <w:r w:rsidRPr="009B1A37">
              <w:rPr>
                <w:color w:val="000000"/>
              </w:rPr>
              <w:t>% (25,2–36,8)</w:t>
            </w:r>
          </w:p>
        </w:tc>
      </w:tr>
      <w:tr w:rsidR="00EA5993" w:rsidRPr="009B1A37" w14:paraId="70F836CC" w14:textId="77777777" w:rsidTr="00EB4FF7">
        <w:trPr>
          <w:cantSplit/>
        </w:trPr>
        <w:tc>
          <w:tcPr>
            <w:tcW w:w="3227" w:type="dxa"/>
            <w:tcBorders>
              <w:left w:val="single" w:sz="4" w:space="0" w:color="000000"/>
            </w:tcBorders>
          </w:tcPr>
          <w:p w14:paraId="1950F38F" w14:textId="77777777" w:rsidR="00EA5993" w:rsidRPr="009B1A37" w:rsidRDefault="00EA5993" w:rsidP="00EB4FF7">
            <w:pPr>
              <w:pStyle w:val="EndnoteText"/>
              <w:keepNext/>
              <w:widowControl w:val="0"/>
              <w:tabs>
                <w:tab w:val="clear" w:pos="567"/>
              </w:tabs>
              <w:snapToGrid w:val="0"/>
              <w:ind w:left="284"/>
              <w:rPr>
                <w:color w:val="000000"/>
              </w:rPr>
            </w:pPr>
            <w:r w:rsidRPr="009B1A37">
              <w:rPr>
                <w:color w:val="000000"/>
              </w:rPr>
              <w:t>Kompletní hematologická odpověď (</w:t>
            </w:r>
            <w:smartTag w:uri="urn:schemas-microsoft-com:office:smarttags" w:element="stockticker">
              <w:r w:rsidRPr="009B1A37">
                <w:rPr>
                  <w:color w:val="000000"/>
                </w:rPr>
                <w:t>CHR</w:t>
              </w:r>
            </w:smartTag>
            <w:r w:rsidRPr="009B1A37">
              <w:rPr>
                <w:color w:val="000000"/>
              </w:rPr>
              <w:t>)</w:t>
            </w:r>
          </w:p>
        </w:tc>
        <w:tc>
          <w:tcPr>
            <w:tcW w:w="1898" w:type="dxa"/>
            <w:tcBorders>
              <w:left w:val="single" w:sz="4" w:space="0" w:color="000000"/>
            </w:tcBorders>
          </w:tcPr>
          <w:p w14:paraId="519C8366"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95</w:t>
            </w:r>
            <w:r w:rsidR="004B270C" w:rsidRPr="009B1A37">
              <w:rPr>
                <w:color w:val="000000"/>
              </w:rPr>
              <w:t> </w:t>
            </w:r>
            <w:r w:rsidRPr="009B1A37">
              <w:rPr>
                <w:color w:val="000000"/>
              </w:rPr>
              <w:t>%</w:t>
            </w:r>
          </w:p>
        </w:tc>
        <w:tc>
          <w:tcPr>
            <w:tcW w:w="1985" w:type="dxa"/>
            <w:tcBorders>
              <w:left w:val="single" w:sz="4" w:space="0" w:color="000000"/>
            </w:tcBorders>
          </w:tcPr>
          <w:p w14:paraId="7C69C0B5"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42</w:t>
            </w:r>
            <w:r w:rsidR="004B270C" w:rsidRPr="009B1A37">
              <w:rPr>
                <w:color w:val="000000"/>
              </w:rPr>
              <w:t> </w:t>
            </w:r>
            <w:r w:rsidRPr="009B1A37">
              <w:rPr>
                <w:color w:val="000000"/>
              </w:rPr>
              <w:t>%</w:t>
            </w:r>
          </w:p>
        </w:tc>
        <w:tc>
          <w:tcPr>
            <w:tcW w:w="1969" w:type="dxa"/>
            <w:tcBorders>
              <w:left w:val="single" w:sz="4" w:space="0" w:color="000000"/>
              <w:right w:val="single" w:sz="4" w:space="0" w:color="000000"/>
            </w:tcBorders>
          </w:tcPr>
          <w:p w14:paraId="0012EC19"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8</w:t>
            </w:r>
            <w:r w:rsidR="004B270C" w:rsidRPr="009B1A37">
              <w:rPr>
                <w:color w:val="000000"/>
              </w:rPr>
              <w:t> </w:t>
            </w:r>
            <w:r w:rsidRPr="009B1A37">
              <w:rPr>
                <w:color w:val="000000"/>
              </w:rPr>
              <w:t>%</w:t>
            </w:r>
          </w:p>
        </w:tc>
      </w:tr>
      <w:tr w:rsidR="00EA5993" w:rsidRPr="009B1A37" w14:paraId="1292E274" w14:textId="77777777" w:rsidTr="00EB4FF7">
        <w:trPr>
          <w:cantSplit/>
        </w:trPr>
        <w:tc>
          <w:tcPr>
            <w:tcW w:w="3227" w:type="dxa"/>
            <w:tcBorders>
              <w:left w:val="single" w:sz="4" w:space="0" w:color="000000"/>
            </w:tcBorders>
          </w:tcPr>
          <w:p w14:paraId="7D5B2765" w14:textId="77777777" w:rsidR="00EA5993" w:rsidRPr="009B1A37" w:rsidRDefault="00EA5993" w:rsidP="00EB4FF7">
            <w:pPr>
              <w:pStyle w:val="EndnoteText"/>
              <w:keepNext/>
              <w:widowControl w:val="0"/>
              <w:tabs>
                <w:tab w:val="clear" w:pos="567"/>
              </w:tabs>
              <w:snapToGrid w:val="0"/>
              <w:ind w:left="284"/>
              <w:rPr>
                <w:color w:val="000000"/>
              </w:rPr>
            </w:pPr>
            <w:r w:rsidRPr="009B1A37">
              <w:rPr>
                <w:color w:val="000000"/>
              </w:rPr>
              <w:t>Bez průkazu leukemie (NEL)</w:t>
            </w:r>
          </w:p>
        </w:tc>
        <w:tc>
          <w:tcPr>
            <w:tcW w:w="1898" w:type="dxa"/>
            <w:tcBorders>
              <w:left w:val="single" w:sz="4" w:space="0" w:color="000000"/>
            </w:tcBorders>
          </w:tcPr>
          <w:p w14:paraId="2D033BEA"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Neaplikovatelné</w:t>
            </w:r>
          </w:p>
        </w:tc>
        <w:tc>
          <w:tcPr>
            <w:tcW w:w="1985" w:type="dxa"/>
            <w:tcBorders>
              <w:left w:val="single" w:sz="4" w:space="0" w:color="000000"/>
            </w:tcBorders>
          </w:tcPr>
          <w:p w14:paraId="701E3AF9"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12</w:t>
            </w:r>
            <w:r w:rsidR="004B270C" w:rsidRPr="009B1A37">
              <w:rPr>
                <w:color w:val="000000"/>
              </w:rPr>
              <w:t> </w:t>
            </w:r>
            <w:r w:rsidRPr="009B1A37">
              <w:rPr>
                <w:color w:val="000000"/>
              </w:rPr>
              <w:t>%</w:t>
            </w:r>
          </w:p>
        </w:tc>
        <w:tc>
          <w:tcPr>
            <w:tcW w:w="1969" w:type="dxa"/>
            <w:tcBorders>
              <w:left w:val="single" w:sz="4" w:space="0" w:color="000000"/>
              <w:right w:val="single" w:sz="4" w:space="0" w:color="000000"/>
            </w:tcBorders>
          </w:tcPr>
          <w:p w14:paraId="52C960C9"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5</w:t>
            </w:r>
            <w:r w:rsidR="004B270C" w:rsidRPr="009B1A37">
              <w:rPr>
                <w:color w:val="000000"/>
              </w:rPr>
              <w:t> </w:t>
            </w:r>
            <w:r w:rsidRPr="009B1A37">
              <w:rPr>
                <w:color w:val="000000"/>
              </w:rPr>
              <w:t>%</w:t>
            </w:r>
          </w:p>
        </w:tc>
      </w:tr>
      <w:tr w:rsidR="00EA5993" w:rsidRPr="009B1A37" w14:paraId="5B39BCB3" w14:textId="77777777" w:rsidTr="00EB4FF7">
        <w:trPr>
          <w:cantSplit/>
        </w:trPr>
        <w:tc>
          <w:tcPr>
            <w:tcW w:w="3227" w:type="dxa"/>
            <w:tcBorders>
              <w:left w:val="single" w:sz="4" w:space="0" w:color="000000"/>
            </w:tcBorders>
          </w:tcPr>
          <w:p w14:paraId="2806310B" w14:textId="77777777" w:rsidR="00EA5993" w:rsidRPr="009B1A37" w:rsidRDefault="00EA5993" w:rsidP="00EB4FF7">
            <w:pPr>
              <w:pStyle w:val="EndnoteText"/>
              <w:keepNext/>
              <w:widowControl w:val="0"/>
              <w:tabs>
                <w:tab w:val="clear" w:pos="567"/>
              </w:tabs>
              <w:snapToGrid w:val="0"/>
              <w:ind w:left="284"/>
              <w:rPr>
                <w:color w:val="000000"/>
              </w:rPr>
            </w:pPr>
            <w:r w:rsidRPr="009B1A37">
              <w:rPr>
                <w:color w:val="000000"/>
              </w:rPr>
              <w:t>Návrat do chronické fáze (</w:t>
            </w:r>
            <w:smartTag w:uri="urn:schemas-microsoft-com:office:smarttags" w:element="stockticker">
              <w:r w:rsidRPr="009B1A37">
                <w:rPr>
                  <w:color w:val="000000"/>
                </w:rPr>
                <w:t>RTC</w:t>
              </w:r>
            </w:smartTag>
            <w:r w:rsidRPr="009B1A37">
              <w:rPr>
                <w:color w:val="000000"/>
              </w:rPr>
              <w:t>)</w:t>
            </w:r>
          </w:p>
        </w:tc>
        <w:tc>
          <w:tcPr>
            <w:tcW w:w="1898" w:type="dxa"/>
            <w:tcBorders>
              <w:left w:val="single" w:sz="4" w:space="0" w:color="000000"/>
            </w:tcBorders>
          </w:tcPr>
          <w:p w14:paraId="10942F9E"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Neaplikovatelné</w:t>
            </w:r>
          </w:p>
        </w:tc>
        <w:tc>
          <w:tcPr>
            <w:tcW w:w="1985" w:type="dxa"/>
            <w:tcBorders>
              <w:left w:val="single" w:sz="4" w:space="0" w:color="000000"/>
            </w:tcBorders>
          </w:tcPr>
          <w:p w14:paraId="1FF371DA"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17</w:t>
            </w:r>
            <w:r w:rsidR="004B270C" w:rsidRPr="009B1A37">
              <w:rPr>
                <w:color w:val="000000"/>
              </w:rPr>
              <w:t> </w:t>
            </w:r>
            <w:r w:rsidRPr="009B1A37">
              <w:rPr>
                <w:color w:val="000000"/>
              </w:rPr>
              <w:t>%</w:t>
            </w:r>
          </w:p>
        </w:tc>
        <w:tc>
          <w:tcPr>
            <w:tcW w:w="1969" w:type="dxa"/>
            <w:tcBorders>
              <w:left w:val="single" w:sz="4" w:space="0" w:color="000000"/>
              <w:right w:val="single" w:sz="4" w:space="0" w:color="000000"/>
            </w:tcBorders>
          </w:tcPr>
          <w:p w14:paraId="59638D8A"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18</w:t>
            </w:r>
            <w:r w:rsidR="004B270C" w:rsidRPr="009B1A37">
              <w:rPr>
                <w:color w:val="000000"/>
              </w:rPr>
              <w:t> </w:t>
            </w:r>
            <w:r w:rsidRPr="009B1A37">
              <w:rPr>
                <w:color w:val="000000"/>
              </w:rPr>
              <w:t>%</w:t>
            </w:r>
          </w:p>
        </w:tc>
      </w:tr>
      <w:tr w:rsidR="00EA5993" w:rsidRPr="009B1A37" w14:paraId="7F0391DB" w14:textId="77777777" w:rsidTr="00EB4FF7">
        <w:trPr>
          <w:cantSplit/>
        </w:trPr>
        <w:tc>
          <w:tcPr>
            <w:tcW w:w="3227" w:type="dxa"/>
            <w:tcBorders>
              <w:top w:val="single" w:sz="4" w:space="0" w:color="000000"/>
              <w:left w:val="single" w:sz="4" w:space="0" w:color="000000"/>
            </w:tcBorders>
          </w:tcPr>
          <w:p w14:paraId="51090980" w14:textId="77777777" w:rsidR="00EA5993" w:rsidRPr="009B1A37" w:rsidRDefault="00EA5993" w:rsidP="00EB4FF7">
            <w:pPr>
              <w:pStyle w:val="EndnoteText"/>
              <w:keepNext/>
              <w:widowControl w:val="0"/>
              <w:tabs>
                <w:tab w:val="clear" w:pos="567"/>
              </w:tabs>
              <w:snapToGrid w:val="0"/>
              <w:rPr>
                <w:color w:val="000000"/>
                <w:vertAlign w:val="superscript"/>
              </w:rPr>
            </w:pPr>
            <w:r w:rsidRPr="009B1A37">
              <w:rPr>
                <w:color w:val="000000"/>
              </w:rPr>
              <w:t>Velká cytogenetická odpověď</w:t>
            </w:r>
            <w:r w:rsidRPr="009B1A37">
              <w:rPr>
                <w:color w:val="000000"/>
                <w:vertAlign w:val="superscript"/>
              </w:rPr>
              <w:t>2</w:t>
            </w:r>
          </w:p>
        </w:tc>
        <w:tc>
          <w:tcPr>
            <w:tcW w:w="1898" w:type="dxa"/>
            <w:tcBorders>
              <w:top w:val="single" w:sz="4" w:space="0" w:color="000000"/>
              <w:left w:val="single" w:sz="4" w:space="0" w:color="000000"/>
            </w:tcBorders>
          </w:tcPr>
          <w:p w14:paraId="62BE519C"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65</w:t>
            </w:r>
            <w:r w:rsidR="004B270C" w:rsidRPr="009B1A37">
              <w:rPr>
                <w:color w:val="000000"/>
              </w:rPr>
              <w:t> </w:t>
            </w:r>
            <w:r w:rsidRPr="009B1A37">
              <w:rPr>
                <w:color w:val="000000"/>
              </w:rPr>
              <w:t>% (61,2–69,5)</w:t>
            </w:r>
          </w:p>
        </w:tc>
        <w:tc>
          <w:tcPr>
            <w:tcW w:w="1985" w:type="dxa"/>
            <w:tcBorders>
              <w:top w:val="single" w:sz="4" w:space="0" w:color="000000"/>
              <w:left w:val="single" w:sz="4" w:space="0" w:color="000000"/>
            </w:tcBorders>
          </w:tcPr>
          <w:p w14:paraId="3A4DACE8"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28</w:t>
            </w:r>
            <w:r w:rsidR="004B270C" w:rsidRPr="009B1A37">
              <w:rPr>
                <w:color w:val="000000"/>
              </w:rPr>
              <w:t> </w:t>
            </w:r>
            <w:r w:rsidRPr="009B1A37">
              <w:rPr>
                <w:color w:val="000000"/>
              </w:rPr>
              <w:t>% (22,0–33,9)</w:t>
            </w:r>
          </w:p>
        </w:tc>
        <w:tc>
          <w:tcPr>
            <w:tcW w:w="1969" w:type="dxa"/>
            <w:tcBorders>
              <w:top w:val="single" w:sz="4" w:space="0" w:color="000000"/>
              <w:left w:val="single" w:sz="4" w:space="0" w:color="000000"/>
              <w:right w:val="single" w:sz="4" w:space="0" w:color="000000"/>
            </w:tcBorders>
          </w:tcPr>
          <w:p w14:paraId="50EF14F3"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15</w:t>
            </w:r>
            <w:r w:rsidR="004B270C" w:rsidRPr="009B1A37">
              <w:rPr>
                <w:color w:val="000000"/>
              </w:rPr>
              <w:t> </w:t>
            </w:r>
            <w:r w:rsidRPr="009B1A37">
              <w:rPr>
                <w:color w:val="000000"/>
              </w:rPr>
              <w:t>% (11,2–20,4)</w:t>
            </w:r>
          </w:p>
        </w:tc>
      </w:tr>
      <w:tr w:rsidR="00EA5993" w:rsidRPr="009B1A37" w14:paraId="71E8FA9D" w14:textId="77777777" w:rsidTr="00EB4FF7">
        <w:trPr>
          <w:cantSplit/>
        </w:trPr>
        <w:tc>
          <w:tcPr>
            <w:tcW w:w="3227" w:type="dxa"/>
            <w:tcBorders>
              <w:left w:val="single" w:sz="4" w:space="0" w:color="000000"/>
            </w:tcBorders>
          </w:tcPr>
          <w:p w14:paraId="46FF67C2" w14:textId="77777777" w:rsidR="00EA5993" w:rsidRPr="009B1A37" w:rsidRDefault="00EA5993" w:rsidP="00EB4FF7">
            <w:pPr>
              <w:pStyle w:val="EndnoteText"/>
              <w:keepNext/>
              <w:widowControl w:val="0"/>
              <w:tabs>
                <w:tab w:val="clear" w:pos="567"/>
              </w:tabs>
              <w:snapToGrid w:val="0"/>
              <w:ind w:left="284"/>
              <w:rPr>
                <w:color w:val="000000"/>
              </w:rPr>
            </w:pPr>
            <w:r w:rsidRPr="009B1A37">
              <w:rPr>
                <w:color w:val="000000"/>
              </w:rPr>
              <w:t>Kompletní</w:t>
            </w:r>
          </w:p>
        </w:tc>
        <w:tc>
          <w:tcPr>
            <w:tcW w:w="1898" w:type="dxa"/>
            <w:tcBorders>
              <w:left w:val="single" w:sz="4" w:space="0" w:color="000000"/>
            </w:tcBorders>
          </w:tcPr>
          <w:p w14:paraId="4F3C5837"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53</w:t>
            </w:r>
            <w:r w:rsidR="004B270C" w:rsidRPr="009B1A37">
              <w:rPr>
                <w:color w:val="000000"/>
              </w:rPr>
              <w:t> </w:t>
            </w:r>
            <w:r w:rsidRPr="009B1A37">
              <w:rPr>
                <w:color w:val="000000"/>
              </w:rPr>
              <w:t>%</w:t>
            </w:r>
          </w:p>
        </w:tc>
        <w:tc>
          <w:tcPr>
            <w:tcW w:w="1985" w:type="dxa"/>
            <w:tcBorders>
              <w:left w:val="single" w:sz="4" w:space="0" w:color="000000"/>
            </w:tcBorders>
          </w:tcPr>
          <w:p w14:paraId="59110E8B"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20</w:t>
            </w:r>
            <w:r w:rsidR="004B270C" w:rsidRPr="009B1A37">
              <w:rPr>
                <w:color w:val="000000"/>
              </w:rPr>
              <w:t> </w:t>
            </w:r>
            <w:r w:rsidRPr="009B1A37">
              <w:rPr>
                <w:color w:val="000000"/>
              </w:rPr>
              <w:t>%</w:t>
            </w:r>
          </w:p>
        </w:tc>
        <w:tc>
          <w:tcPr>
            <w:tcW w:w="1969" w:type="dxa"/>
            <w:tcBorders>
              <w:left w:val="single" w:sz="4" w:space="0" w:color="000000"/>
              <w:right w:val="single" w:sz="4" w:space="0" w:color="000000"/>
            </w:tcBorders>
          </w:tcPr>
          <w:p w14:paraId="7E67DF28"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7</w:t>
            </w:r>
            <w:r w:rsidR="004B270C" w:rsidRPr="009B1A37">
              <w:rPr>
                <w:color w:val="000000"/>
              </w:rPr>
              <w:t> </w:t>
            </w:r>
            <w:r w:rsidRPr="009B1A37">
              <w:rPr>
                <w:color w:val="000000"/>
              </w:rPr>
              <w:t>%</w:t>
            </w:r>
          </w:p>
        </w:tc>
      </w:tr>
      <w:tr w:rsidR="00EA5993" w:rsidRPr="009B1A37" w14:paraId="7E7A1C24" w14:textId="77777777" w:rsidTr="00EB4FF7">
        <w:trPr>
          <w:cantSplit/>
        </w:trPr>
        <w:tc>
          <w:tcPr>
            <w:tcW w:w="3227" w:type="dxa"/>
            <w:tcBorders>
              <w:left w:val="single" w:sz="4" w:space="0" w:color="000000"/>
            </w:tcBorders>
          </w:tcPr>
          <w:p w14:paraId="11E34742" w14:textId="77777777" w:rsidR="00EA5993" w:rsidRPr="009B1A37" w:rsidRDefault="00EA5993" w:rsidP="00EB4FF7">
            <w:pPr>
              <w:pStyle w:val="Zkladntextodsazen21"/>
              <w:keepNext/>
              <w:widowControl w:val="0"/>
              <w:tabs>
                <w:tab w:val="left" w:pos="851"/>
                <w:tab w:val="left" w:pos="1135"/>
                <w:tab w:val="left" w:pos="1419"/>
              </w:tabs>
              <w:snapToGrid w:val="0"/>
              <w:spacing w:line="240" w:lineRule="auto"/>
              <w:ind w:left="284" w:firstLine="0"/>
              <w:rPr>
                <w:b w:val="0"/>
                <w:color w:val="000000"/>
              </w:rPr>
            </w:pPr>
            <w:r w:rsidRPr="009B1A37">
              <w:rPr>
                <w:b w:val="0"/>
                <w:color w:val="000000"/>
              </w:rPr>
              <w:t>(Potvrzeno</w:t>
            </w:r>
            <w:r w:rsidRPr="009B1A37">
              <w:rPr>
                <w:b w:val="0"/>
                <w:color w:val="000000"/>
                <w:vertAlign w:val="superscript"/>
              </w:rPr>
              <w:t>3</w:t>
            </w:r>
            <w:r w:rsidRPr="009B1A37">
              <w:rPr>
                <w:b w:val="0"/>
                <w:color w:val="000000"/>
              </w:rPr>
              <w:t>) [95% CI]</w:t>
            </w:r>
          </w:p>
        </w:tc>
        <w:tc>
          <w:tcPr>
            <w:tcW w:w="1898" w:type="dxa"/>
            <w:tcBorders>
              <w:left w:val="single" w:sz="4" w:space="0" w:color="000000"/>
            </w:tcBorders>
          </w:tcPr>
          <w:p w14:paraId="573169F2" w14:textId="77777777" w:rsidR="00EA5993" w:rsidRPr="009B1A37" w:rsidRDefault="00EA5993" w:rsidP="00EB4FF7">
            <w:pPr>
              <w:pStyle w:val="Zkladntextodsazen21"/>
              <w:keepNext/>
              <w:widowControl w:val="0"/>
              <w:snapToGrid w:val="0"/>
              <w:spacing w:line="240" w:lineRule="auto"/>
              <w:ind w:right="-53"/>
              <w:jc w:val="center"/>
              <w:rPr>
                <w:b w:val="0"/>
                <w:color w:val="000000"/>
              </w:rPr>
            </w:pPr>
            <w:r w:rsidRPr="009B1A37">
              <w:rPr>
                <w:b w:val="0"/>
                <w:color w:val="000000"/>
              </w:rPr>
              <w:t>(43</w:t>
            </w:r>
            <w:r w:rsidR="004B270C" w:rsidRPr="009B1A37">
              <w:rPr>
                <w:b w:val="0"/>
                <w:color w:val="000000"/>
              </w:rPr>
              <w:t> </w:t>
            </w:r>
            <w:r w:rsidRPr="009B1A37">
              <w:rPr>
                <w:b w:val="0"/>
                <w:color w:val="000000"/>
              </w:rPr>
              <w:t>%) [38,6–47,2]</w:t>
            </w:r>
          </w:p>
        </w:tc>
        <w:tc>
          <w:tcPr>
            <w:tcW w:w="1985" w:type="dxa"/>
            <w:tcBorders>
              <w:left w:val="single" w:sz="4" w:space="0" w:color="000000"/>
            </w:tcBorders>
          </w:tcPr>
          <w:p w14:paraId="1DBA40E2" w14:textId="77777777" w:rsidR="00EA5993" w:rsidRPr="009B1A37" w:rsidRDefault="00EA5993" w:rsidP="00EB4FF7">
            <w:pPr>
              <w:pStyle w:val="Zkladntextodsazen21"/>
              <w:keepNext/>
              <w:widowControl w:val="0"/>
              <w:snapToGrid w:val="0"/>
              <w:spacing w:line="240" w:lineRule="auto"/>
              <w:jc w:val="center"/>
              <w:rPr>
                <w:b w:val="0"/>
                <w:color w:val="000000"/>
              </w:rPr>
            </w:pPr>
            <w:r w:rsidRPr="009B1A37">
              <w:rPr>
                <w:b w:val="0"/>
                <w:color w:val="000000"/>
              </w:rPr>
              <w:t>(16</w:t>
            </w:r>
            <w:r w:rsidR="004B270C" w:rsidRPr="009B1A37">
              <w:rPr>
                <w:b w:val="0"/>
                <w:color w:val="000000"/>
              </w:rPr>
              <w:t> </w:t>
            </w:r>
            <w:r w:rsidRPr="009B1A37">
              <w:rPr>
                <w:b w:val="0"/>
                <w:color w:val="000000"/>
              </w:rPr>
              <w:t>%) [11,3–21,0]</w:t>
            </w:r>
          </w:p>
        </w:tc>
        <w:tc>
          <w:tcPr>
            <w:tcW w:w="1969" w:type="dxa"/>
            <w:tcBorders>
              <w:left w:val="single" w:sz="4" w:space="0" w:color="000000"/>
              <w:right w:val="single" w:sz="4" w:space="0" w:color="000000"/>
            </w:tcBorders>
          </w:tcPr>
          <w:p w14:paraId="0D57DB06" w14:textId="77777777" w:rsidR="00EA5993" w:rsidRPr="009B1A37" w:rsidRDefault="00EA5993" w:rsidP="00EB4FF7">
            <w:pPr>
              <w:pStyle w:val="Zkladntextodsazen21"/>
              <w:keepNext/>
              <w:widowControl w:val="0"/>
              <w:snapToGrid w:val="0"/>
              <w:spacing w:line="240" w:lineRule="auto"/>
              <w:jc w:val="center"/>
              <w:rPr>
                <w:b w:val="0"/>
                <w:color w:val="000000"/>
              </w:rPr>
            </w:pPr>
            <w:r w:rsidRPr="009B1A37">
              <w:rPr>
                <w:b w:val="0"/>
                <w:color w:val="000000"/>
              </w:rPr>
              <w:t>(2</w:t>
            </w:r>
            <w:r w:rsidR="004B270C" w:rsidRPr="009B1A37">
              <w:rPr>
                <w:b w:val="0"/>
                <w:color w:val="000000"/>
              </w:rPr>
              <w:t> </w:t>
            </w:r>
            <w:r w:rsidRPr="009B1A37">
              <w:rPr>
                <w:b w:val="0"/>
                <w:color w:val="000000"/>
              </w:rPr>
              <w:t>%) [0,6–4,4]</w:t>
            </w:r>
          </w:p>
        </w:tc>
      </w:tr>
      <w:tr w:rsidR="00EA5993" w:rsidRPr="009B1A37" w14:paraId="3D15AEFA" w14:textId="77777777" w:rsidTr="00EB4FF7">
        <w:trPr>
          <w:cantSplit/>
        </w:trPr>
        <w:tc>
          <w:tcPr>
            <w:tcW w:w="3227" w:type="dxa"/>
            <w:tcBorders>
              <w:left w:val="single" w:sz="4" w:space="0" w:color="000000"/>
            </w:tcBorders>
          </w:tcPr>
          <w:p w14:paraId="2D967C4D" w14:textId="77777777" w:rsidR="00EA5993" w:rsidRPr="009B1A37" w:rsidRDefault="00EA5993" w:rsidP="00EB4FF7">
            <w:pPr>
              <w:pStyle w:val="EndnoteText"/>
              <w:keepNext/>
              <w:widowControl w:val="0"/>
              <w:tabs>
                <w:tab w:val="clear" w:pos="567"/>
              </w:tabs>
              <w:snapToGrid w:val="0"/>
              <w:ind w:left="284"/>
              <w:rPr>
                <w:color w:val="000000"/>
              </w:rPr>
            </w:pPr>
            <w:r w:rsidRPr="009B1A37">
              <w:rPr>
                <w:color w:val="000000"/>
              </w:rPr>
              <w:t>Parciální</w:t>
            </w:r>
          </w:p>
        </w:tc>
        <w:tc>
          <w:tcPr>
            <w:tcW w:w="1898" w:type="dxa"/>
            <w:tcBorders>
              <w:left w:val="single" w:sz="4" w:space="0" w:color="000000"/>
            </w:tcBorders>
          </w:tcPr>
          <w:p w14:paraId="012B6D1E"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12</w:t>
            </w:r>
            <w:r w:rsidR="004B270C" w:rsidRPr="009B1A37">
              <w:rPr>
                <w:color w:val="000000"/>
              </w:rPr>
              <w:t> </w:t>
            </w:r>
            <w:r w:rsidRPr="009B1A37">
              <w:rPr>
                <w:color w:val="000000"/>
              </w:rPr>
              <w:t>%</w:t>
            </w:r>
          </w:p>
        </w:tc>
        <w:tc>
          <w:tcPr>
            <w:tcW w:w="1985" w:type="dxa"/>
            <w:tcBorders>
              <w:left w:val="single" w:sz="4" w:space="0" w:color="000000"/>
            </w:tcBorders>
          </w:tcPr>
          <w:p w14:paraId="7A05D4E3"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7</w:t>
            </w:r>
            <w:r w:rsidR="004B270C" w:rsidRPr="009B1A37">
              <w:rPr>
                <w:color w:val="000000"/>
              </w:rPr>
              <w:t> </w:t>
            </w:r>
            <w:r w:rsidRPr="009B1A37">
              <w:rPr>
                <w:color w:val="000000"/>
              </w:rPr>
              <w:t>%</w:t>
            </w:r>
          </w:p>
        </w:tc>
        <w:tc>
          <w:tcPr>
            <w:tcW w:w="1969" w:type="dxa"/>
            <w:tcBorders>
              <w:left w:val="single" w:sz="4" w:space="0" w:color="000000"/>
              <w:right w:val="single" w:sz="4" w:space="0" w:color="000000"/>
            </w:tcBorders>
          </w:tcPr>
          <w:p w14:paraId="4CC50320"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8</w:t>
            </w:r>
            <w:r w:rsidR="004B270C" w:rsidRPr="009B1A37">
              <w:rPr>
                <w:color w:val="000000"/>
              </w:rPr>
              <w:t> </w:t>
            </w:r>
            <w:r w:rsidRPr="009B1A37">
              <w:rPr>
                <w:color w:val="000000"/>
              </w:rPr>
              <w:t>%</w:t>
            </w:r>
          </w:p>
        </w:tc>
      </w:tr>
      <w:tr w:rsidR="00EA5993" w:rsidRPr="009B1A37" w14:paraId="24733D36" w14:textId="77777777" w:rsidTr="00EB4FF7">
        <w:trPr>
          <w:cantSplit/>
        </w:trPr>
        <w:tc>
          <w:tcPr>
            <w:tcW w:w="9079" w:type="dxa"/>
            <w:gridSpan w:val="4"/>
            <w:tcBorders>
              <w:top w:val="single" w:sz="4" w:space="0" w:color="000000"/>
              <w:left w:val="single" w:sz="4" w:space="0" w:color="000000"/>
              <w:bottom w:val="single" w:sz="4" w:space="0" w:color="000000"/>
              <w:right w:val="single" w:sz="4" w:space="0" w:color="000000"/>
            </w:tcBorders>
          </w:tcPr>
          <w:p w14:paraId="03E68A2F" w14:textId="77777777" w:rsidR="00EA5993" w:rsidRPr="009B1A37" w:rsidRDefault="00EA5993" w:rsidP="00EB4FF7">
            <w:pPr>
              <w:pStyle w:val="Table"/>
              <w:keepNext w:val="0"/>
              <w:keepLines w:val="0"/>
              <w:widowControl w:val="0"/>
              <w:snapToGrid w:val="0"/>
              <w:spacing w:before="0" w:after="0"/>
              <w:rPr>
                <w:rFonts w:ascii="Times New Roman" w:hAnsi="Times New Roman" w:cs="Times New Roman"/>
                <w:b/>
                <w:bCs/>
                <w:color w:val="000000"/>
                <w:sz w:val="22"/>
                <w:szCs w:val="22"/>
                <w:lang w:val="cs-CZ"/>
              </w:rPr>
            </w:pPr>
            <w:r w:rsidRPr="009B1A37">
              <w:rPr>
                <w:rFonts w:ascii="Times New Roman" w:hAnsi="Times New Roman" w:cs="Times New Roman"/>
                <w:b/>
                <w:bCs/>
                <w:color w:val="000000"/>
                <w:sz w:val="22"/>
                <w:szCs w:val="22"/>
                <w:vertAlign w:val="superscript"/>
                <w:lang w:val="cs-CZ"/>
              </w:rPr>
              <w:t xml:space="preserve">1 </w:t>
            </w:r>
            <w:r w:rsidRPr="009B1A37">
              <w:rPr>
                <w:rFonts w:ascii="Times New Roman" w:hAnsi="Times New Roman" w:cs="Times New Roman"/>
                <w:b/>
                <w:bCs/>
                <w:color w:val="000000"/>
                <w:sz w:val="22"/>
                <w:szCs w:val="22"/>
                <w:lang w:val="cs-CZ"/>
              </w:rPr>
              <w:t xml:space="preserve">Kritéria hematologické odpovědi (všechny odpovědi byly potvrzeny za </w:t>
            </w:r>
            <w:r w:rsidRPr="009B1A37">
              <w:rPr>
                <w:rFonts w:ascii="Symbol" w:hAnsi="Symbol"/>
                <w:b/>
                <w:bCs/>
                <w:color w:val="000000"/>
                <w:sz w:val="22"/>
                <w:szCs w:val="22"/>
                <w:lang w:val="cs-CZ"/>
              </w:rPr>
              <w:t></w:t>
            </w:r>
            <w:r w:rsidRPr="009B1A37">
              <w:rPr>
                <w:rFonts w:ascii="Times New Roman" w:hAnsi="Times New Roman" w:cs="Times New Roman"/>
                <w:b/>
                <w:bCs/>
                <w:color w:val="000000"/>
                <w:sz w:val="22"/>
                <w:szCs w:val="22"/>
                <w:lang w:val="cs-CZ"/>
              </w:rPr>
              <w:t> 4 týdny):</w:t>
            </w:r>
          </w:p>
          <w:p w14:paraId="3E4FECFD" w14:textId="77777777" w:rsidR="00EA5993" w:rsidRPr="009B1A37" w:rsidRDefault="00EA5993" w:rsidP="00EB4FF7">
            <w:pPr>
              <w:pStyle w:val="Table"/>
              <w:keepNext w:val="0"/>
              <w:keepLines w:val="0"/>
              <w:widowControl w:val="0"/>
              <w:tabs>
                <w:tab w:val="clear" w:pos="284"/>
                <w:tab w:val="clear" w:pos="567"/>
                <w:tab w:val="left" w:pos="2268"/>
              </w:tabs>
              <w:spacing w:before="0" w:after="0"/>
              <w:ind w:left="567" w:hanging="567"/>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CHR</w:t>
              </w:r>
            </w:smartTag>
            <w:r w:rsidRPr="009B1A37">
              <w:rPr>
                <w:rFonts w:ascii="Times New Roman" w:hAnsi="Times New Roman" w:cs="Times New Roman"/>
                <w:color w:val="000000"/>
                <w:sz w:val="22"/>
                <w:szCs w:val="22"/>
                <w:lang w:val="cs-CZ"/>
              </w:rPr>
              <w:tab/>
              <w:t xml:space="preserve">Studie 0110 [Počet </w:t>
            </w:r>
            <w:r w:rsidR="001844B9" w:rsidRPr="009B1A37">
              <w:rPr>
                <w:rFonts w:ascii="Times New Roman" w:hAnsi="Times New Roman" w:cs="Times New Roman"/>
                <w:color w:val="000000"/>
                <w:sz w:val="22"/>
                <w:szCs w:val="22"/>
                <w:lang w:val="cs-CZ"/>
              </w:rPr>
              <w:t>leukocytů</w:t>
            </w:r>
            <w:r w:rsidRPr="009B1A37">
              <w:rPr>
                <w:rFonts w:ascii="Times New Roman" w:hAnsi="Times New Roman" w:cs="Times New Roman"/>
                <w:color w:val="000000"/>
                <w:sz w:val="22"/>
                <w:szCs w:val="22"/>
                <w:lang w:val="cs-CZ"/>
              </w:rPr>
              <w:t xml:space="preserve"> &lt; 10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 xml:space="preserve">/l, </w:t>
            </w:r>
            <w:r w:rsidR="001844B9" w:rsidRPr="009B1A37">
              <w:rPr>
                <w:rFonts w:ascii="Times New Roman" w:hAnsi="Times New Roman" w:cs="Times New Roman"/>
                <w:color w:val="000000"/>
                <w:sz w:val="22"/>
                <w:szCs w:val="22"/>
                <w:lang w:val="cs-CZ"/>
              </w:rPr>
              <w:t>trombocyty</w:t>
            </w:r>
            <w:r w:rsidRPr="009B1A37">
              <w:rPr>
                <w:rFonts w:ascii="Times New Roman" w:hAnsi="Times New Roman" w:cs="Times New Roman"/>
                <w:color w:val="000000"/>
                <w:sz w:val="22"/>
                <w:szCs w:val="22"/>
                <w:lang w:val="cs-CZ"/>
              </w:rPr>
              <w:t xml:space="preserve"> &lt; 450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/l, myelocyty+metamyelocyty &lt; 5</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 v krvi, žádné blasty ani promyelocyty v krvi, basofily &lt; 20</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 xml:space="preserve">%, žádné extramedulární postižení] a ve studiích </w:t>
            </w:r>
            <w:smartTag w:uri="urn:schemas-microsoft-com:office:smarttags" w:element="metricconverter">
              <w:smartTagPr>
                <w:attr w:name="ProductID" w:val="0102 a"/>
              </w:smartTagPr>
              <w:r w:rsidRPr="009B1A37">
                <w:rPr>
                  <w:rFonts w:ascii="Times New Roman" w:hAnsi="Times New Roman" w:cs="Times New Roman"/>
                  <w:color w:val="000000"/>
                  <w:sz w:val="22"/>
                  <w:szCs w:val="22"/>
                  <w:lang w:val="cs-CZ"/>
                </w:rPr>
                <w:t>0102 a</w:t>
              </w:r>
            </w:smartTag>
            <w:r w:rsidRPr="009B1A37">
              <w:rPr>
                <w:rFonts w:ascii="Times New Roman" w:hAnsi="Times New Roman" w:cs="Times New Roman"/>
                <w:color w:val="000000"/>
                <w:sz w:val="22"/>
                <w:szCs w:val="22"/>
                <w:lang w:val="cs-CZ"/>
              </w:rPr>
              <w:t xml:space="preserve"> 0109 [ANC </w:t>
            </w:r>
            <w:r w:rsidRPr="009B1A37">
              <w:rPr>
                <w:rFonts w:ascii="Symbol" w:hAnsi="Symbol"/>
                <w:color w:val="000000"/>
                <w:sz w:val="22"/>
                <w:szCs w:val="22"/>
                <w:lang w:val="cs-CZ"/>
              </w:rPr>
              <w:t></w:t>
            </w:r>
            <w:r w:rsidRPr="009B1A37">
              <w:rPr>
                <w:rFonts w:ascii="Times New Roman" w:hAnsi="Times New Roman" w:cs="Times New Roman"/>
                <w:color w:val="000000"/>
                <w:sz w:val="22"/>
                <w:szCs w:val="22"/>
                <w:lang w:val="cs-CZ"/>
              </w:rPr>
              <w:t> 1,5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 xml:space="preserve">/l, </w:t>
            </w:r>
            <w:r w:rsidR="001844B9" w:rsidRPr="009B1A37">
              <w:rPr>
                <w:rFonts w:ascii="Times New Roman" w:hAnsi="Times New Roman" w:cs="Times New Roman"/>
                <w:color w:val="000000"/>
                <w:sz w:val="22"/>
                <w:szCs w:val="22"/>
                <w:lang w:val="cs-CZ"/>
              </w:rPr>
              <w:t>trombocyty</w:t>
            </w:r>
            <w:r w:rsidRPr="009B1A37">
              <w:rPr>
                <w:rFonts w:ascii="Times New Roman" w:hAnsi="Times New Roman" w:cs="Times New Roman"/>
                <w:color w:val="000000"/>
                <w:sz w:val="22"/>
                <w:szCs w:val="22"/>
                <w:lang w:val="cs-CZ"/>
              </w:rPr>
              <w:t xml:space="preserve"> </w:t>
            </w:r>
            <w:r w:rsidRPr="009B1A37">
              <w:rPr>
                <w:rFonts w:ascii="Symbol" w:hAnsi="Symbol"/>
                <w:color w:val="000000"/>
                <w:sz w:val="22"/>
                <w:szCs w:val="22"/>
                <w:lang w:val="cs-CZ"/>
              </w:rPr>
              <w:t></w:t>
            </w:r>
            <w:r w:rsidRPr="009B1A37">
              <w:rPr>
                <w:rFonts w:ascii="Times New Roman" w:hAnsi="Times New Roman" w:cs="Times New Roman"/>
                <w:color w:val="000000"/>
                <w:sz w:val="22"/>
                <w:szCs w:val="22"/>
                <w:lang w:val="cs-CZ"/>
              </w:rPr>
              <w:t> 100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/l, žádné blasty v krvi, BM blasty &lt; 5</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 a žádné extramedulární postižení]</w:t>
            </w:r>
          </w:p>
          <w:p w14:paraId="1B437D6E" w14:textId="77777777" w:rsidR="00EA5993" w:rsidRPr="009B1A37" w:rsidRDefault="00EA5993" w:rsidP="00EB4FF7">
            <w:pPr>
              <w:pStyle w:val="Table"/>
              <w:keepNext w:val="0"/>
              <w:keepLines w:val="0"/>
              <w:widowControl w:val="0"/>
              <w:spacing w:before="0" w:after="0"/>
              <w:ind w:left="567" w:hanging="567"/>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NEL</w:t>
            </w:r>
            <w:r w:rsidRPr="009B1A37">
              <w:rPr>
                <w:rFonts w:ascii="Times New Roman" w:hAnsi="Times New Roman" w:cs="Times New Roman"/>
                <w:color w:val="000000"/>
                <w:sz w:val="22"/>
                <w:szCs w:val="22"/>
                <w:lang w:val="cs-CZ"/>
              </w:rPr>
              <w:tab/>
              <w:t xml:space="preserve">stejná kritéria jako pro </w:t>
            </w:r>
            <w:smartTag w:uri="urn:schemas-microsoft-com:office:smarttags" w:element="stockticker">
              <w:r w:rsidRPr="009B1A37">
                <w:rPr>
                  <w:rFonts w:ascii="Times New Roman" w:hAnsi="Times New Roman" w:cs="Times New Roman"/>
                  <w:color w:val="000000"/>
                  <w:sz w:val="22"/>
                  <w:szCs w:val="22"/>
                  <w:lang w:val="cs-CZ"/>
                </w:rPr>
                <w:t>CHR</w:t>
              </w:r>
            </w:smartTag>
            <w:r w:rsidRPr="009B1A37">
              <w:rPr>
                <w:rFonts w:ascii="Times New Roman" w:hAnsi="Times New Roman" w:cs="Times New Roman"/>
                <w:color w:val="000000"/>
                <w:sz w:val="22"/>
                <w:szCs w:val="22"/>
                <w:lang w:val="cs-CZ"/>
              </w:rPr>
              <w:t xml:space="preserve"> ale ANC </w:t>
            </w:r>
            <w:r w:rsidRPr="009B1A37">
              <w:rPr>
                <w:rFonts w:ascii="Symbol" w:hAnsi="Symbol"/>
                <w:color w:val="000000"/>
                <w:sz w:val="22"/>
                <w:szCs w:val="22"/>
                <w:lang w:val="cs-CZ"/>
              </w:rPr>
              <w:t></w:t>
            </w:r>
            <w:r w:rsidRPr="009B1A37">
              <w:rPr>
                <w:rFonts w:ascii="Times New Roman" w:hAnsi="Times New Roman" w:cs="Times New Roman"/>
                <w:color w:val="000000"/>
                <w:sz w:val="22"/>
                <w:szCs w:val="22"/>
                <w:lang w:val="cs-CZ"/>
              </w:rPr>
              <w:t> 1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 xml:space="preserve">/l a </w:t>
            </w:r>
            <w:r w:rsidR="001844B9" w:rsidRPr="009B1A37">
              <w:rPr>
                <w:rFonts w:ascii="Times New Roman" w:hAnsi="Times New Roman" w:cs="Times New Roman"/>
                <w:color w:val="000000"/>
                <w:sz w:val="22"/>
                <w:szCs w:val="22"/>
                <w:lang w:val="cs-CZ"/>
              </w:rPr>
              <w:t xml:space="preserve">trombocyty </w:t>
            </w:r>
            <w:r w:rsidRPr="009B1A37">
              <w:rPr>
                <w:rFonts w:ascii="Symbol" w:hAnsi="Symbol"/>
                <w:color w:val="000000"/>
                <w:sz w:val="22"/>
                <w:szCs w:val="22"/>
                <w:lang w:val="cs-CZ"/>
              </w:rPr>
              <w:t></w:t>
            </w:r>
            <w:r w:rsidRPr="009B1A37">
              <w:rPr>
                <w:rFonts w:ascii="Times New Roman" w:hAnsi="Times New Roman" w:cs="Times New Roman"/>
                <w:color w:val="000000"/>
                <w:sz w:val="22"/>
                <w:szCs w:val="22"/>
                <w:lang w:val="cs-CZ"/>
              </w:rPr>
              <w:t> 20 x 10</w:t>
            </w:r>
            <w:r w:rsidRPr="009B1A37">
              <w:rPr>
                <w:rFonts w:ascii="Times New Roman" w:hAnsi="Times New Roman" w:cs="Times New Roman"/>
                <w:color w:val="000000"/>
                <w:sz w:val="22"/>
                <w:szCs w:val="22"/>
                <w:vertAlign w:val="superscript"/>
                <w:lang w:val="cs-CZ"/>
              </w:rPr>
              <w:t>9</w:t>
            </w:r>
            <w:r w:rsidRPr="009B1A37">
              <w:rPr>
                <w:rFonts w:ascii="Times New Roman" w:hAnsi="Times New Roman" w:cs="Times New Roman"/>
                <w:color w:val="000000"/>
                <w:sz w:val="22"/>
                <w:szCs w:val="22"/>
                <w:lang w:val="cs-CZ"/>
              </w:rPr>
              <w:t>/l (</w:t>
            </w:r>
            <w:smartTag w:uri="urn:schemas-microsoft-com:office:smarttags" w:element="metricconverter">
              <w:smartTagPr>
                <w:attr w:name="ProductID" w:val="0102 a"/>
              </w:smartTagPr>
              <w:r w:rsidRPr="009B1A37">
                <w:rPr>
                  <w:rFonts w:ascii="Times New Roman" w:hAnsi="Times New Roman" w:cs="Times New Roman"/>
                  <w:color w:val="000000"/>
                  <w:sz w:val="22"/>
                  <w:szCs w:val="22"/>
                  <w:lang w:val="cs-CZ"/>
                </w:rPr>
                <w:t>0102 a</w:t>
              </w:r>
            </w:smartTag>
            <w:r w:rsidRPr="009B1A37">
              <w:rPr>
                <w:rFonts w:ascii="Times New Roman" w:hAnsi="Times New Roman" w:cs="Times New Roman"/>
                <w:color w:val="000000"/>
                <w:sz w:val="22"/>
                <w:szCs w:val="22"/>
                <w:lang w:val="cs-CZ"/>
              </w:rPr>
              <w:t xml:space="preserve"> 0109 pouze)</w:t>
            </w:r>
          </w:p>
          <w:p w14:paraId="072F9E6F" w14:textId="77777777" w:rsidR="00EA5993" w:rsidRPr="009B1A37" w:rsidRDefault="00EA5993" w:rsidP="00EB4FF7">
            <w:pPr>
              <w:pStyle w:val="Table"/>
              <w:keepNext w:val="0"/>
              <w:keepLines w:val="0"/>
              <w:widowControl w:val="0"/>
              <w:tabs>
                <w:tab w:val="clear" w:pos="284"/>
                <w:tab w:val="clear" w:pos="567"/>
                <w:tab w:val="left" w:pos="2268"/>
              </w:tabs>
              <w:spacing w:before="0" w:after="0"/>
              <w:ind w:left="567" w:hanging="567"/>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RTC</w:t>
              </w:r>
            </w:smartTag>
            <w:r w:rsidRPr="009B1A37">
              <w:rPr>
                <w:rFonts w:ascii="Times New Roman" w:hAnsi="Times New Roman" w:cs="Times New Roman"/>
                <w:color w:val="000000"/>
                <w:sz w:val="22"/>
                <w:szCs w:val="22"/>
                <w:lang w:val="cs-CZ"/>
              </w:rPr>
              <w:tab/>
              <w:t>&lt; 15</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 blastů v BM a PB, &lt; 30</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 blastů+promyelocytů v BM a PB, &lt; 20</w:t>
            </w:r>
            <w:r w:rsidR="004B270C" w:rsidRPr="009B1A37">
              <w:rPr>
                <w:rFonts w:ascii="Times New Roman" w:hAnsi="Times New Roman" w:cs="Times New Roman"/>
                <w:color w:val="000000"/>
                <w:sz w:val="22"/>
                <w:szCs w:val="22"/>
                <w:lang w:val="cs-CZ"/>
              </w:rPr>
              <w:t> </w:t>
            </w:r>
            <w:r w:rsidRPr="009B1A37">
              <w:rPr>
                <w:rFonts w:ascii="Times New Roman" w:hAnsi="Times New Roman" w:cs="Times New Roman"/>
                <w:color w:val="000000"/>
                <w:sz w:val="22"/>
                <w:szCs w:val="22"/>
                <w:lang w:val="cs-CZ"/>
              </w:rPr>
              <w:t xml:space="preserve">% basofilů v PB, žádné jiné extramedulární postižení než ve slezině a játrech (pouze pro </w:t>
            </w:r>
            <w:smartTag w:uri="urn:schemas-microsoft-com:office:smarttags" w:element="metricconverter">
              <w:smartTagPr>
                <w:attr w:name="ProductID" w:val="0102 a"/>
              </w:smartTagPr>
              <w:r w:rsidRPr="009B1A37">
                <w:rPr>
                  <w:rFonts w:ascii="Times New Roman" w:hAnsi="Times New Roman" w:cs="Times New Roman"/>
                  <w:color w:val="000000"/>
                  <w:sz w:val="22"/>
                  <w:szCs w:val="22"/>
                  <w:lang w:val="cs-CZ"/>
                </w:rPr>
                <w:t>0102 a</w:t>
              </w:r>
            </w:smartTag>
            <w:r w:rsidRPr="009B1A37">
              <w:rPr>
                <w:rFonts w:ascii="Times New Roman" w:hAnsi="Times New Roman" w:cs="Times New Roman"/>
                <w:color w:val="000000"/>
                <w:sz w:val="22"/>
                <w:szCs w:val="22"/>
                <w:lang w:val="cs-CZ"/>
              </w:rPr>
              <w:t xml:space="preserve"> 0109).</w:t>
            </w:r>
          </w:p>
          <w:p w14:paraId="48DDC803" w14:textId="77777777" w:rsidR="00EA5993" w:rsidRPr="009B1A37" w:rsidRDefault="00EA5993" w:rsidP="00EB4FF7">
            <w:pPr>
              <w:pStyle w:val="Table"/>
              <w:keepNext w:val="0"/>
              <w:keepLines w:val="0"/>
              <w:widowControl w:val="0"/>
              <w:tabs>
                <w:tab w:val="clear" w:pos="284"/>
                <w:tab w:val="clear" w:pos="567"/>
                <w:tab w:val="left" w:pos="2268"/>
              </w:tabs>
              <w:spacing w:before="0" w:after="0"/>
              <w:ind w:left="567" w:hanging="567"/>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 xml:space="preserve">BM = </w:t>
            </w:r>
            <w:r w:rsidR="001844B9" w:rsidRPr="009B1A37">
              <w:rPr>
                <w:rFonts w:ascii="Times New Roman" w:hAnsi="Times New Roman" w:cs="Times New Roman"/>
                <w:color w:val="000000"/>
                <w:sz w:val="22"/>
                <w:szCs w:val="22"/>
                <w:lang w:val="cs-CZ"/>
              </w:rPr>
              <w:t>k</w:t>
            </w:r>
            <w:r w:rsidRPr="009B1A37">
              <w:rPr>
                <w:rFonts w:ascii="Times New Roman" w:hAnsi="Times New Roman" w:cs="Times New Roman"/>
                <w:color w:val="000000"/>
                <w:sz w:val="22"/>
                <w:szCs w:val="22"/>
                <w:lang w:val="cs-CZ"/>
              </w:rPr>
              <w:t>ostní dřeň, PB = periferní krev</w:t>
            </w:r>
          </w:p>
          <w:p w14:paraId="7F4F0410" w14:textId="77777777" w:rsidR="00EA5993" w:rsidRPr="009B1A37" w:rsidRDefault="00EA5993" w:rsidP="00EB4FF7">
            <w:pPr>
              <w:pStyle w:val="Table"/>
              <w:keepNext w:val="0"/>
              <w:keepLines w:val="0"/>
              <w:widowControl w:val="0"/>
              <w:spacing w:before="0" w:after="0"/>
              <w:rPr>
                <w:rFonts w:ascii="Times New Roman" w:hAnsi="Times New Roman" w:cs="Times New Roman"/>
                <w:b/>
                <w:bCs/>
                <w:color w:val="000000"/>
                <w:sz w:val="22"/>
                <w:szCs w:val="22"/>
                <w:lang w:val="cs-CZ"/>
              </w:rPr>
            </w:pPr>
            <w:r w:rsidRPr="009B1A37">
              <w:rPr>
                <w:rFonts w:ascii="Times New Roman" w:hAnsi="Times New Roman" w:cs="Times New Roman"/>
                <w:b/>
                <w:bCs/>
                <w:color w:val="000000"/>
                <w:sz w:val="22"/>
                <w:szCs w:val="22"/>
                <w:vertAlign w:val="superscript"/>
                <w:lang w:val="cs-CZ"/>
              </w:rPr>
              <w:t xml:space="preserve">2 </w:t>
            </w:r>
            <w:r w:rsidRPr="009B1A37">
              <w:rPr>
                <w:rFonts w:ascii="Times New Roman" w:hAnsi="Times New Roman" w:cs="Times New Roman"/>
                <w:b/>
                <w:bCs/>
                <w:color w:val="000000"/>
                <w:sz w:val="22"/>
                <w:szCs w:val="22"/>
                <w:lang w:val="cs-CZ"/>
              </w:rPr>
              <w:t>Kritéria cytogenetické odpovědi:</w:t>
            </w:r>
          </w:p>
          <w:p w14:paraId="155BC603" w14:textId="77777777" w:rsidR="00EA5993" w:rsidRPr="009B1A37" w:rsidRDefault="00EA5993" w:rsidP="00EB4FF7">
            <w:pPr>
              <w:pStyle w:val="EndnoteText"/>
              <w:widowControl w:val="0"/>
              <w:tabs>
                <w:tab w:val="clear" w:pos="567"/>
              </w:tabs>
              <w:rPr>
                <w:color w:val="000000"/>
              </w:rPr>
            </w:pPr>
            <w:r w:rsidRPr="009B1A37">
              <w:rPr>
                <w:color w:val="000000"/>
              </w:rPr>
              <w:t>Velká odpověď se skládá jak z kompletní tak i parciální odpovědi: kompletní (0% Ph+ metafáze), parciální (1–35</w:t>
            </w:r>
            <w:r w:rsidR="004B270C" w:rsidRPr="009B1A37">
              <w:rPr>
                <w:color w:val="000000"/>
              </w:rPr>
              <w:t> </w:t>
            </w:r>
            <w:r w:rsidRPr="009B1A37">
              <w:rPr>
                <w:color w:val="000000"/>
              </w:rPr>
              <w:t>%)</w:t>
            </w:r>
          </w:p>
          <w:p w14:paraId="7CC81FA7" w14:textId="77777777" w:rsidR="00EA5993" w:rsidRPr="009B1A37" w:rsidRDefault="00EA5993" w:rsidP="00EB4FF7">
            <w:pPr>
              <w:pStyle w:val="EndnoteText"/>
              <w:widowControl w:val="0"/>
              <w:tabs>
                <w:tab w:val="clear" w:pos="567"/>
              </w:tabs>
              <w:rPr>
                <w:color w:val="000000"/>
              </w:rPr>
            </w:pPr>
            <w:r w:rsidRPr="009B1A37">
              <w:rPr>
                <w:color w:val="000000"/>
                <w:vertAlign w:val="superscript"/>
              </w:rPr>
              <w:t>3</w:t>
            </w:r>
            <w:r w:rsidRPr="009B1A37">
              <w:rPr>
                <w:color w:val="000000"/>
              </w:rPr>
              <w:t xml:space="preserve"> Kompletní cytogenetická odpověď potvrzena druhým cytogenetickým hodnocením kostní dřeně provedeným nejméně jeden měsíc po počátečním vyšetření kostní dřeně.</w:t>
            </w:r>
          </w:p>
        </w:tc>
      </w:tr>
    </w:tbl>
    <w:p w14:paraId="73FFF7B0" w14:textId="77777777" w:rsidR="00EA5993" w:rsidRPr="009B1A37" w:rsidRDefault="00EA5993" w:rsidP="00BE3D48">
      <w:pPr>
        <w:pStyle w:val="EndnoteText"/>
        <w:widowControl w:val="0"/>
        <w:tabs>
          <w:tab w:val="clear" w:pos="567"/>
        </w:tabs>
      </w:pPr>
    </w:p>
    <w:p w14:paraId="3DCE082F" w14:textId="77777777" w:rsidR="00EA5993" w:rsidRPr="009B1A37" w:rsidRDefault="00EA5993" w:rsidP="00BE3D48">
      <w:pPr>
        <w:pStyle w:val="EndnoteText"/>
        <w:widowControl w:val="0"/>
        <w:rPr>
          <w:color w:val="000000"/>
        </w:rPr>
      </w:pPr>
      <w:r w:rsidRPr="009B1A37">
        <w:rPr>
          <w:i/>
          <w:iCs/>
          <w:color w:val="000000"/>
        </w:rPr>
        <w:t>Pediatričtí pacienti</w:t>
      </w:r>
      <w:r w:rsidRPr="009B1A37">
        <w:rPr>
          <w:color w:val="000000"/>
        </w:rPr>
        <w:t>: Do studie fáze I zvyšování dávky bylo zahrnuto celkem 26 </w:t>
      </w:r>
      <w:r w:rsidR="006327B9" w:rsidRPr="009B1A37">
        <w:rPr>
          <w:color w:val="000000"/>
        </w:rPr>
        <w:t xml:space="preserve">pediatrických </w:t>
      </w:r>
      <w:r w:rsidRPr="009B1A37">
        <w:rPr>
          <w:color w:val="000000"/>
        </w:rPr>
        <w:t>pacientů ve věku &lt; 18 let buď s chronickou fází CML (n=11) nebo CML v blastické krizi nebo Ph+ akutními leukemiemi (n=15). Byla to populace silně předléčených pacientů, protože 46</w:t>
      </w:r>
      <w:r w:rsidR="004B270C" w:rsidRPr="009B1A37">
        <w:rPr>
          <w:color w:val="000000"/>
        </w:rPr>
        <w:t> </w:t>
      </w:r>
      <w:r w:rsidRPr="009B1A37">
        <w:rPr>
          <w:color w:val="000000"/>
        </w:rPr>
        <w:t>% bylo dříve léčeno BMT a 73</w:t>
      </w:r>
      <w:r w:rsidR="00FC57C0" w:rsidRPr="009B1A37">
        <w:rPr>
          <w:color w:val="000000"/>
        </w:rPr>
        <w:t> </w:t>
      </w:r>
      <w:r w:rsidRPr="009B1A37">
        <w:rPr>
          <w:color w:val="000000"/>
        </w:rPr>
        <w:t>% dostávalo předchozí mnohočetnou chemoterapii. Pacienti byli léčeni dávkami Glivecu 260 mg/m</w:t>
      </w:r>
      <w:r w:rsidRPr="009B1A37">
        <w:rPr>
          <w:color w:val="000000"/>
          <w:vertAlign w:val="superscript"/>
        </w:rPr>
        <w:t>2</w:t>
      </w:r>
      <w:r w:rsidRPr="009B1A37">
        <w:rPr>
          <w:color w:val="000000"/>
        </w:rPr>
        <w:t>/den (n=5), 340 mg/m</w:t>
      </w:r>
      <w:r w:rsidRPr="009B1A37">
        <w:rPr>
          <w:color w:val="000000"/>
          <w:vertAlign w:val="superscript"/>
        </w:rPr>
        <w:t>2</w:t>
      </w:r>
      <w:r w:rsidRPr="009B1A37">
        <w:rPr>
          <w:color w:val="000000"/>
        </w:rPr>
        <w:t>/den (n=9), 440 mg/m</w:t>
      </w:r>
      <w:r w:rsidRPr="009B1A37">
        <w:rPr>
          <w:color w:val="000000"/>
          <w:vertAlign w:val="superscript"/>
        </w:rPr>
        <w:t>2</w:t>
      </w:r>
      <w:r w:rsidRPr="009B1A37">
        <w:rPr>
          <w:color w:val="000000"/>
        </w:rPr>
        <w:t>/den (n=7) a 570 mg/m</w:t>
      </w:r>
      <w:r w:rsidRPr="009B1A37">
        <w:rPr>
          <w:color w:val="000000"/>
          <w:vertAlign w:val="superscript"/>
        </w:rPr>
        <w:t>2</w:t>
      </w:r>
      <w:r w:rsidRPr="009B1A37">
        <w:rPr>
          <w:color w:val="000000"/>
        </w:rPr>
        <w:t>/den (n=5). Z 9 pacientů s chronickou fází CML a dostupnými cytogenetickými údaji, dosáhli 4 (44</w:t>
      </w:r>
      <w:r w:rsidR="004B270C" w:rsidRPr="009B1A37">
        <w:rPr>
          <w:color w:val="000000"/>
        </w:rPr>
        <w:t> </w:t>
      </w:r>
      <w:r w:rsidRPr="009B1A37">
        <w:rPr>
          <w:color w:val="000000"/>
        </w:rPr>
        <w:t>%) kompletní a 3 (33</w:t>
      </w:r>
      <w:r w:rsidR="004B270C" w:rsidRPr="009B1A37">
        <w:rPr>
          <w:color w:val="000000"/>
        </w:rPr>
        <w:t> </w:t>
      </w:r>
      <w:r w:rsidRPr="009B1A37">
        <w:rPr>
          <w:color w:val="000000"/>
        </w:rPr>
        <w:t xml:space="preserve">%) parciální cytogenetické odpovědi, </w:t>
      </w:r>
      <w:r w:rsidR="006327B9" w:rsidRPr="009B1A37">
        <w:rPr>
          <w:color w:val="000000"/>
        </w:rPr>
        <w:t xml:space="preserve">výskyt </w:t>
      </w:r>
      <w:r w:rsidRPr="009B1A37">
        <w:rPr>
          <w:color w:val="000000"/>
        </w:rPr>
        <w:t>MCyR 77</w:t>
      </w:r>
      <w:r w:rsidR="00FC57C0" w:rsidRPr="009B1A37">
        <w:rPr>
          <w:color w:val="000000"/>
        </w:rPr>
        <w:t> </w:t>
      </w:r>
      <w:r w:rsidRPr="009B1A37">
        <w:rPr>
          <w:color w:val="000000"/>
        </w:rPr>
        <w:t>%.</w:t>
      </w:r>
    </w:p>
    <w:p w14:paraId="241CC69F" w14:textId="77777777" w:rsidR="00EA5993" w:rsidRPr="009B1A37" w:rsidRDefault="00EA5993" w:rsidP="00BE3D48">
      <w:pPr>
        <w:pStyle w:val="EndnoteText"/>
        <w:widowControl w:val="0"/>
        <w:rPr>
          <w:color w:val="000000"/>
        </w:rPr>
      </w:pPr>
    </w:p>
    <w:p w14:paraId="7EFC898A" w14:textId="77777777" w:rsidR="00EA5993" w:rsidRPr="009B1A37" w:rsidRDefault="00EA5993" w:rsidP="00BE3D48">
      <w:pPr>
        <w:pStyle w:val="EndnoteText"/>
        <w:widowControl w:val="0"/>
        <w:rPr>
          <w:color w:val="000000"/>
        </w:rPr>
      </w:pPr>
      <w:r w:rsidRPr="009B1A37">
        <w:rPr>
          <w:color w:val="000000"/>
        </w:rPr>
        <w:t>Do otevřené, multicentrické, jednoramenné studie fáze II bylo zařazeno celkem 51 pediatrických pacientů s nově diagnostikovanou neléčenou CML v chronické fázi. Pacienti byli léčeni Glivecem 340 mg/m</w:t>
      </w:r>
      <w:r w:rsidRPr="009B1A37">
        <w:rPr>
          <w:color w:val="000000"/>
          <w:vertAlign w:val="superscript"/>
        </w:rPr>
        <w:t>2</w:t>
      </w:r>
      <w:r w:rsidRPr="009B1A37">
        <w:rPr>
          <w:color w:val="000000"/>
        </w:rPr>
        <w:t xml:space="preserve">/den bez přerušení při absenci dávku limitující toxicity. Léčba Glivecem vyvolala rychlou odpověď u nově diagnostikovaných dětských pacientů s CML s </w:t>
      </w:r>
      <w:smartTag w:uri="urn:schemas-microsoft-com:office:smarttags" w:element="stockticker">
        <w:r w:rsidRPr="009B1A37">
          <w:rPr>
            <w:color w:val="000000"/>
          </w:rPr>
          <w:t>CHR</w:t>
        </w:r>
      </w:smartTag>
      <w:r w:rsidRPr="009B1A37">
        <w:rPr>
          <w:color w:val="000000"/>
        </w:rPr>
        <w:t xml:space="preserve"> 78</w:t>
      </w:r>
      <w:r w:rsidR="004B270C" w:rsidRPr="009B1A37">
        <w:rPr>
          <w:color w:val="000000"/>
        </w:rPr>
        <w:t> </w:t>
      </w:r>
      <w:r w:rsidRPr="009B1A37">
        <w:rPr>
          <w:color w:val="000000"/>
        </w:rPr>
        <w:t xml:space="preserve">% po 8 týdnech léčby. Vysoká </w:t>
      </w:r>
      <w:r w:rsidR="006327B9" w:rsidRPr="009B1A37">
        <w:rPr>
          <w:color w:val="000000"/>
        </w:rPr>
        <w:t>výskyt</w:t>
      </w:r>
      <w:r w:rsidRPr="009B1A37">
        <w:rPr>
          <w:color w:val="000000"/>
        </w:rPr>
        <w:t xml:space="preserve"> </w:t>
      </w:r>
      <w:smartTag w:uri="urn:schemas-microsoft-com:office:smarttags" w:element="stockticker">
        <w:r w:rsidRPr="009B1A37">
          <w:rPr>
            <w:color w:val="000000"/>
          </w:rPr>
          <w:t>CHR</w:t>
        </w:r>
      </w:smartTag>
      <w:r w:rsidRPr="009B1A37">
        <w:rPr>
          <w:color w:val="000000"/>
        </w:rPr>
        <w:t xml:space="preserve"> byl doprovázen rozvojem kompletní cytogenetické odpovědi (CCyR) u 65</w:t>
      </w:r>
      <w:r w:rsidR="004B270C" w:rsidRPr="009B1A37">
        <w:rPr>
          <w:color w:val="000000"/>
        </w:rPr>
        <w:t> </w:t>
      </w:r>
      <w:r w:rsidRPr="009B1A37">
        <w:rPr>
          <w:color w:val="000000"/>
        </w:rPr>
        <w:t>%, což je srovnatelné s výsledky pozorovanými u dospělých pacientů. Dodatečně parciální cytogenetická odpověď (PCyR) byla pozorována u 16</w:t>
      </w:r>
      <w:r w:rsidR="004B270C" w:rsidRPr="009B1A37">
        <w:rPr>
          <w:color w:val="000000"/>
        </w:rPr>
        <w:t> </w:t>
      </w:r>
      <w:r w:rsidRPr="009B1A37">
        <w:rPr>
          <w:color w:val="000000"/>
        </w:rPr>
        <w:t>%, McyR 81</w:t>
      </w:r>
      <w:r w:rsidR="004B270C" w:rsidRPr="009B1A37">
        <w:rPr>
          <w:color w:val="000000"/>
        </w:rPr>
        <w:t> </w:t>
      </w:r>
      <w:r w:rsidRPr="009B1A37">
        <w:rPr>
          <w:color w:val="000000"/>
        </w:rPr>
        <w:t xml:space="preserve">%. U většiny pacientů, kteří dosáhli kompletní cytogenetické odpovědi (CCyR), se CCyR vyvinula mezi </w:t>
      </w:r>
      <w:smartTag w:uri="urn:schemas-microsoft-com:office:smarttags" w:element="metricconverter">
        <w:smartTagPr>
          <w:attr w:name="ProductID" w:val="3. a"/>
        </w:smartTagPr>
        <w:r w:rsidRPr="009B1A37">
          <w:rPr>
            <w:color w:val="000000"/>
          </w:rPr>
          <w:t>3. a</w:t>
        </w:r>
      </w:smartTag>
      <w:r w:rsidRPr="009B1A37">
        <w:rPr>
          <w:color w:val="000000"/>
        </w:rPr>
        <w:t xml:space="preserve"> 10. měsícem léčby s mediánem času do dosažení odpovědi 5,6 měsíců podle Kaplan-Meierova odhadu.</w:t>
      </w:r>
    </w:p>
    <w:p w14:paraId="393573C9" w14:textId="77777777" w:rsidR="00EA5993" w:rsidRPr="009B1A37" w:rsidRDefault="00EA5993" w:rsidP="00BE3D48">
      <w:pPr>
        <w:pStyle w:val="EndnoteText"/>
        <w:widowControl w:val="0"/>
        <w:rPr>
          <w:color w:val="000000"/>
          <w:u w:val="single"/>
        </w:rPr>
      </w:pPr>
    </w:p>
    <w:p w14:paraId="52A7BB36" w14:textId="77777777" w:rsidR="00EA5993" w:rsidRPr="009B1A37" w:rsidRDefault="00EA5993" w:rsidP="00BE3D48">
      <w:pPr>
        <w:pStyle w:val="EndnoteText"/>
        <w:widowControl w:val="0"/>
        <w:rPr>
          <w:color w:val="000000"/>
        </w:rPr>
      </w:pPr>
      <w:r w:rsidRPr="009B1A37">
        <w:rPr>
          <w:color w:val="000000"/>
        </w:rPr>
        <w:t>Evropská agentura pro léčivé přípravky rozhodla o zproštění povinnosti předložit výsledky studií s Glivecem u všech podskupin pediatrické populace s Philadelphia chromozom pozitivní (translokace bcr-abl) chronickou myeloidní leukemií (informace o použití u dětí viz bod 4.2).</w:t>
      </w:r>
    </w:p>
    <w:p w14:paraId="07C5F49E" w14:textId="77777777" w:rsidR="00EA5993" w:rsidRPr="009B1A37" w:rsidRDefault="00EA5993" w:rsidP="00BE3D48">
      <w:pPr>
        <w:pStyle w:val="EndnoteText"/>
        <w:widowControl w:val="0"/>
        <w:rPr>
          <w:color w:val="000000"/>
          <w:u w:val="single"/>
        </w:rPr>
      </w:pPr>
    </w:p>
    <w:p w14:paraId="5045F763" w14:textId="77777777" w:rsidR="00EA5993" w:rsidRPr="009B1A37" w:rsidRDefault="00EA5993" w:rsidP="00BE3D48">
      <w:pPr>
        <w:pStyle w:val="EndnoteText"/>
        <w:keepNext/>
        <w:widowControl w:val="0"/>
        <w:rPr>
          <w:color w:val="000000"/>
          <w:u w:val="single"/>
        </w:rPr>
      </w:pPr>
      <w:r w:rsidRPr="009B1A37">
        <w:rPr>
          <w:color w:val="000000"/>
          <w:u w:val="single"/>
        </w:rPr>
        <w:t xml:space="preserve">Klinické studie u Ph+ </w:t>
      </w:r>
      <w:smartTag w:uri="urn:schemas-microsoft-com:office:smarttags" w:element="stockticker">
        <w:r w:rsidRPr="009B1A37">
          <w:rPr>
            <w:color w:val="000000"/>
            <w:u w:val="single"/>
          </w:rPr>
          <w:t>ALL</w:t>
        </w:r>
      </w:smartTag>
    </w:p>
    <w:p w14:paraId="27306E54" w14:textId="77777777" w:rsidR="00EA5993" w:rsidRPr="009B1A37" w:rsidRDefault="00EA5993" w:rsidP="00BE3D48">
      <w:pPr>
        <w:pStyle w:val="Text"/>
        <w:widowControl w:val="0"/>
        <w:spacing w:before="0"/>
        <w:jc w:val="left"/>
        <w:rPr>
          <w:color w:val="000000"/>
          <w:sz w:val="22"/>
          <w:szCs w:val="22"/>
          <w:lang w:val="cs-CZ"/>
        </w:rPr>
      </w:pPr>
      <w:r w:rsidRPr="009B1A37">
        <w:rPr>
          <w:i/>
          <w:iCs/>
          <w:color w:val="000000"/>
          <w:sz w:val="22"/>
          <w:szCs w:val="22"/>
          <w:lang w:val="cs-CZ"/>
        </w:rPr>
        <w:t xml:space="preserve">Nově diagnostikovaná Ph+ </w:t>
      </w:r>
      <w:smartTag w:uri="urn:schemas-microsoft-com:office:smarttags" w:element="stockticker">
        <w:r w:rsidRPr="009B1A37">
          <w:rPr>
            <w:i/>
            <w:iCs/>
            <w:color w:val="000000"/>
            <w:sz w:val="22"/>
            <w:szCs w:val="22"/>
            <w:lang w:val="cs-CZ"/>
          </w:rPr>
          <w:t>ALL</w:t>
        </w:r>
      </w:smartTag>
      <w:r w:rsidRPr="009B1A37">
        <w:rPr>
          <w:color w:val="000000"/>
          <w:sz w:val="22"/>
          <w:szCs w:val="22"/>
          <w:lang w:val="cs-CZ"/>
        </w:rPr>
        <w:t xml:space="preserve">: V kontrolované studii (ADE10), ve které byl porovnáván imatinib s indukční chemoterapií u 55 nově diagnostikovaných pacientů ve věku 55 let a starších, imatinib podávaný jako monoterapie navodil významně vyšší </w:t>
      </w:r>
      <w:r w:rsidR="006327B9" w:rsidRPr="009B1A37">
        <w:rPr>
          <w:color w:val="000000"/>
          <w:sz w:val="22"/>
          <w:szCs w:val="22"/>
          <w:lang w:val="cs-CZ"/>
        </w:rPr>
        <w:t xml:space="preserve">výskyt </w:t>
      </w:r>
      <w:r w:rsidRPr="009B1A37">
        <w:rPr>
          <w:color w:val="000000"/>
          <w:sz w:val="22"/>
          <w:szCs w:val="22"/>
          <w:lang w:val="cs-CZ"/>
        </w:rPr>
        <w:t>kompletních hematologických odpovědí než chemoterapie (96,3</w:t>
      </w:r>
      <w:r w:rsidR="00FC57C0" w:rsidRPr="009B1A37">
        <w:rPr>
          <w:color w:val="000000"/>
          <w:sz w:val="22"/>
          <w:szCs w:val="22"/>
          <w:lang w:val="cs-CZ"/>
        </w:rPr>
        <w:t> </w:t>
      </w:r>
      <w:r w:rsidRPr="009B1A37">
        <w:rPr>
          <w:color w:val="000000"/>
          <w:sz w:val="22"/>
          <w:szCs w:val="22"/>
          <w:lang w:val="cs-CZ"/>
        </w:rPr>
        <w:t>% vs. 50</w:t>
      </w:r>
      <w:r w:rsidR="00FC57C0" w:rsidRPr="009B1A37">
        <w:rPr>
          <w:color w:val="000000"/>
          <w:sz w:val="22"/>
          <w:szCs w:val="22"/>
          <w:lang w:val="cs-CZ"/>
        </w:rPr>
        <w:t> </w:t>
      </w:r>
      <w:r w:rsidRPr="009B1A37">
        <w:rPr>
          <w:color w:val="000000"/>
          <w:sz w:val="22"/>
          <w:szCs w:val="22"/>
          <w:lang w:val="cs-CZ"/>
        </w:rPr>
        <w:t>%; p=0,0001). Podání imatinibu jako záchranné terapie pacientům, kteří neodpovídali na chemoterapii nebo jejichž odpověď na chemoterapii byla nedostatečná, vedlo u</w:t>
      </w:r>
      <w:r w:rsidRPr="009B1A37">
        <w:rPr>
          <w:color w:val="000000"/>
          <w:lang w:val="cs-CZ"/>
        </w:rPr>
        <w:t> </w:t>
      </w:r>
      <w:r w:rsidRPr="009B1A37">
        <w:rPr>
          <w:color w:val="000000"/>
          <w:sz w:val="22"/>
          <w:szCs w:val="22"/>
          <w:lang w:val="cs-CZ"/>
        </w:rPr>
        <w:t>9 pacientů (81,8</w:t>
      </w:r>
      <w:r w:rsidR="00FC57C0" w:rsidRPr="009B1A37">
        <w:rPr>
          <w:color w:val="000000"/>
          <w:sz w:val="22"/>
          <w:szCs w:val="22"/>
          <w:lang w:val="cs-CZ"/>
        </w:rPr>
        <w:t> </w:t>
      </w:r>
      <w:r w:rsidRPr="009B1A37">
        <w:rPr>
          <w:color w:val="000000"/>
          <w:sz w:val="22"/>
          <w:szCs w:val="22"/>
          <w:lang w:val="cs-CZ"/>
        </w:rPr>
        <w:t xml:space="preserve">%) z celkového počtu 11 pacientů k dosažení kompletní hematologické odpovědi. Tento klinický účinek byl po 2 týdnech léčby spojen s vyšší redukcí bcr-abl transkriptů u pacientů léčených imatinibem než v rameni s chemoterapií (p=0,02). Po fázi indukce všichni pacienti dostávali imatinib a konsolidační chemoterapii (viz </w:t>
      </w:r>
      <w:r w:rsidR="006327B9" w:rsidRPr="009B1A37">
        <w:rPr>
          <w:color w:val="000000"/>
          <w:sz w:val="22"/>
          <w:szCs w:val="22"/>
          <w:lang w:val="cs-CZ"/>
        </w:rPr>
        <w:t>t</w:t>
      </w:r>
      <w:r w:rsidRPr="009B1A37">
        <w:rPr>
          <w:color w:val="000000"/>
          <w:sz w:val="22"/>
          <w:szCs w:val="22"/>
          <w:lang w:val="cs-CZ"/>
        </w:rPr>
        <w:t>abulka </w:t>
      </w:r>
      <w:r w:rsidR="00A2522A" w:rsidRPr="009B1A37">
        <w:rPr>
          <w:color w:val="000000"/>
          <w:sz w:val="22"/>
          <w:szCs w:val="22"/>
          <w:lang w:val="cs-CZ"/>
        </w:rPr>
        <w:t>4</w:t>
      </w:r>
      <w:r w:rsidRPr="009B1A37">
        <w:rPr>
          <w:color w:val="000000"/>
          <w:sz w:val="22"/>
          <w:szCs w:val="22"/>
          <w:lang w:val="cs-CZ"/>
        </w:rPr>
        <w:t>) a po 8 týdnech byly hladiny bcr-abl transkriptů stejné v obou ramenech. Jak se očekávalo na základě designu studie</w:t>
      </w:r>
      <w:r w:rsidRPr="009B1A37">
        <w:rPr>
          <w:rFonts w:eastAsia="MS Mincho"/>
          <w:color w:val="000000"/>
          <w:sz w:val="22"/>
          <w:szCs w:val="22"/>
          <w:lang w:val="cs-CZ"/>
        </w:rPr>
        <w:t>, nebyl pozorován žádný rozdíl v době trvání remise, v přežití bez známek onemocnění nebo celkovém přežití, ačkoliv pacienti s kompletní molekulární odpovědí a trvajícím minimálním reziduálním onemocněním měli lepší výsledek, pokud šlo o dobu trvání remise (p=0,01) a přežití bez známek onemocnění (p=0,02)</w:t>
      </w:r>
      <w:r w:rsidRPr="009B1A37">
        <w:rPr>
          <w:color w:val="000000"/>
          <w:sz w:val="22"/>
          <w:szCs w:val="22"/>
          <w:lang w:val="cs-CZ"/>
        </w:rPr>
        <w:t>.</w:t>
      </w:r>
    </w:p>
    <w:p w14:paraId="08054C6F" w14:textId="77777777" w:rsidR="00EA5993" w:rsidRPr="009B1A37" w:rsidRDefault="00EA5993" w:rsidP="00BE3D48">
      <w:pPr>
        <w:pStyle w:val="Text"/>
        <w:widowControl w:val="0"/>
        <w:spacing w:before="0"/>
        <w:jc w:val="left"/>
        <w:rPr>
          <w:color w:val="000000"/>
          <w:sz w:val="22"/>
          <w:szCs w:val="22"/>
          <w:lang w:val="cs-CZ"/>
        </w:rPr>
      </w:pPr>
    </w:p>
    <w:p w14:paraId="4E51EF7A" w14:textId="77777777" w:rsidR="00EA5993" w:rsidRPr="009B1A37" w:rsidRDefault="00EA5993" w:rsidP="00BE3D48">
      <w:pPr>
        <w:pStyle w:val="EndnoteText"/>
        <w:widowControl w:val="0"/>
        <w:rPr>
          <w:color w:val="000000"/>
        </w:rPr>
      </w:pPr>
      <w:r w:rsidRPr="009B1A37">
        <w:rPr>
          <w:color w:val="000000"/>
        </w:rPr>
        <w:t xml:space="preserve">Výsledky pozorované ve skupině 211 nově diagnostikovaných pacientů s Ph+ </w:t>
      </w:r>
      <w:smartTag w:uri="urn:schemas-microsoft-com:office:smarttags" w:element="stockticker">
        <w:r w:rsidRPr="009B1A37">
          <w:rPr>
            <w:color w:val="000000"/>
          </w:rPr>
          <w:t>ALL</w:t>
        </w:r>
      </w:smartTag>
      <w:r w:rsidRPr="009B1A37">
        <w:rPr>
          <w:color w:val="000000"/>
        </w:rPr>
        <w:t xml:space="preserve"> ve čtyřech nekontrolovaných klinických studiích (AAU02, ADE04, AJP01 a AUS01) jsou shodné s výsledky popsanými výše. Podávání imatinibu v kombinaci s indukční chemoterapií (viz </w:t>
      </w:r>
      <w:r w:rsidR="006327B9" w:rsidRPr="009B1A37">
        <w:rPr>
          <w:color w:val="000000"/>
        </w:rPr>
        <w:t>t</w:t>
      </w:r>
      <w:r w:rsidRPr="009B1A37">
        <w:rPr>
          <w:color w:val="000000"/>
        </w:rPr>
        <w:t>abulka </w:t>
      </w:r>
      <w:r w:rsidR="00A2522A" w:rsidRPr="009B1A37">
        <w:rPr>
          <w:color w:val="000000"/>
        </w:rPr>
        <w:t>4</w:t>
      </w:r>
      <w:r w:rsidRPr="009B1A37">
        <w:rPr>
          <w:color w:val="000000"/>
        </w:rPr>
        <w:t>) vedlo k dosažení kompletní hematologické odpovědi u 93</w:t>
      </w:r>
      <w:r w:rsidR="006327B9" w:rsidRPr="009B1A37">
        <w:rPr>
          <w:color w:val="000000"/>
        </w:rPr>
        <w:t> </w:t>
      </w:r>
      <w:r w:rsidRPr="009B1A37">
        <w:rPr>
          <w:color w:val="000000"/>
        </w:rPr>
        <w:t>% (147 ze 158 hodnotitelných pacientů) a k dosažení velké cytogenetické odpovědi u 90</w:t>
      </w:r>
      <w:r w:rsidR="00FC57C0" w:rsidRPr="009B1A37">
        <w:rPr>
          <w:color w:val="000000"/>
        </w:rPr>
        <w:t> </w:t>
      </w:r>
      <w:r w:rsidRPr="009B1A37">
        <w:rPr>
          <w:color w:val="000000"/>
        </w:rPr>
        <w:t xml:space="preserve">% (19 z 21 hodnotitelných pacientů). </w:t>
      </w:r>
      <w:r w:rsidR="006327B9" w:rsidRPr="009B1A37">
        <w:rPr>
          <w:color w:val="000000"/>
        </w:rPr>
        <w:t>Výskyt</w:t>
      </w:r>
      <w:r w:rsidRPr="009B1A37">
        <w:rPr>
          <w:color w:val="000000"/>
        </w:rPr>
        <w:t xml:space="preserve"> kompletní molekulární odpovědi byl 48</w:t>
      </w:r>
      <w:r w:rsidR="00F62619" w:rsidRPr="009B1A37">
        <w:rPr>
          <w:color w:val="000000"/>
        </w:rPr>
        <w:t> </w:t>
      </w:r>
      <w:r w:rsidRPr="009B1A37">
        <w:rPr>
          <w:color w:val="000000"/>
        </w:rPr>
        <w:t>% (49 z</w:t>
      </w:r>
      <w:r w:rsidR="006327B9" w:rsidRPr="009B1A37">
        <w:rPr>
          <w:color w:val="000000"/>
        </w:rPr>
        <w:t>e</w:t>
      </w:r>
      <w:r w:rsidRPr="009B1A37">
        <w:rPr>
          <w:color w:val="000000"/>
        </w:rPr>
        <w:t xml:space="preserve"> 102 hodnotitelných pacientů). Ve dvou studiích (AJP01 a AUS01) přežití bez známek onemocnění (</w:t>
      </w:r>
      <w:smartTag w:uri="urn:schemas-microsoft-com:office:smarttags" w:element="stockticker">
        <w:r w:rsidRPr="009B1A37">
          <w:rPr>
            <w:color w:val="000000"/>
          </w:rPr>
          <w:t>DFS</w:t>
        </w:r>
      </w:smartTag>
      <w:r w:rsidRPr="009B1A37">
        <w:rPr>
          <w:color w:val="000000"/>
        </w:rPr>
        <w:t>) a celkové přežití (OS) konstantně převyšovaly 1 rok a tyto výsledky byly lepší oproti historickým kontrolám. (</w:t>
      </w:r>
      <w:smartTag w:uri="urn:schemas-microsoft-com:office:smarttags" w:element="stockticker">
        <w:r w:rsidRPr="009B1A37">
          <w:rPr>
            <w:color w:val="000000"/>
          </w:rPr>
          <w:t>DFS</w:t>
        </w:r>
      </w:smartTag>
      <w:r w:rsidRPr="009B1A37">
        <w:rPr>
          <w:color w:val="000000"/>
        </w:rPr>
        <w:t xml:space="preserve"> p&lt;0,001; OS p&lt;0,0</w:t>
      </w:r>
      <w:r w:rsidR="006327B9" w:rsidRPr="009B1A37">
        <w:rPr>
          <w:color w:val="000000"/>
        </w:rPr>
        <w:t>00</w:t>
      </w:r>
      <w:r w:rsidRPr="009B1A37">
        <w:rPr>
          <w:color w:val="000000"/>
        </w:rPr>
        <w:t>1).</w:t>
      </w:r>
    </w:p>
    <w:p w14:paraId="385CFB28" w14:textId="77777777" w:rsidR="00EA5993" w:rsidRPr="009B1A37" w:rsidRDefault="00EA5993" w:rsidP="00BE3D48">
      <w:pPr>
        <w:pStyle w:val="EndnoteText"/>
        <w:widowControl w:val="0"/>
        <w:rPr>
          <w:color w:val="000000"/>
        </w:rPr>
      </w:pPr>
    </w:p>
    <w:p w14:paraId="621BED38" w14:textId="77777777" w:rsidR="00EA5993" w:rsidRPr="009B1A37" w:rsidRDefault="00EA5993" w:rsidP="00EB4FF7">
      <w:pPr>
        <w:pStyle w:val="EndnoteText"/>
        <w:keepNext/>
        <w:widowControl w:val="0"/>
        <w:tabs>
          <w:tab w:val="clear" w:pos="567"/>
          <w:tab w:val="left" w:pos="1134"/>
        </w:tabs>
        <w:rPr>
          <w:b/>
          <w:bCs/>
          <w:color w:val="000000"/>
        </w:rPr>
      </w:pPr>
      <w:r w:rsidRPr="009B1A37">
        <w:rPr>
          <w:b/>
          <w:bCs/>
          <w:color w:val="000000"/>
        </w:rPr>
        <w:t>Tabulka </w:t>
      </w:r>
      <w:r w:rsidR="00A2522A" w:rsidRPr="009B1A37">
        <w:rPr>
          <w:b/>
          <w:bCs/>
          <w:color w:val="000000"/>
        </w:rPr>
        <w:t>4</w:t>
      </w:r>
      <w:r w:rsidRPr="009B1A37">
        <w:rPr>
          <w:b/>
          <w:bCs/>
          <w:color w:val="000000"/>
        </w:rPr>
        <w:tab/>
        <w:t xml:space="preserve">Chemoterapeutický režim </w:t>
      </w:r>
      <w:r w:rsidR="006327B9" w:rsidRPr="009B1A37">
        <w:rPr>
          <w:b/>
          <w:bCs/>
          <w:color w:val="000000"/>
        </w:rPr>
        <w:t>po</w:t>
      </w:r>
      <w:r w:rsidRPr="009B1A37">
        <w:rPr>
          <w:b/>
          <w:bCs/>
          <w:color w:val="000000"/>
        </w:rPr>
        <w:t>užívaný v kombinaci s imatinibem</w:t>
      </w:r>
    </w:p>
    <w:p w14:paraId="64686651" w14:textId="77777777" w:rsidR="00EA5993" w:rsidRPr="009B1A37" w:rsidRDefault="00EA5993" w:rsidP="00EB4FF7">
      <w:pPr>
        <w:pStyle w:val="EndnoteText"/>
        <w:keepNext/>
        <w:widowControl w:val="0"/>
        <w:rPr>
          <w:color w:val="000000"/>
        </w:rPr>
      </w:pPr>
    </w:p>
    <w:tbl>
      <w:tblPr>
        <w:tblW w:w="0" w:type="auto"/>
        <w:tblInd w:w="228" w:type="dxa"/>
        <w:tblLayout w:type="fixed"/>
        <w:tblLook w:val="0000" w:firstRow="0" w:lastRow="0" w:firstColumn="0" w:lastColumn="0" w:noHBand="0" w:noVBand="0"/>
      </w:tblPr>
      <w:tblGrid>
        <w:gridCol w:w="2148"/>
        <w:gridCol w:w="2652"/>
        <w:gridCol w:w="1080"/>
        <w:gridCol w:w="1380"/>
        <w:gridCol w:w="1620"/>
      </w:tblGrid>
      <w:tr w:rsidR="00EA5993" w:rsidRPr="009B1A37" w14:paraId="7A47F079" w14:textId="77777777" w:rsidTr="00EB4FF7">
        <w:trPr>
          <w:cantSplit/>
        </w:trPr>
        <w:tc>
          <w:tcPr>
            <w:tcW w:w="2148" w:type="dxa"/>
            <w:tcBorders>
              <w:top w:val="single" w:sz="4" w:space="0" w:color="000000"/>
              <w:bottom w:val="single" w:sz="4" w:space="0" w:color="000000"/>
            </w:tcBorders>
          </w:tcPr>
          <w:p w14:paraId="142A1DA0" w14:textId="77777777" w:rsidR="00EA5993" w:rsidRPr="009B1A37" w:rsidRDefault="00EA5993" w:rsidP="00EB4FF7">
            <w:pPr>
              <w:pStyle w:val="Table"/>
              <w:keepLines w:val="0"/>
              <w:widowControl w:val="0"/>
              <w:snapToGrid w:val="0"/>
              <w:spacing w:before="0" w:after="0"/>
              <w:rPr>
                <w:rFonts w:ascii="Times New Roman" w:hAnsi="Times New Roman" w:cs="Times New Roman"/>
                <w:b/>
                <w:bCs/>
                <w:color w:val="000000"/>
                <w:sz w:val="22"/>
                <w:szCs w:val="22"/>
                <w:lang w:val="cs-CZ"/>
              </w:rPr>
            </w:pPr>
            <w:r w:rsidRPr="009B1A37">
              <w:rPr>
                <w:rFonts w:ascii="Times New Roman" w:hAnsi="Times New Roman" w:cs="Times New Roman"/>
                <w:b/>
                <w:bCs/>
                <w:color w:val="000000"/>
                <w:sz w:val="22"/>
                <w:szCs w:val="22"/>
                <w:lang w:val="cs-CZ"/>
              </w:rPr>
              <w:t>Studie ADE10</w:t>
            </w:r>
          </w:p>
        </w:tc>
        <w:tc>
          <w:tcPr>
            <w:tcW w:w="6732" w:type="dxa"/>
            <w:gridSpan w:val="4"/>
            <w:tcBorders>
              <w:top w:val="single" w:sz="4" w:space="0" w:color="000000"/>
              <w:bottom w:val="single" w:sz="4" w:space="0" w:color="000000"/>
            </w:tcBorders>
          </w:tcPr>
          <w:p w14:paraId="2EBF41B1"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p>
        </w:tc>
      </w:tr>
      <w:tr w:rsidR="00EA5993" w:rsidRPr="009B1A37" w14:paraId="5A29E459" w14:textId="77777777" w:rsidTr="00EB4FF7">
        <w:trPr>
          <w:cantSplit/>
        </w:trPr>
        <w:tc>
          <w:tcPr>
            <w:tcW w:w="2148" w:type="dxa"/>
            <w:tcBorders>
              <w:top w:val="single" w:sz="4" w:space="0" w:color="000000"/>
              <w:bottom w:val="single" w:sz="4" w:space="0" w:color="000000"/>
            </w:tcBorders>
          </w:tcPr>
          <w:p w14:paraId="34E1559B"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Prefáze</w:t>
            </w:r>
          </w:p>
        </w:tc>
        <w:tc>
          <w:tcPr>
            <w:tcW w:w="6732" w:type="dxa"/>
            <w:gridSpan w:val="4"/>
            <w:tcBorders>
              <w:top w:val="single" w:sz="4" w:space="0" w:color="000000"/>
              <w:bottom w:val="single" w:sz="4" w:space="0" w:color="000000"/>
            </w:tcBorders>
          </w:tcPr>
          <w:p w14:paraId="439DFAB1"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DEX 10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perorálně, den 1-5;</w:t>
            </w:r>
          </w:p>
          <w:p w14:paraId="1EA73AE9"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CP 200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den 3, 4, 5;</w:t>
            </w:r>
          </w:p>
          <w:p w14:paraId="108BB19F"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MTX</w:t>
              </w:r>
            </w:smartTag>
            <w:r w:rsidRPr="009B1A37">
              <w:rPr>
                <w:rFonts w:ascii="Times New Roman" w:hAnsi="Times New Roman" w:cs="Times New Roman"/>
                <w:color w:val="000000"/>
                <w:sz w:val="22"/>
                <w:szCs w:val="22"/>
                <w:lang w:val="cs-CZ"/>
              </w:rPr>
              <w:t xml:space="preserve"> 12 mg intratekálně, den 1</w:t>
            </w:r>
          </w:p>
        </w:tc>
      </w:tr>
      <w:tr w:rsidR="00EA5993" w:rsidRPr="009B1A37" w14:paraId="1587B189" w14:textId="77777777" w:rsidTr="00EB4FF7">
        <w:trPr>
          <w:cantSplit/>
        </w:trPr>
        <w:tc>
          <w:tcPr>
            <w:tcW w:w="2148" w:type="dxa"/>
            <w:tcBorders>
              <w:top w:val="single" w:sz="4" w:space="0" w:color="000000"/>
              <w:bottom w:val="single" w:sz="4" w:space="0" w:color="000000"/>
            </w:tcBorders>
          </w:tcPr>
          <w:p w14:paraId="1429FE08"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Indukce remise</w:t>
            </w:r>
          </w:p>
        </w:tc>
        <w:tc>
          <w:tcPr>
            <w:tcW w:w="6732" w:type="dxa"/>
            <w:gridSpan w:val="4"/>
            <w:tcBorders>
              <w:top w:val="single" w:sz="4" w:space="0" w:color="000000"/>
              <w:bottom w:val="single" w:sz="4" w:space="0" w:color="000000"/>
            </w:tcBorders>
          </w:tcPr>
          <w:p w14:paraId="2A032843"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DEX 10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perorálně, den 6-7, 13-16;</w:t>
            </w:r>
          </w:p>
          <w:p w14:paraId="562C6463"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VCR</w:t>
              </w:r>
            </w:smartTag>
            <w:r w:rsidRPr="009B1A37">
              <w:rPr>
                <w:rFonts w:ascii="Times New Roman" w:hAnsi="Times New Roman" w:cs="Times New Roman"/>
                <w:color w:val="000000"/>
                <w:sz w:val="22"/>
                <w:szCs w:val="22"/>
                <w:lang w:val="cs-CZ"/>
              </w:rPr>
              <w:t xml:space="preserve"> 1 mg i.v., den 7, 14;</w:t>
            </w:r>
          </w:p>
          <w:p w14:paraId="0013FFD6"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IDA</w:t>
              </w:r>
            </w:smartTag>
            <w:r w:rsidRPr="009B1A37">
              <w:rPr>
                <w:rFonts w:ascii="Times New Roman" w:hAnsi="Times New Roman" w:cs="Times New Roman"/>
                <w:color w:val="000000"/>
                <w:sz w:val="22"/>
                <w:szCs w:val="22"/>
                <w:lang w:val="cs-CZ"/>
              </w:rPr>
              <w:t xml:space="preserve"> 8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(0,5 h), den 7, 8, 14, 15;</w:t>
            </w:r>
          </w:p>
          <w:p w14:paraId="1A4A6E5D"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CP 500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i.v.(1 h) den 1;</w:t>
            </w:r>
          </w:p>
          <w:p w14:paraId="3478B36A"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Ara-C 60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den 22-25, 29-32</w:t>
            </w:r>
          </w:p>
        </w:tc>
      </w:tr>
      <w:tr w:rsidR="00EA5993" w:rsidRPr="009B1A37" w14:paraId="3AB08154" w14:textId="77777777" w:rsidTr="00EB4FF7">
        <w:trPr>
          <w:cantSplit/>
        </w:trPr>
        <w:tc>
          <w:tcPr>
            <w:tcW w:w="2148" w:type="dxa"/>
            <w:tcBorders>
              <w:top w:val="single" w:sz="4" w:space="0" w:color="000000"/>
              <w:bottom w:val="single" w:sz="4" w:space="0" w:color="000000"/>
            </w:tcBorders>
          </w:tcPr>
          <w:p w14:paraId="11B295BC"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 xml:space="preserve">Konsolidační terapie I, </w:t>
            </w:r>
            <w:smartTag w:uri="urn:schemas-microsoft-com:office:smarttags" w:element="stockticker">
              <w:r w:rsidRPr="009B1A37">
                <w:rPr>
                  <w:rFonts w:ascii="Times New Roman" w:hAnsi="Times New Roman" w:cs="Times New Roman"/>
                  <w:color w:val="000000"/>
                  <w:sz w:val="22"/>
                  <w:szCs w:val="22"/>
                  <w:lang w:val="cs-CZ"/>
                </w:rPr>
                <w:t>III</w:t>
              </w:r>
            </w:smartTag>
            <w:r w:rsidRPr="009B1A37">
              <w:rPr>
                <w:rFonts w:ascii="Times New Roman" w:hAnsi="Times New Roman" w:cs="Times New Roman"/>
                <w:color w:val="000000"/>
                <w:sz w:val="22"/>
                <w:szCs w:val="22"/>
                <w:lang w:val="cs-CZ"/>
              </w:rPr>
              <w:t>, V</w:t>
            </w:r>
          </w:p>
        </w:tc>
        <w:tc>
          <w:tcPr>
            <w:tcW w:w="6732" w:type="dxa"/>
            <w:gridSpan w:val="4"/>
            <w:tcBorders>
              <w:top w:val="single" w:sz="4" w:space="0" w:color="000000"/>
              <w:bottom w:val="single" w:sz="4" w:space="0" w:color="000000"/>
            </w:tcBorders>
          </w:tcPr>
          <w:p w14:paraId="0B271349"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MTX</w:t>
              </w:r>
            </w:smartTag>
            <w:r w:rsidRPr="009B1A37">
              <w:rPr>
                <w:rFonts w:ascii="Times New Roman" w:hAnsi="Times New Roman" w:cs="Times New Roman"/>
                <w:color w:val="000000"/>
                <w:sz w:val="22"/>
                <w:szCs w:val="22"/>
                <w:lang w:val="cs-CZ"/>
              </w:rPr>
              <w:t xml:space="preserve"> 500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(24 h), den 1, 15;</w:t>
            </w:r>
          </w:p>
          <w:p w14:paraId="751B7DA8"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6-MP 25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perorálně, den 1-20</w:t>
            </w:r>
          </w:p>
        </w:tc>
      </w:tr>
      <w:tr w:rsidR="00EA5993" w:rsidRPr="009B1A37" w14:paraId="632661BB" w14:textId="77777777" w:rsidTr="00EB4FF7">
        <w:trPr>
          <w:cantSplit/>
        </w:trPr>
        <w:tc>
          <w:tcPr>
            <w:tcW w:w="2148" w:type="dxa"/>
            <w:tcBorders>
              <w:top w:val="single" w:sz="4" w:space="0" w:color="000000"/>
              <w:bottom w:val="single" w:sz="4" w:space="0" w:color="000000"/>
            </w:tcBorders>
          </w:tcPr>
          <w:p w14:paraId="205E518E" w14:textId="77777777" w:rsidR="00EA5993" w:rsidRPr="009B1A37" w:rsidRDefault="00EA5993" w:rsidP="00EB4FF7">
            <w:pPr>
              <w:pStyle w:val="Table"/>
              <w:keepNext w:val="0"/>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Konsolidační terapie II, IV</w:t>
            </w:r>
          </w:p>
        </w:tc>
        <w:tc>
          <w:tcPr>
            <w:tcW w:w="6732" w:type="dxa"/>
            <w:gridSpan w:val="4"/>
            <w:tcBorders>
              <w:top w:val="single" w:sz="4" w:space="0" w:color="000000"/>
              <w:bottom w:val="single" w:sz="4" w:space="0" w:color="000000"/>
            </w:tcBorders>
          </w:tcPr>
          <w:p w14:paraId="5D6B667D" w14:textId="77777777" w:rsidR="00EA5993" w:rsidRPr="009B1A37" w:rsidRDefault="00EA5993" w:rsidP="00EB4FF7">
            <w:pPr>
              <w:pStyle w:val="Table"/>
              <w:keepNext w:val="0"/>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Ara-C 75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(1 h), den 1-5;</w:t>
            </w:r>
          </w:p>
          <w:p w14:paraId="7C47A232" w14:textId="77777777" w:rsidR="00EA5993" w:rsidRPr="009B1A37" w:rsidRDefault="00EA5993" w:rsidP="00EB4FF7">
            <w:pPr>
              <w:pStyle w:val="Table"/>
              <w:keepNext w:val="0"/>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VM26 60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(1 h), den 1-5</w:t>
            </w:r>
          </w:p>
        </w:tc>
      </w:tr>
      <w:tr w:rsidR="00EA5993" w:rsidRPr="009B1A37" w14:paraId="6C55DCBB" w14:textId="77777777" w:rsidTr="00EB4FF7">
        <w:trPr>
          <w:cantSplit/>
        </w:trPr>
        <w:tc>
          <w:tcPr>
            <w:tcW w:w="2148" w:type="dxa"/>
            <w:tcBorders>
              <w:top w:val="single" w:sz="4" w:space="0" w:color="000000"/>
              <w:bottom w:val="single" w:sz="4" w:space="0" w:color="000000"/>
            </w:tcBorders>
          </w:tcPr>
          <w:p w14:paraId="52802FA7" w14:textId="77777777" w:rsidR="00EA5993" w:rsidRPr="009B1A37" w:rsidRDefault="00EA5993" w:rsidP="00EB4FF7">
            <w:pPr>
              <w:pStyle w:val="Table"/>
              <w:keepLines w:val="0"/>
              <w:widowControl w:val="0"/>
              <w:snapToGrid w:val="0"/>
              <w:spacing w:before="0" w:after="0"/>
              <w:rPr>
                <w:rFonts w:ascii="Times New Roman" w:hAnsi="Times New Roman" w:cs="Times New Roman"/>
                <w:b/>
                <w:bCs/>
                <w:color w:val="000000"/>
                <w:sz w:val="22"/>
                <w:szCs w:val="22"/>
                <w:lang w:val="cs-CZ"/>
              </w:rPr>
            </w:pPr>
            <w:r w:rsidRPr="009B1A37">
              <w:rPr>
                <w:rFonts w:ascii="Times New Roman" w:hAnsi="Times New Roman" w:cs="Times New Roman"/>
                <w:b/>
                <w:bCs/>
                <w:color w:val="000000"/>
                <w:sz w:val="22"/>
                <w:szCs w:val="22"/>
                <w:lang w:val="cs-CZ"/>
              </w:rPr>
              <w:t>Studie AAU02</w:t>
            </w:r>
          </w:p>
        </w:tc>
        <w:tc>
          <w:tcPr>
            <w:tcW w:w="2652" w:type="dxa"/>
            <w:tcBorders>
              <w:top w:val="single" w:sz="4" w:space="0" w:color="000000"/>
              <w:bottom w:val="single" w:sz="4" w:space="0" w:color="000000"/>
            </w:tcBorders>
          </w:tcPr>
          <w:p w14:paraId="1AB10904"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p>
        </w:tc>
        <w:tc>
          <w:tcPr>
            <w:tcW w:w="1080" w:type="dxa"/>
            <w:tcBorders>
              <w:top w:val="single" w:sz="4" w:space="0" w:color="000000"/>
              <w:bottom w:val="single" w:sz="4" w:space="0" w:color="000000"/>
            </w:tcBorders>
          </w:tcPr>
          <w:p w14:paraId="14B38EC9"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p>
        </w:tc>
        <w:tc>
          <w:tcPr>
            <w:tcW w:w="1380" w:type="dxa"/>
            <w:tcBorders>
              <w:top w:val="single" w:sz="4" w:space="0" w:color="000000"/>
              <w:bottom w:val="single" w:sz="4" w:space="0" w:color="000000"/>
            </w:tcBorders>
          </w:tcPr>
          <w:p w14:paraId="47796E90"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p>
        </w:tc>
        <w:tc>
          <w:tcPr>
            <w:tcW w:w="1620" w:type="dxa"/>
            <w:tcBorders>
              <w:top w:val="single" w:sz="4" w:space="0" w:color="000000"/>
              <w:bottom w:val="single" w:sz="4" w:space="0" w:color="000000"/>
            </w:tcBorders>
          </w:tcPr>
          <w:p w14:paraId="18937756"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p>
        </w:tc>
      </w:tr>
      <w:tr w:rsidR="00EA5993" w:rsidRPr="009B1A37" w14:paraId="6A03D8E0" w14:textId="77777777" w:rsidTr="00EB4FF7">
        <w:trPr>
          <w:cantSplit/>
        </w:trPr>
        <w:tc>
          <w:tcPr>
            <w:tcW w:w="2148" w:type="dxa"/>
            <w:tcBorders>
              <w:top w:val="single" w:sz="4" w:space="0" w:color="000000"/>
              <w:bottom w:val="single" w:sz="4" w:space="0" w:color="000000"/>
            </w:tcBorders>
          </w:tcPr>
          <w:p w14:paraId="3501DE81"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Indukční terapie (</w:t>
            </w:r>
            <w:r w:rsidRPr="009B1A37">
              <w:rPr>
                <w:rFonts w:ascii="Times New Roman" w:hAnsi="Times New Roman" w:cs="Times New Roman"/>
                <w:i/>
                <w:iCs/>
                <w:color w:val="000000"/>
                <w:sz w:val="22"/>
                <w:szCs w:val="22"/>
                <w:lang w:val="cs-CZ"/>
              </w:rPr>
              <w:t>de novo</w:t>
            </w:r>
            <w:r w:rsidRPr="009B1A37">
              <w:rPr>
                <w:rFonts w:ascii="Times New Roman" w:hAnsi="Times New Roman" w:cs="Times New Roman"/>
                <w:color w:val="000000"/>
                <w:sz w:val="22"/>
                <w:szCs w:val="22"/>
                <w:lang w:val="cs-CZ"/>
              </w:rPr>
              <w:t xml:space="preserve"> Ph+ </w:t>
            </w:r>
            <w:smartTag w:uri="urn:schemas-microsoft-com:office:smarttags" w:element="stockticker">
              <w:r w:rsidRPr="009B1A37">
                <w:rPr>
                  <w:rFonts w:ascii="Times New Roman" w:hAnsi="Times New Roman" w:cs="Times New Roman"/>
                  <w:color w:val="000000"/>
                  <w:sz w:val="22"/>
                  <w:szCs w:val="22"/>
                  <w:lang w:val="cs-CZ"/>
                </w:rPr>
                <w:t>ALL</w:t>
              </w:r>
            </w:smartTag>
            <w:r w:rsidRPr="009B1A37">
              <w:rPr>
                <w:rFonts w:ascii="Times New Roman" w:hAnsi="Times New Roman" w:cs="Times New Roman"/>
                <w:color w:val="000000"/>
                <w:sz w:val="22"/>
                <w:szCs w:val="22"/>
                <w:lang w:val="cs-CZ"/>
              </w:rPr>
              <w:t>)</w:t>
            </w:r>
          </w:p>
        </w:tc>
        <w:tc>
          <w:tcPr>
            <w:tcW w:w="6732" w:type="dxa"/>
            <w:gridSpan w:val="4"/>
            <w:tcBorders>
              <w:top w:val="single" w:sz="4" w:space="0" w:color="000000"/>
              <w:bottom w:val="single" w:sz="4" w:space="0" w:color="000000"/>
            </w:tcBorders>
          </w:tcPr>
          <w:p w14:paraId="23C1DC59" w14:textId="77777777" w:rsidR="00EA5993" w:rsidRPr="009B1A37" w:rsidRDefault="006327B9"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d</w:t>
            </w:r>
            <w:r w:rsidR="00EA5993" w:rsidRPr="009B1A37">
              <w:rPr>
                <w:rFonts w:ascii="Times New Roman" w:hAnsi="Times New Roman" w:cs="Times New Roman"/>
                <w:color w:val="000000"/>
                <w:sz w:val="22"/>
                <w:szCs w:val="22"/>
                <w:lang w:val="cs-CZ"/>
              </w:rPr>
              <w:t>aunorubicin 30 mg/m</w:t>
            </w:r>
            <w:r w:rsidR="00EA5993" w:rsidRPr="009B1A37">
              <w:rPr>
                <w:rFonts w:ascii="Times New Roman" w:hAnsi="Times New Roman" w:cs="Times New Roman"/>
                <w:color w:val="000000"/>
                <w:sz w:val="22"/>
                <w:szCs w:val="22"/>
                <w:vertAlign w:val="superscript"/>
                <w:lang w:val="cs-CZ"/>
              </w:rPr>
              <w:t>2</w:t>
            </w:r>
            <w:r w:rsidR="00EA5993" w:rsidRPr="009B1A37">
              <w:rPr>
                <w:rFonts w:ascii="Times New Roman" w:hAnsi="Times New Roman" w:cs="Times New Roman"/>
                <w:color w:val="000000"/>
                <w:sz w:val="22"/>
                <w:szCs w:val="22"/>
                <w:lang w:val="cs-CZ"/>
              </w:rPr>
              <w:t xml:space="preserve"> i.v., den 1-3, 15-16;</w:t>
            </w:r>
          </w:p>
          <w:p w14:paraId="5F2F01DF"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VCR</w:t>
              </w:r>
            </w:smartTag>
            <w:r w:rsidRPr="009B1A37">
              <w:rPr>
                <w:rFonts w:ascii="Times New Roman" w:hAnsi="Times New Roman" w:cs="Times New Roman"/>
                <w:color w:val="000000"/>
                <w:sz w:val="22"/>
                <w:szCs w:val="22"/>
                <w:lang w:val="cs-CZ"/>
              </w:rPr>
              <w:t xml:space="preserve"> 2 mg celková dávka i.v., den 1, 8, 15, 22;</w:t>
            </w:r>
          </w:p>
          <w:p w14:paraId="2967A30D"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CP 750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den 1, 8;</w:t>
            </w:r>
          </w:p>
          <w:p w14:paraId="07E6F7CD" w14:textId="77777777" w:rsidR="00EA5993" w:rsidRPr="009B1A37" w:rsidRDefault="006327B9"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p</w:t>
            </w:r>
            <w:r w:rsidR="00EA5993" w:rsidRPr="009B1A37">
              <w:rPr>
                <w:rFonts w:ascii="Times New Roman" w:hAnsi="Times New Roman" w:cs="Times New Roman"/>
                <w:color w:val="000000"/>
                <w:sz w:val="22"/>
                <w:szCs w:val="22"/>
                <w:lang w:val="cs-CZ"/>
              </w:rPr>
              <w:t>rednison 60 mg/m</w:t>
            </w:r>
            <w:r w:rsidR="00EA5993" w:rsidRPr="009B1A37">
              <w:rPr>
                <w:rFonts w:ascii="Times New Roman" w:hAnsi="Times New Roman" w:cs="Times New Roman"/>
                <w:color w:val="000000"/>
                <w:sz w:val="22"/>
                <w:szCs w:val="22"/>
                <w:vertAlign w:val="superscript"/>
                <w:lang w:val="cs-CZ"/>
              </w:rPr>
              <w:t>2</w:t>
            </w:r>
            <w:r w:rsidR="00EA5993" w:rsidRPr="009B1A37">
              <w:rPr>
                <w:rFonts w:ascii="Times New Roman" w:hAnsi="Times New Roman" w:cs="Times New Roman"/>
                <w:color w:val="000000"/>
                <w:sz w:val="22"/>
                <w:szCs w:val="22"/>
                <w:lang w:val="cs-CZ"/>
              </w:rPr>
              <w:t xml:space="preserve"> perorálně, den 1-7, 15-21;</w:t>
            </w:r>
          </w:p>
          <w:p w14:paraId="42BD314A"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IDA</w:t>
              </w:r>
            </w:smartTag>
            <w:r w:rsidRPr="009B1A37">
              <w:rPr>
                <w:rFonts w:ascii="Times New Roman" w:hAnsi="Times New Roman" w:cs="Times New Roman"/>
                <w:color w:val="000000"/>
                <w:sz w:val="22"/>
                <w:szCs w:val="22"/>
                <w:lang w:val="cs-CZ"/>
              </w:rPr>
              <w:t xml:space="preserve"> 9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perorálně, den 1-28;</w:t>
            </w:r>
          </w:p>
          <w:p w14:paraId="6F18B81A"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MTX</w:t>
              </w:r>
            </w:smartTag>
            <w:r w:rsidRPr="009B1A37">
              <w:rPr>
                <w:rFonts w:ascii="Times New Roman" w:hAnsi="Times New Roman" w:cs="Times New Roman"/>
                <w:color w:val="000000"/>
                <w:sz w:val="22"/>
                <w:szCs w:val="22"/>
                <w:lang w:val="cs-CZ"/>
              </w:rPr>
              <w:t xml:space="preserve"> 15 mg intratekálně, den 1, 8, 15, 22;</w:t>
            </w:r>
          </w:p>
          <w:p w14:paraId="225B9D95"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Ara-C 40 mg intratekálně, den 1, 8, 15, 22;</w:t>
            </w:r>
          </w:p>
          <w:p w14:paraId="2FB91267" w14:textId="77777777" w:rsidR="00EA5993" w:rsidRPr="009B1A37" w:rsidRDefault="006327B9"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m</w:t>
            </w:r>
            <w:r w:rsidR="00EA5993" w:rsidRPr="009B1A37">
              <w:rPr>
                <w:rFonts w:ascii="Times New Roman" w:hAnsi="Times New Roman" w:cs="Times New Roman"/>
                <w:color w:val="000000"/>
                <w:sz w:val="22"/>
                <w:szCs w:val="22"/>
                <w:lang w:val="cs-CZ"/>
              </w:rPr>
              <w:t>ethylprednisolon 40 mg intratekálně, den 1, 8, 15, 22</w:t>
            </w:r>
          </w:p>
        </w:tc>
      </w:tr>
      <w:tr w:rsidR="00EA5993" w:rsidRPr="009B1A37" w14:paraId="0A369547" w14:textId="77777777" w:rsidTr="00EB4FF7">
        <w:trPr>
          <w:cantSplit/>
        </w:trPr>
        <w:tc>
          <w:tcPr>
            <w:tcW w:w="2148" w:type="dxa"/>
            <w:tcBorders>
              <w:top w:val="single" w:sz="4" w:space="0" w:color="000000"/>
              <w:bottom w:val="single" w:sz="4" w:space="0" w:color="000000"/>
            </w:tcBorders>
          </w:tcPr>
          <w:p w14:paraId="30A3F2F3" w14:textId="77777777" w:rsidR="00EA5993" w:rsidRPr="009B1A37" w:rsidRDefault="00EA5993" w:rsidP="00EB4FF7">
            <w:pPr>
              <w:pStyle w:val="Table"/>
              <w:keepNext w:val="0"/>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Konsolidace (</w:t>
            </w:r>
            <w:r w:rsidRPr="009B1A37">
              <w:rPr>
                <w:rFonts w:ascii="Times New Roman" w:hAnsi="Times New Roman" w:cs="Times New Roman"/>
                <w:i/>
                <w:iCs/>
                <w:color w:val="000000"/>
                <w:sz w:val="22"/>
                <w:szCs w:val="22"/>
                <w:lang w:val="cs-CZ"/>
              </w:rPr>
              <w:t>de novo</w:t>
            </w:r>
            <w:r w:rsidRPr="009B1A37">
              <w:rPr>
                <w:rFonts w:ascii="Times New Roman" w:hAnsi="Times New Roman" w:cs="Times New Roman"/>
                <w:color w:val="000000"/>
                <w:sz w:val="22"/>
                <w:szCs w:val="22"/>
                <w:lang w:val="cs-CZ"/>
              </w:rPr>
              <w:t xml:space="preserve"> Ph+ </w:t>
            </w:r>
            <w:smartTag w:uri="urn:schemas-microsoft-com:office:smarttags" w:element="stockticker">
              <w:r w:rsidRPr="009B1A37">
                <w:rPr>
                  <w:rFonts w:ascii="Times New Roman" w:hAnsi="Times New Roman" w:cs="Times New Roman"/>
                  <w:color w:val="000000"/>
                  <w:sz w:val="22"/>
                  <w:szCs w:val="22"/>
                  <w:lang w:val="cs-CZ"/>
                </w:rPr>
                <w:t>ALL</w:t>
              </w:r>
            </w:smartTag>
            <w:r w:rsidRPr="009B1A37">
              <w:rPr>
                <w:rFonts w:ascii="Times New Roman" w:hAnsi="Times New Roman" w:cs="Times New Roman"/>
                <w:color w:val="000000"/>
                <w:sz w:val="22"/>
                <w:szCs w:val="22"/>
                <w:lang w:val="cs-CZ"/>
              </w:rPr>
              <w:t>)</w:t>
            </w:r>
          </w:p>
        </w:tc>
        <w:tc>
          <w:tcPr>
            <w:tcW w:w="6732" w:type="dxa"/>
            <w:gridSpan w:val="4"/>
            <w:tcBorders>
              <w:top w:val="single" w:sz="4" w:space="0" w:color="000000"/>
              <w:bottom w:val="single" w:sz="4" w:space="0" w:color="000000"/>
            </w:tcBorders>
          </w:tcPr>
          <w:p w14:paraId="1CAC2B7F" w14:textId="77777777" w:rsidR="00EA5993" w:rsidRPr="009B1A37" w:rsidRDefault="00EA5993" w:rsidP="00EB4FF7">
            <w:pPr>
              <w:pStyle w:val="Table"/>
              <w:keepNext w:val="0"/>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Ara-C 1 000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/12 h i.v.(3 h), den 1-4;</w:t>
            </w:r>
          </w:p>
          <w:p w14:paraId="140D6B1A" w14:textId="77777777" w:rsidR="00EA5993" w:rsidRPr="009B1A37" w:rsidRDefault="006327B9" w:rsidP="00EB4FF7">
            <w:pPr>
              <w:pStyle w:val="Table"/>
              <w:keepNext w:val="0"/>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m</w:t>
            </w:r>
            <w:r w:rsidR="00EA5993" w:rsidRPr="009B1A37">
              <w:rPr>
                <w:rFonts w:ascii="Times New Roman" w:hAnsi="Times New Roman" w:cs="Times New Roman"/>
                <w:color w:val="000000"/>
                <w:sz w:val="22"/>
                <w:szCs w:val="22"/>
                <w:lang w:val="cs-CZ"/>
              </w:rPr>
              <w:t>itoxantron 10 mg/m</w:t>
            </w:r>
            <w:r w:rsidR="00EA5993" w:rsidRPr="009B1A37">
              <w:rPr>
                <w:rFonts w:ascii="Times New Roman" w:hAnsi="Times New Roman" w:cs="Times New Roman"/>
                <w:color w:val="000000"/>
                <w:sz w:val="22"/>
                <w:szCs w:val="22"/>
                <w:vertAlign w:val="superscript"/>
                <w:lang w:val="cs-CZ"/>
              </w:rPr>
              <w:t>2</w:t>
            </w:r>
            <w:r w:rsidR="00EA5993" w:rsidRPr="009B1A37">
              <w:rPr>
                <w:rFonts w:ascii="Times New Roman" w:hAnsi="Times New Roman" w:cs="Times New Roman"/>
                <w:color w:val="000000"/>
                <w:sz w:val="22"/>
                <w:szCs w:val="22"/>
                <w:lang w:val="cs-CZ"/>
              </w:rPr>
              <w:t xml:space="preserve"> i.v. den 3-5;</w:t>
            </w:r>
          </w:p>
          <w:p w14:paraId="61D26E41" w14:textId="77777777" w:rsidR="00EA5993" w:rsidRPr="009B1A37" w:rsidRDefault="00EA5993" w:rsidP="00EB4FF7">
            <w:pPr>
              <w:pStyle w:val="Table"/>
              <w:keepNext w:val="0"/>
              <w:keepLines w:val="0"/>
              <w:widowControl w:val="0"/>
              <w:snapToGrid w:val="0"/>
              <w:spacing w:before="0" w:after="0"/>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MTX</w:t>
              </w:r>
            </w:smartTag>
            <w:r w:rsidRPr="009B1A37">
              <w:rPr>
                <w:rFonts w:ascii="Times New Roman" w:hAnsi="Times New Roman" w:cs="Times New Roman"/>
                <w:color w:val="000000"/>
                <w:sz w:val="22"/>
                <w:szCs w:val="22"/>
                <w:lang w:val="cs-CZ"/>
              </w:rPr>
              <w:t xml:space="preserve"> 15 mg intratekálně, den 1;</w:t>
            </w:r>
          </w:p>
          <w:p w14:paraId="60DC9B16" w14:textId="77777777" w:rsidR="00EA5993" w:rsidRPr="009B1A37" w:rsidRDefault="006327B9" w:rsidP="00EB4FF7">
            <w:pPr>
              <w:pStyle w:val="Table"/>
              <w:keepNext w:val="0"/>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m</w:t>
            </w:r>
            <w:r w:rsidR="00EA5993" w:rsidRPr="009B1A37">
              <w:rPr>
                <w:rFonts w:ascii="Times New Roman" w:hAnsi="Times New Roman" w:cs="Times New Roman"/>
                <w:color w:val="000000"/>
                <w:sz w:val="22"/>
                <w:szCs w:val="22"/>
                <w:lang w:val="cs-CZ"/>
              </w:rPr>
              <w:t>ethylprednisolon 40 mg intratekálně, den 1</w:t>
            </w:r>
          </w:p>
        </w:tc>
      </w:tr>
      <w:tr w:rsidR="00EA5993" w:rsidRPr="009B1A37" w14:paraId="1EDC889E" w14:textId="77777777" w:rsidTr="00EB4FF7">
        <w:trPr>
          <w:cantSplit/>
        </w:trPr>
        <w:tc>
          <w:tcPr>
            <w:tcW w:w="4800" w:type="dxa"/>
            <w:gridSpan w:val="2"/>
            <w:tcBorders>
              <w:top w:val="single" w:sz="4" w:space="0" w:color="000000"/>
              <w:bottom w:val="single" w:sz="4" w:space="0" w:color="000000"/>
            </w:tcBorders>
          </w:tcPr>
          <w:p w14:paraId="6B09890D" w14:textId="77777777" w:rsidR="00EA5993" w:rsidRPr="009B1A37" w:rsidRDefault="00EA5993" w:rsidP="00EB4FF7">
            <w:pPr>
              <w:pStyle w:val="Table"/>
              <w:keepLines w:val="0"/>
              <w:widowControl w:val="0"/>
              <w:snapToGrid w:val="0"/>
              <w:spacing w:before="0" w:after="0"/>
              <w:rPr>
                <w:rFonts w:ascii="Times New Roman" w:hAnsi="Times New Roman" w:cs="Times New Roman"/>
                <w:b/>
                <w:bCs/>
                <w:color w:val="000000"/>
                <w:sz w:val="22"/>
                <w:szCs w:val="22"/>
                <w:lang w:val="cs-CZ"/>
              </w:rPr>
            </w:pPr>
            <w:r w:rsidRPr="009B1A37">
              <w:rPr>
                <w:rFonts w:ascii="Times New Roman" w:hAnsi="Times New Roman" w:cs="Times New Roman"/>
                <w:b/>
                <w:bCs/>
                <w:color w:val="000000"/>
                <w:sz w:val="22"/>
                <w:szCs w:val="22"/>
                <w:lang w:val="cs-CZ"/>
              </w:rPr>
              <w:t>Studie ADE04</w:t>
            </w:r>
          </w:p>
        </w:tc>
        <w:tc>
          <w:tcPr>
            <w:tcW w:w="1080" w:type="dxa"/>
            <w:tcBorders>
              <w:top w:val="single" w:sz="4" w:space="0" w:color="000000"/>
              <w:bottom w:val="single" w:sz="4" w:space="0" w:color="000000"/>
            </w:tcBorders>
          </w:tcPr>
          <w:p w14:paraId="67DBA3C4"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p>
        </w:tc>
        <w:tc>
          <w:tcPr>
            <w:tcW w:w="1380" w:type="dxa"/>
            <w:tcBorders>
              <w:top w:val="single" w:sz="4" w:space="0" w:color="000000"/>
              <w:bottom w:val="single" w:sz="4" w:space="0" w:color="000000"/>
            </w:tcBorders>
          </w:tcPr>
          <w:p w14:paraId="702693B5"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p>
        </w:tc>
        <w:tc>
          <w:tcPr>
            <w:tcW w:w="1620" w:type="dxa"/>
            <w:tcBorders>
              <w:top w:val="single" w:sz="4" w:space="0" w:color="000000"/>
              <w:bottom w:val="single" w:sz="4" w:space="0" w:color="000000"/>
            </w:tcBorders>
          </w:tcPr>
          <w:p w14:paraId="12FD6A1D"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p>
        </w:tc>
      </w:tr>
      <w:tr w:rsidR="00EA5993" w:rsidRPr="009B1A37" w14:paraId="541CD085" w14:textId="77777777" w:rsidTr="00EB4FF7">
        <w:trPr>
          <w:cantSplit/>
        </w:trPr>
        <w:tc>
          <w:tcPr>
            <w:tcW w:w="2148" w:type="dxa"/>
            <w:tcBorders>
              <w:top w:val="single" w:sz="4" w:space="0" w:color="000000"/>
              <w:bottom w:val="single" w:sz="4" w:space="0" w:color="000000"/>
            </w:tcBorders>
          </w:tcPr>
          <w:p w14:paraId="0D71E414"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Prefáze</w:t>
            </w:r>
          </w:p>
        </w:tc>
        <w:tc>
          <w:tcPr>
            <w:tcW w:w="6732" w:type="dxa"/>
            <w:gridSpan w:val="4"/>
            <w:tcBorders>
              <w:top w:val="single" w:sz="4" w:space="0" w:color="000000"/>
              <w:bottom w:val="single" w:sz="4" w:space="0" w:color="000000"/>
            </w:tcBorders>
          </w:tcPr>
          <w:p w14:paraId="65477C19"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DEX 10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perorálně, den 1-5;</w:t>
            </w:r>
          </w:p>
          <w:p w14:paraId="0270CB10"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CP 200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den 3-5;</w:t>
            </w:r>
          </w:p>
          <w:p w14:paraId="3C2AE194"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MTX</w:t>
              </w:r>
            </w:smartTag>
            <w:r w:rsidRPr="009B1A37">
              <w:rPr>
                <w:rFonts w:ascii="Times New Roman" w:hAnsi="Times New Roman" w:cs="Times New Roman"/>
                <w:color w:val="000000"/>
                <w:sz w:val="22"/>
                <w:szCs w:val="22"/>
                <w:lang w:val="cs-CZ"/>
              </w:rPr>
              <w:t xml:space="preserve"> 15 mg intratekálně, den 1</w:t>
            </w:r>
          </w:p>
        </w:tc>
      </w:tr>
      <w:tr w:rsidR="00EA5993" w:rsidRPr="009B1A37" w14:paraId="31660ACC" w14:textId="77777777" w:rsidTr="00EB4FF7">
        <w:trPr>
          <w:cantSplit/>
        </w:trPr>
        <w:tc>
          <w:tcPr>
            <w:tcW w:w="2148" w:type="dxa"/>
            <w:tcBorders>
              <w:top w:val="single" w:sz="4" w:space="0" w:color="000000"/>
              <w:bottom w:val="single" w:sz="4" w:space="0" w:color="000000"/>
            </w:tcBorders>
          </w:tcPr>
          <w:p w14:paraId="7078626B"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Indukční terapie I</w:t>
            </w:r>
          </w:p>
        </w:tc>
        <w:tc>
          <w:tcPr>
            <w:tcW w:w="6732" w:type="dxa"/>
            <w:gridSpan w:val="4"/>
            <w:tcBorders>
              <w:top w:val="single" w:sz="4" w:space="0" w:color="000000"/>
              <w:bottom w:val="single" w:sz="4" w:space="0" w:color="000000"/>
            </w:tcBorders>
          </w:tcPr>
          <w:p w14:paraId="5564967C"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DEX 10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perorálně, den 1-5;</w:t>
            </w:r>
          </w:p>
          <w:p w14:paraId="0EEDF761"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VCR</w:t>
              </w:r>
            </w:smartTag>
            <w:r w:rsidRPr="009B1A37">
              <w:rPr>
                <w:rFonts w:ascii="Times New Roman" w:hAnsi="Times New Roman" w:cs="Times New Roman"/>
                <w:color w:val="000000"/>
                <w:sz w:val="22"/>
                <w:szCs w:val="22"/>
                <w:lang w:val="cs-CZ"/>
              </w:rPr>
              <w:t xml:space="preserve"> 2 mg i.v., den 6, 13, 20;</w:t>
            </w:r>
          </w:p>
          <w:p w14:paraId="5A380008" w14:textId="77777777" w:rsidR="00EA5993" w:rsidRPr="009B1A37" w:rsidRDefault="006327B9"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d</w:t>
            </w:r>
            <w:r w:rsidR="00EA5993" w:rsidRPr="009B1A37">
              <w:rPr>
                <w:rFonts w:ascii="Times New Roman" w:hAnsi="Times New Roman" w:cs="Times New Roman"/>
                <w:color w:val="000000"/>
                <w:sz w:val="22"/>
                <w:szCs w:val="22"/>
                <w:lang w:val="cs-CZ"/>
              </w:rPr>
              <w:t>aunorubicin 45 mg/m</w:t>
            </w:r>
            <w:r w:rsidR="00EA5993" w:rsidRPr="009B1A37">
              <w:rPr>
                <w:rFonts w:ascii="Times New Roman" w:hAnsi="Times New Roman" w:cs="Times New Roman"/>
                <w:color w:val="000000"/>
                <w:sz w:val="22"/>
                <w:szCs w:val="22"/>
                <w:vertAlign w:val="superscript"/>
                <w:lang w:val="cs-CZ"/>
              </w:rPr>
              <w:t>2</w:t>
            </w:r>
            <w:r w:rsidR="00EA5993" w:rsidRPr="009B1A37">
              <w:rPr>
                <w:rFonts w:ascii="Times New Roman" w:hAnsi="Times New Roman" w:cs="Times New Roman"/>
                <w:color w:val="000000"/>
                <w:sz w:val="22"/>
                <w:szCs w:val="22"/>
                <w:lang w:val="cs-CZ"/>
              </w:rPr>
              <w:t xml:space="preserve"> i.v., den 6-7, 13-14</w:t>
            </w:r>
          </w:p>
        </w:tc>
      </w:tr>
      <w:tr w:rsidR="00EA5993" w:rsidRPr="009B1A37" w14:paraId="58A145C3" w14:textId="77777777" w:rsidTr="00EB4FF7">
        <w:trPr>
          <w:cantSplit/>
        </w:trPr>
        <w:tc>
          <w:tcPr>
            <w:tcW w:w="2148" w:type="dxa"/>
            <w:tcBorders>
              <w:top w:val="single" w:sz="4" w:space="0" w:color="000000"/>
              <w:bottom w:val="single" w:sz="4" w:space="0" w:color="000000"/>
            </w:tcBorders>
          </w:tcPr>
          <w:p w14:paraId="32B9106C"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Indukční terapie II</w:t>
            </w:r>
          </w:p>
        </w:tc>
        <w:tc>
          <w:tcPr>
            <w:tcW w:w="6732" w:type="dxa"/>
            <w:gridSpan w:val="4"/>
            <w:tcBorders>
              <w:top w:val="single" w:sz="4" w:space="0" w:color="000000"/>
              <w:bottom w:val="single" w:sz="4" w:space="0" w:color="000000"/>
            </w:tcBorders>
          </w:tcPr>
          <w:p w14:paraId="00B7D0B0"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CP 1 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(1 h), den 26, 46;</w:t>
            </w:r>
          </w:p>
          <w:p w14:paraId="26CD8E0F"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Ara-C 75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(1 h), den 28-31, 35-38, 42-45;</w:t>
            </w:r>
          </w:p>
          <w:p w14:paraId="36CFB00A"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6-MP 60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perorálně, den 26-46</w:t>
            </w:r>
          </w:p>
        </w:tc>
      </w:tr>
      <w:tr w:rsidR="00EA5993" w:rsidRPr="009B1A37" w14:paraId="066C3BF8" w14:textId="77777777" w:rsidTr="00EB4FF7">
        <w:trPr>
          <w:cantSplit/>
        </w:trPr>
        <w:tc>
          <w:tcPr>
            <w:tcW w:w="2148" w:type="dxa"/>
            <w:tcBorders>
              <w:bottom w:val="single" w:sz="4" w:space="0" w:color="000000"/>
            </w:tcBorders>
          </w:tcPr>
          <w:p w14:paraId="3DFE2EFE" w14:textId="77777777" w:rsidR="00EA5993" w:rsidRPr="009B1A37" w:rsidRDefault="00EA5993" w:rsidP="00EB4FF7">
            <w:pPr>
              <w:pStyle w:val="Table"/>
              <w:keepNext w:val="0"/>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Konsolidační terapie</w:t>
            </w:r>
          </w:p>
        </w:tc>
        <w:tc>
          <w:tcPr>
            <w:tcW w:w="6732" w:type="dxa"/>
            <w:gridSpan w:val="4"/>
            <w:tcBorders>
              <w:bottom w:val="single" w:sz="4" w:space="0" w:color="000000"/>
            </w:tcBorders>
          </w:tcPr>
          <w:p w14:paraId="5B5DA85A" w14:textId="77777777" w:rsidR="00EA5993" w:rsidRPr="009B1A37" w:rsidRDefault="00EA5993" w:rsidP="00EB4FF7">
            <w:pPr>
              <w:pStyle w:val="Table"/>
              <w:keepNext w:val="0"/>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DEX 10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perorálně, den 1-5; vindesin 3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den 1;</w:t>
            </w:r>
          </w:p>
          <w:p w14:paraId="33107BFB" w14:textId="77777777" w:rsidR="00EA5993" w:rsidRPr="009B1A37" w:rsidRDefault="00EA5993" w:rsidP="00EB4FF7">
            <w:pPr>
              <w:pStyle w:val="Table"/>
              <w:keepNext w:val="0"/>
              <w:keepLines w:val="0"/>
              <w:widowControl w:val="0"/>
              <w:snapToGrid w:val="0"/>
              <w:spacing w:before="0" w:after="0"/>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MTX</w:t>
              </w:r>
            </w:smartTag>
            <w:r w:rsidRPr="009B1A37">
              <w:rPr>
                <w:rFonts w:ascii="Times New Roman" w:hAnsi="Times New Roman" w:cs="Times New Roman"/>
                <w:color w:val="000000"/>
                <w:sz w:val="22"/>
                <w:szCs w:val="22"/>
                <w:lang w:val="cs-CZ"/>
              </w:rPr>
              <w:t xml:space="preserve"> 1,5 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(24 h), den 1;</w:t>
            </w:r>
          </w:p>
          <w:p w14:paraId="1A712C9E" w14:textId="77777777" w:rsidR="00EA5993" w:rsidRPr="009B1A37" w:rsidRDefault="006327B9" w:rsidP="00EB4FF7">
            <w:pPr>
              <w:pStyle w:val="Table"/>
              <w:keepNext w:val="0"/>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e</w:t>
            </w:r>
            <w:r w:rsidR="00EA5993" w:rsidRPr="009B1A37">
              <w:rPr>
                <w:rFonts w:ascii="Times New Roman" w:hAnsi="Times New Roman" w:cs="Times New Roman"/>
                <w:color w:val="000000"/>
                <w:sz w:val="22"/>
                <w:szCs w:val="22"/>
                <w:lang w:val="cs-CZ"/>
              </w:rPr>
              <w:t>toposid 250 mg/m</w:t>
            </w:r>
            <w:r w:rsidR="00EA5993" w:rsidRPr="009B1A37">
              <w:rPr>
                <w:rFonts w:ascii="Times New Roman" w:hAnsi="Times New Roman" w:cs="Times New Roman"/>
                <w:color w:val="000000"/>
                <w:sz w:val="22"/>
                <w:szCs w:val="22"/>
                <w:vertAlign w:val="superscript"/>
                <w:lang w:val="cs-CZ"/>
              </w:rPr>
              <w:t>2</w:t>
            </w:r>
            <w:r w:rsidR="00EA5993" w:rsidRPr="009B1A37">
              <w:rPr>
                <w:rFonts w:ascii="Times New Roman" w:hAnsi="Times New Roman" w:cs="Times New Roman"/>
                <w:color w:val="000000"/>
                <w:sz w:val="22"/>
                <w:szCs w:val="22"/>
                <w:lang w:val="cs-CZ"/>
              </w:rPr>
              <w:t xml:space="preserve"> i.v. (1 h) den 4-5;</w:t>
            </w:r>
          </w:p>
          <w:p w14:paraId="02C97A7A" w14:textId="77777777" w:rsidR="00EA5993" w:rsidRPr="009B1A37" w:rsidRDefault="00EA5993" w:rsidP="00EB4FF7">
            <w:pPr>
              <w:pStyle w:val="Table"/>
              <w:keepNext w:val="0"/>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Ara-C 2x 2 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(3 h, q 12 h), den 5</w:t>
            </w:r>
          </w:p>
        </w:tc>
      </w:tr>
      <w:tr w:rsidR="00EA5993" w:rsidRPr="009B1A37" w14:paraId="6139FE46" w14:textId="77777777" w:rsidTr="00EB4FF7">
        <w:trPr>
          <w:cantSplit/>
        </w:trPr>
        <w:tc>
          <w:tcPr>
            <w:tcW w:w="2148" w:type="dxa"/>
            <w:tcBorders>
              <w:bottom w:val="single" w:sz="4" w:space="0" w:color="000000"/>
            </w:tcBorders>
          </w:tcPr>
          <w:p w14:paraId="01453B91" w14:textId="77777777" w:rsidR="00EA5993" w:rsidRPr="009B1A37" w:rsidRDefault="00EA5993" w:rsidP="00EB4FF7">
            <w:pPr>
              <w:pStyle w:val="Table"/>
              <w:keepLines w:val="0"/>
              <w:widowControl w:val="0"/>
              <w:snapToGrid w:val="0"/>
              <w:spacing w:before="0" w:after="0"/>
              <w:rPr>
                <w:rFonts w:ascii="Times New Roman" w:hAnsi="Times New Roman" w:cs="Times New Roman"/>
                <w:b/>
                <w:bCs/>
                <w:color w:val="000000"/>
                <w:sz w:val="22"/>
                <w:szCs w:val="22"/>
                <w:lang w:val="cs-CZ"/>
              </w:rPr>
            </w:pPr>
            <w:r w:rsidRPr="009B1A37">
              <w:rPr>
                <w:rFonts w:ascii="Times New Roman" w:hAnsi="Times New Roman" w:cs="Times New Roman"/>
                <w:b/>
                <w:bCs/>
                <w:color w:val="000000"/>
                <w:sz w:val="22"/>
                <w:szCs w:val="22"/>
                <w:lang w:val="cs-CZ"/>
              </w:rPr>
              <w:t>Studie AJP01</w:t>
            </w:r>
          </w:p>
        </w:tc>
        <w:tc>
          <w:tcPr>
            <w:tcW w:w="2652" w:type="dxa"/>
            <w:tcBorders>
              <w:bottom w:val="single" w:sz="4" w:space="0" w:color="000000"/>
            </w:tcBorders>
          </w:tcPr>
          <w:p w14:paraId="580AE30F"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p>
        </w:tc>
        <w:tc>
          <w:tcPr>
            <w:tcW w:w="1080" w:type="dxa"/>
            <w:tcBorders>
              <w:bottom w:val="single" w:sz="4" w:space="0" w:color="000000"/>
            </w:tcBorders>
          </w:tcPr>
          <w:p w14:paraId="34B5ACA4"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p>
        </w:tc>
        <w:tc>
          <w:tcPr>
            <w:tcW w:w="1380" w:type="dxa"/>
            <w:tcBorders>
              <w:bottom w:val="single" w:sz="4" w:space="0" w:color="000000"/>
            </w:tcBorders>
          </w:tcPr>
          <w:p w14:paraId="38ACE718"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p>
        </w:tc>
        <w:tc>
          <w:tcPr>
            <w:tcW w:w="1620" w:type="dxa"/>
            <w:tcBorders>
              <w:bottom w:val="single" w:sz="4" w:space="0" w:color="000000"/>
            </w:tcBorders>
          </w:tcPr>
          <w:p w14:paraId="5C2A638D"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p>
        </w:tc>
      </w:tr>
      <w:tr w:rsidR="00EA5993" w:rsidRPr="009B1A37" w14:paraId="1FAF04FD" w14:textId="77777777" w:rsidTr="00EB4FF7">
        <w:trPr>
          <w:cantSplit/>
        </w:trPr>
        <w:tc>
          <w:tcPr>
            <w:tcW w:w="2148" w:type="dxa"/>
            <w:tcBorders>
              <w:bottom w:val="single" w:sz="4" w:space="0" w:color="000000"/>
            </w:tcBorders>
          </w:tcPr>
          <w:p w14:paraId="08DCAC68" w14:textId="77777777" w:rsidR="00EA5993" w:rsidRPr="009B1A37" w:rsidRDefault="00EA5993" w:rsidP="00EB4FF7">
            <w:pPr>
              <w:pStyle w:val="Table"/>
              <w:keepLines w:val="0"/>
              <w:widowControl w:val="0"/>
              <w:snapToGrid w:val="0"/>
              <w:spacing w:before="0" w:after="0"/>
              <w:jc w:val="both"/>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Indukční terapie</w:t>
            </w:r>
          </w:p>
        </w:tc>
        <w:tc>
          <w:tcPr>
            <w:tcW w:w="6732" w:type="dxa"/>
            <w:gridSpan w:val="4"/>
            <w:tcBorders>
              <w:bottom w:val="single" w:sz="4" w:space="0" w:color="000000"/>
            </w:tcBorders>
          </w:tcPr>
          <w:p w14:paraId="14CED79E"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CP 1,2 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(3 h), den 1;</w:t>
            </w:r>
          </w:p>
          <w:p w14:paraId="5E3286F6" w14:textId="77777777" w:rsidR="00EA5993" w:rsidRPr="009B1A37" w:rsidRDefault="006327B9"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d</w:t>
            </w:r>
            <w:r w:rsidR="00EA5993" w:rsidRPr="009B1A37">
              <w:rPr>
                <w:rFonts w:ascii="Times New Roman" w:hAnsi="Times New Roman" w:cs="Times New Roman"/>
                <w:color w:val="000000"/>
                <w:sz w:val="22"/>
                <w:szCs w:val="22"/>
                <w:lang w:val="cs-CZ"/>
              </w:rPr>
              <w:t>aunorubicin 60 mg/m</w:t>
            </w:r>
            <w:r w:rsidR="00EA5993" w:rsidRPr="009B1A37">
              <w:rPr>
                <w:rFonts w:ascii="Times New Roman" w:hAnsi="Times New Roman" w:cs="Times New Roman"/>
                <w:color w:val="000000"/>
                <w:sz w:val="22"/>
                <w:szCs w:val="22"/>
                <w:vertAlign w:val="superscript"/>
                <w:lang w:val="cs-CZ"/>
              </w:rPr>
              <w:t>2</w:t>
            </w:r>
            <w:r w:rsidR="00EA5993" w:rsidRPr="009B1A37">
              <w:rPr>
                <w:rFonts w:ascii="Times New Roman" w:hAnsi="Times New Roman" w:cs="Times New Roman"/>
                <w:color w:val="000000"/>
                <w:sz w:val="22"/>
                <w:szCs w:val="22"/>
                <w:lang w:val="cs-CZ"/>
              </w:rPr>
              <w:t xml:space="preserve"> i.v. (1 h), den 1-3;</w:t>
            </w:r>
          </w:p>
          <w:p w14:paraId="53707EE8" w14:textId="77777777" w:rsidR="00EA5993" w:rsidRPr="009B1A37" w:rsidRDefault="006327B9"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v</w:t>
            </w:r>
            <w:r w:rsidR="00EA5993" w:rsidRPr="009B1A37">
              <w:rPr>
                <w:rFonts w:ascii="Times New Roman" w:hAnsi="Times New Roman" w:cs="Times New Roman"/>
                <w:color w:val="000000"/>
                <w:sz w:val="22"/>
                <w:szCs w:val="22"/>
                <w:lang w:val="cs-CZ"/>
              </w:rPr>
              <w:t>inkristin 1,3 mg/m</w:t>
            </w:r>
            <w:r w:rsidR="00EA5993" w:rsidRPr="009B1A37">
              <w:rPr>
                <w:rFonts w:ascii="Times New Roman" w:hAnsi="Times New Roman" w:cs="Times New Roman"/>
                <w:color w:val="000000"/>
                <w:sz w:val="22"/>
                <w:szCs w:val="22"/>
                <w:vertAlign w:val="superscript"/>
                <w:lang w:val="cs-CZ"/>
              </w:rPr>
              <w:t>2</w:t>
            </w:r>
            <w:r w:rsidR="00EA5993" w:rsidRPr="009B1A37">
              <w:rPr>
                <w:rFonts w:ascii="Times New Roman" w:hAnsi="Times New Roman" w:cs="Times New Roman"/>
                <w:color w:val="000000"/>
                <w:sz w:val="22"/>
                <w:szCs w:val="22"/>
                <w:lang w:val="cs-CZ"/>
              </w:rPr>
              <w:t xml:space="preserve"> i.v., den 1, 8, 15, 21;</w:t>
            </w:r>
          </w:p>
          <w:p w14:paraId="1DC16792" w14:textId="77777777" w:rsidR="00EA5993" w:rsidRPr="009B1A37" w:rsidRDefault="006327B9"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p</w:t>
            </w:r>
            <w:r w:rsidR="00EA5993" w:rsidRPr="009B1A37">
              <w:rPr>
                <w:rFonts w:ascii="Times New Roman" w:hAnsi="Times New Roman" w:cs="Times New Roman"/>
                <w:color w:val="000000"/>
                <w:sz w:val="22"/>
                <w:szCs w:val="22"/>
                <w:lang w:val="cs-CZ"/>
              </w:rPr>
              <w:t>rednisolon 60 mg/m</w:t>
            </w:r>
            <w:r w:rsidR="00EA5993" w:rsidRPr="009B1A37">
              <w:rPr>
                <w:rFonts w:ascii="Times New Roman" w:hAnsi="Times New Roman" w:cs="Times New Roman"/>
                <w:color w:val="000000"/>
                <w:sz w:val="22"/>
                <w:szCs w:val="22"/>
                <w:vertAlign w:val="superscript"/>
                <w:lang w:val="cs-CZ"/>
              </w:rPr>
              <w:t>2</w:t>
            </w:r>
            <w:r w:rsidR="00EA5993" w:rsidRPr="009B1A37">
              <w:rPr>
                <w:rFonts w:ascii="Times New Roman" w:hAnsi="Times New Roman" w:cs="Times New Roman"/>
                <w:color w:val="000000"/>
                <w:sz w:val="22"/>
                <w:szCs w:val="22"/>
                <w:lang w:val="cs-CZ"/>
              </w:rPr>
              <w:t>/den perorálně</w:t>
            </w:r>
          </w:p>
        </w:tc>
      </w:tr>
      <w:tr w:rsidR="00EA5993" w:rsidRPr="009B1A37" w14:paraId="66C637FA" w14:textId="77777777" w:rsidTr="00EB4FF7">
        <w:trPr>
          <w:cantSplit/>
        </w:trPr>
        <w:tc>
          <w:tcPr>
            <w:tcW w:w="2148" w:type="dxa"/>
            <w:tcBorders>
              <w:top w:val="single" w:sz="4" w:space="0" w:color="000000"/>
              <w:bottom w:val="single" w:sz="4" w:space="0" w:color="000000"/>
            </w:tcBorders>
          </w:tcPr>
          <w:p w14:paraId="185F1330" w14:textId="77777777" w:rsidR="00EA5993" w:rsidRPr="009B1A37" w:rsidRDefault="00EA5993" w:rsidP="00EB4FF7">
            <w:pPr>
              <w:pStyle w:val="Table"/>
              <w:keepLines w:val="0"/>
              <w:widowControl w:val="0"/>
              <w:tabs>
                <w:tab w:val="left" w:pos="0"/>
              </w:tabs>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Konsolidační terapie</w:t>
            </w:r>
          </w:p>
        </w:tc>
        <w:tc>
          <w:tcPr>
            <w:tcW w:w="6732" w:type="dxa"/>
            <w:gridSpan w:val="4"/>
            <w:tcBorders>
              <w:top w:val="single" w:sz="4" w:space="0" w:color="000000"/>
              <w:bottom w:val="single" w:sz="4" w:space="0" w:color="000000"/>
            </w:tcBorders>
          </w:tcPr>
          <w:p w14:paraId="126FD189"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 xml:space="preserve">Alternativní chemoterapeutický postup: vysoká dávka chemoterapie s </w:t>
            </w:r>
            <w:smartTag w:uri="urn:schemas-microsoft-com:office:smarttags" w:element="stockticker">
              <w:r w:rsidRPr="009B1A37">
                <w:rPr>
                  <w:rFonts w:ascii="Times New Roman" w:hAnsi="Times New Roman" w:cs="Times New Roman"/>
                  <w:color w:val="000000"/>
                  <w:sz w:val="22"/>
                  <w:szCs w:val="22"/>
                  <w:lang w:val="cs-CZ"/>
                </w:rPr>
                <w:t>MTX</w:t>
              </w:r>
            </w:smartTag>
            <w:r w:rsidRPr="009B1A37">
              <w:rPr>
                <w:rFonts w:ascii="Times New Roman" w:hAnsi="Times New Roman" w:cs="Times New Roman"/>
                <w:color w:val="000000"/>
                <w:sz w:val="22"/>
                <w:szCs w:val="22"/>
                <w:lang w:val="cs-CZ"/>
              </w:rPr>
              <w:t xml:space="preserve"> 1 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(24 h), den 1, a Ara-C 2 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(q 12 h), den 2-3, po 4 cyklech</w:t>
            </w:r>
          </w:p>
        </w:tc>
      </w:tr>
      <w:tr w:rsidR="00EA5993" w:rsidRPr="009B1A37" w14:paraId="419D2E9F" w14:textId="77777777" w:rsidTr="00EB4FF7">
        <w:trPr>
          <w:cantSplit/>
        </w:trPr>
        <w:tc>
          <w:tcPr>
            <w:tcW w:w="2148" w:type="dxa"/>
            <w:tcBorders>
              <w:top w:val="single" w:sz="4" w:space="0" w:color="000000"/>
              <w:bottom w:val="single" w:sz="4" w:space="0" w:color="000000"/>
            </w:tcBorders>
          </w:tcPr>
          <w:p w14:paraId="5D5E6F66" w14:textId="77777777" w:rsidR="00EA5993" w:rsidRPr="009B1A37" w:rsidRDefault="00EA5993" w:rsidP="00EB4FF7">
            <w:pPr>
              <w:pStyle w:val="Table"/>
              <w:keepNext w:val="0"/>
              <w:keepLines w:val="0"/>
              <w:widowControl w:val="0"/>
              <w:tabs>
                <w:tab w:val="left" w:pos="0"/>
              </w:tabs>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Udržovací terapie</w:t>
            </w:r>
          </w:p>
        </w:tc>
        <w:tc>
          <w:tcPr>
            <w:tcW w:w="6732" w:type="dxa"/>
            <w:gridSpan w:val="4"/>
            <w:tcBorders>
              <w:top w:val="single" w:sz="4" w:space="0" w:color="000000"/>
              <w:bottom w:val="single" w:sz="4" w:space="0" w:color="000000"/>
            </w:tcBorders>
          </w:tcPr>
          <w:p w14:paraId="0AE48662" w14:textId="77777777" w:rsidR="00EA5993" w:rsidRPr="009B1A37" w:rsidRDefault="00EA5993" w:rsidP="00EB4FF7">
            <w:pPr>
              <w:pStyle w:val="Table"/>
              <w:keepNext w:val="0"/>
              <w:keepLines w:val="0"/>
              <w:widowControl w:val="0"/>
              <w:snapToGrid w:val="0"/>
              <w:spacing w:before="0" w:after="0"/>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VCR</w:t>
              </w:r>
            </w:smartTag>
            <w:r w:rsidRPr="009B1A37">
              <w:rPr>
                <w:rFonts w:ascii="Times New Roman" w:hAnsi="Times New Roman" w:cs="Times New Roman"/>
                <w:color w:val="000000"/>
                <w:sz w:val="22"/>
                <w:szCs w:val="22"/>
                <w:lang w:val="cs-CZ"/>
              </w:rPr>
              <w:t xml:space="preserve"> 1,3 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den 1;</w:t>
            </w:r>
          </w:p>
          <w:p w14:paraId="7C040769" w14:textId="77777777" w:rsidR="00EA5993" w:rsidRPr="009B1A37" w:rsidRDefault="006327B9" w:rsidP="00EB4FF7">
            <w:pPr>
              <w:pStyle w:val="Table"/>
              <w:keepNext w:val="0"/>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p</w:t>
            </w:r>
            <w:r w:rsidR="00EA5993" w:rsidRPr="009B1A37">
              <w:rPr>
                <w:rFonts w:ascii="Times New Roman" w:hAnsi="Times New Roman" w:cs="Times New Roman"/>
                <w:color w:val="000000"/>
                <w:sz w:val="22"/>
                <w:szCs w:val="22"/>
                <w:lang w:val="cs-CZ"/>
              </w:rPr>
              <w:t>rednisolon 60 mg/m</w:t>
            </w:r>
            <w:r w:rsidR="00EA5993" w:rsidRPr="009B1A37">
              <w:rPr>
                <w:rFonts w:ascii="Times New Roman" w:hAnsi="Times New Roman" w:cs="Times New Roman"/>
                <w:color w:val="000000"/>
                <w:sz w:val="22"/>
                <w:szCs w:val="22"/>
                <w:vertAlign w:val="superscript"/>
                <w:lang w:val="cs-CZ"/>
              </w:rPr>
              <w:t>2</w:t>
            </w:r>
            <w:r w:rsidR="00EA5993" w:rsidRPr="009B1A37">
              <w:rPr>
                <w:rFonts w:ascii="Times New Roman" w:hAnsi="Times New Roman" w:cs="Times New Roman"/>
                <w:color w:val="000000"/>
                <w:sz w:val="22"/>
                <w:szCs w:val="22"/>
                <w:lang w:val="cs-CZ"/>
              </w:rPr>
              <w:t xml:space="preserve"> perorálně, den 1-5</w:t>
            </w:r>
          </w:p>
        </w:tc>
      </w:tr>
      <w:tr w:rsidR="00EA5993" w:rsidRPr="009B1A37" w14:paraId="66A8F6A4" w14:textId="77777777" w:rsidTr="00EB4FF7">
        <w:trPr>
          <w:cantSplit/>
        </w:trPr>
        <w:tc>
          <w:tcPr>
            <w:tcW w:w="4800" w:type="dxa"/>
            <w:gridSpan w:val="2"/>
            <w:tcBorders>
              <w:top w:val="single" w:sz="4" w:space="0" w:color="000000"/>
              <w:bottom w:val="single" w:sz="4" w:space="0" w:color="000000"/>
            </w:tcBorders>
          </w:tcPr>
          <w:p w14:paraId="46125DC2" w14:textId="77777777" w:rsidR="00EA5993" w:rsidRPr="009B1A37" w:rsidRDefault="00EA5993" w:rsidP="00EB4FF7">
            <w:pPr>
              <w:pStyle w:val="Table"/>
              <w:keepLines w:val="0"/>
              <w:widowControl w:val="0"/>
              <w:snapToGrid w:val="0"/>
              <w:spacing w:before="0" w:after="0"/>
              <w:rPr>
                <w:rFonts w:ascii="Times New Roman" w:hAnsi="Times New Roman" w:cs="Times New Roman"/>
                <w:b/>
                <w:bCs/>
                <w:color w:val="000000"/>
                <w:sz w:val="22"/>
                <w:szCs w:val="22"/>
                <w:lang w:val="cs-CZ"/>
              </w:rPr>
            </w:pPr>
            <w:r w:rsidRPr="009B1A37">
              <w:rPr>
                <w:rFonts w:ascii="Times New Roman" w:hAnsi="Times New Roman" w:cs="Times New Roman"/>
                <w:b/>
                <w:bCs/>
                <w:color w:val="000000"/>
                <w:sz w:val="22"/>
                <w:szCs w:val="22"/>
                <w:lang w:val="cs-CZ"/>
              </w:rPr>
              <w:t>Studie AUS01</w:t>
            </w:r>
          </w:p>
        </w:tc>
        <w:tc>
          <w:tcPr>
            <w:tcW w:w="1080" w:type="dxa"/>
            <w:tcBorders>
              <w:top w:val="single" w:sz="4" w:space="0" w:color="000000"/>
              <w:bottom w:val="single" w:sz="4" w:space="0" w:color="000000"/>
            </w:tcBorders>
          </w:tcPr>
          <w:p w14:paraId="49A3A6B4"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p>
        </w:tc>
        <w:tc>
          <w:tcPr>
            <w:tcW w:w="1380" w:type="dxa"/>
            <w:tcBorders>
              <w:top w:val="single" w:sz="4" w:space="0" w:color="000000"/>
              <w:bottom w:val="single" w:sz="4" w:space="0" w:color="000000"/>
            </w:tcBorders>
          </w:tcPr>
          <w:p w14:paraId="263F2F51"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p>
        </w:tc>
        <w:tc>
          <w:tcPr>
            <w:tcW w:w="1620" w:type="dxa"/>
            <w:tcBorders>
              <w:top w:val="single" w:sz="4" w:space="0" w:color="000000"/>
              <w:bottom w:val="single" w:sz="4" w:space="0" w:color="000000"/>
            </w:tcBorders>
          </w:tcPr>
          <w:p w14:paraId="61070DCA"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p>
        </w:tc>
      </w:tr>
      <w:tr w:rsidR="00EA5993" w:rsidRPr="009B1A37" w14:paraId="4816EE9D" w14:textId="77777777" w:rsidTr="00EB4FF7">
        <w:trPr>
          <w:cantSplit/>
        </w:trPr>
        <w:tc>
          <w:tcPr>
            <w:tcW w:w="2148" w:type="dxa"/>
            <w:tcBorders>
              <w:top w:val="single" w:sz="4" w:space="0" w:color="000000"/>
              <w:bottom w:val="single" w:sz="4" w:space="0" w:color="000000"/>
            </w:tcBorders>
          </w:tcPr>
          <w:p w14:paraId="7B0ADFDF"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Indukční-konsolidační terapie</w:t>
            </w:r>
          </w:p>
        </w:tc>
        <w:tc>
          <w:tcPr>
            <w:tcW w:w="6732" w:type="dxa"/>
            <w:gridSpan w:val="4"/>
            <w:tcBorders>
              <w:top w:val="single" w:sz="4" w:space="0" w:color="000000"/>
              <w:bottom w:val="single" w:sz="4" w:space="0" w:color="000000"/>
            </w:tcBorders>
          </w:tcPr>
          <w:p w14:paraId="6B3B563C"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Hyper-CVAD režim: CP 300 mg/m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(3 h, q 12 h), den 1-3;</w:t>
            </w:r>
          </w:p>
          <w:p w14:paraId="5E682F1C" w14:textId="77777777" w:rsidR="00EA5993" w:rsidRPr="009B1A37" w:rsidRDefault="006327B9"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v</w:t>
            </w:r>
            <w:r w:rsidR="00EA5993" w:rsidRPr="009B1A37">
              <w:rPr>
                <w:rFonts w:ascii="Times New Roman" w:hAnsi="Times New Roman" w:cs="Times New Roman"/>
                <w:color w:val="000000"/>
                <w:sz w:val="22"/>
                <w:szCs w:val="22"/>
                <w:lang w:val="cs-CZ"/>
              </w:rPr>
              <w:t>inkristin 2 mg i.v., den 4, 11;</w:t>
            </w:r>
          </w:p>
          <w:p w14:paraId="5DE433FD" w14:textId="77777777" w:rsidR="00EA5993" w:rsidRPr="009B1A37" w:rsidRDefault="006327B9"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d</w:t>
            </w:r>
            <w:r w:rsidR="00EA5993" w:rsidRPr="009B1A37">
              <w:rPr>
                <w:rFonts w:ascii="Times New Roman" w:hAnsi="Times New Roman" w:cs="Times New Roman"/>
                <w:color w:val="000000"/>
                <w:sz w:val="22"/>
                <w:szCs w:val="22"/>
                <w:lang w:val="cs-CZ"/>
              </w:rPr>
              <w:t>oxorubicin 50 mg/m</w:t>
            </w:r>
            <w:r w:rsidR="00EA5993" w:rsidRPr="009B1A37">
              <w:rPr>
                <w:rFonts w:ascii="Times New Roman" w:hAnsi="Times New Roman" w:cs="Times New Roman"/>
                <w:color w:val="000000"/>
                <w:sz w:val="22"/>
                <w:szCs w:val="22"/>
                <w:vertAlign w:val="superscript"/>
                <w:lang w:val="cs-CZ"/>
              </w:rPr>
              <w:t>2</w:t>
            </w:r>
            <w:r w:rsidR="00EA5993" w:rsidRPr="009B1A37">
              <w:rPr>
                <w:rFonts w:ascii="Times New Roman" w:hAnsi="Times New Roman" w:cs="Times New Roman"/>
                <w:color w:val="000000"/>
                <w:sz w:val="22"/>
                <w:szCs w:val="22"/>
                <w:lang w:val="cs-CZ"/>
              </w:rPr>
              <w:t xml:space="preserve"> i.v. (24 h), den 4;</w:t>
            </w:r>
          </w:p>
          <w:p w14:paraId="16AB638E"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DEX 40 mg/den po dnech 1-</w:t>
            </w:r>
            <w:smartTag w:uri="urn:schemas-microsoft-com:office:smarttags" w:element="metricconverter">
              <w:smartTagPr>
                <w:attr w:name="ProductID" w:val="4 a"/>
              </w:smartTagPr>
              <w:r w:rsidRPr="009B1A37">
                <w:rPr>
                  <w:rFonts w:ascii="Times New Roman" w:hAnsi="Times New Roman" w:cs="Times New Roman"/>
                  <w:color w:val="000000"/>
                  <w:sz w:val="22"/>
                  <w:szCs w:val="22"/>
                  <w:lang w:val="cs-CZ"/>
                </w:rPr>
                <w:t>4 a</w:t>
              </w:r>
            </w:smartTag>
            <w:r w:rsidRPr="009B1A37">
              <w:rPr>
                <w:rFonts w:ascii="Times New Roman" w:hAnsi="Times New Roman" w:cs="Times New Roman"/>
                <w:color w:val="000000"/>
                <w:sz w:val="22"/>
                <w:szCs w:val="22"/>
                <w:lang w:val="cs-CZ"/>
              </w:rPr>
              <w:t xml:space="preserve"> 11-14, střídavě s </w:t>
            </w:r>
            <w:smartTag w:uri="urn:schemas-microsoft-com:office:smarttags" w:element="stockticker">
              <w:r w:rsidRPr="009B1A37">
                <w:rPr>
                  <w:rFonts w:ascii="Times New Roman" w:hAnsi="Times New Roman" w:cs="Times New Roman"/>
                  <w:color w:val="000000"/>
                  <w:sz w:val="22"/>
                  <w:szCs w:val="22"/>
                  <w:lang w:val="cs-CZ"/>
                </w:rPr>
                <w:t>MTX</w:t>
              </w:r>
            </w:smartTag>
            <w:r w:rsidRPr="009B1A37">
              <w:rPr>
                <w:rFonts w:ascii="Times New Roman" w:hAnsi="Times New Roman" w:cs="Times New Roman"/>
                <w:color w:val="000000"/>
                <w:sz w:val="22"/>
                <w:szCs w:val="22"/>
                <w:lang w:val="cs-CZ"/>
              </w:rPr>
              <w:t xml:space="preserve"> 1 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(24 h), den 1, Ara-C 1 g/m</w:t>
            </w:r>
            <w:r w:rsidRPr="009B1A37">
              <w:rPr>
                <w:rFonts w:ascii="Times New Roman" w:hAnsi="Times New Roman" w:cs="Times New Roman"/>
                <w:color w:val="000000"/>
                <w:sz w:val="22"/>
                <w:szCs w:val="22"/>
                <w:vertAlign w:val="superscript"/>
                <w:lang w:val="cs-CZ"/>
              </w:rPr>
              <w:t>2</w:t>
            </w:r>
            <w:r w:rsidRPr="009B1A37">
              <w:rPr>
                <w:rFonts w:ascii="Times New Roman" w:hAnsi="Times New Roman" w:cs="Times New Roman"/>
                <w:color w:val="000000"/>
                <w:sz w:val="22"/>
                <w:szCs w:val="22"/>
                <w:lang w:val="cs-CZ"/>
              </w:rPr>
              <w:t xml:space="preserve"> i.v. (2 h, q 12 h), den 2-3 (celkově 8 léčebných </w:t>
            </w:r>
            <w:r w:rsidR="006327B9" w:rsidRPr="009B1A37">
              <w:rPr>
                <w:rFonts w:ascii="Times New Roman" w:hAnsi="Times New Roman" w:cs="Times New Roman"/>
                <w:color w:val="000000"/>
                <w:sz w:val="22"/>
                <w:szCs w:val="22"/>
                <w:lang w:val="cs-CZ"/>
              </w:rPr>
              <w:t>cyklů</w:t>
            </w:r>
            <w:r w:rsidRPr="009B1A37">
              <w:rPr>
                <w:rFonts w:ascii="Times New Roman" w:hAnsi="Times New Roman" w:cs="Times New Roman"/>
                <w:color w:val="000000"/>
                <w:sz w:val="22"/>
                <w:szCs w:val="22"/>
                <w:lang w:val="cs-CZ"/>
              </w:rPr>
              <w:t>)</w:t>
            </w:r>
          </w:p>
        </w:tc>
      </w:tr>
      <w:tr w:rsidR="00EA5993" w:rsidRPr="009B1A37" w14:paraId="4F8DAAF0" w14:textId="77777777" w:rsidTr="00EB4FF7">
        <w:trPr>
          <w:cantSplit/>
        </w:trPr>
        <w:tc>
          <w:tcPr>
            <w:tcW w:w="2148" w:type="dxa"/>
            <w:tcBorders>
              <w:top w:val="single" w:sz="4" w:space="0" w:color="000000"/>
              <w:bottom w:val="single" w:sz="4" w:space="0" w:color="000000"/>
            </w:tcBorders>
          </w:tcPr>
          <w:p w14:paraId="32CCE76F"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Udržovací terapie</w:t>
            </w:r>
          </w:p>
        </w:tc>
        <w:tc>
          <w:tcPr>
            <w:tcW w:w="6732" w:type="dxa"/>
            <w:gridSpan w:val="4"/>
            <w:tcBorders>
              <w:top w:val="single" w:sz="4" w:space="0" w:color="000000"/>
              <w:bottom w:val="single" w:sz="4" w:space="0" w:color="000000"/>
            </w:tcBorders>
          </w:tcPr>
          <w:p w14:paraId="79D76476"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smartTag w:uri="urn:schemas-microsoft-com:office:smarttags" w:element="stockticker">
              <w:r w:rsidRPr="009B1A37">
                <w:rPr>
                  <w:rFonts w:ascii="Times New Roman" w:hAnsi="Times New Roman" w:cs="Times New Roman"/>
                  <w:color w:val="000000"/>
                  <w:sz w:val="22"/>
                  <w:szCs w:val="22"/>
                  <w:lang w:val="cs-CZ"/>
                </w:rPr>
                <w:t>VCR</w:t>
              </w:r>
            </w:smartTag>
            <w:r w:rsidRPr="009B1A37">
              <w:rPr>
                <w:rFonts w:ascii="Times New Roman" w:hAnsi="Times New Roman" w:cs="Times New Roman"/>
                <w:color w:val="000000"/>
                <w:sz w:val="22"/>
                <w:szCs w:val="22"/>
                <w:lang w:val="cs-CZ"/>
              </w:rPr>
              <w:t xml:space="preserve"> 2 mg i.v. měsíčně po dobu 13 měsíců;</w:t>
            </w:r>
          </w:p>
          <w:p w14:paraId="57360C96" w14:textId="77777777" w:rsidR="00EA5993" w:rsidRPr="009B1A37" w:rsidRDefault="006327B9"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p</w:t>
            </w:r>
            <w:r w:rsidR="00EA5993" w:rsidRPr="009B1A37">
              <w:rPr>
                <w:rFonts w:ascii="Times New Roman" w:hAnsi="Times New Roman" w:cs="Times New Roman"/>
                <w:color w:val="000000"/>
                <w:sz w:val="22"/>
                <w:szCs w:val="22"/>
                <w:lang w:val="cs-CZ"/>
              </w:rPr>
              <w:t>rednisolon 200 mg perorálně, 5 dnů za měsíc po dobu 13 měsíců</w:t>
            </w:r>
          </w:p>
        </w:tc>
      </w:tr>
      <w:tr w:rsidR="00EA5993" w:rsidRPr="009B1A37" w14:paraId="1BDFF87D" w14:textId="77777777" w:rsidTr="00EB4FF7">
        <w:trPr>
          <w:cantSplit/>
        </w:trPr>
        <w:tc>
          <w:tcPr>
            <w:tcW w:w="8880" w:type="dxa"/>
            <w:gridSpan w:val="5"/>
            <w:tcBorders>
              <w:top w:val="single" w:sz="4" w:space="0" w:color="000000"/>
              <w:bottom w:val="single" w:sz="4" w:space="0" w:color="000000"/>
            </w:tcBorders>
          </w:tcPr>
          <w:p w14:paraId="08E387DE" w14:textId="77777777" w:rsidR="00EA5993" w:rsidRPr="009B1A37" w:rsidRDefault="00EA5993" w:rsidP="00EB4FF7">
            <w:pPr>
              <w:pStyle w:val="Table"/>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 xml:space="preserve">Všechny léčebné režimy zahrnují podávání kortikosteroidů </w:t>
            </w:r>
            <w:r w:rsidR="006327B9" w:rsidRPr="009B1A37">
              <w:rPr>
                <w:rFonts w:ascii="Times New Roman" w:hAnsi="Times New Roman" w:cs="Times New Roman"/>
                <w:color w:val="000000"/>
                <w:sz w:val="22"/>
                <w:szCs w:val="22"/>
                <w:lang w:val="cs-CZ"/>
              </w:rPr>
              <w:t>k</w:t>
            </w:r>
            <w:r w:rsidRPr="009B1A37">
              <w:rPr>
                <w:rFonts w:ascii="Times New Roman" w:hAnsi="Times New Roman" w:cs="Times New Roman"/>
                <w:color w:val="000000"/>
                <w:sz w:val="22"/>
                <w:szCs w:val="22"/>
                <w:lang w:val="cs-CZ"/>
              </w:rPr>
              <w:t xml:space="preserve">profylaxi postižení </w:t>
            </w:r>
            <w:smartTag w:uri="urn:schemas-microsoft-com:office:smarttags" w:element="stockticker">
              <w:r w:rsidRPr="009B1A37">
                <w:rPr>
                  <w:rFonts w:ascii="Times New Roman" w:hAnsi="Times New Roman" w:cs="Times New Roman"/>
                  <w:color w:val="000000"/>
                  <w:sz w:val="22"/>
                  <w:szCs w:val="22"/>
                  <w:lang w:val="cs-CZ"/>
                </w:rPr>
                <w:t>CNS</w:t>
              </w:r>
            </w:smartTag>
            <w:r w:rsidRPr="009B1A37">
              <w:rPr>
                <w:rFonts w:ascii="Times New Roman" w:hAnsi="Times New Roman" w:cs="Times New Roman"/>
                <w:color w:val="000000"/>
                <w:sz w:val="22"/>
                <w:szCs w:val="22"/>
                <w:lang w:val="cs-CZ"/>
              </w:rPr>
              <w:t>.</w:t>
            </w:r>
          </w:p>
        </w:tc>
      </w:tr>
      <w:tr w:rsidR="00EA5993" w:rsidRPr="009B1A37" w14:paraId="64D6E486" w14:textId="77777777" w:rsidTr="00EB4FF7">
        <w:trPr>
          <w:cantSplit/>
        </w:trPr>
        <w:tc>
          <w:tcPr>
            <w:tcW w:w="8880" w:type="dxa"/>
            <w:gridSpan w:val="5"/>
            <w:tcBorders>
              <w:top w:val="single" w:sz="4" w:space="0" w:color="000000"/>
              <w:bottom w:val="single" w:sz="4" w:space="0" w:color="000000"/>
            </w:tcBorders>
          </w:tcPr>
          <w:p w14:paraId="7A4C86A8" w14:textId="77777777" w:rsidR="00EA5993" w:rsidRPr="009B1A37" w:rsidRDefault="00EA5993" w:rsidP="00EB4FF7">
            <w:pPr>
              <w:pStyle w:val="Table"/>
              <w:keepNext w:val="0"/>
              <w:keepLines w:val="0"/>
              <w:widowControl w:val="0"/>
              <w:snapToGrid w:val="0"/>
              <w:spacing w:before="0" w:after="0"/>
              <w:rPr>
                <w:rFonts w:ascii="Times New Roman" w:hAnsi="Times New Roman" w:cs="Times New Roman"/>
                <w:color w:val="000000"/>
                <w:sz w:val="22"/>
                <w:szCs w:val="22"/>
                <w:lang w:val="cs-CZ"/>
              </w:rPr>
            </w:pPr>
            <w:r w:rsidRPr="009B1A37">
              <w:rPr>
                <w:rFonts w:ascii="Times New Roman" w:hAnsi="Times New Roman" w:cs="Times New Roman"/>
                <w:color w:val="000000"/>
                <w:sz w:val="22"/>
                <w:szCs w:val="22"/>
                <w:lang w:val="cs-CZ"/>
              </w:rPr>
              <w:t>Ara-C: cytosin arabinosid; CP: cy</w:t>
            </w:r>
            <w:r w:rsidR="006327B9" w:rsidRPr="009B1A37">
              <w:rPr>
                <w:rFonts w:ascii="Times New Roman" w:hAnsi="Times New Roman" w:cs="Times New Roman"/>
                <w:color w:val="000000"/>
                <w:sz w:val="22"/>
                <w:szCs w:val="22"/>
                <w:lang w:val="cs-CZ"/>
              </w:rPr>
              <w:t>k</w:t>
            </w:r>
            <w:r w:rsidRPr="009B1A37">
              <w:rPr>
                <w:rFonts w:ascii="Times New Roman" w:hAnsi="Times New Roman" w:cs="Times New Roman"/>
                <w:color w:val="000000"/>
                <w:sz w:val="22"/>
                <w:szCs w:val="22"/>
                <w:lang w:val="cs-CZ"/>
              </w:rPr>
              <w:t xml:space="preserve">lofosfamid; DEX: dexamethason; </w:t>
            </w:r>
            <w:smartTag w:uri="urn:schemas-microsoft-com:office:smarttags" w:element="stockticker">
              <w:r w:rsidRPr="009B1A37">
                <w:rPr>
                  <w:rFonts w:ascii="Times New Roman" w:hAnsi="Times New Roman" w:cs="Times New Roman"/>
                  <w:color w:val="000000"/>
                  <w:sz w:val="22"/>
                  <w:szCs w:val="22"/>
                  <w:lang w:val="cs-CZ"/>
                </w:rPr>
                <w:t>MTX</w:t>
              </w:r>
            </w:smartTag>
            <w:r w:rsidRPr="009B1A37">
              <w:rPr>
                <w:rFonts w:ascii="Times New Roman" w:hAnsi="Times New Roman" w:cs="Times New Roman"/>
                <w:color w:val="000000"/>
                <w:sz w:val="22"/>
                <w:szCs w:val="22"/>
                <w:lang w:val="cs-CZ"/>
              </w:rPr>
              <w:t xml:space="preserve">: methotrexát; 6-MP: 6-merkaptopurin; VM26: teniposid; </w:t>
            </w:r>
            <w:smartTag w:uri="urn:schemas-microsoft-com:office:smarttags" w:element="stockticker">
              <w:r w:rsidRPr="009B1A37">
                <w:rPr>
                  <w:rFonts w:ascii="Times New Roman" w:hAnsi="Times New Roman" w:cs="Times New Roman"/>
                  <w:color w:val="000000"/>
                  <w:sz w:val="22"/>
                  <w:szCs w:val="22"/>
                  <w:lang w:val="cs-CZ"/>
                </w:rPr>
                <w:t>VCR</w:t>
              </w:r>
            </w:smartTag>
            <w:r w:rsidRPr="009B1A37">
              <w:rPr>
                <w:rFonts w:ascii="Times New Roman" w:hAnsi="Times New Roman" w:cs="Times New Roman"/>
                <w:color w:val="000000"/>
                <w:sz w:val="22"/>
                <w:szCs w:val="22"/>
                <w:lang w:val="cs-CZ"/>
              </w:rPr>
              <w:t xml:space="preserve">: vinkristin; </w:t>
            </w:r>
            <w:smartTag w:uri="urn:schemas-microsoft-com:office:smarttags" w:element="stockticker">
              <w:r w:rsidRPr="009B1A37">
                <w:rPr>
                  <w:rFonts w:ascii="Times New Roman" w:hAnsi="Times New Roman" w:cs="Times New Roman"/>
                  <w:color w:val="000000"/>
                  <w:sz w:val="22"/>
                  <w:szCs w:val="22"/>
                  <w:lang w:val="cs-CZ"/>
                </w:rPr>
                <w:t>IDA</w:t>
              </w:r>
            </w:smartTag>
            <w:r w:rsidRPr="009B1A37">
              <w:rPr>
                <w:rFonts w:ascii="Times New Roman" w:hAnsi="Times New Roman" w:cs="Times New Roman"/>
                <w:color w:val="000000"/>
                <w:sz w:val="22"/>
                <w:szCs w:val="22"/>
                <w:lang w:val="cs-CZ"/>
              </w:rPr>
              <w:t>: idarubicin; i.v.: intravenózně</w:t>
            </w:r>
          </w:p>
        </w:tc>
      </w:tr>
    </w:tbl>
    <w:p w14:paraId="2309CE82" w14:textId="77777777" w:rsidR="00EA5993" w:rsidRPr="009B1A37" w:rsidRDefault="00EA5993" w:rsidP="00BE3D48">
      <w:pPr>
        <w:pStyle w:val="EndnoteText"/>
        <w:widowControl w:val="0"/>
        <w:rPr>
          <w:color w:val="000000"/>
        </w:rPr>
      </w:pPr>
    </w:p>
    <w:p w14:paraId="4A44254C" w14:textId="77777777" w:rsidR="00EA5993" w:rsidRPr="009B1A37" w:rsidRDefault="00EA5993" w:rsidP="00BE3D48">
      <w:pPr>
        <w:pStyle w:val="EndnoteText"/>
        <w:widowControl w:val="0"/>
        <w:rPr>
          <w:color w:val="000000"/>
        </w:rPr>
      </w:pPr>
      <w:r w:rsidRPr="009B1A37">
        <w:rPr>
          <w:i/>
          <w:color w:val="000000"/>
        </w:rPr>
        <w:t>Pediatričtí pacienti</w:t>
      </w:r>
      <w:r w:rsidRPr="009B1A37">
        <w:rPr>
          <w:color w:val="000000"/>
        </w:rPr>
        <w:t>:</w:t>
      </w:r>
      <w:r w:rsidRPr="009B1A37">
        <w:t xml:space="preserve"> Do</w:t>
      </w:r>
      <w:r w:rsidRPr="009B1A37">
        <w:rPr>
          <w:color w:val="000000"/>
        </w:rPr>
        <w:t xml:space="preserve"> otevřené, multicentrické, nerandomizované studie I2301 fáze III se sekvenčními kohortami bylo zařazeno celkem 93 pediatrických, dospívajících a mladých dospělých pacientů (od 1 do 22 let věku) s Ph+ ALL, kteří byli léčeni Glivecem (340 mg/m</w:t>
      </w:r>
      <w:r w:rsidRPr="009B1A37">
        <w:rPr>
          <w:color w:val="000000"/>
          <w:vertAlign w:val="superscript"/>
        </w:rPr>
        <w:t>2</w:t>
      </w:r>
      <w:r w:rsidRPr="009B1A37">
        <w:rPr>
          <w:color w:val="000000"/>
        </w:rPr>
        <w:t>/den) v kombinaci s intenzivní chemoterapií po indukční terapii. Glivec byl podáván intermitentně v kohortách 1</w:t>
      </w:r>
      <w:r w:rsidRPr="009B1A37">
        <w:rPr>
          <w:color w:val="000000"/>
        </w:rPr>
        <w:noBreakHyphen/>
        <w:t xml:space="preserve">5 s prodlužujícím se trváním a časnějším zahájením léčby Glivecem; kohorta 1 používala nejnižší intenzitu a kohorta 5 používala nejvyšší intenzitu Glivecu (nejdelší trvání ve dnech s kontinuálním dávkováním Glivecu již během prvních léčebných cyklů chemoterapie). Kontinuální denní časná expozice Glivecem v průběhu léčby v kombinaci s chemoterapií u pacientů v kohortě 5 (n=50) zlepšila 4leté přežití bez </w:t>
      </w:r>
      <w:r w:rsidR="006327B9" w:rsidRPr="009B1A37">
        <w:rPr>
          <w:color w:val="000000"/>
        </w:rPr>
        <w:t>příhody</w:t>
      </w:r>
      <w:r w:rsidR="00435A80" w:rsidRPr="009B1A37">
        <w:rPr>
          <w:color w:val="000000"/>
        </w:rPr>
        <w:t xml:space="preserve"> </w:t>
      </w:r>
      <w:r w:rsidRPr="009B1A37">
        <w:rPr>
          <w:color w:val="000000"/>
        </w:rPr>
        <w:t>(EFS) v porovnání s historickými kontrolami (n=120), které používaly standardní chemoterapii bez Glivecu (69,6 % oproti 31,6 %). Odhadované 4leté celkové přežití v pacientské kohortě 5 bylo 83,6 % v porovnání s 44,8% u historické kontroly. 20 pacientům z 50 (40 %) v kohortě 5 byla provedena transplantace hematopoetických kmenových buněk.</w:t>
      </w:r>
    </w:p>
    <w:p w14:paraId="3357A6CF" w14:textId="77777777" w:rsidR="00EA5993" w:rsidRPr="009B1A37" w:rsidRDefault="00EA5993" w:rsidP="00BE3D48">
      <w:pPr>
        <w:pStyle w:val="EndnoteText"/>
        <w:widowControl w:val="0"/>
        <w:rPr>
          <w:color w:val="000000"/>
        </w:rPr>
      </w:pPr>
    </w:p>
    <w:p w14:paraId="44A710A4" w14:textId="77777777" w:rsidR="00EA5993" w:rsidRPr="009B1A37" w:rsidRDefault="00EA5993" w:rsidP="00BE3D48">
      <w:pPr>
        <w:pStyle w:val="EndnoteText"/>
        <w:keepNext/>
        <w:widowControl w:val="0"/>
        <w:tabs>
          <w:tab w:val="clear" w:pos="567"/>
        </w:tabs>
        <w:ind w:left="1134" w:hanging="1134"/>
        <w:rPr>
          <w:b/>
          <w:color w:val="000000"/>
        </w:rPr>
      </w:pPr>
      <w:r w:rsidRPr="009B1A37">
        <w:rPr>
          <w:b/>
          <w:color w:val="000000"/>
        </w:rPr>
        <w:t>Tabulka </w:t>
      </w:r>
      <w:r w:rsidR="00A2522A" w:rsidRPr="009B1A37">
        <w:rPr>
          <w:b/>
          <w:color w:val="000000"/>
        </w:rPr>
        <w:t>5</w:t>
      </w:r>
      <w:r w:rsidRPr="009B1A37">
        <w:rPr>
          <w:b/>
          <w:color w:val="000000"/>
        </w:rPr>
        <w:tab/>
        <w:t>Chemoterapeutické režimy používané ve studii I2301 v kombinaci s imatinibem</w:t>
      </w:r>
    </w:p>
    <w:p w14:paraId="58363B51" w14:textId="77777777" w:rsidR="00EA5993" w:rsidRPr="009B1A37" w:rsidRDefault="00EA5993" w:rsidP="00BE3D48">
      <w:pPr>
        <w:pStyle w:val="EndnoteText"/>
        <w:keepNext/>
        <w:widowControl w:val="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3"/>
        <w:gridCol w:w="6736"/>
      </w:tblGrid>
      <w:tr w:rsidR="00EA5993" w:rsidRPr="009B1A37" w14:paraId="0FE07CB0" w14:textId="77777777" w:rsidTr="000E0B78">
        <w:trPr>
          <w:cantSplit/>
        </w:trPr>
        <w:tc>
          <w:tcPr>
            <w:tcW w:w="2358" w:type="dxa"/>
            <w:shd w:val="clear" w:color="auto" w:fill="auto"/>
          </w:tcPr>
          <w:p w14:paraId="338E872A" w14:textId="77777777" w:rsidR="00EA5993" w:rsidRPr="009B1A37" w:rsidRDefault="00EA5993" w:rsidP="00EB4FF7">
            <w:pPr>
              <w:pStyle w:val="EndnoteText"/>
              <w:keepNext/>
              <w:widowControl w:val="0"/>
              <w:rPr>
                <w:color w:val="000000"/>
              </w:rPr>
            </w:pPr>
            <w:r w:rsidRPr="009B1A37">
              <w:rPr>
                <w:color w:val="000000"/>
              </w:rPr>
              <w:t xml:space="preserve">Konsolidační </w:t>
            </w:r>
            <w:r w:rsidR="004165E7" w:rsidRPr="009B1A37">
              <w:rPr>
                <w:color w:val="000000"/>
              </w:rPr>
              <w:t>blok </w:t>
            </w:r>
            <w:r w:rsidRPr="009B1A37">
              <w:rPr>
                <w:color w:val="000000"/>
              </w:rPr>
              <w:t>1</w:t>
            </w:r>
          </w:p>
          <w:p w14:paraId="7DE42FF2" w14:textId="77777777" w:rsidR="00EA5993" w:rsidRPr="009B1A37" w:rsidRDefault="00EA5993" w:rsidP="00EB4FF7">
            <w:pPr>
              <w:pStyle w:val="EndnoteText"/>
              <w:keepNext/>
              <w:widowControl w:val="0"/>
              <w:rPr>
                <w:color w:val="000000"/>
              </w:rPr>
            </w:pPr>
            <w:r w:rsidRPr="009B1A37">
              <w:rPr>
                <w:color w:val="000000"/>
              </w:rPr>
              <w:t>(3 týdny)</w:t>
            </w:r>
          </w:p>
        </w:tc>
        <w:tc>
          <w:tcPr>
            <w:tcW w:w="6929" w:type="dxa"/>
            <w:shd w:val="clear" w:color="auto" w:fill="auto"/>
          </w:tcPr>
          <w:p w14:paraId="36104103" w14:textId="77777777" w:rsidR="00EA5993" w:rsidRPr="009B1A37" w:rsidRDefault="00EA5993" w:rsidP="00EB4FF7">
            <w:pPr>
              <w:pStyle w:val="EndnoteText"/>
              <w:keepNext/>
              <w:widowControl w:val="0"/>
              <w:rPr>
                <w:color w:val="000000"/>
              </w:rPr>
            </w:pPr>
            <w:r w:rsidRPr="009B1A37">
              <w:rPr>
                <w:color w:val="000000"/>
              </w:rPr>
              <w:t>VP-16 (100 mg/m</w:t>
            </w:r>
            <w:r w:rsidRPr="009B1A37">
              <w:rPr>
                <w:color w:val="000000"/>
                <w:vertAlign w:val="superscript"/>
              </w:rPr>
              <w:t>2</w:t>
            </w:r>
            <w:r w:rsidRPr="009B1A37">
              <w:rPr>
                <w:color w:val="000000"/>
              </w:rPr>
              <w:t xml:space="preserve">/den, </w:t>
            </w:r>
            <w:r w:rsidR="004165E7" w:rsidRPr="009B1A37">
              <w:rPr>
                <w:color w:val="000000"/>
              </w:rPr>
              <w:t>i.v.</w:t>
            </w:r>
            <w:r w:rsidRPr="009B1A37">
              <w:rPr>
                <w:color w:val="000000"/>
              </w:rPr>
              <w:t>): dny 1</w:t>
            </w:r>
            <w:r w:rsidRPr="009B1A37">
              <w:rPr>
                <w:color w:val="000000"/>
              </w:rPr>
              <w:noBreakHyphen/>
              <w:t>5</w:t>
            </w:r>
          </w:p>
          <w:p w14:paraId="289AF1B9" w14:textId="77777777" w:rsidR="00EA5993" w:rsidRPr="009B1A37" w:rsidRDefault="004165E7" w:rsidP="00EB4FF7">
            <w:pPr>
              <w:pStyle w:val="EndnoteText"/>
              <w:keepNext/>
              <w:widowControl w:val="0"/>
              <w:rPr>
                <w:color w:val="000000"/>
              </w:rPr>
            </w:pPr>
            <w:r w:rsidRPr="009B1A37">
              <w:rPr>
                <w:color w:val="000000"/>
              </w:rPr>
              <w:t>i</w:t>
            </w:r>
            <w:r w:rsidR="00EA5993" w:rsidRPr="009B1A37">
              <w:rPr>
                <w:color w:val="000000"/>
              </w:rPr>
              <w:t>fosfamid (1,8 g/m</w:t>
            </w:r>
            <w:r w:rsidR="00EA5993" w:rsidRPr="009B1A37">
              <w:rPr>
                <w:color w:val="000000"/>
                <w:vertAlign w:val="superscript"/>
              </w:rPr>
              <w:t>2</w:t>
            </w:r>
            <w:r w:rsidR="00EA5993" w:rsidRPr="009B1A37">
              <w:rPr>
                <w:color w:val="000000"/>
              </w:rPr>
              <w:t xml:space="preserve">/den, </w:t>
            </w:r>
            <w:r w:rsidRPr="009B1A37">
              <w:rPr>
                <w:color w:val="000000"/>
              </w:rPr>
              <w:t>i.v.</w:t>
            </w:r>
            <w:r w:rsidR="00EA5993" w:rsidRPr="009B1A37">
              <w:rPr>
                <w:color w:val="000000"/>
              </w:rPr>
              <w:t>): dny 1</w:t>
            </w:r>
            <w:r w:rsidR="00EA5993" w:rsidRPr="009B1A37">
              <w:rPr>
                <w:color w:val="000000"/>
              </w:rPr>
              <w:noBreakHyphen/>
              <w:t>5</w:t>
            </w:r>
          </w:p>
          <w:p w14:paraId="5B3813AE" w14:textId="77777777" w:rsidR="00EA5993" w:rsidRPr="009B1A37" w:rsidRDefault="00EA5993" w:rsidP="00EB4FF7">
            <w:pPr>
              <w:pStyle w:val="EndnoteText"/>
              <w:keepNext/>
              <w:widowControl w:val="0"/>
              <w:rPr>
                <w:color w:val="000000"/>
              </w:rPr>
            </w:pPr>
            <w:r w:rsidRPr="009B1A37">
              <w:rPr>
                <w:color w:val="000000"/>
              </w:rPr>
              <w:t>MESNA (360 mg/m</w:t>
            </w:r>
            <w:r w:rsidRPr="009B1A37">
              <w:rPr>
                <w:color w:val="000000"/>
                <w:vertAlign w:val="superscript"/>
              </w:rPr>
              <w:t>2</w:t>
            </w:r>
            <w:r w:rsidRPr="009B1A37">
              <w:rPr>
                <w:color w:val="000000"/>
              </w:rPr>
              <w:t>/dávka q3h, x 8 dáv</w:t>
            </w:r>
            <w:r w:rsidR="004165E7" w:rsidRPr="009B1A37">
              <w:rPr>
                <w:color w:val="000000"/>
              </w:rPr>
              <w:t>ek</w:t>
            </w:r>
            <w:r w:rsidRPr="009B1A37">
              <w:rPr>
                <w:color w:val="000000"/>
              </w:rPr>
              <w:t xml:space="preserve">/den, </w:t>
            </w:r>
            <w:r w:rsidR="004165E7" w:rsidRPr="009B1A37">
              <w:rPr>
                <w:color w:val="000000"/>
              </w:rPr>
              <w:t>i.v.</w:t>
            </w:r>
            <w:r w:rsidRPr="009B1A37">
              <w:rPr>
                <w:color w:val="000000"/>
              </w:rPr>
              <w:t>): dny 1</w:t>
            </w:r>
            <w:r w:rsidRPr="009B1A37">
              <w:rPr>
                <w:color w:val="000000"/>
              </w:rPr>
              <w:noBreakHyphen/>
              <w:t>5</w:t>
            </w:r>
          </w:p>
          <w:p w14:paraId="1157F360" w14:textId="77777777" w:rsidR="00EA5993" w:rsidRPr="009B1A37" w:rsidRDefault="00EA5993" w:rsidP="00EB4FF7">
            <w:pPr>
              <w:pStyle w:val="EndnoteText"/>
              <w:keepNext/>
              <w:widowControl w:val="0"/>
              <w:rPr>
                <w:color w:val="000000"/>
              </w:rPr>
            </w:pPr>
            <w:r w:rsidRPr="009B1A37">
              <w:rPr>
                <w:color w:val="000000"/>
              </w:rPr>
              <w:t xml:space="preserve">G-CSF (5 μg/kg, </w:t>
            </w:r>
            <w:r w:rsidR="004165E7" w:rsidRPr="009B1A37">
              <w:rPr>
                <w:color w:val="000000"/>
              </w:rPr>
              <w:t>s.c.</w:t>
            </w:r>
            <w:r w:rsidRPr="009B1A37">
              <w:rPr>
                <w:color w:val="000000"/>
              </w:rPr>
              <w:t>): dny 6</w:t>
            </w:r>
            <w:r w:rsidRPr="009B1A37">
              <w:rPr>
                <w:color w:val="000000"/>
              </w:rPr>
              <w:noBreakHyphen/>
              <w:t>15 nebo do ANC &gt; 1500 po dosažení nejnižší hodnoty</w:t>
            </w:r>
          </w:p>
          <w:p w14:paraId="76205255" w14:textId="77777777" w:rsidR="00EA5993" w:rsidRPr="009B1A37" w:rsidRDefault="004165E7" w:rsidP="00EB4FF7">
            <w:pPr>
              <w:pStyle w:val="EndnoteText"/>
              <w:keepNext/>
              <w:widowControl w:val="0"/>
              <w:rPr>
                <w:color w:val="000000"/>
              </w:rPr>
            </w:pPr>
            <w:r w:rsidRPr="009B1A37">
              <w:rPr>
                <w:color w:val="000000"/>
              </w:rPr>
              <w:t xml:space="preserve">i.t. </w:t>
            </w:r>
            <w:r w:rsidR="00EA5993" w:rsidRPr="009B1A37">
              <w:rPr>
                <w:color w:val="000000"/>
              </w:rPr>
              <w:t>léčba methotrexátem (přizpůsobená věku): POUZE den 1</w:t>
            </w:r>
          </w:p>
          <w:p w14:paraId="51038A61" w14:textId="77777777" w:rsidR="00EA5993" w:rsidRPr="009B1A37" w:rsidRDefault="00EA5993" w:rsidP="00EB4FF7">
            <w:pPr>
              <w:pStyle w:val="EndnoteText"/>
              <w:keepNext/>
              <w:widowControl w:val="0"/>
              <w:rPr>
                <w:color w:val="000000"/>
              </w:rPr>
            </w:pPr>
            <w:r w:rsidRPr="009B1A37">
              <w:rPr>
                <w:color w:val="000000"/>
              </w:rPr>
              <w:t xml:space="preserve">Trojnásobná </w:t>
            </w:r>
            <w:r w:rsidR="004165E7" w:rsidRPr="009B1A37">
              <w:rPr>
                <w:color w:val="000000"/>
              </w:rPr>
              <w:t xml:space="preserve">i.t. </w:t>
            </w:r>
            <w:r w:rsidRPr="009B1A37">
              <w:rPr>
                <w:color w:val="000000"/>
              </w:rPr>
              <w:t>léčba (přizpůsobená věku): den 8, 15</w:t>
            </w:r>
          </w:p>
        </w:tc>
      </w:tr>
      <w:tr w:rsidR="00EA5993" w:rsidRPr="009B1A37" w14:paraId="61D6CCA5" w14:textId="77777777" w:rsidTr="000E0B78">
        <w:trPr>
          <w:cantSplit/>
        </w:trPr>
        <w:tc>
          <w:tcPr>
            <w:tcW w:w="2358" w:type="dxa"/>
            <w:shd w:val="clear" w:color="auto" w:fill="auto"/>
          </w:tcPr>
          <w:p w14:paraId="321C306C" w14:textId="77777777" w:rsidR="00EA5993" w:rsidRPr="009B1A37" w:rsidRDefault="00EA5993" w:rsidP="00BE3D48">
            <w:pPr>
              <w:pStyle w:val="EndnoteText"/>
              <w:widowControl w:val="0"/>
              <w:rPr>
                <w:color w:val="000000"/>
              </w:rPr>
            </w:pPr>
            <w:r w:rsidRPr="009B1A37">
              <w:rPr>
                <w:color w:val="000000"/>
              </w:rPr>
              <w:t xml:space="preserve">Konsolidační </w:t>
            </w:r>
            <w:r w:rsidR="004165E7" w:rsidRPr="009B1A37">
              <w:rPr>
                <w:color w:val="000000"/>
              </w:rPr>
              <w:t>blok</w:t>
            </w:r>
            <w:r w:rsidRPr="009B1A37">
              <w:rPr>
                <w:color w:val="000000"/>
              </w:rPr>
              <w:t> 2</w:t>
            </w:r>
          </w:p>
          <w:p w14:paraId="7E7A79D2" w14:textId="77777777" w:rsidR="00EA5993" w:rsidRPr="009B1A37" w:rsidRDefault="00EA5993" w:rsidP="00BE3D48">
            <w:pPr>
              <w:pStyle w:val="EndnoteText"/>
              <w:widowControl w:val="0"/>
              <w:rPr>
                <w:color w:val="000000"/>
              </w:rPr>
            </w:pPr>
            <w:r w:rsidRPr="009B1A37">
              <w:rPr>
                <w:color w:val="000000"/>
              </w:rPr>
              <w:t>(3 týdny)</w:t>
            </w:r>
          </w:p>
        </w:tc>
        <w:tc>
          <w:tcPr>
            <w:tcW w:w="6929" w:type="dxa"/>
            <w:shd w:val="clear" w:color="auto" w:fill="auto"/>
          </w:tcPr>
          <w:p w14:paraId="3BA05E48" w14:textId="77777777" w:rsidR="00EA5993" w:rsidRPr="009B1A37" w:rsidRDefault="003212CF" w:rsidP="00BE3D48">
            <w:pPr>
              <w:pStyle w:val="EndnoteText"/>
              <w:widowControl w:val="0"/>
              <w:rPr>
                <w:color w:val="000000"/>
              </w:rPr>
            </w:pPr>
            <w:r w:rsidRPr="009B1A37">
              <w:rPr>
                <w:color w:val="000000"/>
              </w:rPr>
              <w:t>m</w:t>
            </w:r>
            <w:r w:rsidR="00EA5993" w:rsidRPr="009B1A37">
              <w:rPr>
                <w:color w:val="000000"/>
              </w:rPr>
              <w:t>ethotrexát (5 g/m</w:t>
            </w:r>
            <w:r w:rsidR="00EA5993" w:rsidRPr="009B1A37">
              <w:rPr>
                <w:color w:val="000000"/>
                <w:vertAlign w:val="superscript"/>
              </w:rPr>
              <w:t xml:space="preserve">2 </w:t>
            </w:r>
            <w:r w:rsidR="00EA5993" w:rsidRPr="009B1A37">
              <w:rPr>
                <w:color w:val="000000"/>
              </w:rPr>
              <w:t xml:space="preserve">v průběhu 24 hodin, </w:t>
            </w:r>
            <w:r w:rsidRPr="009B1A37">
              <w:rPr>
                <w:color w:val="000000"/>
              </w:rPr>
              <w:t>i.v.</w:t>
            </w:r>
            <w:r w:rsidR="00EA5993" w:rsidRPr="009B1A37">
              <w:rPr>
                <w:color w:val="000000"/>
              </w:rPr>
              <w:t>): den 1</w:t>
            </w:r>
          </w:p>
          <w:p w14:paraId="124DC6B4" w14:textId="77777777" w:rsidR="00EA5993" w:rsidRPr="009B1A37" w:rsidRDefault="003212CF" w:rsidP="00BE3D48">
            <w:pPr>
              <w:pStyle w:val="EndnoteText"/>
              <w:widowControl w:val="0"/>
              <w:rPr>
                <w:color w:val="000000"/>
              </w:rPr>
            </w:pPr>
            <w:r w:rsidRPr="009B1A37">
              <w:rPr>
                <w:color w:val="000000"/>
              </w:rPr>
              <w:t>l</w:t>
            </w:r>
            <w:r w:rsidR="00EA5993" w:rsidRPr="009B1A37">
              <w:rPr>
                <w:color w:val="000000"/>
              </w:rPr>
              <w:t>eukovorin (75 mg/m</w:t>
            </w:r>
            <w:r w:rsidR="00EA5993" w:rsidRPr="009B1A37">
              <w:rPr>
                <w:color w:val="000000"/>
                <w:vertAlign w:val="superscript"/>
              </w:rPr>
              <w:t>2</w:t>
            </w:r>
            <w:r w:rsidR="00EA5993" w:rsidRPr="009B1A37">
              <w:rPr>
                <w:color w:val="000000"/>
              </w:rPr>
              <w:t xml:space="preserve"> ve 36. hodině, </w:t>
            </w:r>
            <w:r w:rsidRPr="009B1A37">
              <w:rPr>
                <w:color w:val="000000"/>
              </w:rPr>
              <w:t>i.v.</w:t>
            </w:r>
            <w:r w:rsidR="00EA5993" w:rsidRPr="009B1A37">
              <w:rPr>
                <w:color w:val="000000"/>
              </w:rPr>
              <w:t>; 15 mg/m</w:t>
            </w:r>
            <w:r w:rsidR="00EA5993" w:rsidRPr="009B1A37">
              <w:rPr>
                <w:color w:val="000000"/>
                <w:vertAlign w:val="superscript"/>
              </w:rPr>
              <w:t>2</w:t>
            </w:r>
            <w:r w:rsidR="00EA5993" w:rsidRPr="009B1A37">
              <w:rPr>
                <w:color w:val="000000"/>
              </w:rPr>
              <w:t xml:space="preserve"> </w:t>
            </w:r>
            <w:r w:rsidRPr="009B1A37">
              <w:rPr>
                <w:color w:val="000000"/>
              </w:rPr>
              <w:t xml:space="preserve">i.v. </w:t>
            </w:r>
            <w:r w:rsidR="00EA5993" w:rsidRPr="009B1A37">
              <w:rPr>
                <w:color w:val="000000"/>
              </w:rPr>
              <w:t xml:space="preserve">nebo </w:t>
            </w:r>
            <w:r w:rsidRPr="009B1A37">
              <w:rPr>
                <w:color w:val="000000"/>
              </w:rPr>
              <w:t xml:space="preserve">p.o. </w:t>
            </w:r>
            <w:r w:rsidR="00EA5993" w:rsidRPr="009B1A37">
              <w:rPr>
                <w:color w:val="000000"/>
              </w:rPr>
              <w:t>q6h x 6 dávek)iii: dny 2 a 3</w:t>
            </w:r>
          </w:p>
          <w:p w14:paraId="4CCC9300" w14:textId="77777777" w:rsidR="00EA5993" w:rsidRPr="009B1A37" w:rsidRDefault="00EA5993" w:rsidP="00BE3D48">
            <w:pPr>
              <w:pStyle w:val="EndnoteText"/>
              <w:widowControl w:val="0"/>
              <w:rPr>
                <w:color w:val="000000"/>
              </w:rPr>
            </w:pPr>
            <w:r w:rsidRPr="009B1A37">
              <w:rPr>
                <w:color w:val="000000"/>
              </w:rPr>
              <w:t xml:space="preserve">Trojnásobná </w:t>
            </w:r>
            <w:r w:rsidR="003212CF" w:rsidRPr="009B1A37">
              <w:rPr>
                <w:color w:val="000000"/>
              </w:rPr>
              <w:t xml:space="preserve">i.t. </w:t>
            </w:r>
            <w:r w:rsidRPr="009B1A37">
              <w:rPr>
                <w:color w:val="000000"/>
              </w:rPr>
              <w:t>léčba (přizpůsobená věku): den 1</w:t>
            </w:r>
          </w:p>
          <w:p w14:paraId="5F3035E6" w14:textId="77777777" w:rsidR="00EA5993" w:rsidRPr="009B1A37" w:rsidRDefault="00EA5993" w:rsidP="00BE3D48">
            <w:pPr>
              <w:pStyle w:val="EndnoteText"/>
              <w:widowControl w:val="0"/>
              <w:rPr>
                <w:color w:val="000000"/>
              </w:rPr>
            </w:pPr>
            <w:r w:rsidRPr="009B1A37">
              <w:rPr>
                <w:color w:val="000000"/>
              </w:rPr>
              <w:t>ARA-C (3 g/m</w:t>
            </w:r>
            <w:r w:rsidRPr="009B1A37">
              <w:rPr>
                <w:color w:val="000000"/>
                <w:vertAlign w:val="superscript"/>
              </w:rPr>
              <w:t>2</w:t>
            </w:r>
            <w:r w:rsidRPr="009B1A37">
              <w:rPr>
                <w:color w:val="000000"/>
              </w:rPr>
              <w:t xml:space="preserve">/dávku q 12 h x 4, </w:t>
            </w:r>
            <w:r w:rsidR="003212CF" w:rsidRPr="009B1A37">
              <w:rPr>
                <w:color w:val="000000"/>
              </w:rPr>
              <w:t>i.v.</w:t>
            </w:r>
            <w:r w:rsidRPr="009B1A37">
              <w:rPr>
                <w:color w:val="000000"/>
              </w:rPr>
              <w:t>): dny 2 a 3</w:t>
            </w:r>
          </w:p>
          <w:p w14:paraId="57909CA8" w14:textId="77777777" w:rsidR="00EA5993" w:rsidRPr="009B1A37" w:rsidRDefault="00EA5993" w:rsidP="00BE3D48">
            <w:pPr>
              <w:pStyle w:val="EndnoteText"/>
              <w:widowControl w:val="0"/>
              <w:rPr>
                <w:color w:val="000000"/>
              </w:rPr>
            </w:pPr>
            <w:r w:rsidRPr="009B1A37">
              <w:rPr>
                <w:color w:val="000000"/>
              </w:rPr>
              <w:t xml:space="preserve">G-CSF (5 μg/kg, </w:t>
            </w:r>
            <w:r w:rsidR="003212CF" w:rsidRPr="009B1A37">
              <w:rPr>
                <w:color w:val="000000"/>
              </w:rPr>
              <w:t>s.c.</w:t>
            </w:r>
            <w:r w:rsidRPr="009B1A37">
              <w:rPr>
                <w:color w:val="000000"/>
              </w:rPr>
              <w:t>): dny 4-13 nebo do ANC &gt; 1500 po dosažení nejnižší hodnoty</w:t>
            </w:r>
          </w:p>
        </w:tc>
      </w:tr>
      <w:tr w:rsidR="00EA5993" w:rsidRPr="009B1A37" w14:paraId="21259E28" w14:textId="77777777" w:rsidTr="000E0B78">
        <w:trPr>
          <w:cantSplit/>
        </w:trPr>
        <w:tc>
          <w:tcPr>
            <w:tcW w:w="2358" w:type="dxa"/>
            <w:shd w:val="clear" w:color="auto" w:fill="auto"/>
          </w:tcPr>
          <w:p w14:paraId="0875BA33" w14:textId="77777777" w:rsidR="00EA5993" w:rsidRPr="009B1A37" w:rsidRDefault="00EA5993" w:rsidP="00BE3D48">
            <w:pPr>
              <w:pStyle w:val="EndnoteText"/>
              <w:widowControl w:val="0"/>
              <w:rPr>
                <w:color w:val="000000"/>
              </w:rPr>
            </w:pPr>
            <w:r w:rsidRPr="009B1A37">
              <w:rPr>
                <w:color w:val="000000"/>
              </w:rPr>
              <w:t xml:space="preserve">Reindukční </w:t>
            </w:r>
            <w:r w:rsidR="004165E7" w:rsidRPr="009B1A37">
              <w:rPr>
                <w:color w:val="000000"/>
              </w:rPr>
              <w:t>blok</w:t>
            </w:r>
            <w:r w:rsidRPr="009B1A37">
              <w:rPr>
                <w:color w:val="000000"/>
              </w:rPr>
              <w:t> 1</w:t>
            </w:r>
          </w:p>
          <w:p w14:paraId="2774EB5B" w14:textId="77777777" w:rsidR="00EA5993" w:rsidRPr="009B1A37" w:rsidRDefault="00EA5993" w:rsidP="00BE3D48">
            <w:pPr>
              <w:pStyle w:val="EndnoteText"/>
              <w:widowControl w:val="0"/>
              <w:rPr>
                <w:color w:val="000000"/>
              </w:rPr>
            </w:pPr>
            <w:r w:rsidRPr="009B1A37">
              <w:rPr>
                <w:color w:val="000000"/>
              </w:rPr>
              <w:t>(3 týdny)</w:t>
            </w:r>
          </w:p>
        </w:tc>
        <w:tc>
          <w:tcPr>
            <w:tcW w:w="6929" w:type="dxa"/>
            <w:shd w:val="clear" w:color="auto" w:fill="auto"/>
          </w:tcPr>
          <w:p w14:paraId="4B75B7B5" w14:textId="77777777" w:rsidR="00EA5993" w:rsidRPr="009B1A37" w:rsidRDefault="00EA5993" w:rsidP="00BE3D48">
            <w:pPr>
              <w:pStyle w:val="EndnoteText"/>
              <w:widowControl w:val="0"/>
              <w:rPr>
                <w:color w:val="000000"/>
              </w:rPr>
            </w:pPr>
            <w:r w:rsidRPr="009B1A37">
              <w:rPr>
                <w:color w:val="000000"/>
              </w:rPr>
              <w:t>VCR (1,5 mg/m</w:t>
            </w:r>
            <w:r w:rsidRPr="009B1A37">
              <w:rPr>
                <w:color w:val="000000"/>
                <w:vertAlign w:val="superscript"/>
              </w:rPr>
              <w:t>2</w:t>
            </w:r>
            <w:r w:rsidRPr="009B1A37">
              <w:rPr>
                <w:color w:val="000000"/>
              </w:rPr>
              <w:t xml:space="preserve">/den, </w:t>
            </w:r>
            <w:r w:rsidR="003212CF" w:rsidRPr="009B1A37">
              <w:rPr>
                <w:color w:val="000000"/>
              </w:rPr>
              <w:t>i.v.</w:t>
            </w:r>
            <w:r w:rsidRPr="009B1A37">
              <w:rPr>
                <w:color w:val="000000"/>
              </w:rPr>
              <w:t>): dny 1, 8, a 15</w:t>
            </w:r>
          </w:p>
          <w:p w14:paraId="7E1576B0" w14:textId="77777777" w:rsidR="00EA5993" w:rsidRPr="009B1A37" w:rsidRDefault="00EA5993" w:rsidP="00BE3D48">
            <w:pPr>
              <w:pStyle w:val="EndnoteText"/>
              <w:widowControl w:val="0"/>
              <w:rPr>
                <w:color w:val="000000"/>
              </w:rPr>
            </w:pPr>
            <w:r w:rsidRPr="009B1A37">
              <w:rPr>
                <w:color w:val="000000"/>
              </w:rPr>
              <w:t>DAUN (45 mg/m</w:t>
            </w:r>
            <w:r w:rsidRPr="009B1A37">
              <w:rPr>
                <w:color w:val="000000"/>
                <w:vertAlign w:val="superscript"/>
              </w:rPr>
              <w:t>2</w:t>
            </w:r>
            <w:r w:rsidRPr="009B1A37">
              <w:rPr>
                <w:color w:val="000000"/>
              </w:rPr>
              <w:t xml:space="preserve">/den jako bolus, </w:t>
            </w:r>
            <w:r w:rsidR="003212CF" w:rsidRPr="009B1A37">
              <w:rPr>
                <w:color w:val="000000"/>
              </w:rPr>
              <w:t>i.v.</w:t>
            </w:r>
            <w:r w:rsidRPr="009B1A37">
              <w:rPr>
                <w:color w:val="000000"/>
              </w:rPr>
              <w:t>): dny 1 a 2</w:t>
            </w:r>
          </w:p>
          <w:p w14:paraId="18773946" w14:textId="77777777" w:rsidR="00EA5993" w:rsidRPr="009B1A37" w:rsidRDefault="00EA5993" w:rsidP="00BE3D48">
            <w:pPr>
              <w:pStyle w:val="EndnoteText"/>
              <w:widowControl w:val="0"/>
              <w:rPr>
                <w:color w:val="000000"/>
              </w:rPr>
            </w:pPr>
            <w:r w:rsidRPr="009B1A37">
              <w:rPr>
                <w:color w:val="000000"/>
              </w:rPr>
              <w:t>CPM (250 mg/m</w:t>
            </w:r>
            <w:r w:rsidRPr="009B1A37">
              <w:rPr>
                <w:color w:val="000000"/>
                <w:vertAlign w:val="superscript"/>
              </w:rPr>
              <w:t>2</w:t>
            </w:r>
            <w:r w:rsidRPr="009B1A37">
              <w:rPr>
                <w:color w:val="000000"/>
              </w:rPr>
              <w:t xml:space="preserve">/dávku q12h x 4 dávky, </w:t>
            </w:r>
            <w:r w:rsidR="003212CF" w:rsidRPr="009B1A37">
              <w:rPr>
                <w:color w:val="000000"/>
              </w:rPr>
              <w:t>i.v.</w:t>
            </w:r>
            <w:r w:rsidRPr="009B1A37">
              <w:rPr>
                <w:color w:val="000000"/>
              </w:rPr>
              <w:t>): dny 3 a 4</w:t>
            </w:r>
          </w:p>
          <w:p w14:paraId="30DCE54F" w14:textId="77777777" w:rsidR="00EA5993" w:rsidRPr="009B1A37" w:rsidRDefault="00EA5993" w:rsidP="00BE3D48">
            <w:pPr>
              <w:pStyle w:val="EndnoteText"/>
              <w:widowControl w:val="0"/>
              <w:rPr>
                <w:color w:val="000000"/>
              </w:rPr>
            </w:pPr>
            <w:r w:rsidRPr="009B1A37">
              <w:rPr>
                <w:color w:val="000000"/>
              </w:rPr>
              <w:t>PEG-ASP (2500 IU/m</w:t>
            </w:r>
            <w:r w:rsidRPr="009B1A37">
              <w:rPr>
                <w:color w:val="000000"/>
                <w:vertAlign w:val="superscript"/>
              </w:rPr>
              <w:t>2</w:t>
            </w:r>
            <w:r w:rsidRPr="009B1A37">
              <w:rPr>
                <w:color w:val="000000"/>
              </w:rPr>
              <w:t xml:space="preserve">, </w:t>
            </w:r>
            <w:r w:rsidR="003212CF" w:rsidRPr="009B1A37">
              <w:rPr>
                <w:color w:val="000000"/>
              </w:rPr>
              <w:t>i.m.</w:t>
            </w:r>
            <w:r w:rsidRPr="009B1A37">
              <w:rPr>
                <w:color w:val="000000"/>
              </w:rPr>
              <w:t>): den 4</w:t>
            </w:r>
          </w:p>
          <w:p w14:paraId="2555C7FD" w14:textId="77777777" w:rsidR="00EA5993" w:rsidRPr="009B1A37" w:rsidRDefault="00EA5993" w:rsidP="00BE3D48">
            <w:pPr>
              <w:pStyle w:val="EndnoteText"/>
              <w:widowControl w:val="0"/>
              <w:rPr>
                <w:color w:val="000000"/>
              </w:rPr>
            </w:pPr>
            <w:r w:rsidRPr="009B1A37">
              <w:rPr>
                <w:color w:val="000000"/>
              </w:rPr>
              <w:t xml:space="preserve">G-CSF (5 μg/kg, </w:t>
            </w:r>
            <w:r w:rsidR="003212CF" w:rsidRPr="009B1A37">
              <w:rPr>
                <w:color w:val="000000"/>
              </w:rPr>
              <w:t>s.c.</w:t>
            </w:r>
            <w:r w:rsidRPr="009B1A37">
              <w:rPr>
                <w:color w:val="000000"/>
              </w:rPr>
              <w:t>): dny 5</w:t>
            </w:r>
            <w:r w:rsidRPr="009B1A37">
              <w:rPr>
                <w:color w:val="000000"/>
              </w:rPr>
              <w:noBreakHyphen/>
              <w:t>14 nebo do ANC &gt; 1500 po dosažení nejnižší hodnoty</w:t>
            </w:r>
          </w:p>
          <w:p w14:paraId="66E608E7" w14:textId="77777777" w:rsidR="00EA5993" w:rsidRPr="009B1A37" w:rsidRDefault="00EA5993" w:rsidP="00BE3D48">
            <w:pPr>
              <w:pStyle w:val="EndnoteText"/>
              <w:widowControl w:val="0"/>
              <w:rPr>
                <w:color w:val="000000"/>
              </w:rPr>
            </w:pPr>
            <w:r w:rsidRPr="009B1A37">
              <w:rPr>
                <w:color w:val="000000"/>
              </w:rPr>
              <w:t xml:space="preserve">Trojnásobná </w:t>
            </w:r>
            <w:r w:rsidR="003212CF" w:rsidRPr="009B1A37">
              <w:rPr>
                <w:color w:val="000000"/>
              </w:rPr>
              <w:t xml:space="preserve">i.t. </w:t>
            </w:r>
            <w:r w:rsidRPr="009B1A37">
              <w:rPr>
                <w:color w:val="000000"/>
              </w:rPr>
              <w:t>léčba (přizpůsobená věku): dny 1 a 15</w:t>
            </w:r>
          </w:p>
          <w:p w14:paraId="21F07783" w14:textId="77777777" w:rsidR="00EA5993" w:rsidRPr="009B1A37" w:rsidRDefault="00EA5993" w:rsidP="00BE3D48">
            <w:pPr>
              <w:pStyle w:val="EndnoteText"/>
              <w:widowControl w:val="0"/>
              <w:rPr>
                <w:color w:val="000000"/>
              </w:rPr>
            </w:pPr>
            <w:r w:rsidRPr="009B1A37">
              <w:rPr>
                <w:color w:val="000000"/>
              </w:rPr>
              <w:t>DEX (6 mg/m</w:t>
            </w:r>
            <w:r w:rsidRPr="009B1A37">
              <w:rPr>
                <w:color w:val="000000"/>
                <w:vertAlign w:val="superscript"/>
              </w:rPr>
              <w:t>2</w:t>
            </w:r>
            <w:r w:rsidRPr="009B1A37">
              <w:rPr>
                <w:color w:val="000000"/>
              </w:rPr>
              <w:t xml:space="preserve">/den, </w:t>
            </w:r>
            <w:r w:rsidR="003212CF" w:rsidRPr="009B1A37">
              <w:rPr>
                <w:color w:val="000000"/>
              </w:rPr>
              <w:t>p.o.</w:t>
            </w:r>
            <w:r w:rsidRPr="009B1A37">
              <w:rPr>
                <w:color w:val="000000"/>
              </w:rPr>
              <w:t>): dny 1</w:t>
            </w:r>
            <w:r w:rsidRPr="009B1A37">
              <w:rPr>
                <w:color w:val="000000"/>
              </w:rPr>
              <w:noBreakHyphen/>
              <w:t>7 a 15</w:t>
            </w:r>
            <w:r w:rsidRPr="009B1A37">
              <w:rPr>
                <w:color w:val="000000"/>
              </w:rPr>
              <w:noBreakHyphen/>
              <w:t>21</w:t>
            </w:r>
          </w:p>
        </w:tc>
      </w:tr>
      <w:tr w:rsidR="00EA5993" w:rsidRPr="009B1A37" w14:paraId="2768D252" w14:textId="77777777" w:rsidTr="000E0B78">
        <w:trPr>
          <w:cantSplit/>
        </w:trPr>
        <w:tc>
          <w:tcPr>
            <w:tcW w:w="2358" w:type="dxa"/>
            <w:shd w:val="clear" w:color="auto" w:fill="auto"/>
          </w:tcPr>
          <w:p w14:paraId="3B311589" w14:textId="77777777" w:rsidR="00EA5993" w:rsidRPr="009B1A37" w:rsidRDefault="00EA5993" w:rsidP="00BE3D48">
            <w:pPr>
              <w:pStyle w:val="EndnoteText"/>
              <w:widowControl w:val="0"/>
              <w:rPr>
                <w:color w:val="000000"/>
              </w:rPr>
            </w:pPr>
            <w:r w:rsidRPr="009B1A37">
              <w:rPr>
                <w:color w:val="000000"/>
              </w:rPr>
              <w:t xml:space="preserve">Intenzifikační </w:t>
            </w:r>
            <w:r w:rsidR="004165E7" w:rsidRPr="009B1A37">
              <w:rPr>
                <w:color w:val="000000"/>
              </w:rPr>
              <w:t>blok</w:t>
            </w:r>
            <w:r w:rsidRPr="009B1A37">
              <w:rPr>
                <w:color w:val="000000"/>
              </w:rPr>
              <w:t> 1</w:t>
            </w:r>
          </w:p>
          <w:p w14:paraId="6513FAAA" w14:textId="77777777" w:rsidR="00EA5993" w:rsidRPr="009B1A37" w:rsidRDefault="00EA5993" w:rsidP="00BE3D48">
            <w:pPr>
              <w:pStyle w:val="EndnoteText"/>
              <w:widowControl w:val="0"/>
              <w:rPr>
                <w:color w:val="000000"/>
              </w:rPr>
            </w:pPr>
            <w:r w:rsidRPr="009B1A37">
              <w:rPr>
                <w:color w:val="000000"/>
              </w:rPr>
              <w:t>(9 týdnů)</w:t>
            </w:r>
          </w:p>
        </w:tc>
        <w:tc>
          <w:tcPr>
            <w:tcW w:w="6929" w:type="dxa"/>
            <w:shd w:val="clear" w:color="auto" w:fill="auto"/>
          </w:tcPr>
          <w:p w14:paraId="4A843A0D" w14:textId="77777777" w:rsidR="00EA5993" w:rsidRPr="009B1A37" w:rsidRDefault="003212CF" w:rsidP="00BE3D48">
            <w:pPr>
              <w:pStyle w:val="EndnoteText"/>
              <w:widowControl w:val="0"/>
              <w:rPr>
                <w:color w:val="000000"/>
              </w:rPr>
            </w:pPr>
            <w:r w:rsidRPr="009B1A37">
              <w:rPr>
                <w:color w:val="000000"/>
              </w:rPr>
              <w:t>m</w:t>
            </w:r>
            <w:r w:rsidR="00EA5993" w:rsidRPr="009B1A37">
              <w:rPr>
                <w:color w:val="000000"/>
              </w:rPr>
              <w:t>ethotrexát (5 g/m</w:t>
            </w:r>
            <w:r w:rsidR="00EA5993" w:rsidRPr="009B1A37">
              <w:rPr>
                <w:color w:val="000000"/>
                <w:vertAlign w:val="superscript"/>
              </w:rPr>
              <w:t>2</w:t>
            </w:r>
            <w:r w:rsidR="00EA5993" w:rsidRPr="009B1A37">
              <w:rPr>
                <w:color w:val="000000"/>
              </w:rPr>
              <w:t xml:space="preserve"> v průběhu 24 hodin, </w:t>
            </w:r>
            <w:r w:rsidRPr="009B1A37">
              <w:rPr>
                <w:color w:val="000000"/>
              </w:rPr>
              <w:t>i.v.</w:t>
            </w:r>
            <w:r w:rsidR="00EA5993" w:rsidRPr="009B1A37">
              <w:rPr>
                <w:color w:val="000000"/>
              </w:rPr>
              <w:t>): dny 1 a 15</w:t>
            </w:r>
          </w:p>
          <w:p w14:paraId="4DB3ECF3" w14:textId="77777777" w:rsidR="00EA5993" w:rsidRPr="009B1A37" w:rsidRDefault="003212CF" w:rsidP="00BE3D48">
            <w:pPr>
              <w:pStyle w:val="EndnoteText"/>
              <w:widowControl w:val="0"/>
              <w:rPr>
                <w:color w:val="000000"/>
              </w:rPr>
            </w:pPr>
            <w:r w:rsidRPr="009B1A37">
              <w:rPr>
                <w:color w:val="000000"/>
              </w:rPr>
              <w:t>l</w:t>
            </w:r>
            <w:r w:rsidR="00EA5993" w:rsidRPr="009B1A37">
              <w:rPr>
                <w:color w:val="000000"/>
              </w:rPr>
              <w:t>eukovorin (75 mg/m</w:t>
            </w:r>
            <w:r w:rsidR="00EA5993" w:rsidRPr="009B1A37">
              <w:rPr>
                <w:color w:val="000000"/>
                <w:vertAlign w:val="superscript"/>
              </w:rPr>
              <w:t>2</w:t>
            </w:r>
            <w:r w:rsidR="00EA5993" w:rsidRPr="009B1A37">
              <w:rPr>
                <w:color w:val="000000"/>
              </w:rPr>
              <w:t xml:space="preserve"> ve 36. hodině, </w:t>
            </w:r>
            <w:r w:rsidRPr="009B1A37">
              <w:rPr>
                <w:color w:val="000000"/>
              </w:rPr>
              <w:t>i.v.</w:t>
            </w:r>
            <w:r w:rsidR="00EA5993" w:rsidRPr="009B1A37">
              <w:rPr>
                <w:color w:val="000000"/>
              </w:rPr>
              <w:t>; 15 mg/m</w:t>
            </w:r>
            <w:r w:rsidR="00EA5993" w:rsidRPr="009B1A37">
              <w:rPr>
                <w:color w:val="000000"/>
                <w:vertAlign w:val="superscript"/>
              </w:rPr>
              <w:t>2</w:t>
            </w:r>
            <w:r w:rsidR="00EA5993" w:rsidRPr="009B1A37">
              <w:rPr>
                <w:color w:val="000000"/>
              </w:rPr>
              <w:t xml:space="preserve"> </w:t>
            </w:r>
            <w:r w:rsidRPr="009B1A37">
              <w:rPr>
                <w:color w:val="000000"/>
              </w:rPr>
              <w:t xml:space="preserve">i.v. </w:t>
            </w:r>
            <w:r w:rsidR="00EA5993" w:rsidRPr="009B1A37">
              <w:rPr>
                <w:color w:val="000000"/>
              </w:rPr>
              <w:t xml:space="preserve">nebo </w:t>
            </w:r>
            <w:r w:rsidRPr="009B1A37">
              <w:rPr>
                <w:color w:val="000000"/>
              </w:rPr>
              <w:t xml:space="preserve">p.o. </w:t>
            </w:r>
            <w:r w:rsidR="00EA5993" w:rsidRPr="009B1A37">
              <w:rPr>
                <w:color w:val="000000"/>
              </w:rPr>
              <w:t>q6h x 6 dávek)iii: dny 2, 3, 16, a 17</w:t>
            </w:r>
          </w:p>
          <w:p w14:paraId="0A95F328" w14:textId="77777777" w:rsidR="00EA5993" w:rsidRPr="009B1A37" w:rsidRDefault="00EA5993" w:rsidP="00BE3D48">
            <w:pPr>
              <w:pStyle w:val="EndnoteText"/>
              <w:widowControl w:val="0"/>
              <w:rPr>
                <w:color w:val="000000"/>
              </w:rPr>
            </w:pPr>
            <w:r w:rsidRPr="009B1A37">
              <w:rPr>
                <w:color w:val="000000"/>
              </w:rPr>
              <w:t xml:space="preserve">Trojnásobná </w:t>
            </w:r>
            <w:r w:rsidR="003212CF" w:rsidRPr="009B1A37">
              <w:rPr>
                <w:color w:val="000000"/>
              </w:rPr>
              <w:t xml:space="preserve">i.t. </w:t>
            </w:r>
            <w:r w:rsidRPr="009B1A37">
              <w:rPr>
                <w:color w:val="000000"/>
              </w:rPr>
              <w:t>léčba (přizpůsobená věku): dny 1 a 22</w:t>
            </w:r>
          </w:p>
          <w:p w14:paraId="359E06F2" w14:textId="77777777" w:rsidR="00EA5993" w:rsidRPr="009B1A37" w:rsidRDefault="00EA5993" w:rsidP="00BE3D48">
            <w:pPr>
              <w:pStyle w:val="EndnoteText"/>
              <w:widowControl w:val="0"/>
              <w:rPr>
                <w:color w:val="000000"/>
              </w:rPr>
            </w:pPr>
            <w:r w:rsidRPr="009B1A37">
              <w:rPr>
                <w:color w:val="000000"/>
              </w:rPr>
              <w:t>VP-16 (100 mg/m</w:t>
            </w:r>
            <w:r w:rsidRPr="009B1A37">
              <w:rPr>
                <w:color w:val="000000"/>
                <w:vertAlign w:val="superscript"/>
              </w:rPr>
              <w:t>2</w:t>
            </w:r>
            <w:r w:rsidRPr="009B1A37">
              <w:rPr>
                <w:color w:val="000000"/>
              </w:rPr>
              <w:t xml:space="preserve">/den, </w:t>
            </w:r>
            <w:r w:rsidR="003212CF" w:rsidRPr="009B1A37">
              <w:rPr>
                <w:color w:val="000000"/>
              </w:rPr>
              <w:t>i.v.</w:t>
            </w:r>
            <w:r w:rsidRPr="009B1A37">
              <w:rPr>
                <w:color w:val="000000"/>
              </w:rPr>
              <w:t>): dny 22</w:t>
            </w:r>
            <w:r w:rsidRPr="009B1A37">
              <w:rPr>
                <w:color w:val="000000"/>
              </w:rPr>
              <w:noBreakHyphen/>
              <w:t>26</w:t>
            </w:r>
          </w:p>
          <w:p w14:paraId="0A7D3B59" w14:textId="77777777" w:rsidR="00EA5993" w:rsidRPr="009B1A37" w:rsidRDefault="00EA5993" w:rsidP="00BE3D48">
            <w:pPr>
              <w:pStyle w:val="EndnoteText"/>
              <w:widowControl w:val="0"/>
              <w:rPr>
                <w:color w:val="000000"/>
              </w:rPr>
            </w:pPr>
            <w:r w:rsidRPr="009B1A37">
              <w:rPr>
                <w:color w:val="000000"/>
              </w:rPr>
              <w:t>CPM (300 mg/m</w:t>
            </w:r>
            <w:r w:rsidRPr="009B1A37">
              <w:rPr>
                <w:color w:val="000000"/>
                <w:vertAlign w:val="superscript"/>
              </w:rPr>
              <w:t>2</w:t>
            </w:r>
            <w:r w:rsidRPr="009B1A37">
              <w:rPr>
                <w:color w:val="000000"/>
              </w:rPr>
              <w:t xml:space="preserve">/den, </w:t>
            </w:r>
            <w:r w:rsidR="003212CF" w:rsidRPr="009B1A37">
              <w:rPr>
                <w:color w:val="000000"/>
              </w:rPr>
              <w:t>i.v.</w:t>
            </w:r>
            <w:r w:rsidRPr="009B1A37">
              <w:rPr>
                <w:color w:val="000000"/>
              </w:rPr>
              <w:t>): dny 22</w:t>
            </w:r>
            <w:r w:rsidRPr="009B1A37">
              <w:rPr>
                <w:color w:val="000000"/>
              </w:rPr>
              <w:noBreakHyphen/>
              <w:t>26</w:t>
            </w:r>
          </w:p>
          <w:p w14:paraId="015A791D" w14:textId="77777777" w:rsidR="00EA5993" w:rsidRPr="009B1A37" w:rsidRDefault="00EA5993" w:rsidP="00BE3D48">
            <w:pPr>
              <w:pStyle w:val="EndnoteText"/>
              <w:widowControl w:val="0"/>
              <w:rPr>
                <w:color w:val="000000"/>
              </w:rPr>
            </w:pPr>
            <w:r w:rsidRPr="009B1A37">
              <w:rPr>
                <w:color w:val="000000"/>
              </w:rPr>
              <w:t>MESNA (150 mg/m</w:t>
            </w:r>
            <w:r w:rsidRPr="009B1A37">
              <w:rPr>
                <w:color w:val="000000"/>
                <w:vertAlign w:val="superscript"/>
              </w:rPr>
              <w:t>2</w:t>
            </w:r>
            <w:r w:rsidRPr="009B1A37">
              <w:rPr>
                <w:color w:val="000000"/>
              </w:rPr>
              <w:t xml:space="preserve">/den, </w:t>
            </w:r>
            <w:r w:rsidR="003212CF" w:rsidRPr="009B1A37">
              <w:rPr>
                <w:color w:val="000000"/>
              </w:rPr>
              <w:t>i.v.</w:t>
            </w:r>
            <w:r w:rsidRPr="009B1A37">
              <w:rPr>
                <w:color w:val="000000"/>
              </w:rPr>
              <w:t>): dny 22</w:t>
            </w:r>
            <w:r w:rsidRPr="009B1A37">
              <w:rPr>
                <w:color w:val="000000"/>
              </w:rPr>
              <w:noBreakHyphen/>
              <w:t>26</w:t>
            </w:r>
          </w:p>
          <w:p w14:paraId="06E4EE5C" w14:textId="77777777" w:rsidR="00EA5993" w:rsidRPr="009B1A37" w:rsidRDefault="00EA5993" w:rsidP="00BE3D48">
            <w:pPr>
              <w:pStyle w:val="EndnoteText"/>
              <w:widowControl w:val="0"/>
              <w:rPr>
                <w:color w:val="000000"/>
              </w:rPr>
            </w:pPr>
            <w:r w:rsidRPr="009B1A37">
              <w:rPr>
                <w:color w:val="000000"/>
              </w:rPr>
              <w:t xml:space="preserve">G-CSF (5 μg/kg, </w:t>
            </w:r>
            <w:r w:rsidR="003212CF" w:rsidRPr="009B1A37">
              <w:rPr>
                <w:color w:val="000000"/>
              </w:rPr>
              <w:t>s.c.</w:t>
            </w:r>
            <w:r w:rsidRPr="009B1A37">
              <w:rPr>
                <w:color w:val="000000"/>
              </w:rPr>
              <w:t>): dny 27-36 nebo do ANC &gt; 1500 po dosažení nejnižší hodnoty</w:t>
            </w:r>
          </w:p>
          <w:p w14:paraId="1798E1F8" w14:textId="77777777" w:rsidR="00EA5993" w:rsidRPr="009B1A37" w:rsidRDefault="00EA5993" w:rsidP="00BE3D48">
            <w:pPr>
              <w:pStyle w:val="EndnoteText"/>
              <w:widowControl w:val="0"/>
              <w:rPr>
                <w:color w:val="000000"/>
              </w:rPr>
            </w:pPr>
            <w:r w:rsidRPr="009B1A37">
              <w:rPr>
                <w:color w:val="000000"/>
              </w:rPr>
              <w:t>ARA-C (3 g/m</w:t>
            </w:r>
            <w:r w:rsidRPr="009B1A37">
              <w:rPr>
                <w:color w:val="000000"/>
                <w:vertAlign w:val="superscript"/>
              </w:rPr>
              <w:t>2</w:t>
            </w:r>
            <w:r w:rsidRPr="009B1A37">
              <w:rPr>
                <w:color w:val="000000"/>
              </w:rPr>
              <w:t xml:space="preserve">, q12h, </w:t>
            </w:r>
            <w:r w:rsidR="003212CF" w:rsidRPr="009B1A37">
              <w:rPr>
                <w:color w:val="000000"/>
              </w:rPr>
              <w:t>i.v.</w:t>
            </w:r>
            <w:r w:rsidRPr="009B1A37">
              <w:rPr>
                <w:color w:val="000000"/>
              </w:rPr>
              <w:t>): dny 43, 44</w:t>
            </w:r>
          </w:p>
          <w:p w14:paraId="5F219BF4" w14:textId="77777777" w:rsidR="00EA5993" w:rsidRPr="009B1A37" w:rsidRDefault="00EA5993" w:rsidP="00BE3D48">
            <w:pPr>
              <w:pStyle w:val="EndnoteText"/>
              <w:widowControl w:val="0"/>
              <w:rPr>
                <w:color w:val="000000"/>
              </w:rPr>
            </w:pPr>
            <w:r w:rsidRPr="009B1A37">
              <w:rPr>
                <w:color w:val="000000"/>
              </w:rPr>
              <w:t>L-ASP (6000 IU/m</w:t>
            </w:r>
            <w:r w:rsidRPr="009B1A37">
              <w:rPr>
                <w:color w:val="000000"/>
                <w:vertAlign w:val="superscript"/>
              </w:rPr>
              <w:t>2</w:t>
            </w:r>
            <w:r w:rsidRPr="009B1A37">
              <w:rPr>
                <w:color w:val="000000"/>
              </w:rPr>
              <w:t xml:space="preserve">, </w:t>
            </w:r>
            <w:r w:rsidR="003212CF" w:rsidRPr="009B1A37">
              <w:rPr>
                <w:color w:val="000000"/>
              </w:rPr>
              <w:t>i.m.</w:t>
            </w:r>
            <w:r w:rsidRPr="009B1A37">
              <w:rPr>
                <w:color w:val="000000"/>
              </w:rPr>
              <w:t>): den 44</w:t>
            </w:r>
          </w:p>
        </w:tc>
      </w:tr>
      <w:tr w:rsidR="00EA5993" w:rsidRPr="009B1A37" w14:paraId="5CAA73FB" w14:textId="77777777" w:rsidTr="000E0B78">
        <w:trPr>
          <w:cantSplit/>
        </w:trPr>
        <w:tc>
          <w:tcPr>
            <w:tcW w:w="2358" w:type="dxa"/>
            <w:shd w:val="clear" w:color="auto" w:fill="auto"/>
          </w:tcPr>
          <w:p w14:paraId="7B595A85" w14:textId="77777777" w:rsidR="00EA5993" w:rsidRPr="009B1A37" w:rsidRDefault="00EA5993" w:rsidP="00BE3D48">
            <w:pPr>
              <w:pStyle w:val="EndnoteText"/>
              <w:widowControl w:val="0"/>
              <w:rPr>
                <w:color w:val="000000"/>
              </w:rPr>
            </w:pPr>
            <w:r w:rsidRPr="009B1A37">
              <w:rPr>
                <w:color w:val="000000"/>
              </w:rPr>
              <w:t xml:space="preserve">Reindukční </w:t>
            </w:r>
            <w:r w:rsidR="004165E7" w:rsidRPr="009B1A37">
              <w:rPr>
                <w:color w:val="000000"/>
              </w:rPr>
              <w:t>blok</w:t>
            </w:r>
            <w:r w:rsidRPr="009B1A37">
              <w:rPr>
                <w:color w:val="000000"/>
              </w:rPr>
              <w:t> 2</w:t>
            </w:r>
          </w:p>
          <w:p w14:paraId="2DF28C24" w14:textId="77777777" w:rsidR="00EA5993" w:rsidRPr="009B1A37" w:rsidRDefault="00EA5993" w:rsidP="00BE3D48">
            <w:pPr>
              <w:pStyle w:val="EndnoteText"/>
              <w:widowControl w:val="0"/>
              <w:rPr>
                <w:color w:val="000000"/>
              </w:rPr>
            </w:pPr>
            <w:r w:rsidRPr="009B1A37">
              <w:rPr>
                <w:color w:val="000000"/>
              </w:rPr>
              <w:t>(3 týdny)</w:t>
            </w:r>
          </w:p>
        </w:tc>
        <w:tc>
          <w:tcPr>
            <w:tcW w:w="6929" w:type="dxa"/>
            <w:shd w:val="clear" w:color="auto" w:fill="auto"/>
          </w:tcPr>
          <w:p w14:paraId="4CF7033D" w14:textId="77777777" w:rsidR="00EA5993" w:rsidRPr="009B1A37" w:rsidRDefault="00EA5993" w:rsidP="00BE3D48">
            <w:pPr>
              <w:pStyle w:val="EndnoteText"/>
              <w:widowControl w:val="0"/>
              <w:rPr>
                <w:color w:val="000000"/>
              </w:rPr>
            </w:pPr>
            <w:r w:rsidRPr="009B1A37">
              <w:rPr>
                <w:color w:val="000000"/>
              </w:rPr>
              <w:t>VCR (1,5 mg/m</w:t>
            </w:r>
            <w:r w:rsidRPr="009B1A37">
              <w:rPr>
                <w:color w:val="000000"/>
                <w:vertAlign w:val="superscript"/>
              </w:rPr>
              <w:t>2</w:t>
            </w:r>
            <w:r w:rsidRPr="009B1A37">
              <w:rPr>
                <w:color w:val="000000"/>
              </w:rPr>
              <w:t xml:space="preserve">/den, </w:t>
            </w:r>
            <w:r w:rsidR="003212CF" w:rsidRPr="009B1A37">
              <w:rPr>
                <w:color w:val="000000"/>
              </w:rPr>
              <w:t>i.v.</w:t>
            </w:r>
            <w:r w:rsidRPr="009B1A37">
              <w:rPr>
                <w:color w:val="000000"/>
              </w:rPr>
              <w:t>): dny 1, 8 a 15</w:t>
            </w:r>
          </w:p>
          <w:p w14:paraId="3B4423E9" w14:textId="77777777" w:rsidR="00EA5993" w:rsidRPr="009B1A37" w:rsidRDefault="00EA5993" w:rsidP="00BE3D48">
            <w:pPr>
              <w:pStyle w:val="EndnoteText"/>
              <w:widowControl w:val="0"/>
              <w:rPr>
                <w:color w:val="000000"/>
              </w:rPr>
            </w:pPr>
            <w:r w:rsidRPr="009B1A37">
              <w:rPr>
                <w:color w:val="000000"/>
              </w:rPr>
              <w:t>DAUN (45 mg/m</w:t>
            </w:r>
            <w:r w:rsidRPr="009B1A37">
              <w:rPr>
                <w:color w:val="000000"/>
                <w:vertAlign w:val="superscript"/>
              </w:rPr>
              <w:t>2</w:t>
            </w:r>
            <w:r w:rsidRPr="009B1A37">
              <w:rPr>
                <w:color w:val="000000"/>
              </w:rPr>
              <w:t xml:space="preserve">/den jako bolus, </w:t>
            </w:r>
            <w:r w:rsidR="003212CF" w:rsidRPr="009B1A37">
              <w:rPr>
                <w:color w:val="000000"/>
              </w:rPr>
              <w:t>i.v.</w:t>
            </w:r>
            <w:r w:rsidRPr="009B1A37">
              <w:rPr>
                <w:color w:val="000000"/>
              </w:rPr>
              <w:t>): dny 1 a 2</w:t>
            </w:r>
          </w:p>
          <w:p w14:paraId="402278F0" w14:textId="77777777" w:rsidR="00EA5993" w:rsidRPr="009B1A37" w:rsidRDefault="00EA5993" w:rsidP="00BE3D48">
            <w:pPr>
              <w:pStyle w:val="EndnoteText"/>
              <w:widowControl w:val="0"/>
              <w:rPr>
                <w:color w:val="000000"/>
              </w:rPr>
            </w:pPr>
            <w:r w:rsidRPr="009B1A37">
              <w:rPr>
                <w:color w:val="000000"/>
              </w:rPr>
              <w:t>CPM (250 mg/m</w:t>
            </w:r>
            <w:r w:rsidRPr="009B1A37">
              <w:rPr>
                <w:color w:val="000000"/>
                <w:vertAlign w:val="superscript"/>
              </w:rPr>
              <w:t>2</w:t>
            </w:r>
            <w:r w:rsidRPr="009B1A37">
              <w:rPr>
                <w:color w:val="000000"/>
              </w:rPr>
              <w:t>/dávku q12h x 4 dávky, i</w:t>
            </w:r>
            <w:r w:rsidR="003212CF" w:rsidRPr="009B1A37">
              <w:rPr>
                <w:color w:val="000000"/>
              </w:rPr>
              <w:t>.</w:t>
            </w:r>
            <w:r w:rsidRPr="009B1A37">
              <w:rPr>
                <w:color w:val="000000"/>
              </w:rPr>
              <w:t>v</w:t>
            </w:r>
            <w:r w:rsidR="003212CF" w:rsidRPr="009B1A37">
              <w:rPr>
                <w:color w:val="000000"/>
              </w:rPr>
              <w:t>.</w:t>
            </w:r>
            <w:r w:rsidRPr="009B1A37">
              <w:rPr>
                <w:color w:val="000000"/>
              </w:rPr>
              <w:t>): dny 3 a 4</w:t>
            </w:r>
          </w:p>
          <w:p w14:paraId="05865A1F" w14:textId="77777777" w:rsidR="00EA5993" w:rsidRPr="009B1A37" w:rsidRDefault="00EA5993" w:rsidP="00BE3D48">
            <w:pPr>
              <w:pStyle w:val="EndnoteText"/>
              <w:widowControl w:val="0"/>
              <w:rPr>
                <w:color w:val="000000"/>
              </w:rPr>
            </w:pPr>
            <w:r w:rsidRPr="009B1A37">
              <w:rPr>
                <w:color w:val="000000"/>
              </w:rPr>
              <w:t>PEG-ASP (2500 IU/m</w:t>
            </w:r>
            <w:r w:rsidRPr="009B1A37">
              <w:rPr>
                <w:color w:val="000000"/>
                <w:vertAlign w:val="superscript"/>
              </w:rPr>
              <w:t>2</w:t>
            </w:r>
            <w:r w:rsidRPr="009B1A37">
              <w:rPr>
                <w:color w:val="000000"/>
              </w:rPr>
              <w:t xml:space="preserve">, </w:t>
            </w:r>
            <w:r w:rsidR="003212CF" w:rsidRPr="009B1A37">
              <w:rPr>
                <w:color w:val="000000"/>
              </w:rPr>
              <w:t>i.m.</w:t>
            </w:r>
            <w:r w:rsidRPr="009B1A37">
              <w:rPr>
                <w:color w:val="000000"/>
              </w:rPr>
              <w:t>): den 4</w:t>
            </w:r>
          </w:p>
          <w:p w14:paraId="0E3BFCF4" w14:textId="77777777" w:rsidR="00EA5993" w:rsidRPr="009B1A37" w:rsidRDefault="00EA5993" w:rsidP="00BE3D48">
            <w:pPr>
              <w:pStyle w:val="EndnoteText"/>
              <w:widowControl w:val="0"/>
              <w:rPr>
                <w:color w:val="000000"/>
              </w:rPr>
            </w:pPr>
            <w:r w:rsidRPr="009B1A37">
              <w:rPr>
                <w:color w:val="000000"/>
              </w:rPr>
              <w:t xml:space="preserve">G-CSF (5 μg/kg, </w:t>
            </w:r>
            <w:r w:rsidR="003212CF" w:rsidRPr="009B1A37">
              <w:rPr>
                <w:color w:val="000000"/>
              </w:rPr>
              <w:t>s.c.</w:t>
            </w:r>
            <w:r w:rsidRPr="009B1A37">
              <w:rPr>
                <w:color w:val="000000"/>
              </w:rPr>
              <w:t>): dny 5-14 nebo do ANC &gt; 1500 po dosažení nejnižší hodnoty</w:t>
            </w:r>
          </w:p>
          <w:p w14:paraId="2E63DE21" w14:textId="77777777" w:rsidR="00EA5993" w:rsidRPr="009B1A37" w:rsidRDefault="00EA5993" w:rsidP="00BE3D48">
            <w:pPr>
              <w:pStyle w:val="EndnoteText"/>
              <w:widowControl w:val="0"/>
              <w:rPr>
                <w:color w:val="000000"/>
              </w:rPr>
            </w:pPr>
            <w:r w:rsidRPr="009B1A37">
              <w:rPr>
                <w:color w:val="000000"/>
              </w:rPr>
              <w:t xml:space="preserve">Trojnásobná </w:t>
            </w:r>
            <w:r w:rsidR="003212CF" w:rsidRPr="009B1A37">
              <w:rPr>
                <w:color w:val="000000"/>
              </w:rPr>
              <w:t xml:space="preserve">i.t. </w:t>
            </w:r>
            <w:r w:rsidRPr="009B1A37">
              <w:rPr>
                <w:color w:val="000000"/>
              </w:rPr>
              <w:t>léčba (přizpůsobená věku): dny 1 a 15</w:t>
            </w:r>
          </w:p>
          <w:p w14:paraId="484D6863" w14:textId="77777777" w:rsidR="00EA5993" w:rsidRPr="009B1A37" w:rsidRDefault="00EA5993" w:rsidP="00BE3D48">
            <w:pPr>
              <w:pStyle w:val="EndnoteText"/>
              <w:widowControl w:val="0"/>
              <w:rPr>
                <w:color w:val="000000"/>
              </w:rPr>
            </w:pPr>
            <w:r w:rsidRPr="009B1A37">
              <w:rPr>
                <w:color w:val="000000"/>
              </w:rPr>
              <w:t>DEX (6 mg/m</w:t>
            </w:r>
            <w:r w:rsidRPr="009B1A37">
              <w:rPr>
                <w:color w:val="000000"/>
                <w:vertAlign w:val="superscript"/>
              </w:rPr>
              <w:t>2</w:t>
            </w:r>
            <w:r w:rsidRPr="009B1A37">
              <w:rPr>
                <w:color w:val="000000"/>
              </w:rPr>
              <w:t xml:space="preserve">/den, </w:t>
            </w:r>
            <w:r w:rsidR="003212CF" w:rsidRPr="009B1A37">
              <w:rPr>
                <w:color w:val="000000"/>
              </w:rPr>
              <w:t>p.o.</w:t>
            </w:r>
            <w:r w:rsidRPr="009B1A37">
              <w:rPr>
                <w:color w:val="000000"/>
              </w:rPr>
              <w:t>): dny 1</w:t>
            </w:r>
            <w:r w:rsidRPr="009B1A37">
              <w:rPr>
                <w:color w:val="000000"/>
              </w:rPr>
              <w:noBreakHyphen/>
              <w:t>7 a 15</w:t>
            </w:r>
            <w:r w:rsidRPr="009B1A37">
              <w:rPr>
                <w:color w:val="000000"/>
              </w:rPr>
              <w:noBreakHyphen/>
              <w:t>21</w:t>
            </w:r>
          </w:p>
        </w:tc>
      </w:tr>
      <w:tr w:rsidR="00EA5993" w:rsidRPr="009B1A37" w14:paraId="6D4DFD3E" w14:textId="77777777" w:rsidTr="000E0B78">
        <w:trPr>
          <w:cantSplit/>
        </w:trPr>
        <w:tc>
          <w:tcPr>
            <w:tcW w:w="2358" w:type="dxa"/>
            <w:shd w:val="clear" w:color="auto" w:fill="auto"/>
          </w:tcPr>
          <w:p w14:paraId="1230521B" w14:textId="77777777" w:rsidR="00EA5993" w:rsidRPr="009B1A37" w:rsidRDefault="00EA5993" w:rsidP="00BE3D48">
            <w:pPr>
              <w:pStyle w:val="EndnoteText"/>
              <w:widowControl w:val="0"/>
              <w:rPr>
                <w:color w:val="000000"/>
              </w:rPr>
            </w:pPr>
            <w:r w:rsidRPr="009B1A37">
              <w:rPr>
                <w:color w:val="000000"/>
              </w:rPr>
              <w:t xml:space="preserve">Intenzifikační </w:t>
            </w:r>
            <w:r w:rsidR="004165E7" w:rsidRPr="009B1A37">
              <w:rPr>
                <w:color w:val="000000"/>
              </w:rPr>
              <w:t>blok</w:t>
            </w:r>
            <w:r w:rsidRPr="009B1A37">
              <w:rPr>
                <w:color w:val="000000"/>
              </w:rPr>
              <w:t> 2</w:t>
            </w:r>
          </w:p>
          <w:p w14:paraId="62CA9B31" w14:textId="77777777" w:rsidR="00EA5993" w:rsidRPr="009B1A37" w:rsidRDefault="00EA5993" w:rsidP="00BE3D48">
            <w:pPr>
              <w:pStyle w:val="EndnoteText"/>
              <w:widowControl w:val="0"/>
              <w:rPr>
                <w:color w:val="000000"/>
              </w:rPr>
            </w:pPr>
            <w:r w:rsidRPr="009B1A37">
              <w:rPr>
                <w:color w:val="000000"/>
              </w:rPr>
              <w:t>(9 týdnů)</w:t>
            </w:r>
          </w:p>
        </w:tc>
        <w:tc>
          <w:tcPr>
            <w:tcW w:w="6929" w:type="dxa"/>
            <w:shd w:val="clear" w:color="auto" w:fill="auto"/>
          </w:tcPr>
          <w:p w14:paraId="11B08849" w14:textId="77777777" w:rsidR="00EA5993" w:rsidRPr="009B1A37" w:rsidRDefault="003212CF" w:rsidP="00BE3D48">
            <w:pPr>
              <w:pStyle w:val="EndnoteText"/>
              <w:widowControl w:val="0"/>
              <w:rPr>
                <w:color w:val="000000"/>
              </w:rPr>
            </w:pPr>
            <w:r w:rsidRPr="009B1A37">
              <w:rPr>
                <w:color w:val="000000"/>
              </w:rPr>
              <w:t>m</w:t>
            </w:r>
            <w:r w:rsidR="00EA5993" w:rsidRPr="009B1A37">
              <w:rPr>
                <w:color w:val="000000"/>
              </w:rPr>
              <w:t>ethotrexát (5 g/m</w:t>
            </w:r>
            <w:r w:rsidR="00EA5993" w:rsidRPr="009B1A37">
              <w:rPr>
                <w:color w:val="000000"/>
                <w:vertAlign w:val="superscript"/>
              </w:rPr>
              <w:t>2</w:t>
            </w:r>
            <w:r w:rsidR="00EA5993" w:rsidRPr="009B1A37">
              <w:rPr>
                <w:color w:val="000000"/>
              </w:rPr>
              <w:t xml:space="preserve"> v průběhu 24 hodin, </w:t>
            </w:r>
            <w:r w:rsidRPr="009B1A37">
              <w:rPr>
                <w:color w:val="000000"/>
              </w:rPr>
              <w:t>i.v.</w:t>
            </w:r>
            <w:r w:rsidR="00EA5993" w:rsidRPr="009B1A37">
              <w:rPr>
                <w:color w:val="000000"/>
              </w:rPr>
              <w:t>): dny 1 a 15</w:t>
            </w:r>
          </w:p>
          <w:p w14:paraId="3C69180F" w14:textId="77777777" w:rsidR="00EA5993" w:rsidRPr="009B1A37" w:rsidRDefault="003212CF" w:rsidP="00BE3D48">
            <w:pPr>
              <w:pStyle w:val="EndnoteText"/>
              <w:widowControl w:val="0"/>
              <w:rPr>
                <w:color w:val="000000"/>
              </w:rPr>
            </w:pPr>
            <w:r w:rsidRPr="009B1A37">
              <w:rPr>
                <w:color w:val="000000"/>
              </w:rPr>
              <w:t>l</w:t>
            </w:r>
            <w:r w:rsidR="00EA5993" w:rsidRPr="009B1A37">
              <w:rPr>
                <w:color w:val="000000"/>
              </w:rPr>
              <w:t>eukovorin (75 mg/m</w:t>
            </w:r>
            <w:r w:rsidR="00EA5993" w:rsidRPr="009B1A37">
              <w:rPr>
                <w:color w:val="000000"/>
                <w:vertAlign w:val="superscript"/>
              </w:rPr>
              <w:t>2</w:t>
            </w:r>
            <w:r w:rsidR="00EA5993" w:rsidRPr="009B1A37">
              <w:rPr>
                <w:color w:val="000000"/>
              </w:rPr>
              <w:t xml:space="preserve"> ve 36. hodině, </w:t>
            </w:r>
            <w:r w:rsidRPr="009B1A37">
              <w:rPr>
                <w:color w:val="000000"/>
              </w:rPr>
              <w:t>i.v.</w:t>
            </w:r>
            <w:r w:rsidR="00EA5993" w:rsidRPr="009B1A37">
              <w:rPr>
                <w:color w:val="000000"/>
              </w:rPr>
              <w:t>; 15 mg/m</w:t>
            </w:r>
            <w:r w:rsidR="00EA5993" w:rsidRPr="009B1A37">
              <w:rPr>
                <w:color w:val="000000"/>
                <w:vertAlign w:val="superscript"/>
              </w:rPr>
              <w:t>2</w:t>
            </w:r>
            <w:r w:rsidR="00EA5993" w:rsidRPr="009B1A37">
              <w:rPr>
                <w:color w:val="000000"/>
              </w:rPr>
              <w:t xml:space="preserve"> </w:t>
            </w:r>
            <w:r w:rsidRPr="009B1A37">
              <w:rPr>
                <w:color w:val="000000"/>
              </w:rPr>
              <w:t xml:space="preserve">i.v. </w:t>
            </w:r>
            <w:r w:rsidR="00EA5993" w:rsidRPr="009B1A37">
              <w:rPr>
                <w:color w:val="000000"/>
              </w:rPr>
              <w:t xml:space="preserve">nebo </w:t>
            </w:r>
            <w:r w:rsidRPr="009B1A37">
              <w:rPr>
                <w:color w:val="000000"/>
              </w:rPr>
              <w:t xml:space="preserve">p.o. </w:t>
            </w:r>
            <w:r w:rsidR="00EA5993" w:rsidRPr="009B1A37">
              <w:rPr>
                <w:color w:val="000000"/>
              </w:rPr>
              <w:t>q6h x 6 dávek)iii: dny 2, 3, 16 a 17</w:t>
            </w:r>
          </w:p>
          <w:p w14:paraId="26CCD27D" w14:textId="77777777" w:rsidR="00EA5993" w:rsidRPr="009B1A37" w:rsidRDefault="00EA5993" w:rsidP="00BE3D48">
            <w:pPr>
              <w:pStyle w:val="EndnoteText"/>
              <w:widowControl w:val="0"/>
              <w:rPr>
                <w:color w:val="000000"/>
              </w:rPr>
            </w:pPr>
            <w:r w:rsidRPr="009B1A37">
              <w:rPr>
                <w:color w:val="000000"/>
              </w:rPr>
              <w:t xml:space="preserve">Trojnásobná </w:t>
            </w:r>
            <w:r w:rsidR="003212CF" w:rsidRPr="009B1A37">
              <w:rPr>
                <w:color w:val="000000"/>
              </w:rPr>
              <w:t xml:space="preserve">i.t. </w:t>
            </w:r>
            <w:r w:rsidRPr="009B1A37">
              <w:rPr>
                <w:color w:val="000000"/>
              </w:rPr>
              <w:t>léčba (přizpůsobená věku): dny 1 a 22</w:t>
            </w:r>
          </w:p>
          <w:p w14:paraId="1AB3D37D" w14:textId="77777777" w:rsidR="00EA5993" w:rsidRPr="009B1A37" w:rsidRDefault="00EA5993" w:rsidP="00BE3D48">
            <w:pPr>
              <w:pStyle w:val="EndnoteText"/>
              <w:widowControl w:val="0"/>
              <w:rPr>
                <w:color w:val="000000"/>
              </w:rPr>
            </w:pPr>
            <w:r w:rsidRPr="009B1A37">
              <w:rPr>
                <w:color w:val="000000"/>
              </w:rPr>
              <w:t>VP-16 (100 mg/m</w:t>
            </w:r>
            <w:r w:rsidRPr="009B1A37">
              <w:rPr>
                <w:color w:val="000000"/>
                <w:vertAlign w:val="superscript"/>
              </w:rPr>
              <w:t>2</w:t>
            </w:r>
            <w:r w:rsidRPr="009B1A37">
              <w:rPr>
                <w:color w:val="000000"/>
              </w:rPr>
              <w:t xml:space="preserve">/den, </w:t>
            </w:r>
            <w:r w:rsidR="003212CF" w:rsidRPr="009B1A37">
              <w:rPr>
                <w:color w:val="000000"/>
              </w:rPr>
              <w:t>i.v.</w:t>
            </w:r>
            <w:r w:rsidRPr="009B1A37">
              <w:rPr>
                <w:color w:val="000000"/>
              </w:rPr>
              <w:t>): dny 22</w:t>
            </w:r>
            <w:r w:rsidRPr="009B1A37">
              <w:rPr>
                <w:color w:val="000000"/>
              </w:rPr>
              <w:noBreakHyphen/>
              <w:t>26</w:t>
            </w:r>
          </w:p>
          <w:p w14:paraId="7FC52039" w14:textId="77777777" w:rsidR="00EA5993" w:rsidRPr="009B1A37" w:rsidRDefault="00EA5993" w:rsidP="00BE3D48">
            <w:pPr>
              <w:pStyle w:val="EndnoteText"/>
              <w:widowControl w:val="0"/>
              <w:rPr>
                <w:color w:val="000000"/>
              </w:rPr>
            </w:pPr>
            <w:r w:rsidRPr="009B1A37">
              <w:rPr>
                <w:color w:val="000000"/>
              </w:rPr>
              <w:t>CPM (300 mg/m</w:t>
            </w:r>
            <w:r w:rsidRPr="009B1A37">
              <w:rPr>
                <w:color w:val="000000"/>
                <w:vertAlign w:val="superscript"/>
              </w:rPr>
              <w:t>2</w:t>
            </w:r>
            <w:r w:rsidRPr="009B1A37">
              <w:rPr>
                <w:color w:val="000000"/>
              </w:rPr>
              <w:t xml:space="preserve">/den, </w:t>
            </w:r>
            <w:r w:rsidR="003212CF" w:rsidRPr="009B1A37">
              <w:rPr>
                <w:color w:val="000000"/>
              </w:rPr>
              <w:t>i.v.</w:t>
            </w:r>
            <w:r w:rsidRPr="009B1A37">
              <w:rPr>
                <w:color w:val="000000"/>
              </w:rPr>
              <w:t>): dny 22</w:t>
            </w:r>
            <w:r w:rsidRPr="009B1A37">
              <w:rPr>
                <w:color w:val="000000"/>
              </w:rPr>
              <w:noBreakHyphen/>
              <w:t>26</w:t>
            </w:r>
          </w:p>
          <w:p w14:paraId="4872254A" w14:textId="77777777" w:rsidR="00EA5993" w:rsidRPr="009B1A37" w:rsidRDefault="00EA5993" w:rsidP="00BE3D48">
            <w:pPr>
              <w:pStyle w:val="EndnoteText"/>
              <w:widowControl w:val="0"/>
              <w:rPr>
                <w:color w:val="000000"/>
              </w:rPr>
            </w:pPr>
            <w:r w:rsidRPr="009B1A37">
              <w:rPr>
                <w:color w:val="000000"/>
              </w:rPr>
              <w:t>MESNA (150 mg/m</w:t>
            </w:r>
            <w:r w:rsidRPr="009B1A37">
              <w:rPr>
                <w:color w:val="000000"/>
                <w:vertAlign w:val="superscript"/>
              </w:rPr>
              <w:t>2</w:t>
            </w:r>
            <w:r w:rsidRPr="009B1A37">
              <w:rPr>
                <w:color w:val="000000"/>
              </w:rPr>
              <w:t xml:space="preserve">/den, </w:t>
            </w:r>
            <w:r w:rsidR="003212CF" w:rsidRPr="009B1A37">
              <w:rPr>
                <w:color w:val="000000"/>
              </w:rPr>
              <w:t>i.v.</w:t>
            </w:r>
            <w:r w:rsidRPr="009B1A37">
              <w:rPr>
                <w:color w:val="000000"/>
              </w:rPr>
              <w:t>): dny 22</w:t>
            </w:r>
            <w:r w:rsidRPr="009B1A37">
              <w:rPr>
                <w:color w:val="000000"/>
              </w:rPr>
              <w:noBreakHyphen/>
              <w:t>26</w:t>
            </w:r>
          </w:p>
          <w:p w14:paraId="5E0D6804" w14:textId="77777777" w:rsidR="00EA5993" w:rsidRPr="009B1A37" w:rsidRDefault="00EA5993" w:rsidP="00BE3D48">
            <w:pPr>
              <w:pStyle w:val="EndnoteText"/>
              <w:widowControl w:val="0"/>
              <w:rPr>
                <w:color w:val="000000"/>
              </w:rPr>
            </w:pPr>
            <w:r w:rsidRPr="009B1A37">
              <w:rPr>
                <w:color w:val="000000"/>
              </w:rPr>
              <w:t xml:space="preserve">G-CSF (5 μg/kg, </w:t>
            </w:r>
            <w:r w:rsidR="003212CF" w:rsidRPr="009B1A37">
              <w:rPr>
                <w:color w:val="000000"/>
              </w:rPr>
              <w:t>s.c.</w:t>
            </w:r>
            <w:r w:rsidRPr="009B1A37">
              <w:rPr>
                <w:color w:val="000000"/>
              </w:rPr>
              <w:t>): dny 27</w:t>
            </w:r>
            <w:r w:rsidRPr="009B1A37">
              <w:rPr>
                <w:color w:val="000000"/>
              </w:rPr>
              <w:noBreakHyphen/>
              <w:t>36 nebo do ANC &gt; 1500 post nadir</w:t>
            </w:r>
          </w:p>
          <w:p w14:paraId="435C3D04" w14:textId="77777777" w:rsidR="00EA5993" w:rsidRPr="009B1A37" w:rsidRDefault="00EA5993" w:rsidP="00BE3D48">
            <w:pPr>
              <w:pStyle w:val="EndnoteText"/>
              <w:widowControl w:val="0"/>
              <w:rPr>
                <w:color w:val="000000"/>
              </w:rPr>
            </w:pPr>
            <w:r w:rsidRPr="009B1A37">
              <w:rPr>
                <w:color w:val="000000"/>
              </w:rPr>
              <w:t>ARA-C (3 g/m</w:t>
            </w:r>
            <w:r w:rsidRPr="009B1A37">
              <w:rPr>
                <w:color w:val="000000"/>
                <w:vertAlign w:val="superscript"/>
              </w:rPr>
              <w:t>2</w:t>
            </w:r>
            <w:r w:rsidRPr="009B1A37">
              <w:rPr>
                <w:color w:val="000000"/>
              </w:rPr>
              <w:t xml:space="preserve">, q12h, </w:t>
            </w:r>
            <w:r w:rsidR="003212CF" w:rsidRPr="009B1A37">
              <w:rPr>
                <w:color w:val="000000"/>
              </w:rPr>
              <w:t>i.v.</w:t>
            </w:r>
            <w:r w:rsidRPr="009B1A37">
              <w:rPr>
                <w:color w:val="000000"/>
              </w:rPr>
              <w:t>): dny 43, 44</w:t>
            </w:r>
          </w:p>
          <w:p w14:paraId="449D9AF2" w14:textId="77777777" w:rsidR="00EA5993" w:rsidRPr="009B1A37" w:rsidRDefault="00EA5993" w:rsidP="00BE3D48">
            <w:pPr>
              <w:pStyle w:val="EndnoteText"/>
              <w:widowControl w:val="0"/>
              <w:rPr>
                <w:color w:val="000000"/>
              </w:rPr>
            </w:pPr>
            <w:r w:rsidRPr="009B1A37">
              <w:rPr>
                <w:color w:val="000000"/>
              </w:rPr>
              <w:t>L-ASP (6000 IU/m</w:t>
            </w:r>
            <w:r w:rsidRPr="009B1A37">
              <w:rPr>
                <w:color w:val="000000"/>
                <w:vertAlign w:val="superscript"/>
              </w:rPr>
              <w:t>2</w:t>
            </w:r>
            <w:r w:rsidRPr="009B1A37">
              <w:rPr>
                <w:color w:val="000000"/>
              </w:rPr>
              <w:t xml:space="preserve">, </w:t>
            </w:r>
            <w:r w:rsidR="003212CF" w:rsidRPr="009B1A37">
              <w:rPr>
                <w:color w:val="000000"/>
              </w:rPr>
              <w:t>i.m.</w:t>
            </w:r>
            <w:r w:rsidRPr="009B1A37">
              <w:rPr>
                <w:color w:val="000000"/>
              </w:rPr>
              <w:t>): den 44</w:t>
            </w:r>
          </w:p>
        </w:tc>
      </w:tr>
      <w:tr w:rsidR="00EA5993" w:rsidRPr="009B1A37" w14:paraId="6024EC71" w14:textId="77777777" w:rsidTr="000E0B78">
        <w:trPr>
          <w:cantSplit/>
        </w:trPr>
        <w:tc>
          <w:tcPr>
            <w:tcW w:w="2358" w:type="dxa"/>
            <w:shd w:val="clear" w:color="auto" w:fill="auto"/>
          </w:tcPr>
          <w:p w14:paraId="63F930BA" w14:textId="77777777" w:rsidR="00EA5993" w:rsidRPr="009B1A37" w:rsidRDefault="00EA5993" w:rsidP="00BE3D48">
            <w:pPr>
              <w:pStyle w:val="EndnoteText"/>
              <w:widowControl w:val="0"/>
              <w:rPr>
                <w:color w:val="000000"/>
              </w:rPr>
            </w:pPr>
            <w:r w:rsidRPr="009B1A37">
              <w:rPr>
                <w:color w:val="000000"/>
              </w:rPr>
              <w:t>Udržovací terapie</w:t>
            </w:r>
          </w:p>
          <w:p w14:paraId="69CF3D7D" w14:textId="77777777" w:rsidR="00EA5993" w:rsidRPr="009B1A37" w:rsidRDefault="00EA5993" w:rsidP="00BE3D48">
            <w:pPr>
              <w:pStyle w:val="EndnoteText"/>
              <w:widowControl w:val="0"/>
              <w:rPr>
                <w:color w:val="000000"/>
              </w:rPr>
            </w:pPr>
            <w:r w:rsidRPr="009B1A37">
              <w:rPr>
                <w:color w:val="000000"/>
              </w:rPr>
              <w:t>(8týdenní cykly)</w:t>
            </w:r>
          </w:p>
          <w:p w14:paraId="4E76D028" w14:textId="77777777" w:rsidR="00EA5993" w:rsidRPr="009B1A37" w:rsidRDefault="00EA5993" w:rsidP="00BE3D48">
            <w:pPr>
              <w:pStyle w:val="EndnoteText"/>
              <w:widowControl w:val="0"/>
              <w:rPr>
                <w:color w:val="000000"/>
              </w:rPr>
            </w:pPr>
            <w:r w:rsidRPr="009B1A37">
              <w:rPr>
                <w:color w:val="000000"/>
              </w:rPr>
              <w:t>Cykly 1–4</w:t>
            </w:r>
          </w:p>
        </w:tc>
        <w:tc>
          <w:tcPr>
            <w:tcW w:w="6929" w:type="dxa"/>
            <w:shd w:val="clear" w:color="auto" w:fill="auto"/>
          </w:tcPr>
          <w:p w14:paraId="3F1C7003" w14:textId="77777777" w:rsidR="00EA5993" w:rsidRPr="009B1A37" w:rsidRDefault="00EA5993" w:rsidP="00BE3D48">
            <w:pPr>
              <w:pStyle w:val="EndnoteText"/>
              <w:widowControl w:val="0"/>
              <w:rPr>
                <w:color w:val="000000"/>
              </w:rPr>
            </w:pPr>
            <w:r w:rsidRPr="009B1A37">
              <w:rPr>
                <w:color w:val="000000"/>
              </w:rPr>
              <w:t>MTX (5 g/m</w:t>
            </w:r>
            <w:r w:rsidRPr="009B1A37">
              <w:rPr>
                <w:color w:val="000000"/>
                <w:vertAlign w:val="superscript"/>
              </w:rPr>
              <w:t>2</w:t>
            </w:r>
            <w:r w:rsidRPr="009B1A37">
              <w:rPr>
                <w:color w:val="000000"/>
              </w:rPr>
              <w:t xml:space="preserve"> v průběhu 24 hodin, </w:t>
            </w:r>
            <w:r w:rsidR="003212CF" w:rsidRPr="009B1A37">
              <w:rPr>
                <w:color w:val="000000"/>
              </w:rPr>
              <w:t>i.v.</w:t>
            </w:r>
            <w:r w:rsidRPr="009B1A37">
              <w:rPr>
                <w:color w:val="000000"/>
              </w:rPr>
              <w:t>): den 1</w:t>
            </w:r>
          </w:p>
          <w:p w14:paraId="410208FE" w14:textId="77777777" w:rsidR="00EA5993" w:rsidRPr="009B1A37" w:rsidRDefault="003212CF" w:rsidP="00BE3D48">
            <w:pPr>
              <w:pStyle w:val="EndnoteText"/>
              <w:widowControl w:val="0"/>
              <w:rPr>
                <w:color w:val="000000"/>
              </w:rPr>
            </w:pPr>
            <w:r w:rsidRPr="009B1A37">
              <w:rPr>
                <w:color w:val="000000"/>
              </w:rPr>
              <w:t>l</w:t>
            </w:r>
            <w:r w:rsidR="00EA5993" w:rsidRPr="009B1A37">
              <w:rPr>
                <w:color w:val="000000"/>
              </w:rPr>
              <w:t>eukovorin (75 mg/m</w:t>
            </w:r>
            <w:r w:rsidR="00EA5993" w:rsidRPr="009B1A37">
              <w:rPr>
                <w:color w:val="000000"/>
                <w:vertAlign w:val="superscript"/>
              </w:rPr>
              <w:t>2</w:t>
            </w:r>
            <w:r w:rsidR="00EA5993" w:rsidRPr="009B1A37">
              <w:rPr>
                <w:color w:val="000000"/>
              </w:rPr>
              <w:t xml:space="preserve"> ve 36. hodině, </w:t>
            </w:r>
            <w:r w:rsidRPr="009B1A37">
              <w:rPr>
                <w:color w:val="000000"/>
              </w:rPr>
              <w:t>i.v.</w:t>
            </w:r>
            <w:r w:rsidR="00EA5993" w:rsidRPr="009B1A37">
              <w:rPr>
                <w:color w:val="000000"/>
              </w:rPr>
              <w:t>; 15 mg/m</w:t>
            </w:r>
            <w:r w:rsidR="00EA5993" w:rsidRPr="009B1A37">
              <w:rPr>
                <w:color w:val="000000"/>
                <w:vertAlign w:val="superscript"/>
              </w:rPr>
              <w:t>2</w:t>
            </w:r>
            <w:r w:rsidR="00EA5993" w:rsidRPr="009B1A37">
              <w:rPr>
                <w:color w:val="000000"/>
              </w:rPr>
              <w:t xml:space="preserve"> </w:t>
            </w:r>
            <w:r w:rsidRPr="009B1A37">
              <w:rPr>
                <w:color w:val="000000"/>
              </w:rPr>
              <w:t xml:space="preserve">i.v. </w:t>
            </w:r>
            <w:r w:rsidR="00EA5993" w:rsidRPr="009B1A37">
              <w:rPr>
                <w:color w:val="000000"/>
              </w:rPr>
              <w:t xml:space="preserve">nebo </w:t>
            </w:r>
            <w:r w:rsidRPr="009B1A37">
              <w:rPr>
                <w:color w:val="000000"/>
              </w:rPr>
              <w:t xml:space="preserve">p.o. </w:t>
            </w:r>
            <w:r w:rsidR="00EA5993" w:rsidRPr="009B1A37">
              <w:rPr>
                <w:color w:val="000000"/>
              </w:rPr>
              <w:t>q6h x 6 dávek)iii: dny 2 a 3</w:t>
            </w:r>
          </w:p>
          <w:p w14:paraId="061FD351" w14:textId="77777777" w:rsidR="00EA5993" w:rsidRPr="009B1A37" w:rsidRDefault="00EA5993" w:rsidP="00BE3D48">
            <w:pPr>
              <w:pStyle w:val="EndnoteText"/>
              <w:widowControl w:val="0"/>
              <w:rPr>
                <w:color w:val="000000"/>
              </w:rPr>
            </w:pPr>
            <w:r w:rsidRPr="009B1A37">
              <w:rPr>
                <w:color w:val="000000"/>
              </w:rPr>
              <w:t xml:space="preserve">Trojnásobná </w:t>
            </w:r>
            <w:r w:rsidR="003212CF" w:rsidRPr="009B1A37">
              <w:rPr>
                <w:color w:val="000000"/>
              </w:rPr>
              <w:t xml:space="preserve">i.t. </w:t>
            </w:r>
            <w:r w:rsidRPr="009B1A37">
              <w:rPr>
                <w:color w:val="000000"/>
              </w:rPr>
              <w:t>léčba (přizpůsobená věku): dny 1, 29</w:t>
            </w:r>
          </w:p>
          <w:p w14:paraId="0DFA7224" w14:textId="77777777" w:rsidR="00EA5993" w:rsidRPr="009B1A37" w:rsidRDefault="00EA5993" w:rsidP="00BE3D48">
            <w:pPr>
              <w:pStyle w:val="EndnoteText"/>
              <w:widowControl w:val="0"/>
              <w:rPr>
                <w:color w:val="000000"/>
              </w:rPr>
            </w:pPr>
            <w:r w:rsidRPr="009B1A37">
              <w:rPr>
                <w:color w:val="000000"/>
              </w:rPr>
              <w:t>VCR (1,5 mg/m</w:t>
            </w:r>
            <w:r w:rsidRPr="009B1A37">
              <w:rPr>
                <w:color w:val="000000"/>
                <w:vertAlign w:val="superscript"/>
              </w:rPr>
              <w:t>2</w:t>
            </w:r>
            <w:r w:rsidRPr="009B1A37">
              <w:rPr>
                <w:color w:val="000000"/>
              </w:rPr>
              <w:t xml:space="preserve">, </w:t>
            </w:r>
            <w:r w:rsidR="003212CF" w:rsidRPr="009B1A37">
              <w:rPr>
                <w:color w:val="000000"/>
              </w:rPr>
              <w:t>i.v.</w:t>
            </w:r>
            <w:r w:rsidRPr="009B1A37">
              <w:rPr>
                <w:color w:val="000000"/>
              </w:rPr>
              <w:t>): dny 1, 29</w:t>
            </w:r>
          </w:p>
          <w:p w14:paraId="5BF98CE5" w14:textId="77777777" w:rsidR="00EA5993" w:rsidRPr="009B1A37" w:rsidRDefault="00EA5993" w:rsidP="00BE3D48">
            <w:pPr>
              <w:pStyle w:val="EndnoteText"/>
              <w:widowControl w:val="0"/>
              <w:rPr>
                <w:color w:val="000000"/>
              </w:rPr>
            </w:pPr>
            <w:r w:rsidRPr="009B1A37">
              <w:rPr>
                <w:color w:val="000000"/>
              </w:rPr>
              <w:t>DEX (6 mg/m</w:t>
            </w:r>
            <w:r w:rsidRPr="009B1A37">
              <w:rPr>
                <w:color w:val="000000"/>
                <w:vertAlign w:val="superscript"/>
              </w:rPr>
              <w:t>2</w:t>
            </w:r>
            <w:r w:rsidRPr="009B1A37">
              <w:rPr>
                <w:color w:val="000000"/>
              </w:rPr>
              <w:t xml:space="preserve">/den </w:t>
            </w:r>
            <w:r w:rsidR="003212CF" w:rsidRPr="009B1A37">
              <w:rPr>
                <w:color w:val="000000"/>
              </w:rPr>
              <w:t>p.o.</w:t>
            </w:r>
            <w:r w:rsidRPr="009B1A37">
              <w:rPr>
                <w:color w:val="000000"/>
              </w:rPr>
              <w:t>): dny 1</w:t>
            </w:r>
            <w:r w:rsidRPr="009B1A37">
              <w:rPr>
                <w:color w:val="000000"/>
              </w:rPr>
              <w:noBreakHyphen/>
              <w:t>5; 29</w:t>
            </w:r>
            <w:r w:rsidRPr="009B1A37">
              <w:rPr>
                <w:color w:val="000000"/>
              </w:rPr>
              <w:noBreakHyphen/>
              <w:t>33</w:t>
            </w:r>
          </w:p>
          <w:p w14:paraId="0F9F016A" w14:textId="77777777" w:rsidR="00EA5993" w:rsidRPr="009B1A37" w:rsidRDefault="00EA5993" w:rsidP="00BE3D48">
            <w:pPr>
              <w:pStyle w:val="EndnoteText"/>
              <w:widowControl w:val="0"/>
              <w:rPr>
                <w:color w:val="000000"/>
              </w:rPr>
            </w:pPr>
            <w:r w:rsidRPr="009B1A37">
              <w:rPr>
                <w:color w:val="000000"/>
              </w:rPr>
              <w:t>6-MP (75 mg/m</w:t>
            </w:r>
            <w:r w:rsidRPr="009B1A37">
              <w:rPr>
                <w:color w:val="000000"/>
                <w:vertAlign w:val="superscript"/>
              </w:rPr>
              <w:t>2</w:t>
            </w:r>
            <w:r w:rsidRPr="009B1A37">
              <w:rPr>
                <w:color w:val="000000"/>
              </w:rPr>
              <w:t xml:space="preserve">/den, </w:t>
            </w:r>
            <w:r w:rsidR="003212CF" w:rsidRPr="009B1A37">
              <w:rPr>
                <w:color w:val="000000"/>
              </w:rPr>
              <w:t>p.o.</w:t>
            </w:r>
            <w:r w:rsidRPr="009B1A37">
              <w:rPr>
                <w:color w:val="000000"/>
              </w:rPr>
              <w:t>): dny 8-28</w:t>
            </w:r>
          </w:p>
          <w:p w14:paraId="6205F947" w14:textId="77777777" w:rsidR="00EA5993" w:rsidRPr="009B1A37" w:rsidRDefault="003212CF" w:rsidP="00BE3D48">
            <w:pPr>
              <w:pStyle w:val="EndnoteText"/>
              <w:widowControl w:val="0"/>
              <w:rPr>
                <w:color w:val="000000"/>
              </w:rPr>
            </w:pPr>
            <w:r w:rsidRPr="009B1A37">
              <w:rPr>
                <w:color w:val="000000"/>
              </w:rPr>
              <w:t>m</w:t>
            </w:r>
            <w:r w:rsidR="00EA5993" w:rsidRPr="009B1A37">
              <w:rPr>
                <w:color w:val="000000"/>
              </w:rPr>
              <w:t>ethotrexát (20 mg/m</w:t>
            </w:r>
            <w:r w:rsidR="00EA5993" w:rsidRPr="009B1A37">
              <w:rPr>
                <w:color w:val="000000"/>
                <w:vertAlign w:val="superscript"/>
              </w:rPr>
              <w:t>2</w:t>
            </w:r>
            <w:r w:rsidR="00EA5993" w:rsidRPr="009B1A37">
              <w:rPr>
                <w:color w:val="000000"/>
              </w:rPr>
              <w:t xml:space="preserve">/týden, </w:t>
            </w:r>
            <w:r w:rsidRPr="009B1A37">
              <w:rPr>
                <w:color w:val="000000"/>
              </w:rPr>
              <w:t>p.o.</w:t>
            </w:r>
            <w:r w:rsidR="00EA5993" w:rsidRPr="009B1A37">
              <w:rPr>
                <w:color w:val="000000"/>
              </w:rPr>
              <w:t>): dny 8, 15, 22</w:t>
            </w:r>
          </w:p>
          <w:p w14:paraId="1A38F45C" w14:textId="77777777" w:rsidR="00EA5993" w:rsidRPr="009B1A37" w:rsidRDefault="00EA5993" w:rsidP="00BE3D48">
            <w:pPr>
              <w:pStyle w:val="EndnoteText"/>
              <w:widowControl w:val="0"/>
              <w:rPr>
                <w:color w:val="000000"/>
              </w:rPr>
            </w:pPr>
            <w:r w:rsidRPr="009B1A37">
              <w:rPr>
                <w:color w:val="000000"/>
              </w:rPr>
              <w:t>VP-16 (100 mg/m</w:t>
            </w:r>
            <w:r w:rsidRPr="009B1A37">
              <w:rPr>
                <w:color w:val="000000"/>
                <w:vertAlign w:val="superscript"/>
              </w:rPr>
              <w:t>2</w:t>
            </w:r>
            <w:r w:rsidRPr="009B1A37">
              <w:rPr>
                <w:color w:val="000000"/>
              </w:rPr>
              <w:t xml:space="preserve">, </w:t>
            </w:r>
            <w:r w:rsidR="003212CF" w:rsidRPr="009B1A37">
              <w:rPr>
                <w:color w:val="000000"/>
              </w:rPr>
              <w:t>i.v.</w:t>
            </w:r>
            <w:r w:rsidRPr="009B1A37">
              <w:rPr>
                <w:color w:val="000000"/>
              </w:rPr>
              <w:t>): dny 29</w:t>
            </w:r>
            <w:r w:rsidRPr="009B1A37">
              <w:rPr>
                <w:color w:val="000000"/>
              </w:rPr>
              <w:noBreakHyphen/>
              <w:t>33</w:t>
            </w:r>
          </w:p>
          <w:p w14:paraId="16031F8D" w14:textId="77777777" w:rsidR="00EA5993" w:rsidRPr="009B1A37" w:rsidRDefault="00EA5993" w:rsidP="00BE3D48">
            <w:pPr>
              <w:pStyle w:val="EndnoteText"/>
              <w:widowControl w:val="0"/>
              <w:rPr>
                <w:color w:val="000000"/>
              </w:rPr>
            </w:pPr>
            <w:r w:rsidRPr="009B1A37">
              <w:rPr>
                <w:color w:val="000000"/>
              </w:rPr>
              <w:t>CPM (300 mg/m</w:t>
            </w:r>
            <w:r w:rsidRPr="009B1A37">
              <w:rPr>
                <w:color w:val="000000"/>
                <w:vertAlign w:val="superscript"/>
              </w:rPr>
              <w:t>2</w:t>
            </w:r>
            <w:r w:rsidRPr="009B1A37">
              <w:rPr>
                <w:color w:val="000000"/>
              </w:rPr>
              <w:t xml:space="preserve">, </w:t>
            </w:r>
            <w:r w:rsidR="003212CF" w:rsidRPr="009B1A37">
              <w:rPr>
                <w:color w:val="000000"/>
              </w:rPr>
              <w:t>i.v.</w:t>
            </w:r>
            <w:r w:rsidRPr="009B1A37">
              <w:rPr>
                <w:color w:val="000000"/>
              </w:rPr>
              <w:t>): dny 29</w:t>
            </w:r>
            <w:r w:rsidRPr="009B1A37">
              <w:rPr>
                <w:color w:val="000000"/>
              </w:rPr>
              <w:noBreakHyphen/>
              <w:t>33</w:t>
            </w:r>
          </w:p>
          <w:p w14:paraId="10DE2B8F" w14:textId="77777777" w:rsidR="00EA5993" w:rsidRPr="009B1A37" w:rsidRDefault="00EA5993" w:rsidP="00BE3D48">
            <w:pPr>
              <w:pStyle w:val="EndnoteText"/>
              <w:widowControl w:val="0"/>
              <w:rPr>
                <w:color w:val="000000"/>
              </w:rPr>
            </w:pPr>
            <w:r w:rsidRPr="009B1A37">
              <w:rPr>
                <w:color w:val="000000"/>
              </w:rPr>
              <w:t xml:space="preserve">MESNA </w:t>
            </w:r>
            <w:r w:rsidR="003212CF" w:rsidRPr="009B1A37">
              <w:rPr>
                <w:color w:val="000000"/>
              </w:rPr>
              <w:t xml:space="preserve">i.v. </w:t>
            </w:r>
            <w:r w:rsidRPr="009B1A37">
              <w:rPr>
                <w:color w:val="000000"/>
              </w:rPr>
              <w:t>dny 29</w:t>
            </w:r>
            <w:r w:rsidRPr="009B1A37">
              <w:rPr>
                <w:color w:val="000000"/>
              </w:rPr>
              <w:noBreakHyphen/>
              <w:t>33</w:t>
            </w:r>
          </w:p>
          <w:p w14:paraId="3639BD6E" w14:textId="77777777" w:rsidR="00EA5993" w:rsidRPr="009B1A37" w:rsidRDefault="00EA5993" w:rsidP="00BE3D48">
            <w:pPr>
              <w:pStyle w:val="EndnoteText"/>
              <w:widowControl w:val="0"/>
              <w:rPr>
                <w:color w:val="000000"/>
              </w:rPr>
            </w:pPr>
            <w:r w:rsidRPr="009B1A37">
              <w:rPr>
                <w:color w:val="000000"/>
              </w:rPr>
              <w:t xml:space="preserve">G-CSF (5 μg/kg, </w:t>
            </w:r>
            <w:r w:rsidR="003212CF" w:rsidRPr="009B1A37">
              <w:rPr>
                <w:color w:val="000000"/>
              </w:rPr>
              <w:t>s.c.</w:t>
            </w:r>
            <w:r w:rsidRPr="009B1A37">
              <w:rPr>
                <w:color w:val="000000"/>
              </w:rPr>
              <w:t>): dny 34</w:t>
            </w:r>
            <w:r w:rsidRPr="009B1A37">
              <w:rPr>
                <w:color w:val="000000"/>
              </w:rPr>
              <w:noBreakHyphen/>
              <w:t>43</w:t>
            </w:r>
          </w:p>
        </w:tc>
      </w:tr>
      <w:tr w:rsidR="00EA5993" w:rsidRPr="009B1A37" w14:paraId="4C4DFB40" w14:textId="77777777" w:rsidTr="000E0B78">
        <w:trPr>
          <w:cantSplit/>
        </w:trPr>
        <w:tc>
          <w:tcPr>
            <w:tcW w:w="2358" w:type="dxa"/>
            <w:shd w:val="clear" w:color="auto" w:fill="auto"/>
          </w:tcPr>
          <w:p w14:paraId="038F8FD5" w14:textId="77777777" w:rsidR="00EA5993" w:rsidRPr="009B1A37" w:rsidRDefault="00EA5993" w:rsidP="00BE3D48">
            <w:pPr>
              <w:pStyle w:val="EndnoteText"/>
              <w:widowControl w:val="0"/>
              <w:rPr>
                <w:color w:val="000000"/>
              </w:rPr>
            </w:pPr>
            <w:r w:rsidRPr="009B1A37">
              <w:rPr>
                <w:color w:val="000000"/>
              </w:rPr>
              <w:t>Udržovací terapie</w:t>
            </w:r>
          </w:p>
          <w:p w14:paraId="358D9D9F" w14:textId="77777777" w:rsidR="00EA5993" w:rsidRPr="009B1A37" w:rsidRDefault="00EA5993" w:rsidP="00BE3D48">
            <w:pPr>
              <w:pStyle w:val="EndnoteText"/>
              <w:widowControl w:val="0"/>
              <w:rPr>
                <w:color w:val="000000"/>
              </w:rPr>
            </w:pPr>
            <w:r w:rsidRPr="009B1A37">
              <w:rPr>
                <w:color w:val="000000"/>
              </w:rPr>
              <w:t>(8týdenní cykly)</w:t>
            </w:r>
          </w:p>
          <w:p w14:paraId="14E49BEE" w14:textId="77777777" w:rsidR="00EA5993" w:rsidRPr="009B1A37" w:rsidRDefault="00EA5993" w:rsidP="00BE3D48">
            <w:pPr>
              <w:pStyle w:val="EndnoteText"/>
              <w:widowControl w:val="0"/>
              <w:rPr>
                <w:color w:val="000000"/>
              </w:rPr>
            </w:pPr>
            <w:r w:rsidRPr="009B1A37">
              <w:rPr>
                <w:color w:val="000000"/>
              </w:rPr>
              <w:t>Cyklus 5</w:t>
            </w:r>
          </w:p>
        </w:tc>
        <w:tc>
          <w:tcPr>
            <w:tcW w:w="6929" w:type="dxa"/>
            <w:shd w:val="clear" w:color="auto" w:fill="auto"/>
          </w:tcPr>
          <w:p w14:paraId="213EB1A9" w14:textId="77777777" w:rsidR="00EA5993" w:rsidRPr="009B1A37" w:rsidRDefault="00EA5993" w:rsidP="00BE3D48">
            <w:pPr>
              <w:pStyle w:val="EndnoteText"/>
              <w:widowControl w:val="0"/>
              <w:rPr>
                <w:color w:val="000000"/>
              </w:rPr>
            </w:pPr>
            <w:r w:rsidRPr="009B1A37">
              <w:rPr>
                <w:color w:val="000000"/>
              </w:rPr>
              <w:t xml:space="preserve">Ozařování krania (pouze </w:t>
            </w:r>
            <w:r w:rsidR="004F264F" w:rsidRPr="009B1A37">
              <w:rPr>
                <w:color w:val="000000"/>
              </w:rPr>
              <w:t>cyklus </w:t>
            </w:r>
            <w:r w:rsidRPr="009B1A37">
              <w:rPr>
                <w:color w:val="000000"/>
              </w:rPr>
              <w:t>5)</w:t>
            </w:r>
          </w:p>
          <w:p w14:paraId="7D325CB5" w14:textId="77777777" w:rsidR="00EA5993" w:rsidRPr="009B1A37" w:rsidRDefault="00EA5993" w:rsidP="00BE3D48">
            <w:pPr>
              <w:pStyle w:val="EndnoteText"/>
              <w:widowControl w:val="0"/>
              <w:rPr>
                <w:color w:val="000000"/>
              </w:rPr>
            </w:pPr>
            <w:r w:rsidRPr="009B1A37">
              <w:rPr>
                <w:color w:val="000000"/>
              </w:rPr>
              <w:t>12 Gy v 8 frakcích pro všechny pacienty s CNS1 a CNS2 v diagnóze</w:t>
            </w:r>
          </w:p>
          <w:p w14:paraId="101B946D" w14:textId="77777777" w:rsidR="00EA5993" w:rsidRPr="009B1A37" w:rsidRDefault="00EA5993" w:rsidP="00BE3D48">
            <w:pPr>
              <w:pStyle w:val="EndnoteText"/>
              <w:widowControl w:val="0"/>
              <w:rPr>
                <w:color w:val="000000"/>
              </w:rPr>
            </w:pPr>
            <w:r w:rsidRPr="009B1A37">
              <w:rPr>
                <w:color w:val="000000"/>
              </w:rPr>
              <w:t>18 Gy v 10 frakcích pro pacienty s CNS3 v diagnóze</w:t>
            </w:r>
          </w:p>
          <w:p w14:paraId="0D19D911" w14:textId="77777777" w:rsidR="00EA5993" w:rsidRPr="009B1A37" w:rsidRDefault="00EA5993" w:rsidP="00BE3D48">
            <w:pPr>
              <w:pStyle w:val="EndnoteText"/>
              <w:widowControl w:val="0"/>
              <w:rPr>
                <w:color w:val="000000"/>
              </w:rPr>
            </w:pPr>
            <w:r w:rsidRPr="009B1A37">
              <w:rPr>
                <w:color w:val="000000"/>
              </w:rPr>
              <w:t>VCR (1,5 mg/m</w:t>
            </w:r>
            <w:r w:rsidRPr="009B1A37">
              <w:rPr>
                <w:color w:val="000000"/>
                <w:vertAlign w:val="superscript"/>
              </w:rPr>
              <w:t>2</w:t>
            </w:r>
            <w:r w:rsidRPr="009B1A37">
              <w:rPr>
                <w:color w:val="000000"/>
              </w:rPr>
              <w:t xml:space="preserve">/den, </w:t>
            </w:r>
            <w:r w:rsidR="004F264F" w:rsidRPr="009B1A37">
              <w:rPr>
                <w:color w:val="000000"/>
              </w:rPr>
              <w:t>i.v.</w:t>
            </w:r>
            <w:r w:rsidRPr="009B1A37">
              <w:rPr>
                <w:color w:val="000000"/>
              </w:rPr>
              <w:t>): dny 1, 29</w:t>
            </w:r>
          </w:p>
          <w:p w14:paraId="33A90EE2" w14:textId="77777777" w:rsidR="00EA5993" w:rsidRPr="009B1A37" w:rsidRDefault="00EA5993" w:rsidP="00BE3D48">
            <w:pPr>
              <w:pStyle w:val="EndnoteText"/>
              <w:widowControl w:val="0"/>
              <w:rPr>
                <w:color w:val="000000"/>
              </w:rPr>
            </w:pPr>
            <w:r w:rsidRPr="009B1A37">
              <w:rPr>
                <w:color w:val="000000"/>
              </w:rPr>
              <w:t>DEX (6 mg/m</w:t>
            </w:r>
            <w:r w:rsidRPr="009B1A37">
              <w:rPr>
                <w:color w:val="000000"/>
                <w:vertAlign w:val="superscript"/>
              </w:rPr>
              <w:t>2</w:t>
            </w:r>
            <w:r w:rsidRPr="009B1A37">
              <w:rPr>
                <w:color w:val="000000"/>
              </w:rPr>
              <w:t xml:space="preserve">/den, </w:t>
            </w:r>
            <w:r w:rsidR="004F264F" w:rsidRPr="009B1A37">
              <w:rPr>
                <w:color w:val="000000"/>
              </w:rPr>
              <w:t>p.o.</w:t>
            </w:r>
            <w:r w:rsidRPr="009B1A37">
              <w:rPr>
                <w:color w:val="000000"/>
              </w:rPr>
              <w:t>): dny 1</w:t>
            </w:r>
            <w:r w:rsidRPr="009B1A37">
              <w:rPr>
                <w:color w:val="000000"/>
              </w:rPr>
              <w:noBreakHyphen/>
              <w:t>5; 29</w:t>
            </w:r>
            <w:r w:rsidRPr="009B1A37">
              <w:rPr>
                <w:color w:val="000000"/>
              </w:rPr>
              <w:noBreakHyphen/>
              <w:t>33</w:t>
            </w:r>
          </w:p>
          <w:p w14:paraId="77ACC64B" w14:textId="77777777" w:rsidR="00EA5993" w:rsidRPr="009B1A37" w:rsidRDefault="00EA5993" w:rsidP="00BE3D48">
            <w:pPr>
              <w:pStyle w:val="EndnoteText"/>
              <w:widowControl w:val="0"/>
              <w:rPr>
                <w:color w:val="000000"/>
              </w:rPr>
            </w:pPr>
            <w:r w:rsidRPr="009B1A37">
              <w:rPr>
                <w:color w:val="000000"/>
              </w:rPr>
              <w:t>6-MP (75 mg/m</w:t>
            </w:r>
            <w:r w:rsidRPr="009B1A37">
              <w:rPr>
                <w:color w:val="000000"/>
                <w:vertAlign w:val="superscript"/>
              </w:rPr>
              <w:t>2</w:t>
            </w:r>
            <w:r w:rsidRPr="009B1A37">
              <w:rPr>
                <w:color w:val="000000"/>
              </w:rPr>
              <w:t xml:space="preserve">/den, </w:t>
            </w:r>
            <w:r w:rsidR="004F264F" w:rsidRPr="009B1A37">
              <w:rPr>
                <w:color w:val="000000"/>
              </w:rPr>
              <w:t>p.o.</w:t>
            </w:r>
            <w:r w:rsidRPr="009B1A37">
              <w:rPr>
                <w:color w:val="000000"/>
              </w:rPr>
              <w:t>): dny 11</w:t>
            </w:r>
            <w:r w:rsidRPr="009B1A37">
              <w:rPr>
                <w:color w:val="000000"/>
              </w:rPr>
              <w:noBreakHyphen/>
              <w:t>56 (Vysazení 6-MP během 6</w:t>
            </w:r>
            <w:r w:rsidRPr="009B1A37">
              <w:rPr>
                <w:color w:val="000000"/>
              </w:rPr>
              <w:noBreakHyphen/>
              <w:t>10 dní ozařování krania počínaje prvním dnem cyklu 5. Započněte léčbu 6-MP první den po dokončení ozařování krania.)</w:t>
            </w:r>
          </w:p>
          <w:p w14:paraId="3A40356A" w14:textId="77777777" w:rsidR="00EA5993" w:rsidRPr="009B1A37" w:rsidRDefault="004F264F" w:rsidP="00BE3D48">
            <w:pPr>
              <w:pStyle w:val="EndnoteText"/>
              <w:widowControl w:val="0"/>
              <w:rPr>
                <w:color w:val="000000"/>
              </w:rPr>
            </w:pPr>
            <w:r w:rsidRPr="009B1A37">
              <w:rPr>
                <w:color w:val="000000"/>
              </w:rPr>
              <w:t>m</w:t>
            </w:r>
            <w:r w:rsidR="00EA5993" w:rsidRPr="009B1A37">
              <w:rPr>
                <w:color w:val="000000"/>
              </w:rPr>
              <w:t>ethotrexát (20 mg/m</w:t>
            </w:r>
            <w:r w:rsidR="00EA5993" w:rsidRPr="009B1A37">
              <w:rPr>
                <w:color w:val="000000"/>
                <w:vertAlign w:val="superscript"/>
              </w:rPr>
              <w:t>2</w:t>
            </w:r>
            <w:r w:rsidR="00EA5993" w:rsidRPr="009B1A37">
              <w:rPr>
                <w:color w:val="000000"/>
              </w:rPr>
              <w:t xml:space="preserve">/týden, </w:t>
            </w:r>
            <w:r w:rsidRPr="009B1A37">
              <w:rPr>
                <w:color w:val="000000"/>
              </w:rPr>
              <w:t>p.o.</w:t>
            </w:r>
            <w:r w:rsidR="00EA5993" w:rsidRPr="009B1A37">
              <w:rPr>
                <w:color w:val="000000"/>
              </w:rPr>
              <w:t>): dny 8, 15, 22, 29, 36, 43, 50</w:t>
            </w:r>
          </w:p>
        </w:tc>
      </w:tr>
      <w:tr w:rsidR="00EA5993" w:rsidRPr="009B1A37" w14:paraId="69A20F0E" w14:textId="77777777" w:rsidTr="000E0B78">
        <w:trPr>
          <w:cantSplit/>
        </w:trPr>
        <w:tc>
          <w:tcPr>
            <w:tcW w:w="2358" w:type="dxa"/>
            <w:shd w:val="clear" w:color="auto" w:fill="auto"/>
          </w:tcPr>
          <w:p w14:paraId="66AC949F" w14:textId="77777777" w:rsidR="00EA5993" w:rsidRPr="009B1A37" w:rsidRDefault="00EA5993" w:rsidP="00EB4FF7">
            <w:pPr>
              <w:pStyle w:val="EndnoteText"/>
              <w:keepNext/>
              <w:widowControl w:val="0"/>
              <w:rPr>
                <w:color w:val="000000"/>
              </w:rPr>
            </w:pPr>
            <w:r w:rsidRPr="009B1A37">
              <w:rPr>
                <w:color w:val="000000"/>
              </w:rPr>
              <w:t>Udržovací terapie</w:t>
            </w:r>
          </w:p>
          <w:p w14:paraId="05CE97D1" w14:textId="77777777" w:rsidR="00EA5993" w:rsidRPr="009B1A37" w:rsidRDefault="00EA5993" w:rsidP="00EB4FF7">
            <w:pPr>
              <w:pStyle w:val="EndnoteText"/>
              <w:keepNext/>
              <w:widowControl w:val="0"/>
              <w:rPr>
                <w:color w:val="000000"/>
              </w:rPr>
            </w:pPr>
            <w:r w:rsidRPr="009B1A37">
              <w:rPr>
                <w:color w:val="000000"/>
              </w:rPr>
              <w:t>(8týdenní cykly)</w:t>
            </w:r>
          </w:p>
          <w:p w14:paraId="61A2F0A9" w14:textId="77777777" w:rsidR="00EA5993" w:rsidRPr="009B1A37" w:rsidRDefault="00EA5993" w:rsidP="00EB4FF7">
            <w:pPr>
              <w:pStyle w:val="EndnoteText"/>
              <w:keepNext/>
              <w:widowControl w:val="0"/>
              <w:rPr>
                <w:color w:val="000000"/>
              </w:rPr>
            </w:pPr>
            <w:r w:rsidRPr="009B1A37">
              <w:rPr>
                <w:color w:val="000000"/>
              </w:rPr>
              <w:t>Cykly 6</w:t>
            </w:r>
            <w:r w:rsidRPr="009B1A37">
              <w:rPr>
                <w:color w:val="000000"/>
              </w:rPr>
              <w:noBreakHyphen/>
              <w:t>12</w:t>
            </w:r>
          </w:p>
        </w:tc>
        <w:tc>
          <w:tcPr>
            <w:tcW w:w="6929" w:type="dxa"/>
            <w:shd w:val="clear" w:color="auto" w:fill="auto"/>
          </w:tcPr>
          <w:p w14:paraId="42F76507" w14:textId="77777777" w:rsidR="00EA5993" w:rsidRPr="009B1A37" w:rsidRDefault="00EA5993" w:rsidP="00EB4FF7">
            <w:pPr>
              <w:pStyle w:val="EndnoteText"/>
              <w:keepNext/>
              <w:widowControl w:val="0"/>
              <w:rPr>
                <w:color w:val="000000"/>
              </w:rPr>
            </w:pPr>
            <w:r w:rsidRPr="009B1A37">
              <w:rPr>
                <w:color w:val="000000"/>
              </w:rPr>
              <w:t>VCR (1,5 mg/m</w:t>
            </w:r>
            <w:r w:rsidRPr="009B1A37">
              <w:rPr>
                <w:color w:val="000000"/>
                <w:vertAlign w:val="superscript"/>
              </w:rPr>
              <w:t>2</w:t>
            </w:r>
            <w:r w:rsidRPr="009B1A37">
              <w:rPr>
                <w:color w:val="000000"/>
              </w:rPr>
              <w:t xml:space="preserve">/den, </w:t>
            </w:r>
            <w:r w:rsidR="004F264F" w:rsidRPr="009B1A37">
              <w:rPr>
                <w:color w:val="000000"/>
              </w:rPr>
              <w:t>i.v.</w:t>
            </w:r>
            <w:r w:rsidRPr="009B1A37">
              <w:rPr>
                <w:color w:val="000000"/>
              </w:rPr>
              <w:t>): dny 1, 29</w:t>
            </w:r>
          </w:p>
          <w:p w14:paraId="27EB8B05" w14:textId="77777777" w:rsidR="00EA5993" w:rsidRPr="009B1A37" w:rsidRDefault="00EA5993" w:rsidP="00EB4FF7">
            <w:pPr>
              <w:pStyle w:val="EndnoteText"/>
              <w:keepNext/>
              <w:widowControl w:val="0"/>
              <w:rPr>
                <w:color w:val="000000"/>
              </w:rPr>
            </w:pPr>
            <w:r w:rsidRPr="009B1A37">
              <w:rPr>
                <w:color w:val="000000"/>
              </w:rPr>
              <w:t>DEX (6 mg/m</w:t>
            </w:r>
            <w:r w:rsidRPr="009B1A37">
              <w:rPr>
                <w:color w:val="000000"/>
                <w:vertAlign w:val="superscript"/>
              </w:rPr>
              <w:t>2</w:t>
            </w:r>
            <w:r w:rsidRPr="009B1A37">
              <w:rPr>
                <w:color w:val="000000"/>
              </w:rPr>
              <w:t xml:space="preserve">/den, </w:t>
            </w:r>
            <w:r w:rsidR="004F264F" w:rsidRPr="009B1A37">
              <w:rPr>
                <w:color w:val="000000"/>
              </w:rPr>
              <w:t>p.o.</w:t>
            </w:r>
            <w:r w:rsidRPr="009B1A37">
              <w:rPr>
                <w:color w:val="000000"/>
              </w:rPr>
              <w:t>): dny 1</w:t>
            </w:r>
            <w:r w:rsidRPr="009B1A37">
              <w:rPr>
                <w:color w:val="000000"/>
              </w:rPr>
              <w:noBreakHyphen/>
              <w:t>5; 29</w:t>
            </w:r>
            <w:r w:rsidRPr="009B1A37">
              <w:rPr>
                <w:color w:val="000000"/>
              </w:rPr>
              <w:noBreakHyphen/>
              <w:t>33</w:t>
            </w:r>
          </w:p>
          <w:p w14:paraId="1241119E" w14:textId="77777777" w:rsidR="00EA5993" w:rsidRPr="009B1A37" w:rsidRDefault="00EA5993" w:rsidP="00EB4FF7">
            <w:pPr>
              <w:pStyle w:val="EndnoteText"/>
              <w:keepNext/>
              <w:widowControl w:val="0"/>
              <w:rPr>
                <w:color w:val="000000"/>
              </w:rPr>
            </w:pPr>
            <w:r w:rsidRPr="009B1A37">
              <w:rPr>
                <w:color w:val="000000"/>
              </w:rPr>
              <w:t>6-MP (75 mg/m</w:t>
            </w:r>
            <w:r w:rsidRPr="009B1A37">
              <w:rPr>
                <w:color w:val="000000"/>
                <w:vertAlign w:val="superscript"/>
              </w:rPr>
              <w:t>2</w:t>
            </w:r>
            <w:r w:rsidRPr="009B1A37">
              <w:rPr>
                <w:color w:val="000000"/>
              </w:rPr>
              <w:t xml:space="preserve">/den, </w:t>
            </w:r>
            <w:r w:rsidR="004F264F" w:rsidRPr="009B1A37">
              <w:rPr>
                <w:color w:val="000000"/>
              </w:rPr>
              <w:t>p.o.</w:t>
            </w:r>
            <w:r w:rsidRPr="009B1A37">
              <w:rPr>
                <w:color w:val="000000"/>
              </w:rPr>
              <w:t>): dny 1</w:t>
            </w:r>
            <w:r w:rsidRPr="009B1A37">
              <w:rPr>
                <w:color w:val="000000"/>
              </w:rPr>
              <w:noBreakHyphen/>
              <w:t>56</w:t>
            </w:r>
          </w:p>
          <w:p w14:paraId="654D82DC" w14:textId="77777777" w:rsidR="00EA5993" w:rsidRPr="009B1A37" w:rsidRDefault="004F264F" w:rsidP="00EB4FF7">
            <w:pPr>
              <w:pStyle w:val="EndnoteText"/>
              <w:keepNext/>
              <w:widowControl w:val="0"/>
              <w:rPr>
                <w:color w:val="000000"/>
              </w:rPr>
            </w:pPr>
            <w:r w:rsidRPr="009B1A37">
              <w:rPr>
                <w:color w:val="000000"/>
              </w:rPr>
              <w:t>m</w:t>
            </w:r>
            <w:r w:rsidR="00EA5993" w:rsidRPr="009B1A37">
              <w:rPr>
                <w:color w:val="000000"/>
              </w:rPr>
              <w:t>ethotrexát (20 mg/m</w:t>
            </w:r>
            <w:r w:rsidR="00EA5993" w:rsidRPr="009B1A37">
              <w:rPr>
                <w:color w:val="000000"/>
                <w:vertAlign w:val="superscript"/>
              </w:rPr>
              <w:t>2</w:t>
            </w:r>
            <w:r w:rsidR="00EA5993" w:rsidRPr="009B1A37">
              <w:rPr>
                <w:color w:val="000000"/>
              </w:rPr>
              <w:t xml:space="preserve">/týden, </w:t>
            </w:r>
            <w:r w:rsidRPr="009B1A37">
              <w:rPr>
                <w:color w:val="000000"/>
              </w:rPr>
              <w:t>p.o.</w:t>
            </w:r>
            <w:r w:rsidR="00EA5993" w:rsidRPr="009B1A37">
              <w:rPr>
                <w:color w:val="000000"/>
              </w:rPr>
              <w:t>): dny 1, 8, 15, 22, 29, 36, 43, 50</w:t>
            </w:r>
          </w:p>
        </w:tc>
      </w:tr>
    </w:tbl>
    <w:p w14:paraId="092883D3" w14:textId="77777777" w:rsidR="00EA5993" w:rsidRPr="009B1A37" w:rsidRDefault="00EA5993" w:rsidP="00EB4FF7">
      <w:pPr>
        <w:pStyle w:val="EndnoteText"/>
        <w:keepLines/>
        <w:widowControl w:val="0"/>
        <w:rPr>
          <w:color w:val="000000"/>
        </w:rPr>
      </w:pPr>
      <w:r w:rsidRPr="009B1A37">
        <w:rPr>
          <w:color w:val="000000"/>
        </w:rPr>
        <w:t xml:space="preserve">G-CSF = </w:t>
      </w:r>
      <w:r w:rsidR="004F264F" w:rsidRPr="009B1A37">
        <w:rPr>
          <w:color w:val="000000"/>
        </w:rPr>
        <w:t>stimulační faktor</w:t>
      </w:r>
      <w:r w:rsidRPr="009B1A37">
        <w:t xml:space="preserve"> pro granulocytární řadu leukocytů</w:t>
      </w:r>
      <w:r w:rsidRPr="009B1A37">
        <w:rPr>
          <w:color w:val="000000"/>
        </w:rPr>
        <w:t xml:space="preserve">, VP-16 = etoposid, MTX = methotrexát, </w:t>
      </w:r>
      <w:r w:rsidR="004F264F" w:rsidRPr="009B1A37">
        <w:rPr>
          <w:color w:val="000000"/>
        </w:rPr>
        <w:t xml:space="preserve">i.v. </w:t>
      </w:r>
      <w:r w:rsidRPr="009B1A37">
        <w:rPr>
          <w:color w:val="000000"/>
        </w:rPr>
        <w:t xml:space="preserve">= intravenózní, </w:t>
      </w:r>
      <w:r w:rsidR="004F264F" w:rsidRPr="009B1A37">
        <w:rPr>
          <w:color w:val="000000"/>
        </w:rPr>
        <w:t xml:space="preserve">s.c. </w:t>
      </w:r>
      <w:r w:rsidRPr="009B1A37">
        <w:rPr>
          <w:color w:val="000000"/>
        </w:rPr>
        <w:t xml:space="preserve">= subkutánní, </w:t>
      </w:r>
      <w:r w:rsidR="004F264F" w:rsidRPr="009B1A37">
        <w:rPr>
          <w:color w:val="000000"/>
        </w:rPr>
        <w:t xml:space="preserve">i.t. </w:t>
      </w:r>
      <w:r w:rsidRPr="009B1A37">
        <w:rPr>
          <w:color w:val="000000"/>
        </w:rPr>
        <w:t xml:space="preserve">= intratekální, </w:t>
      </w:r>
      <w:r w:rsidR="004F264F" w:rsidRPr="009B1A37">
        <w:rPr>
          <w:color w:val="000000"/>
        </w:rPr>
        <w:t xml:space="preserve">p.o. </w:t>
      </w:r>
      <w:r w:rsidRPr="009B1A37">
        <w:rPr>
          <w:color w:val="000000"/>
        </w:rPr>
        <w:t xml:space="preserve">= perorální, </w:t>
      </w:r>
      <w:r w:rsidR="004F264F" w:rsidRPr="009B1A37">
        <w:rPr>
          <w:color w:val="000000"/>
        </w:rPr>
        <w:t xml:space="preserve">i.m. </w:t>
      </w:r>
      <w:r w:rsidRPr="009B1A37">
        <w:rPr>
          <w:color w:val="000000"/>
        </w:rPr>
        <w:t>= intramuskulární, ARA-C = cytarabin, CPM = cyklofosfamid, VCR = vinkristin, DEX = dexamethason, DAUN = daunorubicin, 6-MP = 6-merkaptopurin, E.Coli L-ASP = L-asparagináza, PEG-ASP = PEG asparagináza, MESNA= natrium-2-sulfanylethan -1- sulfonát, iii= nebo pokud je hladina MTX do &lt; 0,1 µM, q6h = každých 6 hodin, Gy= Gray</w:t>
      </w:r>
    </w:p>
    <w:p w14:paraId="7255F32A" w14:textId="77777777" w:rsidR="00EA5993" w:rsidRPr="009B1A37" w:rsidRDefault="00EA5993" w:rsidP="00BE3D48">
      <w:pPr>
        <w:pStyle w:val="EndnoteText"/>
        <w:widowControl w:val="0"/>
        <w:jc w:val="both"/>
        <w:rPr>
          <w:color w:val="000000"/>
          <w:sz w:val="20"/>
        </w:rPr>
      </w:pPr>
    </w:p>
    <w:p w14:paraId="665E9754" w14:textId="77777777" w:rsidR="00EA5993" w:rsidRPr="009B1A37" w:rsidRDefault="00EA5993" w:rsidP="00BE3D48">
      <w:pPr>
        <w:pStyle w:val="EndnoteText"/>
        <w:widowControl w:val="0"/>
        <w:rPr>
          <w:color w:val="000000"/>
        </w:rPr>
      </w:pPr>
      <w:r w:rsidRPr="009B1A37">
        <w:rPr>
          <w:color w:val="000000"/>
        </w:rPr>
        <w:t>Studie AIT07 byla multicentrická, otevřená, randomizovaná studie fáze II/III, do které bylo zahrnuto 128 pacientů (1 mladší 18 let věku) léčených imatinibem v kombinaci s chemoterapií. Bezpečnostní data z této studie se zdají být v souladu s bezpečnostním profilem imatinibu u Ph+ ALL pacientů.</w:t>
      </w:r>
    </w:p>
    <w:p w14:paraId="55E06222" w14:textId="77777777" w:rsidR="00EA5993" w:rsidRPr="009B1A37" w:rsidRDefault="00EA5993" w:rsidP="00BE3D48">
      <w:pPr>
        <w:pStyle w:val="EndnoteText"/>
        <w:widowControl w:val="0"/>
      </w:pPr>
    </w:p>
    <w:p w14:paraId="1C218C6B" w14:textId="77777777" w:rsidR="00EA5993" w:rsidRPr="009B1A37" w:rsidRDefault="00EA5993" w:rsidP="00BE3D48">
      <w:pPr>
        <w:pStyle w:val="Text"/>
        <w:widowControl w:val="0"/>
        <w:spacing w:before="0"/>
        <w:jc w:val="left"/>
        <w:rPr>
          <w:color w:val="000000"/>
          <w:sz w:val="22"/>
          <w:szCs w:val="22"/>
          <w:lang w:val="cs-CZ"/>
        </w:rPr>
      </w:pPr>
      <w:r w:rsidRPr="009B1A37">
        <w:rPr>
          <w:i/>
          <w:iCs/>
          <w:color w:val="000000"/>
          <w:sz w:val="22"/>
          <w:szCs w:val="22"/>
          <w:lang w:val="cs-CZ"/>
        </w:rPr>
        <w:t xml:space="preserve">Recidivující/refrakterní Ph+ </w:t>
      </w:r>
      <w:smartTag w:uri="urn:schemas-microsoft-com:office:smarttags" w:element="stockticker">
        <w:r w:rsidRPr="009B1A37">
          <w:rPr>
            <w:i/>
            <w:iCs/>
            <w:color w:val="000000"/>
            <w:sz w:val="22"/>
            <w:szCs w:val="22"/>
            <w:lang w:val="cs-CZ"/>
          </w:rPr>
          <w:t>ALL</w:t>
        </w:r>
      </w:smartTag>
      <w:r w:rsidRPr="009B1A37">
        <w:rPr>
          <w:color w:val="000000"/>
          <w:sz w:val="22"/>
          <w:szCs w:val="22"/>
          <w:lang w:val="cs-CZ"/>
        </w:rPr>
        <w:t xml:space="preserve">: Při podávání imatinibu v monoterapii pacientům s recidivující/refrakterní Ph+ </w:t>
      </w:r>
      <w:smartTag w:uri="urn:schemas-microsoft-com:office:smarttags" w:element="stockticker">
        <w:r w:rsidRPr="009B1A37">
          <w:rPr>
            <w:color w:val="000000"/>
            <w:sz w:val="22"/>
            <w:szCs w:val="22"/>
            <w:lang w:val="cs-CZ"/>
          </w:rPr>
          <w:t>ALL</w:t>
        </w:r>
      </w:smartTag>
      <w:r w:rsidRPr="009B1A37">
        <w:rPr>
          <w:color w:val="000000"/>
          <w:sz w:val="22"/>
          <w:szCs w:val="22"/>
          <w:lang w:val="cs-CZ"/>
        </w:rPr>
        <w:t>, bylo dosaženo ve skupině 53 hodnotitelných pacientů z celkového počtu 411 pacientů hematologické odpovědi ve 30</w:t>
      </w:r>
      <w:r w:rsidR="00FC57C0" w:rsidRPr="009B1A37">
        <w:rPr>
          <w:color w:val="000000"/>
          <w:sz w:val="22"/>
          <w:szCs w:val="22"/>
          <w:lang w:val="cs-CZ"/>
        </w:rPr>
        <w:t> </w:t>
      </w:r>
      <w:r w:rsidRPr="009B1A37">
        <w:rPr>
          <w:color w:val="000000"/>
          <w:sz w:val="22"/>
          <w:szCs w:val="22"/>
          <w:lang w:val="cs-CZ"/>
        </w:rPr>
        <w:t>% (v 9</w:t>
      </w:r>
      <w:r w:rsidR="00FC57C0" w:rsidRPr="009B1A37">
        <w:rPr>
          <w:color w:val="000000"/>
          <w:sz w:val="22"/>
          <w:szCs w:val="22"/>
          <w:lang w:val="cs-CZ"/>
        </w:rPr>
        <w:t> </w:t>
      </w:r>
      <w:r w:rsidRPr="009B1A37">
        <w:rPr>
          <w:color w:val="000000"/>
          <w:sz w:val="22"/>
          <w:szCs w:val="22"/>
          <w:lang w:val="cs-CZ"/>
        </w:rPr>
        <w:t>% kompletní) a velké cytogenetické odpovědi ve 23</w:t>
      </w:r>
      <w:r w:rsidR="00FC57C0" w:rsidRPr="009B1A37">
        <w:rPr>
          <w:color w:val="000000"/>
          <w:sz w:val="22"/>
          <w:szCs w:val="22"/>
          <w:lang w:val="cs-CZ"/>
        </w:rPr>
        <w:t> </w:t>
      </w:r>
      <w:r w:rsidRPr="009B1A37">
        <w:rPr>
          <w:color w:val="000000"/>
          <w:sz w:val="22"/>
          <w:szCs w:val="22"/>
          <w:lang w:val="cs-CZ"/>
        </w:rPr>
        <w:t>%. (Upozornění – z celkového počtu 411 pacientů bylo 353 pacientů léčeno v rámci programu rozšířeného přístupu k léčbě bez sběru dat primární odpovědi)</w:t>
      </w:r>
      <w:r w:rsidR="004F264F" w:rsidRPr="009B1A37">
        <w:rPr>
          <w:color w:val="000000"/>
          <w:sz w:val="22"/>
          <w:szCs w:val="22"/>
          <w:lang w:val="cs-CZ"/>
        </w:rPr>
        <w:t xml:space="preserve">. </w:t>
      </w:r>
      <w:r w:rsidRPr="009B1A37">
        <w:rPr>
          <w:color w:val="000000"/>
          <w:sz w:val="22"/>
          <w:szCs w:val="22"/>
          <w:lang w:val="cs-CZ"/>
        </w:rPr>
        <w:t xml:space="preserve">Medián trvání doby do progrese u celkové populace 411 pacientů s recidivující/refrakterní Ph+ </w:t>
      </w:r>
      <w:smartTag w:uri="urn:schemas-microsoft-com:office:smarttags" w:element="stockticker">
        <w:r w:rsidRPr="009B1A37">
          <w:rPr>
            <w:color w:val="000000"/>
            <w:sz w:val="22"/>
            <w:szCs w:val="22"/>
            <w:lang w:val="cs-CZ"/>
          </w:rPr>
          <w:t>ALL</w:t>
        </w:r>
      </w:smartTag>
      <w:r w:rsidRPr="009B1A37">
        <w:rPr>
          <w:color w:val="000000"/>
          <w:sz w:val="22"/>
          <w:szCs w:val="22"/>
          <w:lang w:val="cs-CZ"/>
        </w:rPr>
        <w:t xml:space="preserve"> byl v rozmezí mezi 2,6 až 3,1 měsíců, medián doby celkového přežití u 401 hodnotitelných pacientů byl v rozmezí od 4,9 do 9 měsíců. Údaje byly podobné, když byly znovu analyzovány po zahrnutí pouze pacientů ve věku 55 let a starších.</w:t>
      </w:r>
    </w:p>
    <w:p w14:paraId="4E14A516" w14:textId="77777777" w:rsidR="00EA5993" w:rsidRPr="009B1A37" w:rsidRDefault="00EA5993" w:rsidP="00BE3D48">
      <w:pPr>
        <w:pStyle w:val="EndnoteText"/>
        <w:widowControl w:val="0"/>
        <w:tabs>
          <w:tab w:val="clear" w:pos="567"/>
        </w:tabs>
        <w:rPr>
          <w:color w:val="000000"/>
        </w:rPr>
      </w:pPr>
    </w:p>
    <w:p w14:paraId="090E0A06" w14:textId="77777777" w:rsidR="00EA5993" w:rsidRPr="009B1A37" w:rsidRDefault="00EA5993" w:rsidP="00BE3D48">
      <w:pPr>
        <w:pStyle w:val="EndnoteText"/>
        <w:keepNext/>
        <w:widowControl w:val="0"/>
        <w:rPr>
          <w:color w:val="000000"/>
        </w:rPr>
      </w:pPr>
      <w:r w:rsidRPr="009B1A37">
        <w:rPr>
          <w:color w:val="000000"/>
          <w:u w:val="single"/>
        </w:rPr>
        <w:t xml:space="preserve">Klinické studie u </w:t>
      </w:r>
      <w:smartTag w:uri="urn:schemas-microsoft-com:office:smarttags" w:element="stockticker">
        <w:r w:rsidRPr="009B1A37">
          <w:rPr>
            <w:color w:val="000000"/>
            <w:u w:val="single"/>
          </w:rPr>
          <w:t>MDS</w:t>
        </w:r>
      </w:smartTag>
      <w:r w:rsidRPr="009B1A37">
        <w:rPr>
          <w:color w:val="000000"/>
          <w:u w:val="single"/>
        </w:rPr>
        <w:t>/MPD</w:t>
      </w:r>
    </w:p>
    <w:p w14:paraId="7AA3312A" w14:textId="77777777" w:rsidR="00233F9A" w:rsidRPr="009B1A37" w:rsidRDefault="00EA5993" w:rsidP="00BE3D48">
      <w:pPr>
        <w:pStyle w:val="EndnoteText"/>
        <w:widowControl w:val="0"/>
        <w:rPr>
          <w:color w:val="000000"/>
        </w:rPr>
      </w:pPr>
      <w:r w:rsidRPr="009B1A37">
        <w:rPr>
          <w:color w:val="000000"/>
        </w:rPr>
        <w:t xml:space="preserve">Zkušenosti s Glivecem v této indikaci jsou velmi omezené a jsou založené na míře hematologické a cytogenetické odpovědi. Neexistují žádné kontrolované studie, které by prokázaly klinický prospěch nebo zvýšené přežití. </w:t>
      </w:r>
      <w:r w:rsidRPr="009B1A37">
        <w:rPr>
          <w:rFonts w:eastAsia="MS Mincho"/>
          <w:color w:val="000000"/>
        </w:rPr>
        <w:t>V otevřené, multicentrické klinické studii fáze II (stud</w:t>
      </w:r>
      <w:r w:rsidR="004F264F" w:rsidRPr="009B1A37">
        <w:rPr>
          <w:rFonts w:eastAsia="MS Mincho"/>
          <w:color w:val="000000"/>
        </w:rPr>
        <w:t>ie</w:t>
      </w:r>
      <w:r w:rsidRPr="009B1A37">
        <w:rPr>
          <w:rFonts w:eastAsia="MS Mincho"/>
          <w:color w:val="000000"/>
        </w:rPr>
        <w:t xml:space="preserve"> B2225) byl Glivec zkoušen u různých populací pacientů s život ohrožujícími onemocněními spojenými s</w:t>
      </w:r>
      <w:r w:rsidRPr="009B1A37">
        <w:rPr>
          <w:color w:val="000000"/>
        </w:rPr>
        <w:t> </w:t>
      </w:r>
      <w:r w:rsidRPr="009B1A37">
        <w:rPr>
          <w:rFonts w:eastAsia="MS Mincho"/>
          <w:color w:val="000000"/>
        </w:rPr>
        <w:t>aktivitou Abl, Kit nebo PDGFR tyrosinkináz.</w:t>
      </w:r>
      <w:r w:rsidRPr="009B1A37">
        <w:rPr>
          <w:color w:val="000000"/>
        </w:rPr>
        <w:t xml:space="preserve"> Do této studie bylo zařazeno 7 pacientů s </w:t>
      </w:r>
      <w:smartTag w:uri="urn:schemas-microsoft-com:office:smarttags" w:element="stockticker">
        <w:r w:rsidRPr="009B1A37">
          <w:rPr>
            <w:color w:val="000000"/>
          </w:rPr>
          <w:t>MDS</w:t>
        </w:r>
      </w:smartTag>
      <w:r w:rsidRPr="009B1A37">
        <w:rPr>
          <w:color w:val="000000"/>
        </w:rPr>
        <w:t>/MPD, kteří byli léčeni Glivecem 400 mg denně. U tří pacientů byla přítomna kompletní hematologická odpověď (</w:t>
      </w:r>
      <w:smartTag w:uri="urn:schemas-microsoft-com:office:smarttags" w:element="stockticker">
        <w:r w:rsidRPr="009B1A37">
          <w:rPr>
            <w:color w:val="000000"/>
          </w:rPr>
          <w:t>CHR</w:t>
        </w:r>
      </w:smartTag>
      <w:r w:rsidRPr="009B1A37">
        <w:rPr>
          <w:color w:val="000000"/>
        </w:rPr>
        <w:t>) a jeden pacient dosáhl parciální hematologické odpovědi (</w:t>
      </w:r>
      <w:smartTag w:uri="urn:schemas-microsoft-com:office:smarttags" w:element="stockticker">
        <w:r w:rsidRPr="009B1A37">
          <w:rPr>
            <w:color w:val="000000"/>
          </w:rPr>
          <w:t>PHR</w:t>
        </w:r>
      </w:smartTag>
      <w:r w:rsidRPr="009B1A37">
        <w:rPr>
          <w:color w:val="000000"/>
        </w:rPr>
        <w:t>). V době původní analýzy tři ze čtyř pacientů s detekovanými mutacemi genu PDGFR dosáhli hematologické odpovědi (2 </w:t>
      </w:r>
      <w:smartTag w:uri="urn:schemas-microsoft-com:office:smarttags" w:element="stockticker">
        <w:r w:rsidRPr="009B1A37">
          <w:rPr>
            <w:color w:val="000000"/>
          </w:rPr>
          <w:t>CHR</w:t>
        </w:r>
      </w:smartTag>
      <w:r w:rsidRPr="009B1A37">
        <w:rPr>
          <w:color w:val="000000"/>
        </w:rPr>
        <w:t xml:space="preserve"> a 1 </w:t>
      </w:r>
      <w:smartTag w:uri="urn:schemas-microsoft-com:office:smarttags" w:element="stockticker">
        <w:r w:rsidRPr="009B1A37">
          <w:rPr>
            <w:color w:val="000000"/>
          </w:rPr>
          <w:t>PHR</w:t>
        </w:r>
      </w:smartTag>
      <w:r w:rsidRPr="009B1A37">
        <w:rPr>
          <w:color w:val="000000"/>
        </w:rPr>
        <w:t>). Věk těchto pacientů byl v rozmezí od 20 do 72 let.</w:t>
      </w:r>
    </w:p>
    <w:p w14:paraId="61A1FFCF" w14:textId="77777777" w:rsidR="00233F9A" w:rsidRPr="009B1A37" w:rsidRDefault="00233F9A" w:rsidP="00BE3D48">
      <w:pPr>
        <w:pStyle w:val="EndnoteText"/>
        <w:widowControl w:val="0"/>
        <w:rPr>
          <w:color w:val="000000"/>
        </w:rPr>
      </w:pPr>
    </w:p>
    <w:p w14:paraId="1EDF833D" w14:textId="77777777" w:rsidR="00233F9A" w:rsidRPr="009B1A37" w:rsidRDefault="00233F9A" w:rsidP="00BE3D48">
      <w:pPr>
        <w:pStyle w:val="EndnoteText"/>
        <w:widowControl w:val="0"/>
        <w:rPr>
          <w:color w:val="000000"/>
        </w:rPr>
      </w:pPr>
      <w:r w:rsidRPr="009B1A37">
        <w:rPr>
          <w:color w:val="000000"/>
        </w:rPr>
        <w:t>Observační registr (studie L2401) byl proveden s cílem shromáždit data týkající se dlouhodobé bezpečnosti a účinnosti u pacientů trpících myeloproliferativním onemocněním s přestavbou PDGFR</w:t>
      </w:r>
      <w:r w:rsidRPr="009B1A37">
        <w:rPr>
          <w:rFonts w:eastAsia="TimesNewRoman"/>
        </w:rPr>
        <w:t>- β</w:t>
      </w:r>
      <w:r w:rsidRPr="009B1A37">
        <w:t>, kteří byli léčeni přípravkem Glivec. Všech 23 pacientů zařazených do registru bylo léčeno přípravkem Glivec s mediánem denní dávky 264 mg (rozmezí: 100 až 400 mg) v průměru po dobu 7,2 let (rozmezí 0,1 až 12,7 let). Vzhledem k observační povaze registru byly k dispozici hodnoty hematologické získané od 22, cytogenetické od 9 a molekulární od 17 z 23 zařazených pacientů. Za konzervativního předpokladu, že pacienti s chybějícími údaji byli pacienti neodpovídající na léčbu, CHR byla pozorována u 20/23 (87 %) pacientů, CCyR u 9/23 (39,1 %) pacientů a MR u 11/23 (47,8 %) pacientů. Jeli míra odpovědi vztažena na pacienty s alespoň jedním platným údajem, četnost odpovědí pro CHR je 20/22 (90,9 %), pro CCyR 9/9 (100 %) a pro MR 11/17 (64,7 %).</w:t>
      </w:r>
    </w:p>
    <w:p w14:paraId="7FBA893B" w14:textId="77777777" w:rsidR="00233F9A" w:rsidRPr="009B1A37" w:rsidRDefault="00233F9A" w:rsidP="00BE3D48">
      <w:pPr>
        <w:pStyle w:val="EndnoteText"/>
        <w:widowControl w:val="0"/>
        <w:rPr>
          <w:color w:val="000000"/>
        </w:rPr>
      </w:pPr>
    </w:p>
    <w:p w14:paraId="322FA6FA" w14:textId="77777777" w:rsidR="00EA5993" w:rsidRPr="009B1A37" w:rsidRDefault="00EA5993" w:rsidP="00BE3D48">
      <w:pPr>
        <w:pStyle w:val="EndnoteText"/>
        <w:widowControl w:val="0"/>
        <w:rPr>
          <w:color w:val="000000"/>
          <w:u w:val="single"/>
        </w:rPr>
      </w:pPr>
      <w:r w:rsidRPr="009B1A37">
        <w:rPr>
          <w:color w:val="000000"/>
        </w:rPr>
        <w:t>Ve 13 publikacích bylo hlášeno dalších 24 pacientů s </w:t>
      </w:r>
      <w:smartTag w:uri="urn:schemas-microsoft-com:office:smarttags" w:element="stockticker">
        <w:r w:rsidRPr="009B1A37">
          <w:rPr>
            <w:color w:val="000000"/>
          </w:rPr>
          <w:t>MDS</w:t>
        </w:r>
      </w:smartTag>
      <w:r w:rsidRPr="009B1A37">
        <w:rPr>
          <w:color w:val="000000"/>
        </w:rPr>
        <w:t xml:space="preserve">/MPD. 21 pacientů bylo léčeno Glivecem 400 mg denně, zatímco další 3 pacienti byli léčeni nižšími dávkami. U 11 pacientů byla zjištěna změna genu PDGFR, 9 z nich dosáhlo </w:t>
      </w:r>
      <w:smartTag w:uri="urn:schemas-microsoft-com:office:smarttags" w:element="stockticker">
        <w:r w:rsidRPr="009B1A37">
          <w:rPr>
            <w:color w:val="000000"/>
          </w:rPr>
          <w:t>CHR</w:t>
        </w:r>
      </w:smartTag>
      <w:r w:rsidRPr="009B1A37">
        <w:rPr>
          <w:color w:val="000000"/>
        </w:rPr>
        <w:t xml:space="preserve"> a 1 </w:t>
      </w:r>
      <w:smartTag w:uri="urn:schemas-microsoft-com:office:smarttags" w:element="stockticker">
        <w:r w:rsidRPr="009B1A37">
          <w:rPr>
            <w:color w:val="000000"/>
          </w:rPr>
          <w:t>PHR</w:t>
        </w:r>
      </w:smartTag>
      <w:r w:rsidRPr="009B1A37">
        <w:rPr>
          <w:color w:val="000000"/>
        </w:rPr>
        <w:t>. Věk těchto pacientů byl v rozmezí od 2 do 79 let. V poslední uveřejněné aktualizované informaci bylo uvedeno, že 6 z těchto 11 pacientů zůstalo v cytogenetické remisi (v rozmezí 32</w:t>
      </w:r>
      <w:r w:rsidRPr="009B1A37">
        <w:rPr>
          <w:color w:val="000000"/>
        </w:rPr>
        <w:noBreakHyphen/>
        <w:t>38 měsíců). Ve stejné publikaci byly uvedeny údaje dlouhodobého sledování 12 pacientů s </w:t>
      </w:r>
      <w:smartTag w:uri="urn:schemas-microsoft-com:office:smarttags" w:element="stockticker">
        <w:r w:rsidRPr="009B1A37">
          <w:rPr>
            <w:color w:val="000000"/>
          </w:rPr>
          <w:t>MDS</w:t>
        </w:r>
      </w:smartTag>
      <w:r w:rsidRPr="009B1A37">
        <w:rPr>
          <w:color w:val="000000"/>
        </w:rPr>
        <w:t xml:space="preserve">/MPD s mutací genu PDGFR (5 pacientů ze studie B2225). Tito pacienti byli léčeni Glivecem v mediánu 47 měsíců (v rozmezí 24 dnů – 60 měsíců). U 6 pacientů přesáhlo nyní sledování 4 roky. Jedenáct pacientů dosáhlo rychlé </w:t>
      </w:r>
      <w:smartTag w:uri="urn:schemas-microsoft-com:office:smarttags" w:element="stockticker">
        <w:r w:rsidRPr="009B1A37">
          <w:rPr>
            <w:color w:val="000000"/>
          </w:rPr>
          <w:t>CHR</w:t>
        </w:r>
      </w:smartTag>
      <w:r w:rsidRPr="009B1A37">
        <w:rPr>
          <w:color w:val="000000"/>
        </w:rPr>
        <w:t>; deset dosáhlo kompletního vymizení cytogenetických abnormalit a dle měření RT-</w:t>
      </w:r>
      <w:smartTag w:uri="urn:schemas-microsoft-com:office:smarttags" w:element="stockticker">
        <w:r w:rsidRPr="009B1A37">
          <w:rPr>
            <w:color w:val="000000"/>
          </w:rPr>
          <w:t>PCR</w:t>
        </w:r>
      </w:smartTag>
      <w:r w:rsidRPr="009B1A37">
        <w:rPr>
          <w:color w:val="000000"/>
        </w:rPr>
        <w:t xml:space="preserve"> snížení nebo vymizení fúzních transkriptů. Hematologické odpovědi byly zachovány v mediánu 49 měsíců (v rozmezí 19</w:t>
      </w:r>
      <w:r w:rsidRPr="009B1A37">
        <w:rPr>
          <w:color w:val="000000"/>
        </w:rPr>
        <w:noBreakHyphen/>
        <w:t>60) a cytogenetické odpovědi v mediánu 47 měsíců (v rozmezí 16</w:t>
      </w:r>
      <w:r w:rsidRPr="009B1A37">
        <w:rPr>
          <w:color w:val="000000"/>
        </w:rPr>
        <w:noBreakHyphen/>
        <w:t>59). Celkové přežití bylo 65 měsíců od stanovení diagnózy (v rozmezí 25</w:t>
      </w:r>
      <w:r w:rsidRPr="009B1A37">
        <w:rPr>
          <w:color w:val="000000"/>
        </w:rPr>
        <w:noBreakHyphen/>
        <w:t>234). Podávání Glivecu pacientům bez genetické translokace obecně nevede k žádnému zlepšení.</w:t>
      </w:r>
    </w:p>
    <w:p w14:paraId="6925991D" w14:textId="77777777" w:rsidR="00EA5993" w:rsidRPr="009B1A37" w:rsidRDefault="00EA5993" w:rsidP="00BE3D48">
      <w:pPr>
        <w:pStyle w:val="EndnoteText"/>
        <w:widowControl w:val="0"/>
        <w:tabs>
          <w:tab w:val="clear" w:pos="567"/>
        </w:tabs>
        <w:rPr>
          <w:color w:val="000000"/>
        </w:rPr>
      </w:pPr>
    </w:p>
    <w:p w14:paraId="626FD4A2" w14:textId="77777777" w:rsidR="00EA5993" w:rsidRPr="009B1A37" w:rsidRDefault="00EA5993" w:rsidP="00BE3D48">
      <w:pPr>
        <w:pStyle w:val="EndnoteText"/>
        <w:widowControl w:val="0"/>
        <w:tabs>
          <w:tab w:val="clear" w:pos="567"/>
        </w:tabs>
        <w:rPr>
          <w:color w:val="000000"/>
        </w:rPr>
      </w:pPr>
      <w:r w:rsidRPr="009B1A37">
        <w:rPr>
          <w:color w:val="000000"/>
        </w:rPr>
        <w:t>U pediatrických pacientů s MDS/MPD nebyly provedeny kontrolované klinické studie. Ve 4 publikacích bylo hlášeno pět (5) pacientů s MDS/MPD spojenými s přestavbou genu PDGFR. Věk těchto pacientů se pohyboval v rozmezí 3 měsíce až 4 roky a imatinib byl podáván v dávce 50 mg denně nebo v dávkách v rozmezí 92,5 až 340 mg/m</w:t>
      </w:r>
      <w:r w:rsidRPr="009B1A37">
        <w:rPr>
          <w:color w:val="000000"/>
          <w:vertAlign w:val="superscript"/>
        </w:rPr>
        <w:t>2</w:t>
      </w:r>
      <w:r w:rsidRPr="009B1A37">
        <w:rPr>
          <w:color w:val="000000"/>
        </w:rPr>
        <w:t xml:space="preserve"> denně. Všichni pacienti dosáhli kompletní hematologické odpovědi, cytogenetické odpovědi a/nebo klinické odpovědi.</w:t>
      </w:r>
    </w:p>
    <w:p w14:paraId="773D48A7" w14:textId="77777777" w:rsidR="00EA5993" w:rsidRPr="009B1A37" w:rsidRDefault="00EA5993" w:rsidP="00BE3D48">
      <w:pPr>
        <w:pStyle w:val="EndnoteText"/>
        <w:widowControl w:val="0"/>
        <w:rPr>
          <w:color w:val="000000"/>
          <w:u w:val="single"/>
        </w:rPr>
      </w:pPr>
    </w:p>
    <w:p w14:paraId="05192DE6" w14:textId="77777777" w:rsidR="00EA5993" w:rsidRPr="009B1A37" w:rsidRDefault="00EA5993" w:rsidP="00BE3D48">
      <w:pPr>
        <w:pStyle w:val="EndnoteText"/>
        <w:keepNext/>
        <w:widowControl w:val="0"/>
        <w:tabs>
          <w:tab w:val="clear" w:pos="567"/>
        </w:tabs>
        <w:rPr>
          <w:color w:val="000000"/>
          <w:u w:val="single"/>
        </w:rPr>
      </w:pPr>
      <w:r w:rsidRPr="009B1A37">
        <w:rPr>
          <w:color w:val="000000"/>
          <w:u w:val="single"/>
        </w:rPr>
        <w:t>Klinické studie u HES/</w:t>
      </w:r>
      <w:smartTag w:uri="urn:schemas-microsoft-com:office:smarttags" w:element="stockticker">
        <w:r w:rsidRPr="009B1A37">
          <w:rPr>
            <w:color w:val="000000"/>
            <w:u w:val="single"/>
          </w:rPr>
          <w:t>CEL</w:t>
        </w:r>
      </w:smartTag>
    </w:p>
    <w:p w14:paraId="32029484" w14:textId="77777777" w:rsidR="00EA5993" w:rsidRPr="009B1A37" w:rsidRDefault="00EA5993" w:rsidP="00BE3D48">
      <w:pPr>
        <w:pStyle w:val="Text"/>
        <w:widowControl w:val="0"/>
        <w:spacing w:before="0"/>
        <w:jc w:val="left"/>
        <w:rPr>
          <w:color w:val="000000"/>
          <w:sz w:val="22"/>
          <w:szCs w:val="22"/>
          <w:lang w:val="cs-CZ"/>
        </w:rPr>
      </w:pPr>
      <w:r w:rsidRPr="009B1A37">
        <w:rPr>
          <w:rFonts w:eastAsia="MS Mincho"/>
          <w:color w:val="000000"/>
          <w:sz w:val="22"/>
          <w:szCs w:val="22"/>
          <w:lang w:val="cs-CZ"/>
        </w:rPr>
        <w:t>V otevřené, multicentrické klinické studii fáze II (studie B2225) byl Glivec zkoušen u různých populací pacientů s život ohrožujícími onemocněními spojenými s</w:t>
      </w:r>
      <w:r w:rsidRPr="009B1A37">
        <w:rPr>
          <w:color w:val="000000"/>
          <w:lang w:val="cs-CZ"/>
        </w:rPr>
        <w:t> </w:t>
      </w:r>
      <w:r w:rsidRPr="009B1A37">
        <w:rPr>
          <w:rFonts w:eastAsia="MS Mincho"/>
          <w:color w:val="000000"/>
          <w:sz w:val="22"/>
          <w:szCs w:val="22"/>
          <w:lang w:val="cs-CZ"/>
        </w:rPr>
        <w:t>aktivitou Abl, Kit nebo PDGFR tyrosinkináz. V této studii 14 pacientů s HES/</w:t>
      </w:r>
      <w:smartTag w:uri="urn:schemas-microsoft-com:office:smarttags" w:element="stockticker">
        <w:r w:rsidRPr="009B1A37">
          <w:rPr>
            <w:rFonts w:eastAsia="MS Mincho"/>
            <w:color w:val="000000"/>
            <w:sz w:val="22"/>
            <w:szCs w:val="22"/>
            <w:lang w:val="cs-CZ"/>
          </w:rPr>
          <w:t>CEL</w:t>
        </w:r>
      </w:smartTag>
      <w:r w:rsidRPr="009B1A37">
        <w:rPr>
          <w:rFonts w:eastAsia="MS Mincho"/>
          <w:color w:val="000000"/>
          <w:sz w:val="22"/>
          <w:szCs w:val="22"/>
          <w:lang w:val="cs-CZ"/>
        </w:rPr>
        <w:t xml:space="preserve"> bylo léčeno Glivecem 100 mg až 1 000 mg denně. Dalších 162 pacientů s HES/</w:t>
      </w:r>
      <w:smartTag w:uri="urn:schemas-microsoft-com:office:smarttags" w:element="stockticker">
        <w:r w:rsidRPr="009B1A37">
          <w:rPr>
            <w:rFonts w:eastAsia="MS Mincho"/>
            <w:color w:val="000000"/>
            <w:sz w:val="22"/>
            <w:szCs w:val="22"/>
            <w:lang w:val="cs-CZ"/>
          </w:rPr>
          <w:t>CEL</w:t>
        </w:r>
      </w:smartTag>
      <w:r w:rsidRPr="009B1A37">
        <w:rPr>
          <w:rFonts w:eastAsia="MS Mincho"/>
          <w:color w:val="000000"/>
          <w:sz w:val="22"/>
          <w:szCs w:val="22"/>
          <w:lang w:val="cs-CZ"/>
        </w:rPr>
        <w:t xml:space="preserve"> uvedených ve </w:t>
      </w:r>
      <w:r w:rsidRPr="009B1A37">
        <w:rPr>
          <w:color w:val="000000"/>
          <w:sz w:val="22"/>
          <w:szCs w:val="22"/>
          <w:lang w:val="cs-CZ"/>
        </w:rPr>
        <w:t xml:space="preserve">35 zveřejněných kazuistikách bylo léčeno Glivecem v dávkách 75 mg až 800 mg denně. Cytogenetické abnormality byly hodnoceny u 117 z celkové populace 176 pacientů. U 61 pacientů z těchto 117 byla zjištěna fúzní kináza FIP1L1-PDGFRα. Ve třech dalších publikovaných kazuistikách byli uvedeni čtyři pacienti s HES s pozitivní fúzní kinázou FIP1L1-PDGFRα. Všech 65 pacientů s pozitivní fúzní kinázou FIP1L1-PDGFRα dosáhlo </w:t>
      </w:r>
      <w:smartTag w:uri="urn:schemas-microsoft-com:office:smarttags" w:element="stockticker">
        <w:r w:rsidRPr="009B1A37">
          <w:rPr>
            <w:color w:val="000000"/>
            <w:sz w:val="22"/>
            <w:szCs w:val="22"/>
            <w:lang w:val="cs-CZ"/>
          </w:rPr>
          <w:t>CHR</w:t>
        </w:r>
      </w:smartTag>
      <w:r w:rsidRPr="009B1A37">
        <w:rPr>
          <w:color w:val="000000"/>
          <w:sz w:val="22"/>
          <w:szCs w:val="22"/>
          <w:lang w:val="cs-CZ"/>
        </w:rPr>
        <w:t>, která se udržela po dobu několika měsíců (v rozmezí 1+ až 44+ měsíců, cenzorováno v</w:t>
      </w:r>
      <w:r w:rsidRPr="009B1A37">
        <w:rPr>
          <w:color w:val="000000"/>
          <w:lang w:val="cs-CZ"/>
        </w:rPr>
        <w:t> </w:t>
      </w:r>
      <w:r w:rsidRPr="009B1A37">
        <w:rPr>
          <w:color w:val="000000"/>
          <w:sz w:val="22"/>
          <w:szCs w:val="22"/>
          <w:lang w:val="cs-CZ"/>
        </w:rPr>
        <w:t>době hlášení). Podle posledních publikovaných hlášení 21 z těchto 65 pacientů také dosáhlo kompletní molekulární remise s mediánem délky sledování 28</w:t>
      </w:r>
      <w:r w:rsidRPr="009B1A37">
        <w:rPr>
          <w:color w:val="000000"/>
          <w:lang w:val="cs-CZ"/>
        </w:rPr>
        <w:t> </w:t>
      </w:r>
      <w:r w:rsidRPr="009B1A37">
        <w:rPr>
          <w:color w:val="000000"/>
          <w:sz w:val="22"/>
          <w:szCs w:val="22"/>
          <w:lang w:val="cs-CZ"/>
        </w:rPr>
        <w:t>měsíců (v rozmezí 13</w:t>
      </w:r>
      <w:r w:rsidRPr="009B1A37">
        <w:rPr>
          <w:color w:val="000000"/>
          <w:sz w:val="22"/>
          <w:szCs w:val="22"/>
          <w:lang w:val="cs-CZ"/>
        </w:rPr>
        <w:noBreakHyphen/>
        <w:t xml:space="preserve">67 měsíců). Věk těchto pacientů byl v rozmezí od 25 do 72 let.Dodatečně bylo </w:t>
      </w:r>
      <w:r w:rsidR="004F264F" w:rsidRPr="009B1A37">
        <w:rPr>
          <w:color w:val="000000"/>
          <w:sz w:val="22"/>
          <w:szCs w:val="22"/>
          <w:lang w:val="cs-CZ"/>
        </w:rPr>
        <w:t>zkoušejícími</w:t>
      </w:r>
      <w:r w:rsidRPr="009B1A37">
        <w:rPr>
          <w:color w:val="000000"/>
          <w:sz w:val="22"/>
          <w:szCs w:val="22"/>
          <w:lang w:val="cs-CZ"/>
        </w:rPr>
        <w:t xml:space="preserve"> hlášeno v kazuistikách symptomatologické zlepšení a zlepšení dysfunkcí dalších orgánů. Zlepšení byla hlášena u poruch funkce srdeční, nervové, kožní/podkožní, respirační/hrudní/mediastinální, muskuloskeletální/pojivové/vaskulární a gastrointestinální orgánové soustavy.</w:t>
      </w:r>
    </w:p>
    <w:p w14:paraId="28085C21" w14:textId="77777777" w:rsidR="00EA5993" w:rsidRPr="009B1A37" w:rsidRDefault="00EA5993" w:rsidP="00BE3D48">
      <w:pPr>
        <w:pStyle w:val="EndnoteText"/>
        <w:widowControl w:val="0"/>
        <w:tabs>
          <w:tab w:val="clear" w:pos="567"/>
        </w:tabs>
        <w:rPr>
          <w:color w:val="000000"/>
        </w:rPr>
      </w:pPr>
    </w:p>
    <w:p w14:paraId="63C31F19" w14:textId="77777777" w:rsidR="00EA5993" w:rsidRPr="009B1A37" w:rsidRDefault="00EA5993" w:rsidP="00BE3D48">
      <w:pPr>
        <w:pStyle w:val="EndnoteText"/>
        <w:widowControl w:val="0"/>
        <w:tabs>
          <w:tab w:val="clear" w:pos="567"/>
        </w:tabs>
        <w:rPr>
          <w:color w:val="000000"/>
        </w:rPr>
      </w:pPr>
      <w:r w:rsidRPr="009B1A37">
        <w:rPr>
          <w:color w:val="000000"/>
        </w:rPr>
        <w:t>U pediatrických pacientů s HES/CEL nebyly provedeny kontrolované klinické studie. Ve 3 publikacích byli hlášeni tři (3) pacienti s HES/CEL spojenými s přestavbou genu PDGFR. Věk těchto pacientů se pohyboval v rozmezí 2 až 16 let a imatinib byl podáván v dávce 300 mg/m</w:t>
      </w:r>
      <w:r w:rsidRPr="009B1A37">
        <w:rPr>
          <w:color w:val="000000"/>
          <w:vertAlign w:val="superscript"/>
        </w:rPr>
        <w:t>2</w:t>
      </w:r>
      <w:r w:rsidRPr="009B1A37">
        <w:rPr>
          <w:color w:val="000000"/>
        </w:rPr>
        <w:t xml:space="preserve"> denně anebo v dávkách v rozmezí 200 až 400 mg denně. Všichni pacienti dosáhli kompletní hematologické odpovědi, kompletní cytogenetické odpovědi a/nebo kompletní klinické odpovědi.</w:t>
      </w:r>
    </w:p>
    <w:p w14:paraId="4F8CFC5D" w14:textId="77777777" w:rsidR="00EA5993" w:rsidRPr="009B1A37" w:rsidRDefault="00EA5993" w:rsidP="00BE3D48">
      <w:pPr>
        <w:pStyle w:val="EndnoteText"/>
        <w:widowControl w:val="0"/>
        <w:rPr>
          <w:color w:val="000000"/>
          <w:u w:val="single"/>
        </w:rPr>
      </w:pPr>
    </w:p>
    <w:p w14:paraId="6EBA6668" w14:textId="77777777" w:rsidR="00EA5993" w:rsidRPr="009B1A37" w:rsidRDefault="00EA5993" w:rsidP="00BE3D48">
      <w:pPr>
        <w:pStyle w:val="EndnoteText"/>
        <w:keepNext/>
        <w:widowControl w:val="0"/>
        <w:tabs>
          <w:tab w:val="clear" w:pos="567"/>
        </w:tabs>
        <w:rPr>
          <w:color w:val="000000"/>
          <w:u w:val="single"/>
        </w:rPr>
      </w:pPr>
      <w:r w:rsidRPr="009B1A37">
        <w:rPr>
          <w:color w:val="000000"/>
          <w:u w:val="single"/>
        </w:rPr>
        <w:t>Klinické studie u pacientů s inoperabilním a/nebo metastatickým GIST</w:t>
      </w:r>
    </w:p>
    <w:p w14:paraId="7FF78FD3" w14:textId="77777777" w:rsidR="00EA5993" w:rsidRPr="009B1A37" w:rsidRDefault="00EA5993" w:rsidP="00BE3D48">
      <w:pPr>
        <w:pStyle w:val="EndnoteText"/>
        <w:widowControl w:val="0"/>
        <w:tabs>
          <w:tab w:val="clear" w:pos="567"/>
        </w:tabs>
        <w:rPr>
          <w:color w:val="000000"/>
        </w:rPr>
      </w:pPr>
      <w:r w:rsidRPr="009B1A37">
        <w:rPr>
          <w:color w:val="000000"/>
        </w:rPr>
        <w:t>Jedna otevřená, randomizovaná nekontrolovaná mezinárodní studie fáze II byla provedena u pacientů s inoperabilním nebo metastatickým maligním gastrointestinálním stromálním nádorem (GIST). Do studie bylo zařazeno 147 pacientů a randomizováno užívat buď 400 mg nebo 600 mg jednou denně perorálně po dobu až 36 měsíců. Tito pacienti byli ve věku od 18 až 83 let a byla u nich stanovena diagnóza Kit-pozitivní maligní GIST, který byl inoperabilní a/nebo metastazující. Rutinně bylo prováděno imunohistochemické vyšetření pomocí Kit protilátek (A-4502, králičí polyklonální antisérum, 1:100; DAKO Corporation, Carpinteria, CA) metodou nalezení antigenu podle analýzy avidin-biotin-peroxidázového komplexu.</w:t>
      </w:r>
    </w:p>
    <w:p w14:paraId="57558F28" w14:textId="77777777" w:rsidR="00EA5993" w:rsidRPr="009B1A37" w:rsidRDefault="00EA5993" w:rsidP="00BE3D48">
      <w:pPr>
        <w:pStyle w:val="EndnoteText"/>
        <w:widowControl w:val="0"/>
        <w:tabs>
          <w:tab w:val="clear" w:pos="567"/>
        </w:tabs>
        <w:rPr>
          <w:color w:val="000000"/>
        </w:rPr>
      </w:pPr>
    </w:p>
    <w:p w14:paraId="0861D4F7" w14:textId="77777777" w:rsidR="00EA5993" w:rsidRPr="009B1A37" w:rsidRDefault="00EA5993" w:rsidP="00BE3D48">
      <w:pPr>
        <w:pStyle w:val="EndnoteText"/>
        <w:widowControl w:val="0"/>
        <w:tabs>
          <w:tab w:val="clear" w:pos="567"/>
        </w:tabs>
        <w:rPr>
          <w:color w:val="000000"/>
        </w:rPr>
      </w:pPr>
      <w:r w:rsidRPr="009B1A37">
        <w:rPr>
          <w:color w:val="000000"/>
        </w:rPr>
        <w:t>Primární průkaz účinnosti byl založen na míře objektivní odpovědi. U nádorů byla vyžadována měřitelnost v alespoň jednom ložisku onemocnění a charakter odpovědi byl založen na kriteriích Southwestern Oncology Group (SWOG). Výsledky jsou uvedeny v </w:t>
      </w:r>
      <w:r w:rsidR="004F264F" w:rsidRPr="009B1A37">
        <w:rPr>
          <w:color w:val="000000"/>
        </w:rPr>
        <w:t>t</w:t>
      </w:r>
      <w:r w:rsidRPr="009B1A37">
        <w:rPr>
          <w:color w:val="000000"/>
        </w:rPr>
        <w:t>abulce </w:t>
      </w:r>
      <w:r w:rsidR="00A2522A" w:rsidRPr="009B1A37">
        <w:rPr>
          <w:color w:val="000000"/>
        </w:rPr>
        <w:t>6</w:t>
      </w:r>
      <w:r w:rsidRPr="009B1A37">
        <w:rPr>
          <w:color w:val="000000"/>
        </w:rPr>
        <w:t>.</w:t>
      </w:r>
    </w:p>
    <w:p w14:paraId="2C33BCA2" w14:textId="77777777" w:rsidR="00EA5993" w:rsidRPr="009B1A37" w:rsidRDefault="00EA5993" w:rsidP="00BE3D48">
      <w:pPr>
        <w:pStyle w:val="EndnoteText"/>
        <w:widowControl w:val="0"/>
        <w:tabs>
          <w:tab w:val="clear" w:pos="567"/>
        </w:tabs>
        <w:rPr>
          <w:color w:val="000000"/>
        </w:rPr>
      </w:pPr>
    </w:p>
    <w:p w14:paraId="57D84F78" w14:textId="77777777" w:rsidR="00EA5993" w:rsidRPr="009B1A37" w:rsidRDefault="00EA5993" w:rsidP="00EB4FF7">
      <w:pPr>
        <w:pStyle w:val="EndnoteText"/>
        <w:keepNext/>
        <w:widowControl w:val="0"/>
        <w:tabs>
          <w:tab w:val="clear" w:pos="567"/>
          <w:tab w:val="left" w:pos="1134"/>
        </w:tabs>
        <w:rPr>
          <w:b/>
          <w:bCs/>
          <w:color w:val="000000"/>
        </w:rPr>
      </w:pPr>
      <w:r w:rsidRPr="009B1A37">
        <w:rPr>
          <w:b/>
          <w:bCs/>
          <w:color w:val="000000"/>
        </w:rPr>
        <w:t>Tabulka </w:t>
      </w:r>
      <w:r w:rsidR="00A2522A" w:rsidRPr="009B1A37">
        <w:rPr>
          <w:b/>
          <w:bCs/>
          <w:color w:val="000000"/>
        </w:rPr>
        <w:t>6</w:t>
      </w:r>
      <w:r w:rsidRPr="009B1A37">
        <w:rPr>
          <w:b/>
          <w:bCs/>
          <w:color w:val="000000"/>
        </w:rPr>
        <w:tab/>
        <w:t>Nejlepší odpovědi nádoru ve studii STIB2222 (GIST)</w:t>
      </w:r>
    </w:p>
    <w:p w14:paraId="206D8669" w14:textId="77777777" w:rsidR="00EA5993" w:rsidRPr="009B1A37" w:rsidRDefault="00EA5993" w:rsidP="00EB4FF7">
      <w:pPr>
        <w:pStyle w:val="EndnoteText"/>
        <w:keepNext/>
        <w:widowControl w:val="0"/>
        <w:tabs>
          <w:tab w:val="clear" w:pos="567"/>
        </w:tabs>
        <w:rPr>
          <w:color w:val="000000"/>
        </w:rPr>
      </w:pPr>
    </w:p>
    <w:tbl>
      <w:tblPr>
        <w:tblW w:w="0" w:type="auto"/>
        <w:tblLayout w:type="fixed"/>
        <w:tblLook w:val="0000" w:firstRow="0" w:lastRow="0" w:firstColumn="0" w:lastColumn="0" w:noHBand="0" w:noVBand="0"/>
      </w:tblPr>
      <w:tblGrid>
        <w:gridCol w:w="4643"/>
        <w:gridCol w:w="4643"/>
      </w:tblGrid>
      <w:tr w:rsidR="00EA5993" w:rsidRPr="009B1A37" w14:paraId="73D88CF1" w14:textId="77777777" w:rsidTr="00EB4FF7">
        <w:trPr>
          <w:cantSplit/>
        </w:trPr>
        <w:tc>
          <w:tcPr>
            <w:tcW w:w="4643" w:type="dxa"/>
            <w:tcBorders>
              <w:top w:val="single" w:sz="4" w:space="0" w:color="000000"/>
              <w:bottom w:val="single" w:sz="4" w:space="0" w:color="000000"/>
            </w:tcBorders>
          </w:tcPr>
          <w:p w14:paraId="24CA3F7D" w14:textId="77777777" w:rsidR="00EA5993" w:rsidRPr="009B1A37" w:rsidRDefault="00EA5993" w:rsidP="00EB4FF7">
            <w:pPr>
              <w:pStyle w:val="EndnoteText"/>
              <w:keepNext/>
              <w:widowControl w:val="0"/>
              <w:tabs>
                <w:tab w:val="clear" w:pos="567"/>
              </w:tabs>
              <w:snapToGrid w:val="0"/>
              <w:rPr>
                <w:color w:val="000000"/>
              </w:rPr>
            </w:pPr>
          </w:p>
          <w:p w14:paraId="7DF273FA" w14:textId="77777777" w:rsidR="00EA5993" w:rsidRPr="009B1A37" w:rsidRDefault="00EA5993" w:rsidP="00EB4FF7">
            <w:pPr>
              <w:pStyle w:val="EndnoteText"/>
              <w:keepNext/>
              <w:widowControl w:val="0"/>
              <w:tabs>
                <w:tab w:val="clear" w:pos="567"/>
              </w:tabs>
              <w:rPr>
                <w:color w:val="000000"/>
              </w:rPr>
            </w:pPr>
          </w:p>
          <w:p w14:paraId="5958284B" w14:textId="77777777" w:rsidR="00EA5993" w:rsidRPr="009B1A37" w:rsidRDefault="00EA5993" w:rsidP="00EB4FF7">
            <w:pPr>
              <w:pStyle w:val="EndnoteText"/>
              <w:keepNext/>
              <w:widowControl w:val="0"/>
              <w:tabs>
                <w:tab w:val="clear" w:pos="567"/>
              </w:tabs>
              <w:rPr>
                <w:color w:val="000000"/>
              </w:rPr>
            </w:pPr>
          </w:p>
          <w:p w14:paraId="260EA36F" w14:textId="77777777" w:rsidR="00EA5993" w:rsidRPr="009B1A37" w:rsidRDefault="00EA5993" w:rsidP="00EB4FF7">
            <w:pPr>
              <w:pStyle w:val="EndnoteText"/>
              <w:keepNext/>
              <w:widowControl w:val="0"/>
              <w:tabs>
                <w:tab w:val="clear" w:pos="567"/>
              </w:tabs>
              <w:rPr>
                <w:color w:val="000000"/>
              </w:rPr>
            </w:pPr>
            <w:r w:rsidRPr="009B1A37">
              <w:rPr>
                <w:color w:val="000000"/>
              </w:rPr>
              <w:t>Nejlepší odpověď</w:t>
            </w:r>
          </w:p>
        </w:tc>
        <w:tc>
          <w:tcPr>
            <w:tcW w:w="4643" w:type="dxa"/>
            <w:tcBorders>
              <w:top w:val="single" w:sz="4" w:space="0" w:color="000000"/>
              <w:bottom w:val="single" w:sz="4" w:space="0" w:color="000000"/>
            </w:tcBorders>
          </w:tcPr>
          <w:p w14:paraId="1AA0992A"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Všechny dávky (n=147)</w:t>
            </w:r>
          </w:p>
          <w:p w14:paraId="1E20B0CF" w14:textId="77777777" w:rsidR="00EA5993" w:rsidRPr="009B1A37" w:rsidRDefault="00EA5993" w:rsidP="00EB4FF7">
            <w:pPr>
              <w:pStyle w:val="EndnoteText"/>
              <w:keepNext/>
              <w:widowControl w:val="0"/>
              <w:tabs>
                <w:tab w:val="clear" w:pos="567"/>
              </w:tabs>
              <w:jc w:val="center"/>
              <w:rPr>
                <w:color w:val="000000"/>
              </w:rPr>
            </w:pPr>
            <w:r w:rsidRPr="009B1A37">
              <w:rPr>
                <w:color w:val="000000"/>
              </w:rPr>
              <w:t>400 mg (n=73)</w:t>
            </w:r>
          </w:p>
          <w:p w14:paraId="672BB2CA" w14:textId="77777777" w:rsidR="00EA5993" w:rsidRPr="009B1A37" w:rsidRDefault="00EA5993" w:rsidP="00EB4FF7">
            <w:pPr>
              <w:pStyle w:val="EndnoteText"/>
              <w:keepNext/>
              <w:widowControl w:val="0"/>
              <w:tabs>
                <w:tab w:val="clear" w:pos="567"/>
              </w:tabs>
              <w:jc w:val="center"/>
              <w:rPr>
                <w:color w:val="000000"/>
              </w:rPr>
            </w:pPr>
            <w:r w:rsidRPr="009B1A37">
              <w:rPr>
                <w:color w:val="000000"/>
              </w:rPr>
              <w:t>600 mg (n=74)</w:t>
            </w:r>
          </w:p>
          <w:p w14:paraId="1276D510" w14:textId="77777777" w:rsidR="00EA5993" w:rsidRPr="009B1A37" w:rsidRDefault="00EA5993" w:rsidP="00EB4FF7">
            <w:pPr>
              <w:pStyle w:val="EndnoteText"/>
              <w:keepNext/>
              <w:widowControl w:val="0"/>
              <w:tabs>
                <w:tab w:val="clear" w:pos="567"/>
              </w:tabs>
              <w:jc w:val="center"/>
              <w:rPr>
                <w:color w:val="000000"/>
              </w:rPr>
            </w:pPr>
            <w:r w:rsidRPr="009B1A37">
              <w:rPr>
                <w:color w:val="000000"/>
              </w:rPr>
              <w:t>n (%)</w:t>
            </w:r>
          </w:p>
        </w:tc>
      </w:tr>
      <w:tr w:rsidR="00EA5993" w:rsidRPr="009B1A37" w14:paraId="312C5168" w14:textId="77777777" w:rsidTr="00EB4FF7">
        <w:trPr>
          <w:cantSplit/>
        </w:trPr>
        <w:tc>
          <w:tcPr>
            <w:tcW w:w="4643" w:type="dxa"/>
          </w:tcPr>
          <w:p w14:paraId="55A3FA5A" w14:textId="77777777" w:rsidR="00EA5993" w:rsidRPr="009B1A37" w:rsidRDefault="00EA5993" w:rsidP="00EB4FF7">
            <w:pPr>
              <w:pStyle w:val="EndnoteText"/>
              <w:keepNext/>
              <w:widowControl w:val="0"/>
              <w:tabs>
                <w:tab w:val="clear" w:pos="567"/>
              </w:tabs>
              <w:snapToGrid w:val="0"/>
              <w:rPr>
                <w:color w:val="000000"/>
              </w:rPr>
            </w:pPr>
            <w:r w:rsidRPr="009B1A37">
              <w:rPr>
                <w:color w:val="000000"/>
              </w:rPr>
              <w:t>Kompletní odpověď</w:t>
            </w:r>
          </w:p>
        </w:tc>
        <w:tc>
          <w:tcPr>
            <w:tcW w:w="4643" w:type="dxa"/>
          </w:tcPr>
          <w:p w14:paraId="0EC831D4"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1 (0,7)</w:t>
            </w:r>
          </w:p>
        </w:tc>
      </w:tr>
      <w:tr w:rsidR="00EA5993" w:rsidRPr="009B1A37" w14:paraId="1D94D74E" w14:textId="77777777" w:rsidTr="00EB4FF7">
        <w:trPr>
          <w:cantSplit/>
        </w:trPr>
        <w:tc>
          <w:tcPr>
            <w:tcW w:w="4643" w:type="dxa"/>
          </w:tcPr>
          <w:p w14:paraId="0C3BCFE3" w14:textId="77777777" w:rsidR="00EA5993" w:rsidRPr="009B1A37" w:rsidRDefault="00EA5993" w:rsidP="00EB4FF7">
            <w:pPr>
              <w:pStyle w:val="EndnoteText"/>
              <w:keepNext/>
              <w:widowControl w:val="0"/>
              <w:tabs>
                <w:tab w:val="clear" w:pos="567"/>
              </w:tabs>
              <w:snapToGrid w:val="0"/>
              <w:rPr>
                <w:color w:val="000000"/>
              </w:rPr>
            </w:pPr>
            <w:r w:rsidRPr="009B1A37">
              <w:rPr>
                <w:color w:val="000000"/>
              </w:rPr>
              <w:t>Parciální odpověď</w:t>
            </w:r>
          </w:p>
        </w:tc>
        <w:tc>
          <w:tcPr>
            <w:tcW w:w="4643" w:type="dxa"/>
          </w:tcPr>
          <w:p w14:paraId="6DA2E76B"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98 (66,7)</w:t>
            </w:r>
          </w:p>
        </w:tc>
      </w:tr>
      <w:tr w:rsidR="00EA5993" w:rsidRPr="009B1A37" w14:paraId="543BF426" w14:textId="77777777" w:rsidTr="00EB4FF7">
        <w:trPr>
          <w:cantSplit/>
        </w:trPr>
        <w:tc>
          <w:tcPr>
            <w:tcW w:w="4643" w:type="dxa"/>
          </w:tcPr>
          <w:p w14:paraId="7214804F" w14:textId="77777777" w:rsidR="00EA5993" w:rsidRPr="009B1A37" w:rsidRDefault="00EA5993" w:rsidP="00EB4FF7">
            <w:pPr>
              <w:pStyle w:val="EndnoteText"/>
              <w:keepNext/>
              <w:widowControl w:val="0"/>
              <w:tabs>
                <w:tab w:val="clear" w:pos="567"/>
              </w:tabs>
              <w:snapToGrid w:val="0"/>
              <w:rPr>
                <w:color w:val="000000"/>
              </w:rPr>
            </w:pPr>
            <w:r w:rsidRPr="009B1A37">
              <w:rPr>
                <w:color w:val="000000"/>
              </w:rPr>
              <w:t>Stabilní onemocnění</w:t>
            </w:r>
          </w:p>
        </w:tc>
        <w:tc>
          <w:tcPr>
            <w:tcW w:w="4643" w:type="dxa"/>
          </w:tcPr>
          <w:p w14:paraId="178B40A7"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23 (15,6)</w:t>
            </w:r>
          </w:p>
        </w:tc>
      </w:tr>
      <w:tr w:rsidR="00EA5993" w:rsidRPr="009B1A37" w14:paraId="376BF61A" w14:textId="77777777" w:rsidTr="00EB4FF7">
        <w:trPr>
          <w:cantSplit/>
        </w:trPr>
        <w:tc>
          <w:tcPr>
            <w:tcW w:w="4643" w:type="dxa"/>
          </w:tcPr>
          <w:p w14:paraId="1B123976" w14:textId="77777777" w:rsidR="00EA5993" w:rsidRPr="009B1A37" w:rsidRDefault="00EA5993" w:rsidP="00EB4FF7">
            <w:pPr>
              <w:pStyle w:val="EndnoteText"/>
              <w:keepNext/>
              <w:widowControl w:val="0"/>
              <w:tabs>
                <w:tab w:val="clear" w:pos="567"/>
              </w:tabs>
              <w:snapToGrid w:val="0"/>
              <w:rPr>
                <w:color w:val="000000"/>
              </w:rPr>
            </w:pPr>
            <w:r w:rsidRPr="009B1A37">
              <w:rPr>
                <w:color w:val="000000"/>
              </w:rPr>
              <w:t>Progresivní onemocnění</w:t>
            </w:r>
          </w:p>
        </w:tc>
        <w:tc>
          <w:tcPr>
            <w:tcW w:w="4643" w:type="dxa"/>
          </w:tcPr>
          <w:p w14:paraId="25332DAC"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18 (12,2)</w:t>
            </w:r>
          </w:p>
        </w:tc>
      </w:tr>
      <w:tr w:rsidR="00EA5993" w:rsidRPr="009B1A37" w14:paraId="1BA97981" w14:textId="77777777" w:rsidTr="00EB4FF7">
        <w:trPr>
          <w:cantSplit/>
        </w:trPr>
        <w:tc>
          <w:tcPr>
            <w:tcW w:w="4643" w:type="dxa"/>
          </w:tcPr>
          <w:p w14:paraId="43CD1C63" w14:textId="77777777" w:rsidR="00EA5993" w:rsidRPr="009B1A37" w:rsidRDefault="00EA5993" w:rsidP="00EB4FF7">
            <w:pPr>
              <w:pStyle w:val="EndnoteText"/>
              <w:keepNext/>
              <w:widowControl w:val="0"/>
              <w:tabs>
                <w:tab w:val="clear" w:pos="567"/>
              </w:tabs>
              <w:snapToGrid w:val="0"/>
              <w:rPr>
                <w:color w:val="000000"/>
              </w:rPr>
            </w:pPr>
            <w:r w:rsidRPr="009B1A37">
              <w:rPr>
                <w:color w:val="000000"/>
              </w:rPr>
              <w:t>Nehodnotitelé</w:t>
            </w:r>
          </w:p>
        </w:tc>
        <w:tc>
          <w:tcPr>
            <w:tcW w:w="4643" w:type="dxa"/>
          </w:tcPr>
          <w:p w14:paraId="2EC6CCBF" w14:textId="77777777" w:rsidR="00EA5993" w:rsidRPr="009B1A37" w:rsidRDefault="00EA5993" w:rsidP="00EB4FF7">
            <w:pPr>
              <w:pStyle w:val="EndnoteText"/>
              <w:keepNext/>
              <w:widowControl w:val="0"/>
              <w:tabs>
                <w:tab w:val="clear" w:pos="567"/>
              </w:tabs>
              <w:snapToGrid w:val="0"/>
              <w:jc w:val="center"/>
              <w:rPr>
                <w:color w:val="000000"/>
              </w:rPr>
            </w:pPr>
            <w:r w:rsidRPr="009B1A37">
              <w:rPr>
                <w:color w:val="000000"/>
              </w:rPr>
              <w:t>5 (3,4)</w:t>
            </w:r>
          </w:p>
        </w:tc>
      </w:tr>
      <w:tr w:rsidR="00EA5993" w:rsidRPr="009B1A37" w14:paraId="4F948AB5" w14:textId="77777777" w:rsidTr="00EB4FF7">
        <w:trPr>
          <w:cantSplit/>
        </w:trPr>
        <w:tc>
          <w:tcPr>
            <w:tcW w:w="4643" w:type="dxa"/>
            <w:tcBorders>
              <w:bottom w:val="single" w:sz="4" w:space="0" w:color="000000"/>
            </w:tcBorders>
          </w:tcPr>
          <w:p w14:paraId="4FA71398" w14:textId="77777777" w:rsidR="00EA5993" w:rsidRPr="009B1A37" w:rsidRDefault="00EA5993" w:rsidP="00EB4FF7">
            <w:pPr>
              <w:pStyle w:val="EndnoteText"/>
              <w:widowControl w:val="0"/>
              <w:tabs>
                <w:tab w:val="clear" w:pos="567"/>
              </w:tabs>
              <w:snapToGrid w:val="0"/>
              <w:rPr>
                <w:color w:val="000000"/>
              </w:rPr>
            </w:pPr>
            <w:r w:rsidRPr="009B1A37">
              <w:rPr>
                <w:color w:val="000000"/>
              </w:rPr>
              <w:t>Neznámo</w:t>
            </w:r>
          </w:p>
        </w:tc>
        <w:tc>
          <w:tcPr>
            <w:tcW w:w="4643" w:type="dxa"/>
            <w:tcBorders>
              <w:bottom w:val="single" w:sz="4" w:space="0" w:color="000000"/>
            </w:tcBorders>
          </w:tcPr>
          <w:p w14:paraId="57A77DDE" w14:textId="77777777" w:rsidR="00EA5993" w:rsidRPr="009B1A37" w:rsidRDefault="00EA5993" w:rsidP="00EB4FF7">
            <w:pPr>
              <w:pStyle w:val="EndnoteText"/>
              <w:widowControl w:val="0"/>
              <w:tabs>
                <w:tab w:val="clear" w:pos="567"/>
              </w:tabs>
              <w:snapToGrid w:val="0"/>
              <w:jc w:val="center"/>
              <w:rPr>
                <w:color w:val="000000"/>
              </w:rPr>
            </w:pPr>
            <w:r w:rsidRPr="009B1A37">
              <w:rPr>
                <w:color w:val="000000"/>
              </w:rPr>
              <w:t>2 (1,4)</w:t>
            </w:r>
          </w:p>
        </w:tc>
      </w:tr>
    </w:tbl>
    <w:p w14:paraId="109A3286" w14:textId="77777777" w:rsidR="00EA5993" w:rsidRPr="009B1A37" w:rsidRDefault="00EA5993" w:rsidP="00BE3D48">
      <w:pPr>
        <w:pStyle w:val="EndnoteText"/>
        <w:widowControl w:val="0"/>
        <w:tabs>
          <w:tab w:val="clear" w:pos="567"/>
        </w:tabs>
      </w:pPr>
    </w:p>
    <w:p w14:paraId="06910052" w14:textId="77777777" w:rsidR="00EA5993" w:rsidRPr="009B1A37" w:rsidRDefault="00EA5993" w:rsidP="00BE3D48">
      <w:pPr>
        <w:pStyle w:val="EndnoteText"/>
        <w:widowControl w:val="0"/>
        <w:tabs>
          <w:tab w:val="clear" w:pos="567"/>
        </w:tabs>
        <w:rPr>
          <w:color w:val="000000"/>
        </w:rPr>
      </w:pPr>
      <w:r w:rsidRPr="009B1A37">
        <w:rPr>
          <w:color w:val="000000"/>
        </w:rPr>
        <w:t>Nebyly nalezeny rozdíly v míře odpovědí mezi dvěma skupinami s rozdílným dávkováním. Významný počet pacientů, kteří měli stabilní onemocnění v době interim analýzy, dosáhl částečné odpovědi při delší léčbě (medián doby sledování 31 měsíců). Medián času do odpovědi byl 13 týdnů (95% CI 12–23). Medián času do selhání léčby u pacientů s odpovědí byl 122 týdnů (95% CI 106–147), zatímco v celé studijní populaci to byly 84 týdny (95% CI 71–109). Medián celkového přežití nebyl dosažen. Odhad pro přežití po 36 měsících sledování podle Kaplan-Meiera je 68</w:t>
      </w:r>
      <w:r w:rsidR="004F264F" w:rsidRPr="009B1A37">
        <w:rPr>
          <w:color w:val="000000"/>
        </w:rPr>
        <w:t> </w:t>
      </w:r>
      <w:r w:rsidRPr="009B1A37">
        <w:rPr>
          <w:color w:val="000000"/>
        </w:rPr>
        <w:t>%.</w:t>
      </w:r>
    </w:p>
    <w:p w14:paraId="03C601C4" w14:textId="77777777" w:rsidR="00EA5993" w:rsidRPr="009B1A37" w:rsidRDefault="00EA5993" w:rsidP="00BE3D48">
      <w:pPr>
        <w:pStyle w:val="EndnoteText"/>
        <w:widowControl w:val="0"/>
        <w:tabs>
          <w:tab w:val="clear" w:pos="567"/>
        </w:tabs>
        <w:rPr>
          <w:color w:val="000000"/>
        </w:rPr>
      </w:pPr>
    </w:p>
    <w:p w14:paraId="5E3E639D" w14:textId="77777777" w:rsidR="00EA5993" w:rsidRPr="009B1A37" w:rsidRDefault="00EA5993" w:rsidP="00BE3D48">
      <w:pPr>
        <w:pStyle w:val="EndnoteText"/>
        <w:widowControl w:val="0"/>
        <w:tabs>
          <w:tab w:val="clear" w:pos="567"/>
        </w:tabs>
        <w:rPr>
          <w:color w:val="000000"/>
        </w:rPr>
      </w:pPr>
      <w:r w:rsidRPr="009B1A37">
        <w:rPr>
          <w:color w:val="000000"/>
        </w:rPr>
        <w:t>Ve dvou klinických studiích (studie B2222 a studie S0033) byla denní dávka Glivecu zvyšována na 800 mg u pacientů, u kterých onemocnění progredovalo při nižších denních dávkách 400 nebo 600 mg. Denní dávka byla zvýšena na 800 mg u celkově 103 pacientů; 6 pacientů dosáhlo po zvýšení dávky částečné odpovědi a u 21 pacientů došlo ke stabilizaci onemocnění, což představuje klinický prospěch 26</w:t>
      </w:r>
      <w:r w:rsidR="004F264F" w:rsidRPr="009B1A37">
        <w:rPr>
          <w:color w:val="000000"/>
        </w:rPr>
        <w:t> </w:t>
      </w:r>
      <w:r w:rsidRPr="009B1A37">
        <w:rPr>
          <w:color w:val="000000"/>
        </w:rPr>
        <w:t>%. Z dostupných bezpečnostních dat nevyplývá, že by zvýšení dávky na 800 mg denně u pacientů s progresí onemocnění při nižších dávkách 400 mg nebo 600 mg denně mělo vliv na bezpečnostní profil Glivecu.</w:t>
      </w:r>
    </w:p>
    <w:p w14:paraId="1A806CB5" w14:textId="77777777" w:rsidR="00EA5993" w:rsidRPr="009B1A37" w:rsidRDefault="00EA5993" w:rsidP="00BE3D48">
      <w:pPr>
        <w:pStyle w:val="EndnoteText"/>
        <w:widowControl w:val="0"/>
        <w:tabs>
          <w:tab w:val="clear" w:pos="567"/>
        </w:tabs>
        <w:rPr>
          <w:rFonts w:eastAsia="MS Mincho"/>
          <w:color w:val="000000"/>
          <w:u w:val="single"/>
        </w:rPr>
      </w:pPr>
    </w:p>
    <w:p w14:paraId="4BD71A18" w14:textId="77777777" w:rsidR="00EA5993" w:rsidRPr="009B1A37" w:rsidRDefault="00EA5993" w:rsidP="00BE3D48">
      <w:pPr>
        <w:pStyle w:val="EndnoteText"/>
        <w:keepNext/>
        <w:widowControl w:val="0"/>
        <w:tabs>
          <w:tab w:val="clear" w:pos="567"/>
        </w:tabs>
      </w:pPr>
      <w:r w:rsidRPr="009B1A37">
        <w:rPr>
          <w:rFonts w:eastAsia="MS Mincho"/>
          <w:color w:val="000000"/>
          <w:u w:val="single"/>
        </w:rPr>
        <w:t>Klinické studie u adjuvantní léčby GIST</w:t>
      </w:r>
    </w:p>
    <w:p w14:paraId="1610E95B" w14:textId="77777777" w:rsidR="00EA5993" w:rsidRPr="009B1A37" w:rsidRDefault="00EA5993" w:rsidP="00BE3D48">
      <w:pPr>
        <w:pStyle w:val="EndnoteText"/>
        <w:widowControl w:val="0"/>
        <w:tabs>
          <w:tab w:val="clear" w:pos="567"/>
        </w:tabs>
        <w:rPr>
          <w:rFonts w:eastAsia="MS Mincho"/>
          <w:color w:val="000000"/>
        </w:rPr>
      </w:pPr>
      <w:r w:rsidRPr="009B1A37">
        <w:rPr>
          <w:rFonts w:eastAsia="MS Mincho"/>
          <w:color w:val="000000"/>
        </w:rPr>
        <w:t xml:space="preserve">Glivec byl studován v adjuvantní léčbě v multicentrické, dvojitě slepé, prospektivní, placebem kontrolované studii fáze </w:t>
      </w:r>
      <w:smartTag w:uri="urn:schemas-microsoft-com:office:smarttags" w:element="stockticker">
        <w:r w:rsidRPr="009B1A37">
          <w:rPr>
            <w:rFonts w:eastAsia="MS Mincho"/>
            <w:color w:val="000000"/>
          </w:rPr>
          <w:t>III</w:t>
        </w:r>
      </w:smartTag>
      <w:r w:rsidRPr="009B1A37">
        <w:rPr>
          <w:rFonts w:eastAsia="MS Mincho"/>
          <w:color w:val="000000"/>
        </w:rPr>
        <w:t xml:space="preserve"> (Z9001), která zahrnovala 773 pacientů. Věkové rozmezí pacientů bylo 18 až 91 let. Byli zařazeni pacienti s histologickou diagnózou primárního GIST s imunochemicky potvrzenou expresí Kit proteinu a velikostí nádoru ≥ 3 cm v maximálním rozměru, s úplnou makroskopickou resekcí primárního GIST během 14</w:t>
      </w:r>
      <w:r w:rsidRPr="009B1A37">
        <w:rPr>
          <w:rFonts w:eastAsia="MS Mincho"/>
          <w:color w:val="000000"/>
        </w:rPr>
        <w:noBreakHyphen/>
        <w:t>70 dnů před zařazením do studie. Po resekci primárního GIST byli pacienti randomizováni do jednoho ze dvou ramen: Glivec podávaný v dávkách 400 mg/den nebo odpovídající placebo po dobu jednoho roku.</w:t>
      </w:r>
    </w:p>
    <w:p w14:paraId="21D50B59" w14:textId="77777777" w:rsidR="00EA5993" w:rsidRPr="009B1A37" w:rsidRDefault="00EA5993" w:rsidP="00BE3D48">
      <w:pPr>
        <w:pStyle w:val="EndnoteText"/>
        <w:widowControl w:val="0"/>
        <w:tabs>
          <w:tab w:val="clear" w:pos="567"/>
        </w:tabs>
        <w:rPr>
          <w:rFonts w:eastAsia="MS Mincho"/>
          <w:color w:val="000000"/>
        </w:rPr>
      </w:pPr>
    </w:p>
    <w:p w14:paraId="05210D28" w14:textId="77777777" w:rsidR="00EA5993" w:rsidRPr="009B1A37" w:rsidRDefault="00EA5993" w:rsidP="00BE3D48">
      <w:pPr>
        <w:pStyle w:val="EndnoteText"/>
        <w:widowControl w:val="0"/>
        <w:tabs>
          <w:tab w:val="clear" w:pos="567"/>
        </w:tabs>
        <w:rPr>
          <w:rFonts w:eastAsia="MS Mincho"/>
          <w:color w:val="000000"/>
        </w:rPr>
      </w:pPr>
      <w:r w:rsidRPr="009B1A37">
        <w:rPr>
          <w:rFonts w:eastAsia="MS Mincho"/>
          <w:color w:val="000000"/>
        </w:rPr>
        <w:t>Primárním cílovým parametrem studie bylo přežití bez návratu onemocnění (</w:t>
      </w:r>
      <w:smartTag w:uri="urn:schemas-microsoft-com:office:smarttags" w:element="stockticker">
        <w:r w:rsidRPr="009B1A37">
          <w:rPr>
            <w:rFonts w:eastAsia="MS Mincho"/>
            <w:color w:val="000000"/>
          </w:rPr>
          <w:t>RFS</w:t>
        </w:r>
      </w:smartTag>
      <w:r w:rsidRPr="009B1A37">
        <w:rPr>
          <w:rFonts w:eastAsia="MS Mincho"/>
          <w:color w:val="000000"/>
        </w:rPr>
        <w:t>) definované jako doba od data randomizace do data návratu onemocnění nebo smrti z jakékoli příčiny.</w:t>
      </w:r>
    </w:p>
    <w:p w14:paraId="6002775E" w14:textId="77777777" w:rsidR="00EA5993" w:rsidRPr="009B1A37" w:rsidRDefault="00EA5993" w:rsidP="00BE3D48">
      <w:pPr>
        <w:pStyle w:val="EndnoteText"/>
        <w:widowControl w:val="0"/>
        <w:tabs>
          <w:tab w:val="clear" w:pos="567"/>
        </w:tabs>
        <w:rPr>
          <w:rFonts w:eastAsia="MS Mincho"/>
          <w:color w:val="000000"/>
        </w:rPr>
      </w:pPr>
    </w:p>
    <w:p w14:paraId="59AA480F" w14:textId="77777777" w:rsidR="00EA5993" w:rsidRPr="009B1A37" w:rsidRDefault="00EA5993" w:rsidP="00BE3D48">
      <w:pPr>
        <w:pStyle w:val="EndnoteText"/>
        <w:widowControl w:val="0"/>
        <w:tabs>
          <w:tab w:val="clear" w:pos="567"/>
        </w:tabs>
        <w:rPr>
          <w:rFonts w:eastAsia="MS Mincho"/>
          <w:color w:val="000000"/>
          <w:u w:val="single"/>
        </w:rPr>
      </w:pPr>
      <w:r w:rsidRPr="009B1A37">
        <w:rPr>
          <w:rFonts w:eastAsia="MS Mincho"/>
          <w:color w:val="000000"/>
        </w:rPr>
        <w:t xml:space="preserve">Glivec významně prodloužil </w:t>
      </w:r>
      <w:smartTag w:uri="urn:schemas-microsoft-com:office:smarttags" w:element="stockticker">
        <w:r w:rsidRPr="009B1A37">
          <w:rPr>
            <w:rFonts w:eastAsia="MS Mincho"/>
            <w:color w:val="000000"/>
          </w:rPr>
          <w:t>RFS</w:t>
        </w:r>
      </w:smartTag>
      <w:r w:rsidRPr="009B1A37">
        <w:rPr>
          <w:rFonts w:eastAsia="MS Mincho"/>
          <w:color w:val="000000"/>
        </w:rPr>
        <w:t>, ve skupině s Glivecem bylo po dobu 38 měsíců bez návratu onemocnění 75</w:t>
      </w:r>
      <w:r w:rsidR="00FC57C0" w:rsidRPr="009B1A37">
        <w:rPr>
          <w:rFonts w:eastAsia="MS Mincho"/>
          <w:color w:val="000000"/>
        </w:rPr>
        <w:t> </w:t>
      </w:r>
      <w:r w:rsidRPr="009B1A37">
        <w:rPr>
          <w:rFonts w:eastAsia="MS Mincho"/>
          <w:color w:val="000000"/>
        </w:rPr>
        <w:t xml:space="preserve">% pacientů, oproti 20 měsícům u pacientů ve skupině s placebem (95% CI, [30-nelze určit]; respektive[14-nelze určit]); (relativní riziko = 0,398 [0,259 – 0,610], p&lt; 0,0001). Po jednom roce byl celkový </w:t>
      </w:r>
      <w:smartTag w:uri="urn:schemas-microsoft-com:office:smarttags" w:element="stockticker">
        <w:r w:rsidRPr="009B1A37">
          <w:rPr>
            <w:rFonts w:eastAsia="MS Mincho"/>
            <w:color w:val="000000"/>
          </w:rPr>
          <w:t>RFS</w:t>
        </w:r>
      </w:smartTag>
      <w:r w:rsidRPr="009B1A37">
        <w:rPr>
          <w:rFonts w:eastAsia="MS Mincho"/>
          <w:color w:val="000000"/>
        </w:rPr>
        <w:t xml:space="preserve"> významně lepší pro Glivec (97,7</w:t>
      </w:r>
      <w:r w:rsidR="00FC57C0" w:rsidRPr="009B1A37">
        <w:rPr>
          <w:rFonts w:eastAsia="MS Mincho"/>
          <w:color w:val="000000"/>
        </w:rPr>
        <w:t> </w:t>
      </w:r>
      <w:r w:rsidRPr="009B1A37">
        <w:rPr>
          <w:rFonts w:eastAsia="MS Mincho"/>
          <w:color w:val="000000"/>
        </w:rPr>
        <w:t>%) oproti placebu (82,3</w:t>
      </w:r>
      <w:r w:rsidR="00FC57C0" w:rsidRPr="009B1A37">
        <w:rPr>
          <w:rFonts w:eastAsia="MS Mincho"/>
          <w:color w:val="000000"/>
        </w:rPr>
        <w:t> </w:t>
      </w:r>
      <w:r w:rsidRPr="009B1A37">
        <w:rPr>
          <w:rFonts w:eastAsia="MS Mincho"/>
          <w:color w:val="000000"/>
        </w:rPr>
        <w:t>%), (p&lt; 0,0001). Riziko recidivy onemocnění tak bylo sníženo o přibližně 89</w:t>
      </w:r>
      <w:r w:rsidR="00FC57C0" w:rsidRPr="009B1A37">
        <w:rPr>
          <w:rFonts w:eastAsia="MS Mincho"/>
          <w:color w:val="000000"/>
        </w:rPr>
        <w:t> </w:t>
      </w:r>
      <w:r w:rsidRPr="009B1A37">
        <w:rPr>
          <w:rFonts w:eastAsia="MS Mincho"/>
          <w:color w:val="000000"/>
        </w:rPr>
        <w:t>% v porovnání s placebem (relativní riziko = 0,113 [0,049 – 0,264]).</w:t>
      </w:r>
    </w:p>
    <w:p w14:paraId="749B4B67" w14:textId="77777777" w:rsidR="00EA5993" w:rsidRPr="009B1A37" w:rsidRDefault="00EA5993" w:rsidP="00BE3D48">
      <w:pPr>
        <w:pStyle w:val="EndnoteText"/>
        <w:widowControl w:val="0"/>
        <w:tabs>
          <w:tab w:val="clear" w:pos="567"/>
        </w:tabs>
        <w:rPr>
          <w:rFonts w:eastAsia="MS Mincho"/>
          <w:color w:val="000000"/>
          <w:u w:val="single"/>
        </w:rPr>
      </w:pPr>
    </w:p>
    <w:p w14:paraId="04A8941A" w14:textId="77777777" w:rsidR="00EA5993" w:rsidRPr="009B1A37" w:rsidRDefault="00EA5993" w:rsidP="00BE3D48">
      <w:pPr>
        <w:pStyle w:val="EndnoteText"/>
        <w:widowControl w:val="0"/>
        <w:tabs>
          <w:tab w:val="clear" w:pos="567"/>
        </w:tabs>
        <w:rPr>
          <w:rFonts w:eastAsia="MS Mincho"/>
          <w:color w:val="000000"/>
          <w:u w:val="single"/>
        </w:rPr>
      </w:pPr>
      <w:r w:rsidRPr="009B1A37">
        <w:rPr>
          <w:rFonts w:eastAsia="MS Mincho"/>
          <w:color w:val="000000"/>
        </w:rPr>
        <w:t>Riziko recidivy u pacientů po operaci primárního GIST nádoru bylo retrospektivně vyhodnoceno na základě těchto prognostických faktorů: velikost nádoru, mitotický index, umístění nádoru. Hodnoty mitotického indexu byly dostupné pro 556 ze 713 pacientů intention-to-treat (</w:t>
      </w:r>
      <w:smartTag w:uri="urn:schemas-microsoft-com:office:smarttags" w:element="stockticker">
        <w:r w:rsidRPr="009B1A37">
          <w:rPr>
            <w:rFonts w:eastAsia="MS Mincho"/>
            <w:color w:val="000000"/>
          </w:rPr>
          <w:t>ITT</w:t>
        </w:r>
      </w:smartTag>
      <w:r w:rsidRPr="009B1A37">
        <w:rPr>
          <w:rFonts w:eastAsia="MS Mincho"/>
          <w:color w:val="000000"/>
        </w:rPr>
        <w:t>) populace. Výsledky analýzy podskupin podle klasifikace rizika Národního ústavu zdraví USA (NIH) a Ústavu patologie ozbrojených sil USA (AFIP) jsou shrnuty v </w:t>
      </w:r>
      <w:r w:rsidR="004F264F" w:rsidRPr="009B1A37">
        <w:rPr>
          <w:rFonts w:eastAsia="MS Mincho"/>
          <w:color w:val="000000"/>
        </w:rPr>
        <w:t>t</w:t>
      </w:r>
      <w:r w:rsidRPr="009B1A37">
        <w:rPr>
          <w:rFonts w:eastAsia="MS Mincho"/>
          <w:color w:val="000000"/>
        </w:rPr>
        <w:t>abulce </w:t>
      </w:r>
      <w:r w:rsidR="00A2522A" w:rsidRPr="009B1A37">
        <w:rPr>
          <w:rFonts w:eastAsia="MS Mincho"/>
          <w:color w:val="000000"/>
        </w:rPr>
        <w:t>7</w:t>
      </w:r>
      <w:r w:rsidRPr="009B1A37">
        <w:rPr>
          <w:rFonts w:eastAsia="MS Mincho"/>
          <w:color w:val="000000"/>
        </w:rPr>
        <w:t>. Nebyl pozorován přínos ve skupině s nízkým a velmi nízkým rizikem. Nebyl pozorován přínos pro celkové přežití.</w:t>
      </w:r>
    </w:p>
    <w:p w14:paraId="5246494A" w14:textId="77777777" w:rsidR="00EA5993" w:rsidRPr="009B1A37" w:rsidRDefault="00EA5993" w:rsidP="00BE3D48">
      <w:pPr>
        <w:pStyle w:val="EndnoteText"/>
        <w:widowControl w:val="0"/>
        <w:tabs>
          <w:tab w:val="clear" w:pos="567"/>
        </w:tabs>
        <w:rPr>
          <w:rFonts w:eastAsia="MS Mincho"/>
          <w:color w:val="000000"/>
          <w:u w:val="single"/>
        </w:rPr>
      </w:pPr>
    </w:p>
    <w:p w14:paraId="6D767D4A" w14:textId="77777777" w:rsidR="00EA5993" w:rsidRPr="009B1A37" w:rsidRDefault="00EA5993" w:rsidP="00EB4FF7">
      <w:pPr>
        <w:pStyle w:val="Heading6"/>
        <w:widowControl w:val="0"/>
        <w:numPr>
          <w:ilvl w:val="0"/>
          <w:numId w:val="0"/>
        </w:numPr>
        <w:tabs>
          <w:tab w:val="clear" w:pos="-720"/>
          <w:tab w:val="clear" w:pos="567"/>
          <w:tab w:val="clear" w:pos="4536"/>
          <w:tab w:val="left" w:pos="1584"/>
          <w:tab w:val="left" w:pos="2736"/>
          <w:tab w:val="left" w:pos="4590"/>
        </w:tabs>
        <w:spacing w:line="240" w:lineRule="auto"/>
        <w:ind w:left="1134" w:hanging="1134"/>
        <w:rPr>
          <w:rFonts w:eastAsia="MS Mincho"/>
        </w:rPr>
      </w:pPr>
      <w:r w:rsidRPr="009B1A37">
        <w:rPr>
          <w:rFonts w:eastAsia="MS Mincho"/>
          <w:b/>
          <w:i w:val="0"/>
          <w:color w:val="000000"/>
        </w:rPr>
        <w:t>Tabulka </w:t>
      </w:r>
      <w:r w:rsidR="00A2522A" w:rsidRPr="009B1A37">
        <w:rPr>
          <w:rFonts w:eastAsia="MS Mincho"/>
          <w:b/>
          <w:i w:val="0"/>
          <w:color w:val="000000"/>
        </w:rPr>
        <w:t>7</w:t>
      </w:r>
      <w:r w:rsidRPr="009B1A37">
        <w:rPr>
          <w:rFonts w:eastAsia="MS Mincho"/>
          <w:b/>
          <w:i w:val="0"/>
          <w:color w:val="000000"/>
        </w:rPr>
        <w:tab/>
        <w:t xml:space="preserve">Souhrn analýz </w:t>
      </w:r>
      <w:smartTag w:uri="urn:schemas-microsoft-com:office:smarttags" w:element="stockticker">
        <w:r w:rsidRPr="009B1A37">
          <w:rPr>
            <w:rFonts w:eastAsia="MS Mincho"/>
            <w:b/>
            <w:i w:val="0"/>
            <w:color w:val="000000"/>
          </w:rPr>
          <w:t>RFS</w:t>
        </w:r>
      </w:smartTag>
      <w:r w:rsidRPr="009B1A37">
        <w:rPr>
          <w:rFonts w:eastAsia="MS Mincho"/>
          <w:b/>
          <w:i w:val="0"/>
          <w:color w:val="000000"/>
        </w:rPr>
        <w:t xml:space="preserve"> studie Z9001podle klasifikace rizika NIH and AFIP</w:t>
      </w:r>
    </w:p>
    <w:p w14:paraId="75B15ED0" w14:textId="77777777" w:rsidR="00EA5993" w:rsidRPr="009B1A37" w:rsidRDefault="00EA5993" w:rsidP="00EB4FF7">
      <w:pPr>
        <w:keepNext/>
        <w:widowControl w:val="0"/>
        <w:spacing w:line="240" w:lineRule="auto"/>
        <w:rPr>
          <w:rFonts w:eastAsia="MS Mincho"/>
        </w:rPr>
      </w:pPr>
    </w:p>
    <w:tbl>
      <w:tblPr>
        <w:tblW w:w="10060" w:type="dxa"/>
        <w:tblInd w:w="-20" w:type="dxa"/>
        <w:tblLayout w:type="fixed"/>
        <w:tblLook w:val="0000" w:firstRow="0" w:lastRow="0" w:firstColumn="0" w:lastColumn="0" w:noHBand="0" w:noVBand="0"/>
      </w:tblPr>
      <w:tblGrid>
        <w:gridCol w:w="1008"/>
        <w:gridCol w:w="1343"/>
        <w:gridCol w:w="1047"/>
        <w:gridCol w:w="2022"/>
        <w:gridCol w:w="1800"/>
        <w:gridCol w:w="1440"/>
        <w:gridCol w:w="1400"/>
      </w:tblGrid>
      <w:tr w:rsidR="00EA5993" w:rsidRPr="009B1A37" w14:paraId="6D6AC119" w14:textId="77777777" w:rsidTr="00EB4FF7">
        <w:trPr>
          <w:cantSplit/>
        </w:trPr>
        <w:tc>
          <w:tcPr>
            <w:tcW w:w="1008" w:type="dxa"/>
            <w:vMerge w:val="restart"/>
            <w:tcBorders>
              <w:top w:val="single" w:sz="4" w:space="0" w:color="000000"/>
              <w:left w:val="single" w:sz="4" w:space="0" w:color="000000"/>
              <w:bottom w:val="single" w:sz="4" w:space="0" w:color="000000"/>
            </w:tcBorders>
          </w:tcPr>
          <w:p w14:paraId="308F5729" w14:textId="77777777" w:rsidR="00EA5993" w:rsidRPr="009B1A37" w:rsidRDefault="00EA5993" w:rsidP="00EB4FF7">
            <w:pPr>
              <w:keepNext/>
              <w:widowControl w:val="0"/>
              <w:snapToGrid w:val="0"/>
              <w:spacing w:line="240" w:lineRule="auto"/>
              <w:jc w:val="center"/>
              <w:rPr>
                <w:b/>
              </w:rPr>
            </w:pPr>
            <w:r w:rsidRPr="009B1A37">
              <w:rPr>
                <w:b/>
              </w:rPr>
              <w:t>Kritéria rizika</w:t>
            </w:r>
          </w:p>
        </w:tc>
        <w:tc>
          <w:tcPr>
            <w:tcW w:w="1343" w:type="dxa"/>
            <w:vMerge w:val="restart"/>
            <w:tcBorders>
              <w:top w:val="single" w:sz="4" w:space="0" w:color="000000"/>
              <w:left w:val="single" w:sz="4" w:space="0" w:color="000000"/>
              <w:bottom w:val="single" w:sz="4" w:space="0" w:color="000000"/>
            </w:tcBorders>
          </w:tcPr>
          <w:p w14:paraId="060F94A4" w14:textId="77777777" w:rsidR="00EA5993" w:rsidRPr="009B1A37" w:rsidRDefault="00EA5993" w:rsidP="00EB4FF7">
            <w:pPr>
              <w:keepNext/>
              <w:widowControl w:val="0"/>
              <w:snapToGrid w:val="0"/>
              <w:spacing w:line="240" w:lineRule="auto"/>
              <w:rPr>
                <w:b/>
              </w:rPr>
            </w:pPr>
            <w:r w:rsidRPr="009B1A37">
              <w:rPr>
                <w:b/>
              </w:rPr>
              <w:t xml:space="preserve">Stupeň rizika </w:t>
            </w:r>
          </w:p>
        </w:tc>
        <w:tc>
          <w:tcPr>
            <w:tcW w:w="1047" w:type="dxa"/>
            <w:vMerge w:val="restart"/>
            <w:tcBorders>
              <w:top w:val="single" w:sz="4" w:space="0" w:color="000000"/>
              <w:left w:val="single" w:sz="4" w:space="0" w:color="000000"/>
              <w:bottom w:val="single" w:sz="4" w:space="0" w:color="000000"/>
            </w:tcBorders>
          </w:tcPr>
          <w:p w14:paraId="1EC61BC4" w14:textId="77777777" w:rsidR="00EA5993" w:rsidRPr="009B1A37" w:rsidRDefault="00EA5993" w:rsidP="00EB4FF7">
            <w:pPr>
              <w:keepNext/>
              <w:widowControl w:val="0"/>
              <w:snapToGrid w:val="0"/>
              <w:spacing w:line="240" w:lineRule="auto"/>
              <w:jc w:val="center"/>
              <w:rPr>
                <w:b/>
              </w:rPr>
            </w:pPr>
            <w:r w:rsidRPr="009B1A37">
              <w:rPr>
                <w:b/>
              </w:rPr>
              <w:t>% pacientů</w:t>
            </w:r>
          </w:p>
        </w:tc>
        <w:tc>
          <w:tcPr>
            <w:tcW w:w="2022" w:type="dxa"/>
            <w:vMerge w:val="restart"/>
            <w:tcBorders>
              <w:top w:val="single" w:sz="4" w:space="0" w:color="000000"/>
              <w:left w:val="single" w:sz="4" w:space="0" w:color="000000"/>
              <w:bottom w:val="single" w:sz="4" w:space="0" w:color="000000"/>
            </w:tcBorders>
          </w:tcPr>
          <w:p w14:paraId="3123ECEB" w14:textId="77777777" w:rsidR="00EA5993" w:rsidRPr="009B1A37" w:rsidRDefault="00EA5993" w:rsidP="00EB4FF7">
            <w:pPr>
              <w:keepNext/>
              <w:widowControl w:val="0"/>
              <w:snapToGrid w:val="0"/>
              <w:spacing w:line="240" w:lineRule="auto"/>
              <w:jc w:val="center"/>
              <w:rPr>
                <w:b/>
              </w:rPr>
            </w:pPr>
            <w:r w:rsidRPr="009B1A37">
              <w:rPr>
                <w:b/>
              </w:rPr>
              <w:t>Počet příhod /</w:t>
            </w:r>
          </w:p>
          <w:p w14:paraId="4A44CE7C" w14:textId="77777777" w:rsidR="00EA5993" w:rsidRPr="009B1A37" w:rsidRDefault="00EA5993" w:rsidP="00EB4FF7">
            <w:pPr>
              <w:keepNext/>
              <w:widowControl w:val="0"/>
              <w:spacing w:line="240" w:lineRule="auto"/>
              <w:jc w:val="center"/>
              <w:rPr>
                <w:b/>
              </w:rPr>
            </w:pPr>
            <w:r w:rsidRPr="009B1A37">
              <w:rPr>
                <w:b/>
              </w:rPr>
              <w:t>Počet pacientů</w:t>
            </w:r>
          </w:p>
        </w:tc>
        <w:tc>
          <w:tcPr>
            <w:tcW w:w="1800" w:type="dxa"/>
            <w:vMerge w:val="restart"/>
            <w:tcBorders>
              <w:top w:val="single" w:sz="4" w:space="0" w:color="000000"/>
              <w:left w:val="single" w:sz="4" w:space="0" w:color="000000"/>
              <w:bottom w:val="single" w:sz="4" w:space="0" w:color="000000"/>
            </w:tcBorders>
          </w:tcPr>
          <w:p w14:paraId="4CB24017" w14:textId="77777777" w:rsidR="00EA5993" w:rsidRPr="009B1A37" w:rsidRDefault="00EA5993" w:rsidP="00EB4FF7">
            <w:pPr>
              <w:keepNext/>
              <w:widowControl w:val="0"/>
              <w:snapToGrid w:val="0"/>
              <w:spacing w:line="240" w:lineRule="auto"/>
              <w:jc w:val="center"/>
              <w:rPr>
                <w:b/>
              </w:rPr>
            </w:pPr>
            <w:r w:rsidRPr="009B1A37">
              <w:rPr>
                <w:b/>
              </w:rPr>
              <w:t>Celkové relativní riziko (95 %CI)*</w:t>
            </w:r>
          </w:p>
        </w:tc>
        <w:tc>
          <w:tcPr>
            <w:tcW w:w="2840" w:type="dxa"/>
            <w:gridSpan w:val="2"/>
            <w:tcBorders>
              <w:top w:val="single" w:sz="4" w:space="0" w:color="000000"/>
              <w:left w:val="single" w:sz="4" w:space="0" w:color="000000"/>
              <w:bottom w:val="single" w:sz="4" w:space="0" w:color="000000"/>
              <w:right w:val="single" w:sz="4" w:space="0" w:color="000000"/>
            </w:tcBorders>
          </w:tcPr>
          <w:p w14:paraId="6D519269" w14:textId="77777777" w:rsidR="00EA5993" w:rsidRPr="009B1A37" w:rsidRDefault="00EA5993" w:rsidP="00EB4FF7">
            <w:pPr>
              <w:keepNext/>
              <w:widowControl w:val="0"/>
              <w:snapToGrid w:val="0"/>
              <w:spacing w:line="240" w:lineRule="auto"/>
              <w:jc w:val="center"/>
            </w:pPr>
            <w:r w:rsidRPr="009B1A37">
              <w:rPr>
                <w:b/>
              </w:rPr>
              <w:t xml:space="preserve">Míra </w:t>
            </w:r>
            <w:smartTag w:uri="urn:schemas-microsoft-com:office:smarttags" w:element="stockticker">
              <w:r w:rsidRPr="009B1A37">
                <w:rPr>
                  <w:b/>
                </w:rPr>
                <w:t>RFS</w:t>
              </w:r>
            </w:smartTag>
            <w:r w:rsidRPr="009B1A37">
              <w:rPr>
                <w:b/>
              </w:rPr>
              <w:t xml:space="preserve"> (%)</w:t>
            </w:r>
          </w:p>
        </w:tc>
      </w:tr>
      <w:tr w:rsidR="00EA5993" w:rsidRPr="009B1A37" w14:paraId="2E3B31A1" w14:textId="77777777" w:rsidTr="00EB4FF7">
        <w:trPr>
          <w:cantSplit/>
        </w:trPr>
        <w:tc>
          <w:tcPr>
            <w:tcW w:w="1008" w:type="dxa"/>
            <w:vMerge/>
            <w:tcBorders>
              <w:top w:val="single" w:sz="4" w:space="0" w:color="000000"/>
              <w:left w:val="single" w:sz="4" w:space="0" w:color="000000"/>
              <w:bottom w:val="single" w:sz="4" w:space="0" w:color="000000"/>
            </w:tcBorders>
          </w:tcPr>
          <w:p w14:paraId="337EDF22" w14:textId="77777777" w:rsidR="00EA5993" w:rsidRPr="009B1A37" w:rsidRDefault="00EA5993" w:rsidP="00EB4FF7">
            <w:pPr>
              <w:keepNext/>
              <w:widowControl w:val="0"/>
              <w:spacing w:line="240" w:lineRule="auto"/>
            </w:pPr>
          </w:p>
        </w:tc>
        <w:tc>
          <w:tcPr>
            <w:tcW w:w="1343" w:type="dxa"/>
            <w:vMerge/>
            <w:tcBorders>
              <w:top w:val="single" w:sz="4" w:space="0" w:color="000000"/>
              <w:left w:val="single" w:sz="4" w:space="0" w:color="000000"/>
              <w:bottom w:val="single" w:sz="4" w:space="0" w:color="000000"/>
            </w:tcBorders>
          </w:tcPr>
          <w:p w14:paraId="2542E95B" w14:textId="77777777" w:rsidR="00EA5993" w:rsidRPr="009B1A37" w:rsidRDefault="00EA5993" w:rsidP="00EB4FF7">
            <w:pPr>
              <w:keepNext/>
              <w:widowControl w:val="0"/>
              <w:spacing w:line="240" w:lineRule="auto"/>
            </w:pPr>
          </w:p>
        </w:tc>
        <w:tc>
          <w:tcPr>
            <w:tcW w:w="1047" w:type="dxa"/>
            <w:vMerge/>
            <w:tcBorders>
              <w:top w:val="single" w:sz="4" w:space="0" w:color="000000"/>
              <w:left w:val="single" w:sz="4" w:space="0" w:color="000000"/>
              <w:bottom w:val="single" w:sz="4" w:space="0" w:color="000000"/>
            </w:tcBorders>
          </w:tcPr>
          <w:p w14:paraId="12FEFEE9" w14:textId="77777777" w:rsidR="00EA5993" w:rsidRPr="009B1A37" w:rsidRDefault="00EA5993" w:rsidP="00EB4FF7">
            <w:pPr>
              <w:keepNext/>
              <w:widowControl w:val="0"/>
              <w:spacing w:line="240" w:lineRule="auto"/>
            </w:pPr>
          </w:p>
        </w:tc>
        <w:tc>
          <w:tcPr>
            <w:tcW w:w="2022" w:type="dxa"/>
            <w:vMerge/>
            <w:tcBorders>
              <w:top w:val="single" w:sz="4" w:space="0" w:color="000000"/>
              <w:left w:val="single" w:sz="4" w:space="0" w:color="000000"/>
              <w:bottom w:val="single" w:sz="4" w:space="0" w:color="000000"/>
            </w:tcBorders>
          </w:tcPr>
          <w:p w14:paraId="5B85E29F" w14:textId="77777777" w:rsidR="00EA5993" w:rsidRPr="009B1A37" w:rsidRDefault="00EA5993" w:rsidP="00EB4FF7">
            <w:pPr>
              <w:keepNext/>
              <w:widowControl w:val="0"/>
              <w:spacing w:line="240" w:lineRule="auto"/>
            </w:pPr>
          </w:p>
        </w:tc>
        <w:tc>
          <w:tcPr>
            <w:tcW w:w="1800" w:type="dxa"/>
            <w:vMerge/>
            <w:tcBorders>
              <w:top w:val="single" w:sz="4" w:space="0" w:color="000000"/>
              <w:left w:val="single" w:sz="4" w:space="0" w:color="000000"/>
              <w:bottom w:val="single" w:sz="4" w:space="0" w:color="000000"/>
            </w:tcBorders>
          </w:tcPr>
          <w:p w14:paraId="3A53CD85" w14:textId="77777777" w:rsidR="00EA5993" w:rsidRPr="009B1A37" w:rsidRDefault="00EA5993" w:rsidP="00EB4FF7">
            <w:pPr>
              <w:keepNext/>
              <w:widowControl w:val="0"/>
              <w:spacing w:line="240" w:lineRule="auto"/>
            </w:pPr>
          </w:p>
        </w:tc>
        <w:tc>
          <w:tcPr>
            <w:tcW w:w="1440" w:type="dxa"/>
            <w:tcBorders>
              <w:top w:val="single" w:sz="4" w:space="0" w:color="000000"/>
              <w:left w:val="single" w:sz="4" w:space="0" w:color="000000"/>
              <w:bottom w:val="single" w:sz="4" w:space="0" w:color="000000"/>
            </w:tcBorders>
          </w:tcPr>
          <w:p w14:paraId="3C004667" w14:textId="77777777" w:rsidR="00EA5993" w:rsidRPr="009B1A37" w:rsidRDefault="00EA5993" w:rsidP="00EB4FF7">
            <w:pPr>
              <w:keepNext/>
              <w:widowControl w:val="0"/>
              <w:snapToGrid w:val="0"/>
              <w:spacing w:line="240" w:lineRule="auto"/>
              <w:jc w:val="center"/>
              <w:rPr>
                <w:b/>
              </w:rPr>
            </w:pPr>
            <w:r w:rsidRPr="009B1A37">
              <w:rPr>
                <w:b/>
              </w:rPr>
              <w:t>12 měsíců</w:t>
            </w:r>
          </w:p>
        </w:tc>
        <w:tc>
          <w:tcPr>
            <w:tcW w:w="1400" w:type="dxa"/>
            <w:tcBorders>
              <w:top w:val="single" w:sz="4" w:space="0" w:color="000000"/>
              <w:left w:val="single" w:sz="4" w:space="0" w:color="000000"/>
              <w:bottom w:val="single" w:sz="4" w:space="0" w:color="000000"/>
              <w:right w:val="single" w:sz="4" w:space="0" w:color="000000"/>
            </w:tcBorders>
          </w:tcPr>
          <w:p w14:paraId="7199A426" w14:textId="77777777" w:rsidR="00EA5993" w:rsidRPr="009B1A37" w:rsidRDefault="00EA5993" w:rsidP="00EB4FF7">
            <w:pPr>
              <w:keepNext/>
              <w:widowControl w:val="0"/>
              <w:snapToGrid w:val="0"/>
              <w:spacing w:line="240" w:lineRule="auto"/>
              <w:jc w:val="center"/>
            </w:pPr>
            <w:r w:rsidRPr="009B1A37">
              <w:rPr>
                <w:b/>
              </w:rPr>
              <w:t>24 měsíců</w:t>
            </w:r>
          </w:p>
        </w:tc>
      </w:tr>
      <w:tr w:rsidR="00EA5993" w:rsidRPr="009B1A37" w14:paraId="0811D6F8" w14:textId="77777777" w:rsidTr="00EB4FF7">
        <w:trPr>
          <w:cantSplit/>
        </w:trPr>
        <w:tc>
          <w:tcPr>
            <w:tcW w:w="1008" w:type="dxa"/>
            <w:vMerge/>
            <w:tcBorders>
              <w:top w:val="single" w:sz="4" w:space="0" w:color="000000"/>
              <w:left w:val="single" w:sz="4" w:space="0" w:color="000000"/>
              <w:bottom w:val="single" w:sz="4" w:space="0" w:color="000000"/>
            </w:tcBorders>
          </w:tcPr>
          <w:p w14:paraId="2FEBAFA7" w14:textId="77777777" w:rsidR="00EA5993" w:rsidRPr="009B1A37" w:rsidRDefault="00EA5993" w:rsidP="00EB4FF7">
            <w:pPr>
              <w:keepNext/>
              <w:widowControl w:val="0"/>
              <w:spacing w:line="240" w:lineRule="auto"/>
            </w:pPr>
          </w:p>
        </w:tc>
        <w:tc>
          <w:tcPr>
            <w:tcW w:w="1343" w:type="dxa"/>
            <w:vMerge/>
            <w:tcBorders>
              <w:top w:val="single" w:sz="4" w:space="0" w:color="000000"/>
              <w:left w:val="single" w:sz="4" w:space="0" w:color="000000"/>
              <w:bottom w:val="single" w:sz="4" w:space="0" w:color="000000"/>
            </w:tcBorders>
          </w:tcPr>
          <w:p w14:paraId="7FBE5C0D" w14:textId="77777777" w:rsidR="00EA5993" w:rsidRPr="009B1A37" w:rsidRDefault="00EA5993" w:rsidP="00EB4FF7">
            <w:pPr>
              <w:keepNext/>
              <w:widowControl w:val="0"/>
              <w:spacing w:line="240" w:lineRule="auto"/>
            </w:pPr>
          </w:p>
        </w:tc>
        <w:tc>
          <w:tcPr>
            <w:tcW w:w="1047" w:type="dxa"/>
            <w:vMerge/>
            <w:tcBorders>
              <w:top w:val="single" w:sz="4" w:space="0" w:color="000000"/>
              <w:left w:val="single" w:sz="4" w:space="0" w:color="000000"/>
              <w:bottom w:val="single" w:sz="4" w:space="0" w:color="000000"/>
            </w:tcBorders>
          </w:tcPr>
          <w:p w14:paraId="44DE5C61" w14:textId="77777777" w:rsidR="00EA5993" w:rsidRPr="009B1A37" w:rsidRDefault="00EA5993" w:rsidP="00EB4FF7">
            <w:pPr>
              <w:keepNext/>
              <w:widowControl w:val="0"/>
              <w:spacing w:line="240" w:lineRule="auto"/>
            </w:pPr>
          </w:p>
        </w:tc>
        <w:tc>
          <w:tcPr>
            <w:tcW w:w="2022" w:type="dxa"/>
            <w:tcBorders>
              <w:top w:val="single" w:sz="4" w:space="0" w:color="000000"/>
              <w:left w:val="single" w:sz="4" w:space="0" w:color="000000"/>
              <w:bottom w:val="single" w:sz="4" w:space="0" w:color="000000"/>
            </w:tcBorders>
          </w:tcPr>
          <w:p w14:paraId="218AC03E" w14:textId="77777777" w:rsidR="00EA5993" w:rsidRPr="009B1A37" w:rsidRDefault="00EA5993" w:rsidP="00EB4FF7">
            <w:pPr>
              <w:keepNext/>
              <w:widowControl w:val="0"/>
              <w:snapToGrid w:val="0"/>
              <w:spacing w:line="240" w:lineRule="auto"/>
              <w:jc w:val="center"/>
            </w:pPr>
            <w:r w:rsidRPr="009B1A37">
              <w:rPr>
                <w:b/>
              </w:rPr>
              <w:t>Glivec vs placebo</w:t>
            </w:r>
          </w:p>
        </w:tc>
        <w:tc>
          <w:tcPr>
            <w:tcW w:w="1800" w:type="dxa"/>
            <w:vMerge/>
            <w:tcBorders>
              <w:top w:val="single" w:sz="4" w:space="0" w:color="000000"/>
              <w:left w:val="single" w:sz="4" w:space="0" w:color="000000"/>
              <w:bottom w:val="single" w:sz="4" w:space="0" w:color="000000"/>
            </w:tcBorders>
          </w:tcPr>
          <w:p w14:paraId="62FDDD8B" w14:textId="77777777" w:rsidR="00EA5993" w:rsidRPr="009B1A37" w:rsidRDefault="00EA5993" w:rsidP="00EB4FF7">
            <w:pPr>
              <w:keepNext/>
              <w:widowControl w:val="0"/>
              <w:spacing w:line="240" w:lineRule="auto"/>
            </w:pPr>
          </w:p>
        </w:tc>
        <w:tc>
          <w:tcPr>
            <w:tcW w:w="1440" w:type="dxa"/>
            <w:tcBorders>
              <w:top w:val="single" w:sz="4" w:space="0" w:color="000000"/>
              <w:left w:val="single" w:sz="4" w:space="0" w:color="000000"/>
              <w:bottom w:val="single" w:sz="4" w:space="0" w:color="000000"/>
            </w:tcBorders>
          </w:tcPr>
          <w:p w14:paraId="4029013A" w14:textId="77777777" w:rsidR="00EA5993" w:rsidRPr="009B1A37" w:rsidRDefault="00EA5993" w:rsidP="00EB4FF7">
            <w:pPr>
              <w:keepNext/>
              <w:widowControl w:val="0"/>
              <w:snapToGrid w:val="0"/>
              <w:spacing w:line="240" w:lineRule="auto"/>
              <w:jc w:val="center"/>
              <w:rPr>
                <w:b/>
              </w:rPr>
            </w:pPr>
            <w:r w:rsidRPr="009B1A37">
              <w:rPr>
                <w:b/>
              </w:rPr>
              <w:t>Glivec vs placebo</w:t>
            </w:r>
          </w:p>
        </w:tc>
        <w:tc>
          <w:tcPr>
            <w:tcW w:w="1400" w:type="dxa"/>
            <w:tcBorders>
              <w:top w:val="single" w:sz="4" w:space="0" w:color="000000"/>
              <w:left w:val="single" w:sz="4" w:space="0" w:color="000000"/>
              <w:bottom w:val="single" w:sz="4" w:space="0" w:color="000000"/>
              <w:right w:val="single" w:sz="4" w:space="0" w:color="000000"/>
            </w:tcBorders>
          </w:tcPr>
          <w:p w14:paraId="0020DED9" w14:textId="77777777" w:rsidR="00EA5993" w:rsidRPr="009B1A37" w:rsidRDefault="00EA5993" w:rsidP="00EB4FF7">
            <w:pPr>
              <w:keepNext/>
              <w:widowControl w:val="0"/>
              <w:snapToGrid w:val="0"/>
              <w:spacing w:line="240" w:lineRule="auto"/>
              <w:jc w:val="center"/>
            </w:pPr>
            <w:r w:rsidRPr="009B1A37">
              <w:rPr>
                <w:b/>
              </w:rPr>
              <w:t>Glivec vs placebo</w:t>
            </w:r>
          </w:p>
        </w:tc>
      </w:tr>
      <w:tr w:rsidR="00EA5993" w:rsidRPr="009B1A37" w14:paraId="7C1EC6DD" w14:textId="77777777" w:rsidTr="00EB4FF7">
        <w:trPr>
          <w:cantSplit/>
        </w:trPr>
        <w:tc>
          <w:tcPr>
            <w:tcW w:w="1008" w:type="dxa"/>
            <w:vMerge w:val="restart"/>
            <w:tcBorders>
              <w:top w:val="single" w:sz="4" w:space="0" w:color="000000"/>
              <w:left w:val="single" w:sz="4" w:space="0" w:color="000000"/>
              <w:bottom w:val="single" w:sz="4" w:space="0" w:color="000000"/>
            </w:tcBorders>
          </w:tcPr>
          <w:p w14:paraId="2F709B0C" w14:textId="77777777" w:rsidR="00EA5993" w:rsidRPr="009B1A37" w:rsidRDefault="00EA5993" w:rsidP="00EB4FF7">
            <w:pPr>
              <w:keepNext/>
              <w:widowControl w:val="0"/>
              <w:snapToGrid w:val="0"/>
              <w:spacing w:line="240" w:lineRule="auto"/>
            </w:pPr>
            <w:r w:rsidRPr="009B1A37">
              <w:t>NIH</w:t>
            </w:r>
          </w:p>
        </w:tc>
        <w:tc>
          <w:tcPr>
            <w:tcW w:w="1343" w:type="dxa"/>
            <w:tcBorders>
              <w:top w:val="single" w:sz="4" w:space="0" w:color="000000"/>
              <w:left w:val="single" w:sz="4" w:space="0" w:color="000000"/>
            </w:tcBorders>
            <w:vAlign w:val="bottom"/>
          </w:tcPr>
          <w:p w14:paraId="0DF8F0FF" w14:textId="77777777" w:rsidR="00EA5993" w:rsidRPr="009B1A37" w:rsidRDefault="00EA5993" w:rsidP="00EB4FF7">
            <w:pPr>
              <w:keepNext/>
              <w:widowControl w:val="0"/>
              <w:snapToGrid w:val="0"/>
              <w:spacing w:line="240" w:lineRule="auto"/>
              <w:ind w:left="57" w:hanging="57"/>
            </w:pPr>
            <w:r w:rsidRPr="009B1A37">
              <w:t>Nízké</w:t>
            </w:r>
          </w:p>
        </w:tc>
        <w:tc>
          <w:tcPr>
            <w:tcW w:w="1047" w:type="dxa"/>
            <w:tcBorders>
              <w:top w:val="single" w:sz="4" w:space="0" w:color="000000"/>
              <w:left w:val="single" w:sz="4" w:space="0" w:color="000000"/>
            </w:tcBorders>
            <w:vAlign w:val="bottom"/>
          </w:tcPr>
          <w:p w14:paraId="22422278" w14:textId="77777777" w:rsidR="00EA5993" w:rsidRPr="009B1A37" w:rsidRDefault="00EA5993" w:rsidP="00EB4FF7">
            <w:pPr>
              <w:keepNext/>
              <w:widowControl w:val="0"/>
              <w:snapToGrid w:val="0"/>
              <w:spacing w:line="240" w:lineRule="auto"/>
              <w:ind w:left="57" w:hanging="57"/>
              <w:jc w:val="center"/>
            </w:pPr>
            <w:r w:rsidRPr="009B1A37">
              <w:t>29,5</w:t>
            </w:r>
          </w:p>
        </w:tc>
        <w:tc>
          <w:tcPr>
            <w:tcW w:w="2022" w:type="dxa"/>
            <w:tcBorders>
              <w:top w:val="single" w:sz="4" w:space="0" w:color="000000"/>
              <w:left w:val="single" w:sz="4" w:space="0" w:color="000000"/>
            </w:tcBorders>
            <w:vAlign w:val="bottom"/>
          </w:tcPr>
          <w:p w14:paraId="5E311DC9" w14:textId="77777777" w:rsidR="00EA5993" w:rsidRPr="009B1A37" w:rsidRDefault="00EA5993" w:rsidP="00EB4FF7">
            <w:pPr>
              <w:keepNext/>
              <w:widowControl w:val="0"/>
              <w:snapToGrid w:val="0"/>
              <w:spacing w:line="240" w:lineRule="auto"/>
              <w:ind w:left="57" w:hanging="57"/>
            </w:pPr>
            <w:r w:rsidRPr="009B1A37">
              <w:t>0/86 vs. 2/90</w:t>
            </w:r>
          </w:p>
        </w:tc>
        <w:tc>
          <w:tcPr>
            <w:tcW w:w="1800" w:type="dxa"/>
            <w:tcBorders>
              <w:top w:val="single" w:sz="4" w:space="0" w:color="000000"/>
              <w:left w:val="single" w:sz="4" w:space="0" w:color="000000"/>
            </w:tcBorders>
            <w:vAlign w:val="bottom"/>
          </w:tcPr>
          <w:p w14:paraId="1D509574" w14:textId="77777777" w:rsidR="00EA5993" w:rsidRPr="009B1A37" w:rsidRDefault="00EA5993" w:rsidP="00EB4FF7">
            <w:pPr>
              <w:keepNext/>
              <w:widowControl w:val="0"/>
              <w:snapToGrid w:val="0"/>
              <w:spacing w:line="240" w:lineRule="auto"/>
              <w:ind w:left="57" w:hanging="57"/>
            </w:pPr>
            <w:r w:rsidRPr="009B1A37">
              <w:t>N.E.</w:t>
            </w:r>
          </w:p>
        </w:tc>
        <w:tc>
          <w:tcPr>
            <w:tcW w:w="1440" w:type="dxa"/>
            <w:tcBorders>
              <w:top w:val="single" w:sz="4" w:space="0" w:color="000000"/>
              <w:left w:val="single" w:sz="4" w:space="0" w:color="000000"/>
            </w:tcBorders>
            <w:vAlign w:val="bottom"/>
          </w:tcPr>
          <w:p w14:paraId="378254D0" w14:textId="77777777" w:rsidR="00EA5993" w:rsidRPr="009B1A37" w:rsidRDefault="00EA5993" w:rsidP="00EB4FF7">
            <w:pPr>
              <w:keepNext/>
              <w:widowControl w:val="0"/>
              <w:snapToGrid w:val="0"/>
              <w:spacing w:line="240" w:lineRule="auto"/>
              <w:ind w:left="57" w:hanging="57"/>
            </w:pPr>
            <w:r w:rsidRPr="009B1A37">
              <w:t>100 vs. 98,7</w:t>
            </w:r>
          </w:p>
        </w:tc>
        <w:tc>
          <w:tcPr>
            <w:tcW w:w="1400" w:type="dxa"/>
            <w:tcBorders>
              <w:top w:val="single" w:sz="4" w:space="0" w:color="000000"/>
              <w:left w:val="single" w:sz="4" w:space="0" w:color="000000"/>
              <w:right w:val="single" w:sz="4" w:space="0" w:color="000000"/>
            </w:tcBorders>
            <w:vAlign w:val="bottom"/>
          </w:tcPr>
          <w:p w14:paraId="1DFC88F4" w14:textId="77777777" w:rsidR="00EA5993" w:rsidRPr="009B1A37" w:rsidRDefault="00EA5993" w:rsidP="00EB4FF7">
            <w:pPr>
              <w:keepNext/>
              <w:widowControl w:val="0"/>
              <w:snapToGrid w:val="0"/>
              <w:spacing w:line="240" w:lineRule="auto"/>
              <w:ind w:left="57" w:hanging="57"/>
            </w:pPr>
            <w:r w:rsidRPr="009B1A37">
              <w:t>100 vs. 95,5</w:t>
            </w:r>
          </w:p>
        </w:tc>
      </w:tr>
      <w:tr w:rsidR="00EA5993" w:rsidRPr="009B1A37" w14:paraId="4B9D8945" w14:textId="77777777" w:rsidTr="00EB4FF7">
        <w:trPr>
          <w:cantSplit/>
        </w:trPr>
        <w:tc>
          <w:tcPr>
            <w:tcW w:w="1008" w:type="dxa"/>
            <w:vMerge/>
            <w:tcBorders>
              <w:top w:val="single" w:sz="4" w:space="0" w:color="000000"/>
              <w:left w:val="single" w:sz="4" w:space="0" w:color="000000"/>
              <w:bottom w:val="single" w:sz="4" w:space="0" w:color="000000"/>
            </w:tcBorders>
          </w:tcPr>
          <w:p w14:paraId="43BFFE67" w14:textId="77777777" w:rsidR="00EA5993" w:rsidRPr="009B1A37" w:rsidRDefault="00EA5993" w:rsidP="00EB4FF7">
            <w:pPr>
              <w:keepNext/>
              <w:widowControl w:val="0"/>
              <w:spacing w:line="240" w:lineRule="auto"/>
            </w:pPr>
          </w:p>
        </w:tc>
        <w:tc>
          <w:tcPr>
            <w:tcW w:w="1343" w:type="dxa"/>
            <w:tcBorders>
              <w:left w:val="single" w:sz="4" w:space="0" w:color="000000"/>
            </w:tcBorders>
            <w:vAlign w:val="bottom"/>
          </w:tcPr>
          <w:p w14:paraId="378F8179" w14:textId="77777777" w:rsidR="00EA5993" w:rsidRPr="009B1A37" w:rsidRDefault="00EA5993" w:rsidP="00EB4FF7">
            <w:pPr>
              <w:keepNext/>
              <w:widowControl w:val="0"/>
              <w:snapToGrid w:val="0"/>
              <w:spacing w:line="240" w:lineRule="auto"/>
            </w:pPr>
            <w:r w:rsidRPr="009B1A37">
              <w:t>Střední</w:t>
            </w:r>
          </w:p>
        </w:tc>
        <w:tc>
          <w:tcPr>
            <w:tcW w:w="1047" w:type="dxa"/>
            <w:tcBorders>
              <w:left w:val="single" w:sz="4" w:space="0" w:color="000000"/>
            </w:tcBorders>
            <w:vAlign w:val="bottom"/>
          </w:tcPr>
          <w:p w14:paraId="1766C072" w14:textId="77777777" w:rsidR="00EA5993" w:rsidRPr="009B1A37" w:rsidRDefault="00EA5993" w:rsidP="00EB4FF7">
            <w:pPr>
              <w:keepNext/>
              <w:widowControl w:val="0"/>
              <w:snapToGrid w:val="0"/>
              <w:spacing w:line="240" w:lineRule="auto"/>
              <w:jc w:val="center"/>
            </w:pPr>
            <w:r w:rsidRPr="009B1A37">
              <w:t>25,7</w:t>
            </w:r>
          </w:p>
        </w:tc>
        <w:tc>
          <w:tcPr>
            <w:tcW w:w="2022" w:type="dxa"/>
            <w:tcBorders>
              <w:left w:val="single" w:sz="4" w:space="0" w:color="000000"/>
            </w:tcBorders>
            <w:vAlign w:val="bottom"/>
          </w:tcPr>
          <w:p w14:paraId="5BF1A5D0" w14:textId="77777777" w:rsidR="00EA5993" w:rsidRPr="009B1A37" w:rsidRDefault="00EA5993" w:rsidP="00EB4FF7">
            <w:pPr>
              <w:keepNext/>
              <w:widowControl w:val="0"/>
              <w:snapToGrid w:val="0"/>
              <w:spacing w:line="240" w:lineRule="auto"/>
            </w:pPr>
            <w:r w:rsidRPr="009B1A37">
              <w:t>4/75 vs. 6/78</w:t>
            </w:r>
          </w:p>
        </w:tc>
        <w:tc>
          <w:tcPr>
            <w:tcW w:w="1800" w:type="dxa"/>
            <w:tcBorders>
              <w:left w:val="single" w:sz="4" w:space="0" w:color="000000"/>
            </w:tcBorders>
            <w:vAlign w:val="bottom"/>
          </w:tcPr>
          <w:p w14:paraId="6072F294" w14:textId="77777777" w:rsidR="00EA5993" w:rsidRPr="009B1A37" w:rsidRDefault="00EA5993" w:rsidP="00EB4FF7">
            <w:pPr>
              <w:keepNext/>
              <w:widowControl w:val="0"/>
              <w:snapToGrid w:val="0"/>
              <w:spacing w:line="240" w:lineRule="auto"/>
            </w:pPr>
            <w:r w:rsidRPr="009B1A37">
              <w:t>0,59 (0,17; 2,10)</w:t>
            </w:r>
          </w:p>
        </w:tc>
        <w:tc>
          <w:tcPr>
            <w:tcW w:w="1440" w:type="dxa"/>
            <w:tcBorders>
              <w:left w:val="single" w:sz="4" w:space="0" w:color="000000"/>
            </w:tcBorders>
            <w:vAlign w:val="bottom"/>
          </w:tcPr>
          <w:p w14:paraId="34D105B0" w14:textId="77777777" w:rsidR="00EA5993" w:rsidRPr="009B1A37" w:rsidRDefault="00EA5993" w:rsidP="00EB4FF7">
            <w:pPr>
              <w:keepNext/>
              <w:widowControl w:val="0"/>
              <w:snapToGrid w:val="0"/>
              <w:spacing w:line="240" w:lineRule="auto"/>
            </w:pPr>
            <w:r w:rsidRPr="009B1A37">
              <w:t>100 vs. 94,8</w:t>
            </w:r>
          </w:p>
        </w:tc>
        <w:tc>
          <w:tcPr>
            <w:tcW w:w="1400" w:type="dxa"/>
            <w:tcBorders>
              <w:left w:val="single" w:sz="4" w:space="0" w:color="000000"/>
              <w:right w:val="single" w:sz="4" w:space="0" w:color="000000"/>
            </w:tcBorders>
            <w:vAlign w:val="bottom"/>
          </w:tcPr>
          <w:p w14:paraId="51D3F652" w14:textId="77777777" w:rsidR="00EA5993" w:rsidRPr="009B1A37" w:rsidRDefault="00EA5993" w:rsidP="00EB4FF7">
            <w:pPr>
              <w:keepNext/>
              <w:widowControl w:val="0"/>
              <w:snapToGrid w:val="0"/>
              <w:spacing w:line="240" w:lineRule="auto"/>
            </w:pPr>
            <w:r w:rsidRPr="009B1A37">
              <w:t>97,8 vs. 89,5</w:t>
            </w:r>
          </w:p>
        </w:tc>
      </w:tr>
      <w:tr w:rsidR="00EA5993" w:rsidRPr="009B1A37" w14:paraId="5D225EDA" w14:textId="77777777" w:rsidTr="00EB4FF7">
        <w:trPr>
          <w:cantSplit/>
        </w:trPr>
        <w:tc>
          <w:tcPr>
            <w:tcW w:w="1008" w:type="dxa"/>
            <w:vMerge/>
            <w:tcBorders>
              <w:top w:val="single" w:sz="4" w:space="0" w:color="000000"/>
              <w:left w:val="single" w:sz="4" w:space="0" w:color="000000"/>
              <w:bottom w:val="single" w:sz="4" w:space="0" w:color="000000"/>
            </w:tcBorders>
          </w:tcPr>
          <w:p w14:paraId="75A801F7" w14:textId="77777777" w:rsidR="00EA5993" w:rsidRPr="009B1A37" w:rsidRDefault="00EA5993" w:rsidP="00EB4FF7">
            <w:pPr>
              <w:keepNext/>
              <w:widowControl w:val="0"/>
              <w:spacing w:line="240" w:lineRule="auto"/>
            </w:pPr>
          </w:p>
        </w:tc>
        <w:tc>
          <w:tcPr>
            <w:tcW w:w="1343" w:type="dxa"/>
            <w:tcBorders>
              <w:left w:val="single" w:sz="4" w:space="0" w:color="000000"/>
              <w:bottom w:val="single" w:sz="4" w:space="0" w:color="000000"/>
            </w:tcBorders>
            <w:vAlign w:val="bottom"/>
          </w:tcPr>
          <w:p w14:paraId="49606222" w14:textId="77777777" w:rsidR="00EA5993" w:rsidRPr="009B1A37" w:rsidRDefault="00EA5993" w:rsidP="00EB4FF7">
            <w:pPr>
              <w:keepNext/>
              <w:widowControl w:val="0"/>
              <w:snapToGrid w:val="0"/>
              <w:spacing w:line="240" w:lineRule="auto"/>
            </w:pPr>
            <w:r w:rsidRPr="009B1A37">
              <w:t>Vysoké</w:t>
            </w:r>
          </w:p>
        </w:tc>
        <w:tc>
          <w:tcPr>
            <w:tcW w:w="1047" w:type="dxa"/>
            <w:tcBorders>
              <w:left w:val="single" w:sz="4" w:space="0" w:color="000000"/>
              <w:bottom w:val="single" w:sz="4" w:space="0" w:color="000000"/>
            </w:tcBorders>
            <w:vAlign w:val="bottom"/>
          </w:tcPr>
          <w:p w14:paraId="11A18081" w14:textId="77777777" w:rsidR="00EA5993" w:rsidRPr="009B1A37" w:rsidRDefault="00EA5993" w:rsidP="00EB4FF7">
            <w:pPr>
              <w:keepNext/>
              <w:widowControl w:val="0"/>
              <w:snapToGrid w:val="0"/>
              <w:spacing w:line="240" w:lineRule="auto"/>
              <w:jc w:val="center"/>
            </w:pPr>
            <w:r w:rsidRPr="009B1A37">
              <w:t>44,8</w:t>
            </w:r>
          </w:p>
        </w:tc>
        <w:tc>
          <w:tcPr>
            <w:tcW w:w="2022" w:type="dxa"/>
            <w:tcBorders>
              <w:left w:val="single" w:sz="4" w:space="0" w:color="000000"/>
              <w:bottom w:val="single" w:sz="4" w:space="0" w:color="000000"/>
            </w:tcBorders>
            <w:vAlign w:val="bottom"/>
          </w:tcPr>
          <w:p w14:paraId="7BCB99A5" w14:textId="77777777" w:rsidR="00EA5993" w:rsidRPr="009B1A37" w:rsidRDefault="00EA5993" w:rsidP="00EB4FF7">
            <w:pPr>
              <w:keepNext/>
              <w:widowControl w:val="0"/>
              <w:snapToGrid w:val="0"/>
              <w:spacing w:line="240" w:lineRule="auto"/>
            </w:pPr>
            <w:r w:rsidRPr="009B1A37">
              <w:t>21/140 vs. 51/127</w:t>
            </w:r>
          </w:p>
        </w:tc>
        <w:tc>
          <w:tcPr>
            <w:tcW w:w="1800" w:type="dxa"/>
            <w:tcBorders>
              <w:left w:val="single" w:sz="4" w:space="0" w:color="000000"/>
              <w:bottom w:val="single" w:sz="4" w:space="0" w:color="000000"/>
            </w:tcBorders>
            <w:vAlign w:val="bottom"/>
          </w:tcPr>
          <w:p w14:paraId="4CD24567" w14:textId="77777777" w:rsidR="00EA5993" w:rsidRPr="009B1A37" w:rsidRDefault="00EA5993" w:rsidP="00EB4FF7">
            <w:pPr>
              <w:keepNext/>
              <w:widowControl w:val="0"/>
              <w:snapToGrid w:val="0"/>
              <w:spacing w:line="240" w:lineRule="auto"/>
            </w:pPr>
            <w:r w:rsidRPr="009B1A37">
              <w:t>0,29 (0,18; 0,49)</w:t>
            </w:r>
          </w:p>
        </w:tc>
        <w:tc>
          <w:tcPr>
            <w:tcW w:w="1440" w:type="dxa"/>
            <w:tcBorders>
              <w:left w:val="single" w:sz="4" w:space="0" w:color="000000"/>
              <w:bottom w:val="single" w:sz="4" w:space="0" w:color="000000"/>
            </w:tcBorders>
            <w:vAlign w:val="bottom"/>
          </w:tcPr>
          <w:p w14:paraId="39BD6100" w14:textId="77777777" w:rsidR="00EA5993" w:rsidRPr="009B1A37" w:rsidRDefault="00EA5993" w:rsidP="00EB4FF7">
            <w:pPr>
              <w:keepNext/>
              <w:widowControl w:val="0"/>
              <w:snapToGrid w:val="0"/>
              <w:spacing w:line="240" w:lineRule="auto"/>
            </w:pPr>
            <w:r w:rsidRPr="009B1A37">
              <w:t>94,8 vs. 64,0</w:t>
            </w:r>
          </w:p>
        </w:tc>
        <w:tc>
          <w:tcPr>
            <w:tcW w:w="1400" w:type="dxa"/>
            <w:tcBorders>
              <w:left w:val="single" w:sz="4" w:space="0" w:color="000000"/>
              <w:bottom w:val="single" w:sz="4" w:space="0" w:color="000000"/>
              <w:right w:val="single" w:sz="4" w:space="0" w:color="000000"/>
            </w:tcBorders>
            <w:vAlign w:val="bottom"/>
          </w:tcPr>
          <w:p w14:paraId="313F1C03" w14:textId="77777777" w:rsidR="00EA5993" w:rsidRPr="009B1A37" w:rsidRDefault="00EA5993" w:rsidP="00EB4FF7">
            <w:pPr>
              <w:keepNext/>
              <w:widowControl w:val="0"/>
              <w:snapToGrid w:val="0"/>
              <w:spacing w:line="240" w:lineRule="auto"/>
            </w:pPr>
            <w:r w:rsidRPr="009B1A37">
              <w:t>80,7 vs. 46,6</w:t>
            </w:r>
          </w:p>
        </w:tc>
      </w:tr>
      <w:tr w:rsidR="00EA5993" w:rsidRPr="009B1A37" w14:paraId="588390BC" w14:textId="77777777" w:rsidTr="00EB4FF7">
        <w:trPr>
          <w:cantSplit/>
        </w:trPr>
        <w:tc>
          <w:tcPr>
            <w:tcW w:w="1008" w:type="dxa"/>
            <w:vMerge w:val="restart"/>
            <w:tcBorders>
              <w:top w:val="single" w:sz="4" w:space="0" w:color="000000"/>
              <w:left w:val="single" w:sz="4" w:space="0" w:color="000000"/>
              <w:bottom w:val="single" w:sz="4" w:space="0" w:color="000000"/>
            </w:tcBorders>
          </w:tcPr>
          <w:p w14:paraId="0A9DC124" w14:textId="77777777" w:rsidR="00EA5993" w:rsidRPr="009B1A37" w:rsidRDefault="00EA5993" w:rsidP="00EB4FF7">
            <w:pPr>
              <w:keepNext/>
              <w:widowControl w:val="0"/>
              <w:snapToGrid w:val="0"/>
              <w:spacing w:line="240" w:lineRule="auto"/>
            </w:pPr>
            <w:r w:rsidRPr="009B1A37">
              <w:t>AFIP</w:t>
            </w:r>
          </w:p>
        </w:tc>
        <w:tc>
          <w:tcPr>
            <w:tcW w:w="1343" w:type="dxa"/>
            <w:tcBorders>
              <w:top w:val="single" w:sz="4" w:space="0" w:color="000000"/>
              <w:left w:val="single" w:sz="4" w:space="0" w:color="000000"/>
            </w:tcBorders>
            <w:vAlign w:val="bottom"/>
          </w:tcPr>
          <w:p w14:paraId="610743CA" w14:textId="77777777" w:rsidR="00EA5993" w:rsidRPr="009B1A37" w:rsidRDefault="00EA5993" w:rsidP="00EB4FF7">
            <w:pPr>
              <w:keepNext/>
              <w:widowControl w:val="0"/>
              <w:snapToGrid w:val="0"/>
              <w:spacing w:line="240" w:lineRule="auto"/>
            </w:pPr>
            <w:r w:rsidRPr="009B1A37">
              <w:t>Velmi nízké</w:t>
            </w:r>
          </w:p>
        </w:tc>
        <w:tc>
          <w:tcPr>
            <w:tcW w:w="1047" w:type="dxa"/>
            <w:tcBorders>
              <w:top w:val="single" w:sz="4" w:space="0" w:color="000000"/>
              <w:left w:val="single" w:sz="4" w:space="0" w:color="000000"/>
            </w:tcBorders>
            <w:vAlign w:val="bottom"/>
          </w:tcPr>
          <w:p w14:paraId="6EC081AF" w14:textId="77777777" w:rsidR="00EA5993" w:rsidRPr="009B1A37" w:rsidRDefault="00EA5993" w:rsidP="00EB4FF7">
            <w:pPr>
              <w:keepNext/>
              <w:widowControl w:val="0"/>
              <w:snapToGrid w:val="0"/>
              <w:spacing w:line="240" w:lineRule="auto"/>
              <w:jc w:val="center"/>
            </w:pPr>
            <w:r w:rsidRPr="009B1A37">
              <w:t>20,7</w:t>
            </w:r>
          </w:p>
        </w:tc>
        <w:tc>
          <w:tcPr>
            <w:tcW w:w="2022" w:type="dxa"/>
            <w:tcBorders>
              <w:top w:val="single" w:sz="4" w:space="0" w:color="000000"/>
              <w:left w:val="single" w:sz="4" w:space="0" w:color="000000"/>
            </w:tcBorders>
            <w:vAlign w:val="bottom"/>
          </w:tcPr>
          <w:p w14:paraId="6A3C0697" w14:textId="77777777" w:rsidR="00EA5993" w:rsidRPr="009B1A37" w:rsidRDefault="00EA5993" w:rsidP="00EB4FF7">
            <w:pPr>
              <w:keepNext/>
              <w:widowControl w:val="0"/>
              <w:snapToGrid w:val="0"/>
              <w:spacing w:line="240" w:lineRule="auto"/>
            </w:pPr>
            <w:r w:rsidRPr="009B1A37">
              <w:t>0/52 vs. 2/63</w:t>
            </w:r>
          </w:p>
        </w:tc>
        <w:tc>
          <w:tcPr>
            <w:tcW w:w="1800" w:type="dxa"/>
            <w:tcBorders>
              <w:top w:val="single" w:sz="4" w:space="0" w:color="000000"/>
              <w:left w:val="single" w:sz="4" w:space="0" w:color="000000"/>
            </w:tcBorders>
            <w:vAlign w:val="bottom"/>
          </w:tcPr>
          <w:p w14:paraId="1BD5BDFA" w14:textId="77777777" w:rsidR="00EA5993" w:rsidRPr="009B1A37" w:rsidRDefault="00EA5993" w:rsidP="00EB4FF7">
            <w:pPr>
              <w:keepNext/>
              <w:widowControl w:val="0"/>
              <w:snapToGrid w:val="0"/>
              <w:spacing w:line="240" w:lineRule="auto"/>
            </w:pPr>
            <w:r w:rsidRPr="009B1A37">
              <w:t>N.E.</w:t>
            </w:r>
          </w:p>
        </w:tc>
        <w:tc>
          <w:tcPr>
            <w:tcW w:w="1440" w:type="dxa"/>
            <w:tcBorders>
              <w:top w:val="single" w:sz="4" w:space="0" w:color="000000"/>
              <w:left w:val="single" w:sz="4" w:space="0" w:color="000000"/>
            </w:tcBorders>
            <w:vAlign w:val="bottom"/>
          </w:tcPr>
          <w:p w14:paraId="71E5E19B" w14:textId="77777777" w:rsidR="00EA5993" w:rsidRPr="009B1A37" w:rsidRDefault="00EA5993" w:rsidP="00EB4FF7">
            <w:pPr>
              <w:keepNext/>
              <w:widowControl w:val="0"/>
              <w:snapToGrid w:val="0"/>
              <w:spacing w:line="240" w:lineRule="auto"/>
            </w:pPr>
            <w:r w:rsidRPr="009B1A37">
              <w:t>100 vs. 98,1</w:t>
            </w:r>
          </w:p>
        </w:tc>
        <w:tc>
          <w:tcPr>
            <w:tcW w:w="1400" w:type="dxa"/>
            <w:tcBorders>
              <w:top w:val="single" w:sz="4" w:space="0" w:color="000000"/>
              <w:left w:val="single" w:sz="4" w:space="0" w:color="000000"/>
              <w:right w:val="single" w:sz="4" w:space="0" w:color="000000"/>
            </w:tcBorders>
            <w:vAlign w:val="bottom"/>
          </w:tcPr>
          <w:p w14:paraId="1B0CE395" w14:textId="77777777" w:rsidR="00EA5993" w:rsidRPr="009B1A37" w:rsidRDefault="00EA5993" w:rsidP="00EB4FF7">
            <w:pPr>
              <w:keepNext/>
              <w:widowControl w:val="0"/>
              <w:snapToGrid w:val="0"/>
              <w:spacing w:line="240" w:lineRule="auto"/>
            </w:pPr>
            <w:r w:rsidRPr="009B1A37">
              <w:t>100 vs. 93,0</w:t>
            </w:r>
          </w:p>
        </w:tc>
      </w:tr>
      <w:tr w:rsidR="00EA5993" w:rsidRPr="009B1A37" w14:paraId="5C4466FA" w14:textId="77777777" w:rsidTr="00EB4FF7">
        <w:trPr>
          <w:cantSplit/>
        </w:trPr>
        <w:tc>
          <w:tcPr>
            <w:tcW w:w="1008" w:type="dxa"/>
            <w:vMerge/>
            <w:tcBorders>
              <w:top w:val="single" w:sz="4" w:space="0" w:color="000000"/>
              <w:left w:val="single" w:sz="4" w:space="0" w:color="000000"/>
              <w:bottom w:val="single" w:sz="4" w:space="0" w:color="000000"/>
            </w:tcBorders>
          </w:tcPr>
          <w:p w14:paraId="4A5472AF" w14:textId="77777777" w:rsidR="00EA5993" w:rsidRPr="009B1A37" w:rsidRDefault="00EA5993" w:rsidP="00BE3D48">
            <w:pPr>
              <w:keepNext/>
              <w:keepLines/>
              <w:widowControl w:val="0"/>
              <w:spacing w:line="240" w:lineRule="auto"/>
            </w:pPr>
          </w:p>
        </w:tc>
        <w:tc>
          <w:tcPr>
            <w:tcW w:w="1343" w:type="dxa"/>
            <w:tcBorders>
              <w:left w:val="single" w:sz="4" w:space="0" w:color="000000"/>
            </w:tcBorders>
            <w:vAlign w:val="bottom"/>
          </w:tcPr>
          <w:p w14:paraId="24C07D1E" w14:textId="77777777" w:rsidR="00EA5993" w:rsidRPr="009B1A37" w:rsidRDefault="00EA5993" w:rsidP="00BE3D48">
            <w:pPr>
              <w:keepNext/>
              <w:keepLines/>
              <w:widowControl w:val="0"/>
              <w:snapToGrid w:val="0"/>
              <w:spacing w:line="240" w:lineRule="auto"/>
            </w:pPr>
            <w:r w:rsidRPr="009B1A37">
              <w:t>Nízké</w:t>
            </w:r>
          </w:p>
        </w:tc>
        <w:tc>
          <w:tcPr>
            <w:tcW w:w="1047" w:type="dxa"/>
            <w:tcBorders>
              <w:left w:val="single" w:sz="4" w:space="0" w:color="000000"/>
            </w:tcBorders>
            <w:vAlign w:val="bottom"/>
          </w:tcPr>
          <w:p w14:paraId="078C9DB3" w14:textId="77777777" w:rsidR="00EA5993" w:rsidRPr="009B1A37" w:rsidRDefault="00EA5993" w:rsidP="00BE3D48">
            <w:pPr>
              <w:keepNext/>
              <w:keepLines/>
              <w:widowControl w:val="0"/>
              <w:snapToGrid w:val="0"/>
              <w:spacing w:line="240" w:lineRule="auto"/>
              <w:jc w:val="center"/>
            </w:pPr>
            <w:r w:rsidRPr="009B1A37">
              <w:t>25,0</w:t>
            </w:r>
          </w:p>
        </w:tc>
        <w:tc>
          <w:tcPr>
            <w:tcW w:w="2022" w:type="dxa"/>
            <w:tcBorders>
              <w:left w:val="single" w:sz="4" w:space="0" w:color="000000"/>
            </w:tcBorders>
            <w:vAlign w:val="bottom"/>
          </w:tcPr>
          <w:p w14:paraId="388A9F8A" w14:textId="77777777" w:rsidR="00EA5993" w:rsidRPr="009B1A37" w:rsidRDefault="00EA5993" w:rsidP="00BE3D48">
            <w:pPr>
              <w:keepNext/>
              <w:keepLines/>
              <w:widowControl w:val="0"/>
              <w:snapToGrid w:val="0"/>
              <w:spacing w:line="240" w:lineRule="auto"/>
            </w:pPr>
            <w:r w:rsidRPr="009B1A37">
              <w:t>2/70 vs. 0/69</w:t>
            </w:r>
          </w:p>
        </w:tc>
        <w:tc>
          <w:tcPr>
            <w:tcW w:w="1800" w:type="dxa"/>
            <w:tcBorders>
              <w:left w:val="single" w:sz="4" w:space="0" w:color="000000"/>
            </w:tcBorders>
            <w:vAlign w:val="bottom"/>
          </w:tcPr>
          <w:p w14:paraId="39173DDC" w14:textId="77777777" w:rsidR="00EA5993" w:rsidRPr="009B1A37" w:rsidRDefault="00EA5993" w:rsidP="00BE3D48">
            <w:pPr>
              <w:keepNext/>
              <w:keepLines/>
              <w:widowControl w:val="0"/>
              <w:snapToGrid w:val="0"/>
              <w:spacing w:line="240" w:lineRule="auto"/>
            </w:pPr>
            <w:r w:rsidRPr="009B1A37">
              <w:t>N.E.</w:t>
            </w:r>
          </w:p>
        </w:tc>
        <w:tc>
          <w:tcPr>
            <w:tcW w:w="1440" w:type="dxa"/>
            <w:tcBorders>
              <w:left w:val="single" w:sz="4" w:space="0" w:color="000000"/>
            </w:tcBorders>
            <w:vAlign w:val="bottom"/>
          </w:tcPr>
          <w:p w14:paraId="4BACFAC3" w14:textId="77777777" w:rsidR="00EA5993" w:rsidRPr="009B1A37" w:rsidRDefault="00EA5993" w:rsidP="00BE3D48">
            <w:pPr>
              <w:keepNext/>
              <w:keepLines/>
              <w:widowControl w:val="0"/>
              <w:snapToGrid w:val="0"/>
              <w:spacing w:line="240" w:lineRule="auto"/>
            </w:pPr>
            <w:r w:rsidRPr="009B1A37">
              <w:t>100 vs. 100</w:t>
            </w:r>
          </w:p>
        </w:tc>
        <w:tc>
          <w:tcPr>
            <w:tcW w:w="1400" w:type="dxa"/>
            <w:tcBorders>
              <w:left w:val="single" w:sz="4" w:space="0" w:color="000000"/>
              <w:right w:val="single" w:sz="4" w:space="0" w:color="000000"/>
            </w:tcBorders>
            <w:vAlign w:val="bottom"/>
          </w:tcPr>
          <w:p w14:paraId="461CDC83" w14:textId="77777777" w:rsidR="00EA5993" w:rsidRPr="009B1A37" w:rsidRDefault="00EA5993" w:rsidP="00BE3D48">
            <w:pPr>
              <w:keepNext/>
              <w:keepLines/>
              <w:widowControl w:val="0"/>
              <w:snapToGrid w:val="0"/>
              <w:spacing w:line="240" w:lineRule="auto"/>
            </w:pPr>
            <w:r w:rsidRPr="009B1A37">
              <w:t>97,8 vs. 100</w:t>
            </w:r>
          </w:p>
        </w:tc>
      </w:tr>
      <w:tr w:rsidR="00EA5993" w:rsidRPr="009B1A37" w14:paraId="55E96C11" w14:textId="77777777" w:rsidTr="00EB4FF7">
        <w:trPr>
          <w:cantSplit/>
        </w:trPr>
        <w:tc>
          <w:tcPr>
            <w:tcW w:w="1008" w:type="dxa"/>
            <w:vMerge/>
            <w:tcBorders>
              <w:top w:val="single" w:sz="4" w:space="0" w:color="000000"/>
              <w:left w:val="single" w:sz="4" w:space="0" w:color="000000"/>
              <w:bottom w:val="single" w:sz="4" w:space="0" w:color="000000"/>
            </w:tcBorders>
          </w:tcPr>
          <w:p w14:paraId="472F7969" w14:textId="77777777" w:rsidR="00EA5993" w:rsidRPr="009B1A37" w:rsidRDefault="00EA5993" w:rsidP="00BE3D48">
            <w:pPr>
              <w:keepNext/>
              <w:keepLines/>
              <w:widowControl w:val="0"/>
              <w:spacing w:line="240" w:lineRule="auto"/>
            </w:pPr>
          </w:p>
        </w:tc>
        <w:tc>
          <w:tcPr>
            <w:tcW w:w="1343" w:type="dxa"/>
            <w:tcBorders>
              <w:left w:val="single" w:sz="4" w:space="0" w:color="000000"/>
            </w:tcBorders>
            <w:vAlign w:val="bottom"/>
          </w:tcPr>
          <w:p w14:paraId="03517CE7" w14:textId="77777777" w:rsidR="00EA5993" w:rsidRPr="009B1A37" w:rsidRDefault="00EA5993" w:rsidP="00BE3D48">
            <w:pPr>
              <w:keepNext/>
              <w:keepLines/>
              <w:widowControl w:val="0"/>
              <w:snapToGrid w:val="0"/>
              <w:spacing w:line="240" w:lineRule="auto"/>
            </w:pPr>
            <w:r w:rsidRPr="009B1A37">
              <w:t>Střední</w:t>
            </w:r>
          </w:p>
        </w:tc>
        <w:tc>
          <w:tcPr>
            <w:tcW w:w="1047" w:type="dxa"/>
            <w:tcBorders>
              <w:left w:val="single" w:sz="4" w:space="0" w:color="000000"/>
            </w:tcBorders>
            <w:vAlign w:val="bottom"/>
          </w:tcPr>
          <w:p w14:paraId="68314F88" w14:textId="77777777" w:rsidR="00EA5993" w:rsidRPr="009B1A37" w:rsidRDefault="00EA5993" w:rsidP="00BE3D48">
            <w:pPr>
              <w:keepNext/>
              <w:keepLines/>
              <w:widowControl w:val="0"/>
              <w:snapToGrid w:val="0"/>
              <w:spacing w:line="240" w:lineRule="auto"/>
              <w:jc w:val="center"/>
            </w:pPr>
            <w:r w:rsidRPr="009B1A37">
              <w:t>24,6</w:t>
            </w:r>
          </w:p>
        </w:tc>
        <w:tc>
          <w:tcPr>
            <w:tcW w:w="2022" w:type="dxa"/>
            <w:tcBorders>
              <w:left w:val="single" w:sz="4" w:space="0" w:color="000000"/>
            </w:tcBorders>
            <w:vAlign w:val="bottom"/>
          </w:tcPr>
          <w:p w14:paraId="46C4F54A" w14:textId="77777777" w:rsidR="00EA5993" w:rsidRPr="009B1A37" w:rsidRDefault="00EA5993" w:rsidP="00BE3D48">
            <w:pPr>
              <w:keepNext/>
              <w:keepLines/>
              <w:widowControl w:val="0"/>
              <w:snapToGrid w:val="0"/>
              <w:spacing w:line="240" w:lineRule="auto"/>
            </w:pPr>
            <w:r w:rsidRPr="009B1A37">
              <w:t>2/70 vs. 11/67</w:t>
            </w:r>
          </w:p>
        </w:tc>
        <w:tc>
          <w:tcPr>
            <w:tcW w:w="1800" w:type="dxa"/>
            <w:tcBorders>
              <w:left w:val="single" w:sz="4" w:space="0" w:color="000000"/>
            </w:tcBorders>
            <w:vAlign w:val="bottom"/>
          </w:tcPr>
          <w:p w14:paraId="0D030369" w14:textId="77777777" w:rsidR="00EA5993" w:rsidRPr="009B1A37" w:rsidRDefault="00EA5993" w:rsidP="00BE3D48">
            <w:pPr>
              <w:keepNext/>
              <w:keepLines/>
              <w:widowControl w:val="0"/>
              <w:snapToGrid w:val="0"/>
              <w:spacing w:line="240" w:lineRule="auto"/>
            </w:pPr>
            <w:r w:rsidRPr="009B1A37">
              <w:t>0,16 (0,03; 0,70)</w:t>
            </w:r>
          </w:p>
        </w:tc>
        <w:tc>
          <w:tcPr>
            <w:tcW w:w="1440" w:type="dxa"/>
            <w:tcBorders>
              <w:left w:val="single" w:sz="4" w:space="0" w:color="000000"/>
            </w:tcBorders>
            <w:vAlign w:val="bottom"/>
          </w:tcPr>
          <w:p w14:paraId="47A6795C" w14:textId="77777777" w:rsidR="00EA5993" w:rsidRPr="009B1A37" w:rsidRDefault="00EA5993" w:rsidP="00BE3D48">
            <w:pPr>
              <w:keepNext/>
              <w:keepLines/>
              <w:widowControl w:val="0"/>
              <w:snapToGrid w:val="0"/>
              <w:spacing w:line="240" w:lineRule="auto"/>
            </w:pPr>
            <w:r w:rsidRPr="009B1A37">
              <w:t>97,9 vs. 90,8</w:t>
            </w:r>
          </w:p>
        </w:tc>
        <w:tc>
          <w:tcPr>
            <w:tcW w:w="1400" w:type="dxa"/>
            <w:tcBorders>
              <w:left w:val="single" w:sz="4" w:space="0" w:color="000000"/>
              <w:right w:val="single" w:sz="4" w:space="0" w:color="000000"/>
            </w:tcBorders>
            <w:vAlign w:val="bottom"/>
          </w:tcPr>
          <w:p w14:paraId="588A8A53" w14:textId="77777777" w:rsidR="00EA5993" w:rsidRPr="009B1A37" w:rsidRDefault="00EA5993" w:rsidP="00BE3D48">
            <w:pPr>
              <w:keepNext/>
              <w:keepLines/>
              <w:widowControl w:val="0"/>
              <w:snapToGrid w:val="0"/>
              <w:spacing w:line="240" w:lineRule="auto"/>
            </w:pPr>
            <w:r w:rsidRPr="009B1A37">
              <w:t>97,9 vs. 73,3</w:t>
            </w:r>
          </w:p>
        </w:tc>
      </w:tr>
      <w:tr w:rsidR="00EA5993" w:rsidRPr="009B1A37" w14:paraId="5F6D6AC7" w14:textId="77777777" w:rsidTr="00EB4FF7">
        <w:trPr>
          <w:cantSplit/>
        </w:trPr>
        <w:tc>
          <w:tcPr>
            <w:tcW w:w="1008" w:type="dxa"/>
            <w:vMerge/>
            <w:tcBorders>
              <w:top w:val="single" w:sz="4" w:space="0" w:color="000000"/>
              <w:left w:val="single" w:sz="4" w:space="0" w:color="000000"/>
              <w:bottom w:val="single" w:sz="4" w:space="0" w:color="000000"/>
            </w:tcBorders>
          </w:tcPr>
          <w:p w14:paraId="76E3A0D0" w14:textId="77777777" w:rsidR="00EA5993" w:rsidRPr="009B1A37" w:rsidRDefault="00EA5993" w:rsidP="00BE3D48">
            <w:pPr>
              <w:keepNext/>
              <w:keepLines/>
              <w:widowControl w:val="0"/>
              <w:spacing w:line="240" w:lineRule="auto"/>
            </w:pPr>
          </w:p>
        </w:tc>
        <w:tc>
          <w:tcPr>
            <w:tcW w:w="1343" w:type="dxa"/>
            <w:tcBorders>
              <w:left w:val="single" w:sz="4" w:space="0" w:color="000000"/>
              <w:bottom w:val="single" w:sz="4" w:space="0" w:color="000000"/>
            </w:tcBorders>
            <w:vAlign w:val="bottom"/>
          </w:tcPr>
          <w:p w14:paraId="159D4732" w14:textId="77777777" w:rsidR="00EA5993" w:rsidRPr="009B1A37" w:rsidRDefault="00EA5993" w:rsidP="00BE3D48">
            <w:pPr>
              <w:keepNext/>
              <w:keepLines/>
              <w:widowControl w:val="0"/>
              <w:snapToGrid w:val="0"/>
              <w:spacing w:line="240" w:lineRule="auto"/>
            </w:pPr>
            <w:r w:rsidRPr="009B1A37">
              <w:t>Vysoké</w:t>
            </w:r>
          </w:p>
        </w:tc>
        <w:tc>
          <w:tcPr>
            <w:tcW w:w="1047" w:type="dxa"/>
            <w:tcBorders>
              <w:left w:val="single" w:sz="4" w:space="0" w:color="000000"/>
              <w:bottom w:val="single" w:sz="4" w:space="0" w:color="000000"/>
            </w:tcBorders>
            <w:vAlign w:val="bottom"/>
          </w:tcPr>
          <w:p w14:paraId="4DC117EA" w14:textId="77777777" w:rsidR="00EA5993" w:rsidRPr="009B1A37" w:rsidRDefault="00EA5993" w:rsidP="00BE3D48">
            <w:pPr>
              <w:keepNext/>
              <w:keepLines/>
              <w:widowControl w:val="0"/>
              <w:snapToGrid w:val="0"/>
              <w:spacing w:line="240" w:lineRule="auto"/>
              <w:ind w:right="-3"/>
              <w:jc w:val="center"/>
            </w:pPr>
            <w:r w:rsidRPr="009B1A37">
              <w:t>29,7</w:t>
            </w:r>
          </w:p>
        </w:tc>
        <w:tc>
          <w:tcPr>
            <w:tcW w:w="2022" w:type="dxa"/>
            <w:tcBorders>
              <w:left w:val="single" w:sz="4" w:space="0" w:color="000000"/>
              <w:bottom w:val="single" w:sz="4" w:space="0" w:color="000000"/>
            </w:tcBorders>
            <w:vAlign w:val="bottom"/>
          </w:tcPr>
          <w:p w14:paraId="03BF422E" w14:textId="77777777" w:rsidR="00EA5993" w:rsidRPr="009B1A37" w:rsidRDefault="00EA5993" w:rsidP="00BE3D48">
            <w:pPr>
              <w:keepNext/>
              <w:keepLines/>
              <w:widowControl w:val="0"/>
              <w:snapToGrid w:val="0"/>
              <w:spacing w:line="240" w:lineRule="auto"/>
            </w:pPr>
            <w:r w:rsidRPr="009B1A37">
              <w:t>16/84 vs. 39/81</w:t>
            </w:r>
          </w:p>
        </w:tc>
        <w:tc>
          <w:tcPr>
            <w:tcW w:w="1800" w:type="dxa"/>
            <w:tcBorders>
              <w:left w:val="single" w:sz="4" w:space="0" w:color="000000"/>
              <w:bottom w:val="single" w:sz="4" w:space="0" w:color="000000"/>
            </w:tcBorders>
            <w:vAlign w:val="bottom"/>
          </w:tcPr>
          <w:p w14:paraId="5B5A8DD7" w14:textId="77777777" w:rsidR="00EA5993" w:rsidRPr="009B1A37" w:rsidRDefault="00EA5993" w:rsidP="00BE3D48">
            <w:pPr>
              <w:keepNext/>
              <w:keepLines/>
              <w:widowControl w:val="0"/>
              <w:snapToGrid w:val="0"/>
              <w:spacing w:line="240" w:lineRule="auto"/>
            </w:pPr>
            <w:r w:rsidRPr="009B1A37">
              <w:t>0,27 (0,15; 0,48)</w:t>
            </w:r>
          </w:p>
        </w:tc>
        <w:tc>
          <w:tcPr>
            <w:tcW w:w="1440" w:type="dxa"/>
            <w:tcBorders>
              <w:left w:val="single" w:sz="4" w:space="0" w:color="000000"/>
              <w:bottom w:val="single" w:sz="4" w:space="0" w:color="000000"/>
            </w:tcBorders>
            <w:vAlign w:val="bottom"/>
          </w:tcPr>
          <w:p w14:paraId="3C00549C" w14:textId="77777777" w:rsidR="00EA5993" w:rsidRPr="009B1A37" w:rsidRDefault="00EA5993" w:rsidP="00BE3D48">
            <w:pPr>
              <w:keepNext/>
              <w:keepLines/>
              <w:widowControl w:val="0"/>
              <w:snapToGrid w:val="0"/>
              <w:spacing w:line="240" w:lineRule="auto"/>
            </w:pPr>
            <w:r w:rsidRPr="009B1A37">
              <w:t>98,7 vs. 56,1</w:t>
            </w:r>
          </w:p>
        </w:tc>
        <w:tc>
          <w:tcPr>
            <w:tcW w:w="1400" w:type="dxa"/>
            <w:tcBorders>
              <w:left w:val="single" w:sz="4" w:space="0" w:color="000000"/>
              <w:bottom w:val="single" w:sz="4" w:space="0" w:color="000000"/>
              <w:right w:val="single" w:sz="4" w:space="0" w:color="000000"/>
            </w:tcBorders>
            <w:vAlign w:val="bottom"/>
          </w:tcPr>
          <w:p w14:paraId="73BAC6E6" w14:textId="77777777" w:rsidR="00EA5993" w:rsidRPr="009B1A37" w:rsidRDefault="00EA5993" w:rsidP="00BE3D48">
            <w:pPr>
              <w:keepNext/>
              <w:keepLines/>
              <w:widowControl w:val="0"/>
              <w:snapToGrid w:val="0"/>
              <w:spacing w:line="240" w:lineRule="auto"/>
            </w:pPr>
            <w:r w:rsidRPr="009B1A37">
              <w:t>79,9 vs. 41,5</w:t>
            </w:r>
          </w:p>
        </w:tc>
      </w:tr>
    </w:tbl>
    <w:p w14:paraId="03A62CA3" w14:textId="77777777" w:rsidR="00EA5993" w:rsidRPr="009B1A37" w:rsidRDefault="00EA5993" w:rsidP="00EB4FF7">
      <w:pPr>
        <w:pStyle w:val="Text"/>
        <w:widowControl w:val="0"/>
        <w:spacing w:before="0"/>
        <w:rPr>
          <w:rFonts w:eastAsia="MS Mincho"/>
          <w:color w:val="000000"/>
          <w:lang w:val="cs-CZ"/>
        </w:rPr>
      </w:pPr>
      <w:r w:rsidRPr="009B1A37">
        <w:rPr>
          <w:sz w:val="22"/>
          <w:szCs w:val="22"/>
          <w:lang w:val="cs-CZ"/>
        </w:rPr>
        <w:t>* včetně follow-up periody; NE – nelze určit</w:t>
      </w:r>
    </w:p>
    <w:p w14:paraId="190B229D" w14:textId="77777777" w:rsidR="00EA5993" w:rsidRPr="009B1A37" w:rsidRDefault="00EA5993" w:rsidP="00BE3D48">
      <w:pPr>
        <w:widowControl w:val="0"/>
        <w:tabs>
          <w:tab w:val="clear" w:pos="567"/>
        </w:tabs>
        <w:spacing w:line="240" w:lineRule="auto"/>
        <w:rPr>
          <w:rFonts w:eastAsia="MS Mincho"/>
          <w:lang w:eastAsia="ja-JP"/>
        </w:rPr>
      </w:pPr>
    </w:p>
    <w:p w14:paraId="5B3B99C1" w14:textId="77777777" w:rsidR="00EA5993" w:rsidRPr="009B1A37" w:rsidRDefault="00EA5993" w:rsidP="00BE3D48">
      <w:pPr>
        <w:widowControl w:val="0"/>
        <w:tabs>
          <w:tab w:val="clear" w:pos="567"/>
        </w:tabs>
        <w:spacing w:line="240" w:lineRule="auto"/>
        <w:rPr>
          <w:rFonts w:eastAsia="MS Mincho"/>
          <w:iCs/>
          <w:lang w:eastAsia="ja-JP"/>
        </w:rPr>
      </w:pPr>
      <w:r w:rsidRPr="009B1A37">
        <w:rPr>
          <w:rFonts w:eastAsia="MS Mincho"/>
          <w:lang w:eastAsia="ja-JP"/>
        </w:rPr>
        <w:t>Druhá multicentrická otevřená studie fáze III (SSG XVIII/AIO) porovnávala výsledky léčby Glivecem v dávce 400 mg/den po dobu 12 měsíců oproti 36 měsícům u pacientů po chirurgické resekci GIST a s jedním z následujících parametrů: průměr tumoru</w:t>
      </w:r>
      <w:r w:rsidRPr="009B1A37">
        <w:rPr>
          <w:rFonts w:eastAsia="MS Mincho"/>
          <w:iCs/>
          <w:lang w:eastAsia="ja-JP"/>
        </w:rPr>
        <w:t xml:space="preserve"> &gt; 5</w:t>
      </w:r>
      <w:r w:rsidRPr="009B1A37">
        <w:rPr>
          <w:rFonts w:eastAsia="MS Mincho"/>
          <w:lang w:eastAsia="ja-JP"/>
        </w:rPr>
        <w:t> </w:t>
      </w:r>
      <w:r w:rsidRPr="009B1A37">
        <w:rPr>
          <w:rFonts w:eastAsia="MS Mincho"/>
          <w:iCs/>
          <w:lang w:eastAsia="ja-JP"/>
        </w:rPr>
        <w:t>cm a počet mitóz &gt; 5/50 zorných polí ve velkém zvětšení (high power fields, HPF) nebo průměr tumoru &gt; 10</w:t>
      </w:r>
      <w:r w:rsidRPr="009B1A37">
        <w:rPr>
          <w:rFonts w:eastAsia="MS Mincho"/>
          <w:lang w:eastAsia="ja-JP"/>
        </w:rPr>
        <w:t> </w:t>
      </w:r>
      <w:r w:rsidRPr="009B1A37">
        <w:rPr>
          <w:rFonts w:eastAsia="MS Mincho"/>
          <w:iCs/>
          <w:lang w:eastAsia="ja-JP"/>
        </w:rPr>
        <w:t>cm a jakýkoli počet mitóz nebo tumor jakékoli velikosti s počtem mitóz &gt; 10/50 HPF nebo tumory s rupturou do peritonální dutiny. Ve studii bylo randomizováno a informovaný souhlas podepsalo celkem 397</w:t>
      </w:r>
      <w:r w:rsidRPr="009B1A37">
        <w:rPr>
          <w:rFonts w:eastAsia="MS Mincho"/>
          <w:lang w:eastAsia="ja-JP"/>
        </w:rPr>
        <w:t> </w:t>
      </w:r>
      <w:r w:rsidRPr="009B1A37">
        <w:rPr>
          <w:rFonts w:eastAsia="MS Mincho"/>
          <w:iCs/>
          <w:lang w:eastAsia="ja-JP"/>
        </w:rPr>
        <w:t>pacientů (199</w:t>
      </w:r>
      <w:r w:rsidRPr="009B1A37">
        <w:rPr>
          <w:rFonts w:eastAsia="MS Mincho"/>
          <w:lang w:eastAsia="ja-JP"/>
        </w:rPr>
        <w:t> </w:t>
      </w:r>
      <w:r w:rsidRPr="009B1A37">
        <w:rPr>
          <w:rFonts w:eastAsia="MS Mincho"/>
          <w:iCs/>
          <w:lang w:eastAsia="ja-JP"/>
        </w:rPr>
        <w:t>pacientů v</w:t>
      </w:r>
      <w:r w:rsidRPr="009B1A37">
        <w:rPr>
          <w:rFonts w:eastAsia="MS Mincho"/>
          <w:lang w:eastAsia="ja-JP"/>
        </w:rPr>
        <w:t> </w:t>
      </w:r>
      <w:r w:rsidRPr="009B1A37">
        <w:rPr>
          <w:rFonts w:eastAsia="MS Mincho"/>
          <w:iCs/>
          <w:lang w:eastAsia="ja-JP"/>
        </w:rPr>
        <w:t>rameni s</w:t>
      </w:r>
      <w:r w:rsidRPr="009B1A37">
        <w:rPr>
          <w:rFonts w:eastAsia="MS Mincho"/>
          <w:lang w:eastAsia="ja-JP"/>
        </w:rPr>
        <w:t> </w:t>
      </w:r>
      <w:r w:rsidRPr="009B1A37">
        <w:rPr>
          <w:rFonts w:eastAsia="MS Mincho"/>
          <w:iCs/>
          <w:lang w:eastAsia="ja-JP"/>
        </w:rPr>
        <w:t>12měsíční léčbou a 198</w:t>
      </w:r>
      <w:r w:rsidRPr="009B1A37">
        <w:rPr>
          <w:rFonts w:eastAsia="MS Mincho"/>
          <w:lang w:eastAsia="ja-JP"/>
        </w:rPr>
        <w:t> pacientů v rameni s 36měsíční léčbou</w:t>
      </w:r>
      <w:r w:rsidRPr="009B1A37">
        <w:rPr>
          <w:rFonts w:eastAsia="MS Mincho"/>
          <w:iCs/>
          <w:lang w:eastAsia="ja-JP"/>
        </w:rPr>
        <w:t xml:space="preserve">), jejichž průměrný věk byl </w:t>
      </w:r>
      <w:r w:rsidRPr="009B1A37">
        <w:rPr>
          <w:rFonts w:eastAsia="MS Mincho"/>
          <w:bCs/>
          <w:iCs/>
          <w:lang w:eastAsia="ja-JP"/>
        </w:rPr>
        <w:t>61</w:t>
      </w:r>
      <w:r w:rsidRPr="009B1A37">
        <w:rPr>
          <w:rFonts w:eastAsia="MS Mincho"/>
          <w:lang w:eastAsia="ja-JP"/>
        </w:rPr>
        <w:t> let</w:t>
      </w:r>
      <w:r w:rsidRPr="009B1A37">
        <w:rPr>
          <w:rFonts w:eastAsia="MS Mincho"/>
          <w:iCs/>
          <w:lang w:eastAsia="ja-JP"/>
        </w:rPr>
        <w:t xml:space="preserve"> (rozmezí 22 až 84</w:t>
      </w:r>
      <w:r w:rsidRPr="009B1A37">
        <w:rPr>
          <w:rFonts w:eastAsia="MS Mincho"/>
          <w:lang w:eastAsia="ja-JP"/>
        </w:rPr>
        <w:t> let</w:t>
      </w:r>
      <w:r w:rsidRPr="009B1A37">
        <w:rPr>
          <w:rFonts w:eastAsia="MS Mincho"/>
          <w:iCs/>
          <w:lang w:eastAsia="ja-JP"/>
        </w:rPr>
        <w:t>). Medián doby sledování byl 54</w:t>
      </w:r>
      <w:r w:rsidRPr="009B1A37">
        <w:rPr>
          <w:rFonts w:eastAsia="MS Mincho"/>
          <w:lang w:eastAsia="ja-JP"/>
        </w:rPr>
        <w:t> měsíců</w:t>
      </w:r>
      <w:r w:rsidRPr="009B1A37">
        <w:rPr>
          <w:rFonts w:eastAsia="MS Mincho"/>
          <w:iCs/>
          <w:lang w:eastAsia="ja-JP"/>
        </w:rPr>
        <w:t xml:space="preserve"> (od data randomizace do data ukončení), s</w:t>
      </w:r>
      <w:r w:rsidRPr="009B1A37">
        <w:rPr>
          <w:rFonts w:eastAsia="MS Mincho"/>
          <w:lang w:eastAsia="ja-JP"/>
        </w:rPr>
        <w:t> </w:t>
      </w:r>
      <w:r w:rsidRPr="009B1A37">
        <w:rPr>
          <w:rFonts w:eastAsia="MS Mincho"/>
          <w:iCs/>
          <w:lang w:eastAsia="ja-JP"/>
        </w:rPr>
        <w:t>celkovou dobou 83</w:t>
      </w:r>
      <w:r w:rsidRPr="009B1A37">
        <w:rPr>
          <w:rFonts w:eastAsia="MS Mincho"/>
          <w:lang w:eastAsia="ja-JP"/>
        </w:rPr>
        <w:t> měsíců</w:t>
      </w:r>
      <w:r w:rsidRPr="009B1A37">
        <w:rPr>
          <w:rFonts w:eastAsia="MS Mincho"/>
          <w:iCs/>
          <w:lang w:eastAsia="ja-JP"/>
        </w:rPr>
        <w:t xml:space="preserve"> mezi prvním randomizovaným pacientem a ukončením studie.</w:t>
      </w:r>
    </w:p>
    <w:p w14:paraId="18866E36" w14:textId="77777777" w:rsidR="00EA5993" w:rsidRPr="009B1A37" w:rsidRDefault="00EA5993" w:rsidP="00BE3D48">
      <w:pPr>
        <w:pStyle w:val="EndnoteText"/>
        <w:widowControl w:val="0"/>
        <w:tabs>
          <w:tab w:val="clear" w:pos="567"/>
        </w:tabs>
        <w:rPr>
          <w:rFonts w:eastAsia="MS Mincho"/>
          <w:color w:val="000000"/>
        </w:rPr>
      </w:pPr>
    </w:p>
    <w:p w14:paraId="783ED313" w14:textId="77777777" w:rsidR="00EA5993" w:rsidRPr="009B1A37" w:rsidRDefault="00EA5993" w:rsidP="00BE3D48">
      <w:pPr>
        <w:pStyle w:val="EndnoteText"/>
        <w:widowControl w:val="0"/>
        <w:tabs>
          <w:tab w:val="clear" w:pos="567"/>
        </w:tabs>
        <w:rPr>
          <w:rFonts w:eastAsia="MS Mincho"/>
          <w:color w:val="000000"/>
        </w:rPr>
      </w:pPr>
      <w:r w:rsidRPr="009B1A37">
        <w:rPr>
          <w:rFonts w:eastAsia="MS Mincho"/>
          <w:color w:val="000000"/>
        </w:rPr>
        <w:t>Primárním cílovým parametrem účinnosti studie bylo přežití bez návratu onemocnění (</w:t>
      </w:r>
      <w:smartTag w:uri="urn:schemas-microsoft-com:office:smarttags" w:element="stockticker">
        <w:r w:rsidRPr="009B1A37">
          <w:rPr>
            <w:rFonts w:eastAsia="MS Mincho"/>
            <w:color w:val="000000"/>
          </w:rPr>
          <w:t>RFS</w:t>
        </w:r>
      </w:smartTag>
      <w:r w:rsidRPr="009B1A37">
        <w:rPr>
          <w:rFonts w:eastAsia="MS Mincho"/>
          <w:color w:val="000000"/>
        </w:rPr>
        <w:t>) definované jako doba od data randomizace do data návratu onemocnění nebo smrti z jakékoli příčiny.</w:t>
      </w:r>
    </w:p>
    <w:p w14:paraId="1D34685B" w14:textId="77777777" w:rsidR="00EA5993" w:rsidRPr="009B1A37" w:rsidRDefault="00EA5993" w:rsidP="00BE3D48">
      <w:pPr>
        <w:widowControl w:val="0"/>
        <w:tabs>
          <w:tab w:val="clear" w:pos="567"/>
        </w:tabs>
        <w:spacing w:line="240" w:lineRule="auto"/>
        <w:rPr>
          <w:rFonts w:eastAsia="MS Mincho"/>
          <w:iCs/>
          <w:lang w:eastAsia="ja-JP"/>
        </w:rPr>
      </w:pPr>
    </w:p>
    <w:p w14:paraId="7E9426A0" w14:textId="77777777" w:rsidR="00EA5993" w:rsidRPr="009B1A37" w:rsidRDefault="00EA5993" w:rsidP="00BE3D48">
      <w:pPr>
        <w:widowControl w:val="0"/>
        <w:tabs>
          <w:tab w:val="clear" w:pos="567"/>
        </w:tabs>
        <w:spacing w:line="240" w:lineRule="auto"/>
        <w:rPr>
          <w:rFonts w:eastAsia="MS Mincho"/>
          <w:iCs/>
          <w:color w:val="000000"/>
          <w:lang w:eastAsia="ja-JP"/>
        </w:rPr>
      </w:pPr>
      <w:r w:rsidRPr="009B1A37">
        <w:rPr>
          <w:rFonts w:eastAsia="MS Mincho"/>
          <w:iCs/>
          <w:lang w:eastAsia="ja-JP"/>
        </w:rPr>
        <w:t>36měsíční léčba Glivecem významně prodlužila RFS oproti 12</w:t>
      </w:r>
      <w:r w:rsidRPr="009B1A37">
        <w:rPr>
          <w:rFonts w:eastAsia="MS Mincho"/>
          <w:lang w:eastAsia="ja-JP"/>
        </w:rPr>
        <w:t xml:space="preserve">měsíční léčbě </w:t>
      </w:r>
      <w:r w:rsidRPr="009B1A37">
        <w:rPr>
          <w:rFonts w:eastAsia="MS Mincho"/>
          <w:iCs/>
          <w:lang w:eastAsia="ja-JP"/>
        </w:rPr>
        <w:t>Glivecem</w:t>
      </w:r>
      <w:r w:rsidRPr="009B1A37">
        <w:rPr>
          <w:rFonts w:eastAsia="MS Mincho"/>
          <w:iCs/>
          <w:color w:val="000000"/>
          <w:lang w:eastAsia="ja-JP"/>
        </w:rPr>
        <w:t xml:space="preserve"> (s</w:t>
      </w:r>
      <w:r w:rsidRPr="009B1A37">
        <w:rPr>
          <w:rFonts w:eastAsia="MS Mincho"/>
          <w:lang w:eastAsia="ja-JP"/>
        </w:rPr>
        <w:t> </w:t>
      </w:r>
      <w:r w:rsidRPr="009B1A37">
        <w:rPr>
          <w:rFonts w:eastAsia="MS Mincho"/>
          <w:iCs/>
          <w:color w:val="000000"/>
          <w:lang w:eastAsia="ja-JP"/>
        </w:rPr>
        <w:t>celkovým poměrem rizik (HR) = 0,46 [0,32, 0,65], p&lt;0,0001) (</w:t>
      </w:r>
      <w:r w:rsidR="00A12785" w:rsidRPr="009B1A37">
        <w:rPr>
          <w:rFonts w:eastAsia="MS Mincho"/>
          <w:iCs/>
          <w:color w:val="000000"/>
          <w:lang w:eastAsia="ja-JP"/>
        </w:rPr>
        <w:t>t</w:t>
      </w:r>
      <w:r w:rsidRPr="009B1A37">
        <w:rPr>
          <w:rFonts w:eastAsia="MS Mincho"/>
          <w:iCs/>
          <w:color w:val="000000"/>
          <w:lang w:eastAsia="ja-JP"/>
        </w:rPr>
        <w:t>abulka </w:t>
      </w:r>
      <w:r w:rsidR="00A2522A" w:rsidRPr="009B1A37">
        <w:rPr>
          <w:rFonts w:eastAsia="MS Mincho"/>
          <w:iCs/>
          <w:color w:val="000000"/>
          <w:lang w:eastAsia="ja-JP"/>
        </w:rPr>
        <w:t>8</w:t>
      </w:r>
      <w:r w:rsidRPr="009B1A37">
        <w:rPr>
          <w:rFonts w:eastAsia="MS Mincho"/>
          <w:iCs/>
          <w:color w:val="000000"/>
          <w:lang w:eastAsia="ja-JP"/>
        </w:rPr>
        <w:t xml:space="preserve">, </w:t>
      </w:r>
      <w:r w:rsidR="00A12785" w:rsidRPr="009B1A37">
        <w:rPr>
          <w:rFonts w:eastAsia="MS Mincho"/>
          <w:iCs/>
          <w:color w:val="000000"/>
          <w:lang w:eastAsia="ja-JP"/>
        </w:rPr>
        <w:t>o</w:t>
      </w:r>
      <w:r w:rsidRPr="009B1A37">
        <w:rPr>
          <w:rFonts w:eastAsia="MS Mincho"/>
          <w:iCs/>
          <w:color w:val="000000"/>
          <w:lang w:eastAsia="ja-JP"/>
        </w:rPr>
        <w:t>brázek 1).</w:t>
      </w:r>
    </w:p>
    <w:p w14:paraId="149AB17A" w14:textId="77777777" w:rsidR="00EA5993" w:rsidRPr="009B1A37" w:rsidRDefault="00EA5993" w:rsidP="00BE3D48">
      <w:pPr>
        <w:widowControl w:val="0"/>
        <w:tabs>
          <w:tab w:val="clear" w:pos="567"/>
        </w:tabs>
        <w:spacing w:line="240" w:lineRule="auto"/>
        <w:rPr>
          <w:rFonts w:eastAsia="MS Mincho"/>
          <w:iCs/>
          <w:color w:val="000000"/>
          <w:lang w:eastAsia="ja-JP"/>
        </w:rPr>
      </w:pPr>
    </w:p>
    <w:p w14:paraId="0D9757C9" w14:textId="77777777" w:rsidR="00EA5993" w:rsidRPr="009B1A37" w:rsidRDefault="00EA5993" w:rsidP="00BE3D48">
      <w:pPr>
        <w:widowControl w:val="0"/>
        <w:tabs>
          <w:tab w:val="clear" w:pos="567"/>
        </w:tabs>
        <w:spacing w:line="240" w:lineRule="auto"/>
        <w:rPr>
          <w:rFonts w:eastAsia="MS Mincho"/>
          <w:iCs/>
          <w:color w:val="000000"/>
          <w:lang w:eastAsia="ja-JP"/>
        </w:rPr>
      </w:pPr>
      <w:r w:rsidRPr="009B1A37">
        <w:rPr>
          <w:rFonts w:eastAsia="MS Mincho"/>
          <w:iCs/>
          <w:color w:val="000000"/>
          <w:lang w:eastAsia="ja-JP"/>
        </w:rPr>
        <w:t>Třicet šest měsíců léčby Glivecem významně prodloužilo celkové přežití (OS) v</w:t>
      </w:r>
      <w:r w:rsidRPr="009B1A37">
        <w:rPr>
          <w:rFonts w:eastAsia="MS Mincho"/>
          <w:lang w:eastAsia="ja-JP"/>
        </w:rPr>
        <w:t> </w:t>
      </w:r>
      <w:r w:rsidRPr="009B1A37">
        <w:rPr>
          <w:rFonts w:eastAsia="MS Mincho"/>
          <w:iCs/>
          <w:color w:val="000000"/>
          <w:lang w:eastAsia="ja-JP"/>
        </w:rPr>
        <w:t>porovnání s</w:t>
      </w:r>
      <w:r w:rsidRPr="009B1A37">
        <w:rPr>
          <w:rFonts w:eastAsia="MS Mincho"/>
          <w:lang w:eastAsia="ja-JP"/>
        </w:rPr>
        <w:t> </w:t>
      </w:r>
      <w:r w:rsidRPr="009B1A37">
        <w:rPr>
          <w:rFonts w:eastAsia="MS Mincho"/>
          <w:iCs/>
          <w:color w:val="000000"/>
          <w:lang w:eastAsia="ja-JP"/>
        </w:rPr>
        <w:t>12</w:t>
      </w:r>
      <w:r w:rsidRPr="009B1A37">
        <w:rPr>
          <w:rFonts w:eastAsia="MS Mincho"/>
          <w:color w:val="000000"/>
          <w:lang w:eastAsia="ja-JP"/>
        </w:rPr>
        <w:t> měsíci</w:t>
      </w:r>
      <w:r w:rsidRPr="009B1A37">
        <w:rPr>
          <w:rFonts w:eastAsia="MS Mincho"/>
          <w:iCs/>
          <w:color w:val="000000"/>
          <w:lang w:eastAsia="ja-JP"/>
        </w:rPr>
        <w:t xml:space="preserve"> léčby Glivecem (HR = 0,45 [0,22; 0,89], p=0,0187) (</w:t>
      </w:r>
      <w:r w:rsidR="00A12785" w:rsidRPr="009B1A37">
        <w:rPr>
          <w:rFonts w:eastAsia="MS Mincho"/>
          <w:iCs/>
          <w:color w:val="000000"/>
          <w:lang w:eastAsia="ja-JP"/>
        </w:rPr>
        <w:t>t</w:t>
      </w:r>
      <w:r w:rsidRPr="009B1A37">
        <w:rPr>
          <w:rFonts w:eastAsia="MS Mincho"/>
          <w:iCs/>
          <w:color w:val="000000"/>
          <w:lang w:eastAsia="ja-JP"/>
        </w:rPr>
        <w:t>abulka</w:t>
      </w:r>
      <w:r w:rsidRPr="009B1A37">
        <w:rPr>
          <w:rFonts w:eastAsia="MS Mincho"/>
          <w:color w:val="000000"/>
          <w:lang w:eastAsia="ja-JP"/>
        </w:rPr>
        <w:t> </w:t>
      </w:r>
      <w:r w:rsidR="00A2522A" w:rsidRPr="009B1A37">
        <w:rPr>
          <w:rFonts w:eastAsia="MS Mincho"/>
          <w:color w:val="000000"/>
          <w:lang w:eastAsia="ja-JP"/>
        </w:rPr>
        <w:t>8</w:t>
      </w:r>
      <w:r w:rsidRPr="009B1A37">
        <w:rPr>
          <w:rFonts w:eastAsia="MS Mincho"/>
          <w:iCs/>
          <w:color w:val="000000"/>
          <w:lang w:eastAsia="ja-JP"/>
        </w:rPr>
        <w:t xml:space="preserve">, </w:t>
      </w:r>
      <w:r w:rsidR="00A12785" w:rsidRPr="009B1A37">
        <w:rPr>
          <w:rFonts w:eastAsia="MS Mincho"/>
          <w:iCs/>
          <w:color w:val="000000"/>
          <w:lang w:eastAsia="ja-JP"/>
        </w:rPr>
        <w:t>o</w:t>
      </w:r>
      <w:r w:rsidRPr="009B1A37">
        <w:rPr>
          <w:rFonts w:eastAsia="MS Mincho"/>
          <w:iCs/>
          <w:color w:val="000000"/>
          <w:lang w:eastAsia="ja-JP"/>
        </w:rPr>
        <w:t xml:space="preserve">brázek 2). </w:t>
      </w:r>
    </w:p>
    <w:p w14:paraId="020F71EC" w14:textId="77777777" w:rsidR="00EA5993" w:rsidRPr="009B1A37" w:rsidRDefault="00EA5993" w:rsidP="00BE3D48">
      <w:pPr>
        <w:widowControl w:val="0"/>
        <w:tabs>
          <w:tab w:val="clear" w:pos="567"/>
        </w:tabs>
        <w:spacing w:line="240" w:lineRule="auto"/>
        <w:rPr>
          <w:rFonts w:eastAsia="MS Mincho"/>
          <w:iCs/>
          <w:color w:val="000000"/>
          <w:lang w:eastAsia="ja-JP"/>
        </w:rPr>
      </w:pPr>
    </w:p>
    <w:p w14:paraId="25920B2E" w14:textId="77777777" w:rsidR="00EA5993" w:rsidRPr="009B1A37" w:rsidRDefault="00EA5993" w:rsidP="00BE3D48">
      <w:pPr>
        <w:widowControl w:val="0"/>
        <w:spacing w:line="240" w:lineRule="auto"/>
        <w:rPr>
          <w:rFonts w:eastAsia="MS Mincho"/>
          <w:lang w:eastAsia="ja-JP"/>
        </w:rPr>
      </w:pPr>
      <w:r w:rsidRPr="009B1A37">
        <w:rPr>
          <w:rFonts w:eastAsia="MS Mincho"/>
          <w:lang w:eastAsia="ja-JP"/>
        </w:rPr>
        <w:t>Déletrvající léčba (&gt; 36 měsíců) může prodloužit dobu do výskytu dalších recidiv; vliv těchto zjištění na celkové přežití nicméně zůstává neznámý.</w:t>
      </w:r>
    </w:p>
    <w:p w14:paraId="6EC3B023" w14:textId="77777777" w:rsidR="00EA5993" w:rsidRPr="009B1A37" w:rsidRDefault="00EA5993" w:rsidP="00BE3D48">
      <w:pPr>
        <w:widowControl w:val="0"/>
        <w:tabs>
          <w:tab w:val="clear" w:pos="567"/>
        </w:tabs>
        <w:spacing w:line="240" w:lineRule="auto"/>
        <w:rPr>
          <w:rFonts w:eastAsia="MS Mincho"/>
          <w:iCs/>
          <w:color w:val="000000"/>
          <w:lang w:eastAsia="ja-JP"/>
        </w:rPr>
      </w:pPr>
    </w:p>
    <w:p w14:paraId="64492A0C" w14:textId="77777777" w:rsidR="00EA5993" w:rsidRPr="009B1A37" w:rsidRDefault="00EA5993" w:rsidP="00BE3D48">
      <w:pPr>
        <w:widowControl w:val="0"/>
        <w:tabs>
          <w:tab w:val="clear" w:pos="567"/>
        </w:tabs>
        <w:spacing w:line="240" w:lineRule="auto"/>
        <w:rPr>
          <w:rFonts w:eastAsia="MS Mincho"/>
          <w:iCs/>
          <w:color w:val="000000"/>
          <w:lang w:eastAsia="ja-JP"/>
        </w:rPr>
      </w:pPr>
      <w:r w:rsidRPr="009B1A37">
        <w:rPr>
          <w:rFonts w:eastAsia="MS Mincho"/>
          <w:iCs/>
          <w:color w:val="000000"/>
          <w:lang w:eastAsia="ja-JP"/>
        </w:rPr>
        <w:t>Celkový počet úmrtí byl 25 v</w:t>
      </w:r>
      <w:r w:rsidRPr="009B1A37">
        <w:rPr>
          <w:rFonts w:eastAsia="MS Mincho"/>
          <w:lang w:eastAsia="ja-JP"/>
        </w:rPr>
        <w:t> </w:t>
      </w:r>
      <w:r w:rsidRPr="009B1A37">
        <w:rPr>
          <w:rFonts w:eastAsia="MS Mincho"/>
          <w:iCs/>
          <w:color w:val="000000"/>
          <w:lang w:eastAsia="ja-JP"/>
        </w:rPr>
        <w:t>rameni s</w:t>
      </w:r>
      <w:r w:rsidRPr="009B1A37">
        <w:rPr>
          <w:rFonts w:eastAsia="MS Mincho"/>
          <w:lang w:eastAsia="ja-JP"/>
        </w:rPr>
        <w:t> </w:t>
      </w:r>
      <w:r w:rsidRPr="009B1A37">
        <w:rPr>
          <w:rFonts w:eastAsia="MS Mincho"/>
          <w:iCs/>
          <w:color w:val="000000"/>
          <w:lang w:eastAsia="ja-JP"/>
        </w:rPr>
        <w:t>12měsíční léčbou a 12 v</w:t>
      </w:r>
      <w:r w:rsidRPr="009B1A37">
        <w:rPr>
          <w:rFonts w:eastAsia="MS Mincho"/>
          <w:lang w:eastAsia="ja-JP"/>
        </w:rPr>
        <w:t> </w:t>
      </w:r>
      <w:r w:rsidRPr="009B1A37">
        <w:rPr>
          <w:rFonts w:eastAsia="MS Mincho"/>
          <w:iCs/>
          <w:color w:val="000000"/>
          <w:lang w:eastAsia="ja-JP"/>
        </w:rPr>
        <w:t>rameni s</w:t>
      </w:r>
      <w:r w:rsidRPr="009B1A37">
        <w:rPr>
          <w:rFonts w:eastAsia="MS Mincho"/>
          <w:lang w:eastAsia="ja-JP"/>
        </w:rPr>
        <w:t> </w:t>
      </w:r>
      <w:r w:rsidRPr="009B1A37">
        <w:rPr>
          <w:rFonts w:eastAsia="MS Mincho"/>
          <w:iCs/>
          <w:color w:val="000000"/>
          <w:lang w:eastAsia="ja-JP"/>
        </w:rPr>
        <w:t>36měsíční léčbou.</w:t>
      </w:r>
    </w:p>
    <w:p w14:paraId="65DEE799" w14:textId="77777777" w:rsidR="00EA5993" w:rsidRPr="009B1A37" w:rsidRDefault="00EA5993" w:rsidP="00BE3D48">
      <w:pPr>
        <w:widowControl w:val="0"/>
        <w:tabs>
          <w:tab w:val="clear" w:pos="567"/>
        </w:tabs>
        <w:spacing w:line="240" w:lineRule="auto"/>
        <w:rPr>
          <w:rFonts w:eastAsia="MS Mincho"/>
          <w:iCs/>
          <w:lang w:eastAsia="ja-JP"/>
        </w:rPr>
      </w:pPr>
    </w:p>
    <w:p w14:paraId="3367BF3C" w14:textId="77777777" w:rsidR="00EA5993" w:rsidRPr="009B1A37" w:rsidRDefault="00EA5993" w:rsidP="00BE3D48">
      <w:pPr>
        <w:widowControl w:val="0"/>
        <w:tabs>
          <w:tab w:val="clear" w:pos="567"/>
        </w:tabs>
        <w:spacing w:line="240" w:lineRule="auto"/>
        <w:rPr>
          <w:rFonts w:eastAsia="MS Mincho"/>
          <w:iCs/>
          <w:lang w:eastAsia="ja-JP"/>
        </w:rPr>
      </w:pPr>
      <w:r w:rsidRPr="009B1A37">
        <w:rPr>
          <w:rFonts w:eastAsia="MS Mincho"/>
          <w:iCs/>
          <w:lang w:eastAsia="ja-JP"/>
        </w:rPr>
        <w:t>36měsíční léčbou imatinibem bylo dosaženo lepších výsledků oproti 12měsíční léčbě v</w:t>
      </w:r>
      <w:r w:rsidRPr="009B1A37">
        <w:rPr>
          <w:rFonts w:eastAsia="MS Mincho"/>
          <w:lang w:eastAsia="ja-JP"/>
        </w:rPr>
        <w:t> </w:t>
      </w:r>
      <w:r w:rsidRPr="009B1A37">
        <w:rPr>
          <w:rFonts w:eastAsia="MS Mincho"/>
          <w:iCs/>
          <w:lang w:eastAsia="ja-JP"/>
        </w:rPr>
        <w:t>ITT analýze, t.j. zahrnující celou studijní populaci. V</w:t>
      </w:r>
      <w:r w:rsidRPr="009B1A37">
        <w:rPr>
          <w:rFonts w:eastAsia="MS Mincho"/>
          <w:lang w:eastAsia="ja-JP"/>
        </w:rPr>
        <w:t> </w:t>
      </w:r>
      <w:r w:rsidRPr="009B1A37">
        <w:rPr>
          <w:rFonts w:eastAsia="MS Mincho"/>
          <w:iCs/>
          <w:lang w:eastAsia="ja-JP"/>
        </w:rPr>
        <w:t>plánované analýze podskupin podle typu mutace byl poměr rizika přežití bez rekurence pro 36měsíční léčbu pacientů s</w:t>
      </w:r>
      <w:r w:rsidRPr="009B1A37">
        <w:rPr>
          <w:rFonts w:eastAsia="MS Mincho"/>
          <w:lang w:eastAsia="ja-JP"/>
        </w:rPr>
        <w:t> </w:t>
      </w:r>
      <w:r w:rsidRPr="009B1A37">
        <w:rPr>
          <w:rFonts w:eastAsia="MS Mincho"/>
          <w:iCs/>
          <w:lang w:eastAsia="ja-JP"/>
        </w:rPr>
        <w:t>mutací exonu 11 0,35 [95% CI: 0,22, 0,56]. Pro jiné podskupiny s</w:t>
      </w:r>
      <w:r w:rsidRPr="009B1A37">
        <w:rPr>
          <w:rFonts w:eastAsia="MS Mincho"/>
          <w:lang w:eastAsia="ja-JP"/>
        </w:rPr>
        <w:t> </w:t>
      </w:r>
      <w:r w:rsidRPr="009B1A37">
        <w:rPr>
          <w:rFonts w:eastAsia="MS Mincho"/>
          <w:iCs/>
          <w:lang w:eastAsia="ja-JP"/>
        </w:rPr>
        <w:t>méně častými mutacemi nelze z</w:t>
      </w:r>
      <w:r w:rsidRPr="009B1A37">
        <w:rPr>
          <w:rFonts w:eastAsia="MS Mincho"/>
          <w:lang w:eastAsia="ja-JP"/>
        </w:rPr>
        <w:t> </w:t>
      </w:r>
      <w:r w:rsidRPr="009B1A37">
        <w:rPr>
          <w:rFonts w:eastAsia="MS Mincho"/>
          <w:iCs/>
          <w:lang w:eastAsia="ja-JP"/>
        </w:rPr>
        <w:t>důvodu nízkého počtu sledovaných případů vyvodit žádné závěry.</w:t>
      </w:r>
    </w:p>
    <w:p w14:paraId="2E2034CB" w14:textId="77777777" w:rsidR="00EA5993" w:rsidRPr="009B1A37" w:rsidRDefault="00EA5993" w:rsidP="00BE3D48">
      <w:pPr>
        <w:widowControl w:val="0"/>
        <w:tabs>
          <w:tab w:val="clear" w:pos="567"/>
        </w:tabs>
        <w:spacing w:line="240" w:lineRule="auto"/>
        <w:rPr>
          <w:rFonts w:eastAsia="MS Mincho"/>
          <w:iCs/>
          <w:lang w:eastAsia="ja-JP"/>
        </w:rPr>
      </w:pPr>
    </w:p>
    <w:p w14:paraId="24961AFA" w14:textId="77777777" w:rsidR="00EA5993" w:rsidRPr="009B1A37" w:rsidRDefault="00EA5993" w:rsidP="00EB4FF7">
      <w:pPr>
        <w:keepNext/>
        <w:widowControl w:val="0"/>
        <w:tabs>
          <w:tab w:val="clear" w:pos="567"/>
        </w:tabs>
        <w:spacing w:line="240" w:lineRule="auto"/>
        <w:ind w:left="1134" w:hanging="1134"/>
        <w:rPr>
          <w:rFonts w:eastAsia="MS Mincho"/>
          <w:b/>
          <w:lang w:eastAsia="ja-JP"/>
        </w:rPr>
      </w:pPr>
      <w:r w:rsidRPr="009B1A37">
        <w:rPr>
          <w:rFonts w:eastAsia="MS Mincho"/>
          <w:b/>
        </w:rPr>
        <w:t>Tabulka </w:t>
      </w:r>
      <w:r w:rsidR="00A2522A" w:rsidRPr="009B1A37">
        <w:rPr>
          <w:rFonts w:eastAsia="MS Mincho"/>
          <w:b/>
        </w:rPr>
        <w:t>8</w:t>
      </w:r>
      <w:r w:rsidRPr="009B1A37">
        <w:rPr>
          <w:rFonts w:eastAsia="MS Mincho"/>
        </w:rPr>
        <w:tab/>
      </w:r>
      <w:r w:rsidRPr="009B1A37">
        <w:rPr>
          <w:rFonts w:eastAsia="MS Mincho"/>
          <w:b/>
          <w:lang w:eastAsia="ja-JP"/>
        </w:rPr>
        <w:t>12měsíční a 36měsíční léčba Glivecem (studie SSGXVIII/AIO)</w:t>
      </w:r>
    </w:p>
    <w:p w14:paraId="2D95AA62" w14:textId="77777777" w:rsidR="00EA5993" w:rsidRPr="009B1A37" w:rsidRDefault="00EA5993" w:rsidP="00EB4FF7">
      <w:pPr>
        <w:keepNext/>
        <w:widowControl w:val="0"/>
        <w:tabs>
          <w:tab w:val="clear" w:pos="567"/>
        </w:tabs>
        <w:spacing w:line="240" w:lineRule="auto"/>
        <w:rPr>
          <w:rFonts w:eastAsia="MS Mincho"/>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EA5993" w:rsidRPr="009B1A37" w14:paraId="36F9A61E" w14:textId="77777777" w:rsidTr="00EB4FF7">
        <w:trPr>
          <w:cantSplit/>
        </w:trPr>
        <w:tc>
          <w:tcPr>
            <w:tcW w:w="3099" w:type="dxa"/>
            <w:tcBorders>
              <w:top w:val="single" w:sz="4" w:space="0" w:color="auto"/>
              <w:bottom w:val="nil"/>
            </w:tcBorders>
            <w:shd w:val="clear" w:color="auto" w:fill="auto"/>
          </w:tcPr>
          <w:p w14:paraId="61B648F7" w14:textId="77777777" w:rsidR="00EA5993" w:rsidRPr="009B1A37" w:rsidRDefault="00EA5993" w:rsidP="00EB4FF7">
            <w:pPr>
              <w:keepNext/>
              <w:widowControl w:val="0"/>
              <w:tabs>
                <w:tab w:val="clear" w:pos="567"/>
                <w:tab w:val="left" w:pos="284"/>
              </w:tabs>
              <w:spacing w:line="240" w:lineRule="auto"/>
              <w:rPr>
                <w:rFonts w:eastAsia="MS Mincho"/>
              </w:rPr>
            </w:pPr>
          </w:p>
        </w:tc>
        <w:tc>
          <w:tcPr>
            <w:tcW w:w="3100" w:type="dxa"/>
            <w:tcBorders>
              <w:top w:val="single" w:sz="4" w:space="0" w:color="auto"/>
              <w:bottom w:val="nil"/>
            </w:tcBorders>
            <w:shd w:val="clear" w:color="auto" w:fill="auto"/>
          </w:tcPr>
          <w:p w14:paraId="291A23FE" w14:textId="77777777" w:rsidR="00EA5993" w:rsidRPr="009B1A37" w:rsidRDefault="00EA5993" w:rsidP="00EB4FF7">
            <w:pPr>
              <w:keepNext/>
              <w:widowControl w:val="0"/>
              <w:tabs>
                <w:tab w:val="clear" w:pos="567"/>
                <w:tab w:val="left" w:pos="284"/>
              </w:tabs>
              <w:spacing w:line="240" w:lineRule="auto"/>
              <w:rPr>
                <w:rFonts w:eastAsia="MS Mincho"/>
                <w:b/>
              </w:rPr>
            </w:pPr>
            <w:r w:rsidRPr="009B1A37">
              <w:rPr>
                <w:rFonts w:eastAsia="MS Mincho"/>
                <w:b/>
              </w:rPr>
              <w:t>rameno s</w:t>
            </w:r>
            <w:r w:rsidRPr="009B1A37">
              <w:rPr>
                <w:rFonts w:eastAsia="MS Mincho"/>
                <w:lang w:eastAsia="ja-JP"/>
              </w:rPr>
              <w:t> </w:t>
            </w:r>
            <w:r w:rsidRPr="009B1A37">
              <w:rPr>
                <w:rFonts w:eastAsia="MS Mincho"/>
                <w:b/>
              </w:rPr>
              <w:t>12měsíční léčbou</w:t>
            </w:r>
          </w:p>
        </w:tc>
        <w:tc>
          <w:tcPr>
            <w:tcW w:w="3100" w:type="dxa"/>
            <w:tcBorders>
              <w:top w:val="single" w:sz="4" w:space="0" w:color="auto"/>
              <w:bottom w:val="nil"/>
            </w:tcBorders>
            <w:shd w:val="clear" w:color="auto" w:fill="auto"/>
          </w:tcPr>
          <w:p w14:paraId="6AE38F34" w14:textId="77777777" w:rsidR="00EA5993" w:rsidRPr="009B1A37" w:rsidRDefault="00EA5993" w:rsidP="00EB4FF7">
            <w:pPr>
              <w:keepNext/>
              <w:widowControl w:val="0"/>
              <w:tabs>
                <w:tab w:val="clear" w:pos="567"/>
                <w:tab w:val="left" w:pos="284"/>
              </w:tabs>
              <w:spacing w:line="240" w:lineRule="auto"/>
              <w:rPr>
                <w:rFonts w:eastAsia="MS Mincho"/>
                <w:b/>
              </w:rPr>
            </w:pPr>
            <w:r w:rsidRPr="009B1A37">
              <w:rPr>
                <w:rFonts w:eastAsia="MS Mincho"/>
                <w:b/>
              </w:rPr>
              <w:t>rameno s</w:t>
            </w:r>
            <w:r w:rsidRPr="009B1A37">
              <w:rPr>
                <w:rFonts w:eastAsia="MS Mincho"/>
                <w:lang w:eastAsia="ja-JP"/>
              </w:rPr>
              <w:t> </w:t>
            </w:r>
            <w:r w:rsidRPr="009B1A37">
              <w:rPr>
                <w:rFonts w:eastAsia="MS Mincho"/>
                <w:b/>
              </w:rPr>
              <w:t>36měsíční léčbou</w:t>
            </w:r>
          </w:p>
        </w:tc>
      </w:tr>
      <w:tr w:rsidR="00EA5993" w:rsidRPr="009B1A37" w14:paraId="46F3426A" w14:textId="77777777" w:rsidTr="00EB4FF7">
        <w:trPr>
          <w:cantSplit/>
        </w:trPr>
        <w:tc>
          <w:tcPr>
            <w:tcW w:w="3099" w:type="dxa"/>
            <w:tcBorders>
              <w:top w:val="nil"/>
            </w:tcBorders>
            <w:shd w:val="clear" w:color="auto" w:fill="auto"/>
          </w:tcPr>
          <w:p w14:paraId="226699DA" w14:textId="77777777" w:rsidR="00EA5993" w:rsidRPr="009B1A37" w:rsidRDefault="00EA5993" w:rsidP="00EB4FF7">
            <w:pPr>
              <w:keepNext/>
              <w:widowControl w:val="0"/>
              <w:tabs>
                <w:tab w:val="clear" w:pos="567"/>
                <w:tab w:val="left" w:pos="284"/>
              </w:tabs>
              <w:spacing w:line="240" w:lineRule="auto"/>
              <w:rPr>
                <w:rFonts w:eastAsia="MS Mincho"/>
                <w:b/>
              </w:rPr>
            </w:pPr>
            <w:r w:rsidRPr="009B1A37">
              <w:rPr>
                <w:rFonts w:eastAsia="MS Mincho"/>
                <w:b/>
              </w:rPr>
              <w:t>RFS</w:t>
            </w:r>
          </w:p>
        </w:tc>
        <w:tc>
          <w:tcPr>
            <w:tcW w:w="3100" w:type="dxa"/>
            <w:tcBorders>
              <w:top w:val="nil"/>
            </w:tcBorders>
            <w:shd w:val="clear" w:color="auto" w:fill="auto"/>
          </w:tcPr>
          <w:p w14:paraId="55290893" w14:textId="77777777" w:rsidR="00EA5993" w:rsidRPr="009B1A37" w:rsidRDefault="00EA5993" w:rsidP="00EB4FF7">
            <w:pPr>
              <w:keepNext/>
              <w:widowControl w:val="0"/>
              <w:tabs>
                <w:tab w:val="clear" w:pos="567"/>
                <w:tab w:val="left" w:pos="284"/>
              </w:tabs>
              <w:spacing w:line="240" w:lineRule="auto"/>
              <w:rPr>
                <w:rFonts w:eastAsia="MS Mincho"/>
                <w:b/>
              </w:rPr>
            </w:pPr>
            <w:r w:rsidRPr="009B1A37">
              <w:rPr>
                <w:rFonts w:eastAsia="MS Mincho"/>
                <w:b/>
              </w:rPr>
              <w:t>%(CI)</w:t>
            </w:r>
          </w:p>
        </w:tc>
        <w:tc>
          <w:tcPr>
            <w:tcW w:w="3100" w:type="dxa"/>
            <w:tcBorders>
              <w:top w:val="nil"/>
            </w:tcBorders>
            <w:shd w:val="clear" w:color="auto" w:fill="auto"/>
          </w:tcPr>
          <w:p w14:paraId="223ADB14" w14:textId="77777777" w:rsidR="00EA5993" w:rsidRPr="009B1A37" w:rsidRDefault="00EA5993" w:rsidP="00EB4FF7">
            <w:pPr>
              <w:keepNext/>
              <w:widowControl w:val="0"/>
              <w:tabs>
                <w:tab w:val="clear" w:pos="567"/>
                <w:tab w:val="left" w:pos="284"/>
              </w:tabs>
              <w:spacing w:line="240" w:lineRule="auto"/>
              <w:rPr>
                <w:rFonts w:eastAsia="MS Mincho"/>
                <w:b/>
              </w:rPr>
            </w:pPr>
            <w:r w:rsidRPr="009B1A37">
              <w:rPr>
                <w:rFonts w:eastAsia="MS Mincho"/>
                <w:b/>
              </w:rPr>
              <w:t>%(CI)</w:t>
            </w:r>
          </w:p>
        </w:tc>
      </w:tr>
      <w:tr w:rsidR="00EA5993" w:rsidRPr="009B1A37" w14:paraId="0ECDBEE1" w14:textId="77777777" w:rsidTr="00EB4FF7">
        <w:trPr>
          <w:cantSplit/>
        </w:trPr>
        <w:tc>
          <w:tcPr>
            <w:tcW w:w="3099" w:type="dxa"/>
            <w:shd w:val="clear" w:color="auto" w:fill="auto"/>
          </w:tcPr>
          <w:p w14:paraId="7D47C687" w14:textId="77777777" w:rsidR="00EA5993" w:rsidRPr="009B1A37" w:rsidRDefault="00EA5993" w:rsidP="00EB4FF7">
            <w:pPr>
              <w:keepNext/>
              <w:widowControl w:val="0"/>
              <w:tabs>
                <w:tab w:val="clear" w:pos="567"/>
              </w:tabs>
              <w:spacing w:line="240" w:lineRule="auto"/>
              <w:ind w:left="284"/>
              <w:rPr>
                <w:rFonts w:eastAsia="MS Mincho"/>
              </w:rPr>
            </w:pPr>
            <w:r w:rsidRPr="009B1A37">
              <w:rPr>
                <w:rFonts w:eastAsia="MS Mincho"/>
              </w:rPr>
              <w:t>12</w:t>
            </w:r>
            <w:r w:rsidRPr="009B1A37">
              <w:rPr>
                <w:rFonts w:eastAsia="MS Mincho"/>
                <w:lang w:eastAsia="ja-JP"/>
              </w:rPr>
              <w:t> měsíců</w:t>
            </w:r>
          </w:p>
        </w:tc>
        <w:tc>
          <w:tcPr>
            <w:tcW w:w="3100" w:type="dxa"/>
            <w:shd w:val="clear" w:color="auto" w:fill="auto"/>
          </w:tcPr>
          <w:p w14:paraId="45982A12" w14:textId="77777777" w:rsidR="00EA5993" w:rsidRPr="009B1A37" w:rsidRDefault="00EA5993" w:rsidP="00EB4FF7">
            <w:pPr>
              <w:keepNext/>
              <w:widowControl w:val="0"/>
              <w:tabs>
                <w:tab w:val="clear" w:pos="567"/>
                <w:tab w:val="left" w:pos="284"/>
              </w:tabs>
              <w:spacing w:line="240" w:lineRule="auto"/>
              <w:rPr>
                <w:rFonts w:eastAsia="MS Mincho"/>
              </w:rPr>
            </w:pPr>
            <w:r w:rsidRPr="009B1A37">
              <w:rPr>
                <w:rFonts w:eastAsia="MS Mincho"/>
              </w:rPr>
              <w:t>93,7 (89,2</w:t>
            </w:r>
            <w:r w:rsidRPr="009B1A37">
              <w:rPr>
                <w:rFonts w:eastAsia="MS Mincho"/>
              </w:rPr>
              <w:noBreakHyphen/>
              <w:t>96,4)</w:t>
            </w:r>
          </w:p>
        </w:tc>
        <w:tc>
          <w:tcPr>
            <w:tcW w:w="3100" w:type="dxa"/>
            <w:shd w:val="clear" w:color="auto" w:fill="auto"/>
          </w:tcPr>
          <w:p w14:paraId="7992C648" w14:textId="77777777" w:rsidR="00EA5993" w:rsidRPr="009B1A37" w:rsidRDefault="00EA5993" w:rsidP="00EB4FF7">
            <w:pPr>
              <w:keepNext/>
              <w:widowControl w:val="0"/>
              <w:tabs>
                <w:tab w:val="clear" w:pos="567"/>
                <w:tab w:val="left" w:pos="284"/>
              </w:tabs>
              <w:spacing w:line="240" w:lineRule="auto"/>
              <w:rPr>
                <w:rFonts w:eastAsia="MS Mincho"/>
              </w:rPr>
            </w:pPr>
            <w:r w:rsidRPr="009B1A37">
              <w:rPr>
                <w:rFonts w:eastAsia="MS Mincho"/>
              </w:rPr>
              <w:t>95,9 (91,9</w:t>
            </w:r>
            <w:r w:rsidRPr="009B1A37">
              <w:rPr>
                <w:rFonts w:eastAsia="MS Mincho"/>
              </w:rPr>
              <w:noBreakHyphen/>
              <w:t>97,9)</w:t>
            </w:r>
          </w:p>
        </w:tc>
      </w:tr>
      <w:tr w:rsidR="00EA5993" w:rsidRPr="009B1A37" w14:paraId="1C36A751" w14:textId="77777777" w:rsidTr="00EB4FF7">
        <w:trPr>
          <w:cantSplit/>
        </w:trPr>
        <w:tc>
          <w:tcPr>
            <w:tcW w:w="3099" w:type="dxa"/>
            <w:shd w:val="clear" w:color="auto" w:fill="auto"/>
          </w:tcPr>
          <w:p w14:paraId="062087FF" w14:textId="77777777" w:rsidR="00EA5993" w:rsidRPr="009B1A37" w:rsidRDefault="00EA5993" w:rsidP="00EB4FF7">
            <w:pPr>
              <w:keepNext/>
              <w:widowControl w:val="0"/>
              <w:tabs>
                <w:tab w:val="clear" w:pos="567"/>
              </w:tabs>
              <w:spacing w:line="240" w:lineRule="auto"/>
              <w:ind w:left="284"/>
              <w:rPr>
                <w:rFonts w:eastAsia="MS Mincho"/>
              </w:rPr>
            </w:pPr>
            <w:r w:rsidRPr="009B1A37">
              <w:rPr>
                <w:rFonts w:eastAsia="MS Mincho"/>
              </w:rPr>
              <w:t>24</w:t>
            </w:r>
            <w:r w:rsidRPr="009B1A37">
              <w:rPr>
                <w:rFonts w:eastAsia="MS Mincho"/>
                <w:lang w:eastAsia="ja-JP"/>
              </w:rPr>
              <w:t> </w:t>
            </w:r>
            <w:r w:rsidRPr="009B1A37">
              <w:rPr>
                <w:rFonts w:eastAsia="MS Mincho"/>
              </w:rPr>
              <w:t>měsíců</w:t>
            </w:r>
          </w:p>
        </w:tc>
        <w:tc>
          <w:tcPr>
            <w:tcW w:w="3100" w:type="dxa"/>
            <w:shd w:val="clear" w:color="auto" w:fill="auto"/>
          </w:tcPr>
          <w:p w14:paraId="290DF557" w14:textId="77777777" w:rsidR="00EA5993" w:rsidRPr="009B1A37" w:rsidRDefault="00EA5993" w:rsidP="00EB4FF7">
            <w:pPr>
              <w:keepNext/>
              <w:widowControl w:val="0"/>
              <w:tabs>
                <w:tab w:val="clear" w:pos="567"/>
                <w:tab w:val="left" w:pos="284"/>
              </w:tabs>
              <w:spacing w:line="240" w:lineRule="auto"/>
              <w:rPr>
                <w:rFonts w:eastAsia="MS Mincho"/>
              </w:rPr>
            </w:pPr>
            <w:r w:rsidRPr="009B1A37">
              <w:rPr>
                <w:rFonts w:eastAsia="MS Mincho"/>
              </w:rPr>
              <w:t>75,4 (68,6</w:t>
            </w:r>
            <w:r w:rsidRPr="009B1A37">
              <w:rPr>
                <w:rFonts w:eastAsia="MS Mincho"/>
              </w:rPr>
              <w:noBreakHyphen/>
              <w:t>81,0)</w:t>
            </w:r>
          </w:p>
        </w:tc>
        <w:tc>
          <w:tcPr>
            <w:tcW w:w="3100" w:type="dxa"/>
            <w:shd w:val="clear" w:color="auto" w:fill="auto"/>
          </w:tcPr>
          <w:p w14:paraId="1789CAD2" w14:textId="77777777" w:rsidR="00EA5993" w:rsidRPr="009B1A37" w:rsidRDefault="00EA5993" w:rsidP="00EB4FF7">
            <w:pPr>
              <w:keepNext/>
              <w:widowControl w:val="0"/>
              <w:tabs>
                <w:tab w:val="clear" w:pos="567"/>
                <w:tab w:val="left" w:pos="284"/>
              </w:tabs>
              <w:spacing w:line="240" w:lineRule="auto"/>
              <w:rPr>
                <w:rFonts w:eastAsia="MS Mincho"/>
              </w:rPr>
            </w:pPr>
            <w:r w:rsidRPr="009B1A37">
              <w:rPr>
                <w:rFonts w:eastAsia="MS Mincho"/>
              </w:rPr>
              <w:t>90,7 (85,6</w:t>
            </w:r>
            <w:r w:rsidRPr="009B1A37">
              <w:rPr>
                <w:rFonts w:eastAsia="MS Mincho"/>
              </w:rPr>
              <w:noBreakHyphen/>
              <w:t>94,0)</w:t>
            </w:r>
          </w:p>
        </w:tc>
      </w:tr>
      <w:tr w:rsidR="00EA5993" w:rsidRPr="009B1A37" w14:paraId="6AAC8848" w14:textId="77777777" w:rsidTr="00EB4FF7">
        <w:trPr>
          <w:cantSplit/>
        </w:trPr>
        <w:tc>
          <w:tcPr>
            <w:tcW w:w="3099" w:type="dxa"/>
            <w:shd w:val="clear" w:color="auto" w:fill="auto"/>
          </w:tcPr>
          <w:p w14:paraId="77BD9DC6" w14:textId="77777777" w:rsidR="00EA5993" w:rsidRPr="009B1A37" w:rsidRDefault="00EA5993" w:rsidP="00EB4FF7">
            <w:pPr>
              <w:keepNext/>
              <w:widowControl w:val="0"/>
              <w:tabs>
                <w:tab w:val="clear" w:pos="567"/>
              </w:tabs>
              <w:spacing w:line="240" w:lineRule="auto"/>
              <w:ind w:left="284"/>
              <w:rPr>
                <w:rFonts w:eastAsia="MS Mincho"/>
              </w:rPr>
            </w:pPr>
            <w:r w:rsidRPr="009B1A37">
              <w:rPr>
                <w:rFonts w:eastAsia="MS Mincho"/>
              </w:rPr>
              <w:t>36</w:t>
            </w:r>
            <w:r w:rsidRPr="009B1A37">
              <w:rPr>
                <w:rFonts w:eastAsia="MS Mincho"/>
                <w:lang w:eastAsia="ja-JP"/>
              </w:rPr>
              <w:t> </w:t>
            </w:r>
            <w:r w:rsidRPr="009B1A37">
              <w:rPr>
                <w:rFonts w:eastAsia="MS Mincho"/>
              </w:rPr>
              <w:t>měsíců</w:t>
            </w:r>
          </w:p>
        </w:tc>
        <w:tc>
          <w:tcPr>
            <w:tcW w:w="3100" w:type="dxa"/>
            <w:shd w:val="clear" w:color="auto" w:fill="auto"/>
          </w:tcPr>
          <w:p w14:paraId="405A9C7B" w14:textId="77777777" w:rsidR="00EA5993" w:rsidRPr="009B1A37" w:rsidRDefault="00EA5993" w:rsidP="00EB4FF7">
            <w:pPr>
              <w:keepNext/>
              <w:widowControl w:val="0"/>
              <w:tabs>
                <w:tab w:val="clear" w:pos="567"/>
                <w:tab w:val="left" w:pos="284"/>
              </w:tabs>
              <w:spacing w:line="240" w:lineRule="auto"/>
              <w:rPr>
                <w:rFonts w:eastAsia="MS Mincho"/>
              </w:rPr>
            </w:pPr>
            <w:r w:rsidRPr="009B1A37">
              <w:rPr>
                <w:rFonts w:eastAsia="MS Mincho"/>
              </w:rPr>
              <w:t>60,1 (52,5</w:t>
            </w:r>
            <w:r w:rsidRPr="009B1A37">
              <w:rPr>
                <w:rFonts w:eastAsia="MS Mincho"/>
              </w:rPr>
              <w:noBreakHyphen/>
              <w:t>66,9)</w:t>
            </w:r>
          </w:p>
        </w:tc>
        <w:tc>
          <w:tcPr>
            <w:tcW w:w="3100" w:type="dxa"/>
            <w:shd w:val="clear" w:color="auto" w:fill="auto"/>
          </w:tcPr>
          <w:p w14:paraId="6F31F5B8" w14:textId="77777777" w:rsidR="00EA5993" w:rsidRPr="009B1A37" w:rsidRDefault="00EA5993" w:rsidP="00EB4FF7">
            <w:pPr>
              <w:keepNext/>
              <w:widowControl w:val="0"/>
              <w:tabs>
                <w:tab w:val="clear" w:pos="567"/>
                <w:tab w:val="left" w:pos="284"/>
              </w:tabs>
              <w:spacing w:line="240" w:lineRule="auto"/>
              <w:rPr>
                <w:rFonts w:eastAsia="MS Mincho"/>
              </w:rPr>
            </w:pPr>
            <w:r w:rsidRPr="009B1A37">
              <w:rPr>
                <w:rFonts w:eastAsia="MS Mincho"/>
              </w:rPr>
              <w:t>86,6 (80,8</w:t>
            </w:r>
            <w:r w:rsidRPr="009B1A37">
              <w:rPr>
                <w:rFonts w:eastAsia="MS Mincho"/>
              </w:rPr>
              <w:noBreakHyphen/>
              <w:t>90,8)</w:t>
            </w:r>
          </w:p>
        </w:tc>
      </w:tr>
      <w:tr w:rsidR="00EA5993" w:rsidRPr="009B1A37" w14:paraId="44444BB6" w14:textId="77777777" w:rsidTr="00EB4FF7">
        <w:trPr>
          <w:cantSplit/>
        </w:trPr>
        <w:tc>
          <w:tcPr>
            <w:tcW w:w="3099" w:type="dxa"/>
            <w:shd w:val="clear" w:color="auto" w:fill="auto"/>
          </w:tcPr>
          <w:p w14:paraId="77F5167B" w14:textId="77777777" w:rsidR="00EA5993" w:rsidRPr="009B1A37" w:rsidRDefault="00EA5993" w:rsidP="00EB4FF7">
            <w:pPr>
              <w:keepNext/>
              <w:widowControl w:val="0"/>
              <w:tabs>
                <w:tab w:val="clear" w:pos="567"/>
              </w:tabs>
              <w:spacing w:line="240" w:lineRule="auto"/>
              <w:ind w:left="284"/>
              <w:rPr>
                <w:rFonts w:eastAsia="MS Mincho"/>
              </w:rPr>
            </w:pPr>
            <w:r w:rsidRPr="009B1A37">
              <w:rPr>
                <w:rFonts w:eastAsia="MS Mincho"/>
              </w:rPr>
              <w:t>48</w:t>
            </w:r>
            <w:r w:rsidRPr="009B1A37">
              <w:rPr>
                <w:rFonts w:eastAsia="MS Mincho"/>
                <w:lang w:eastAsia="ja-JP"/>
              </w:rPr>
              <w:t> </w:t>
            </w:r>
            <w:r w:rsidRPr="009B1A37">
              <w:rPr>
                <w:rFonts w:eastAsia="MS Mincho"/>
              </w:rPr>
              <w:t>měsíců</w:t>
            </w:r>
          </w:p>
        </w:tc>
        <w:tc>
          <w:tcPr>
            <w:tcW w:w="3100" w:type="dxa"/>
            <w:shd w:val="clear" w:color="auto" w:fill="auto"/>
          </w:tcPr>
          <w:p w14:paraId="106C7535" w14:textId="77777777" w:rsidR="00EA5993" w:rsidRPr="009B1A37" w:rsidRDefault="00EA5993" w:rsidP="00EB4FF7">
            <w:pPr>
              <w:keepNext/>
              <w:widowControl w:val="0"/>
              <w:tabs>
                <w:tab w:val="clear" w:pos="567"/>
                <w:tab w:val="left" w:pos="284"/>
              </w:tabs>
              <w:spacing w:line="240" w:lineRule="auto"/>
              <w:rPr>
                <w:rFonts w:eastAsia="MS Mincho"/>
              </w:rPr>
            </w:pPr>
            <w:r w:rsidRPr="009B1A37">
              <w:rPr>
                <w:rFonts w:eastAsia="MS Mincho"/>
              </w:rPr>
              <w:t>52,3 (44,0</w:t>
            </w:r>
            <w:r w:rsidRPr="009B1A37">
              <w:rPr>
                <w:rFonts w:eastAsia="MS Mincho"/>
              </w:rPr>
              <w:noBreakHyphen/>
              <w:t>59,8)</w:t>
            </w:r>
          </w:p>
        </w:tc>
        <w:tc>
          <w:tcPr>
            <w:tcW w:w="3100" w:type="dxa"/>
            <w:shd w:val="clear" w:color="auto" w:fill="auto"/>
          </w:tcPr>
          <w:p w14:paraId="2BD923EF" w14:textId="77777777" w:rsidR="00EA5993" w:rsidRPr="009B1A37" w:rsidRDefault="00EA5993" w:rsidP="00EB4FF7">
            <w:pPr>
              <w:keepNext/>
              <w:widowControl w:val="0"/>
              <w:tabs>
                <w:tab w:val="clear" w:pos="567"/>
                <w:tab w:val="left" w:pos="284"/>
              </w:tabs>
              <w:spacing w:line="240" w:lineRule="auto"/>
              <w:rPr>
                <w:rFonts w:eastAsia="MS Mincho"/>
              </w:rPr>
            </w:pPr>
            <w:r w:rsidRPr="009B1A37">
              <w:rPr>
                <w:rFonts w:eastAsia="MS Mincho"/>
              </w:rPr>
              <w:t>78,3 (70,8</w:t>
            </w:r>
            <w:r w:rsidRPr="009B1A37">
              <w:rPr>
                <w:rFonts w:eastAsia="MS Mincho"/>
              </w:rPr>
              <w:noBreakHyphen/>
              <w:t>84,1)</w:t>
            </w:r>
          </w:p>
        </w:tc>
      </w:tr>
      <w:tr w:rsidR="00EA5993" w:rsidRPr="009B1A37" w14:paraId="439CF15F" w14:textId="77777777" w:rsidTr="00EB4FF7">
        <w:trPr>
          <w:cantSplit/>
        </w:trPr>
        <w:tc>
          <w:tcPr>
            <w:tcW w:w="3099" w:type="dxa"/>
            <w:shd w:val="clear" w:color="auto" w:fill="auto"/>
          </w:tcPr>
          <w:p w14:paraId="0B194E53" w14:textId="77777777" w:rsidR="00EA5993" w:rsidRPr="009B1A37" w:rsidRDefault="00EA5993" w:rsidP="00EB4FF7">
            <w:pPr>
              <w:keepNext/>
              <w:widowControl w:val="0"/>
              <w:tabs>
                <w:tab w:val="clear" w:pos="567"/>
              </w:tabs>
              <w:spacing w:line="240" w:lineRule="auto"/>
              <w:ind w:left="284"/>
              <w:rPr>
                <w:rFonts w:eastAsia="MS Mincho"/>
              </w:rPr>
            </w:pPr>
            <w:r w:rsidRPr="009B1A37">
              <w:rPr>
                <w:rFonts w:eastAsia="MS Mincho"/>
              </w:rPr>
              <w:t>60</w:t>
            </w:r>
            <w:r w:rsidRPr="009B1A37">
              <w:rPr>
                <w:rFonts w:eastAsia="MS Mincho"/>
                <w:lang w:eastAsia="ja-JP"/>
              </w:rPr>
              <w:t> </w:t>
            </w:r>
            <w:r w:rsidRPr="009B1A37">
              <w:rPr>
                <w:rFonts w:eastAsia="MS Mincho"/>
              </w:rPr>
              <w:t>měsíců</w:t>
            </w:r>
          </w:p>
        </w:tc>
        <w:tc>
          <w:tcPr>
            <w:tcW w:w="3100" w:type="dxa"/>
            <w:shd w:val="clear" w:color="auto" w:fill="auto"/>
          </w:tcPr>
          <w:p w14:paraId="64DE8B62" w14:textId="77777777" w:rsidR="00EA5993" w:rsidRPr="009B1A37" w:rsidRDefault="00EA5993" w:rsidP="00EB4FF7">
            <w:pPr>
              <w:keepNext/>
              <w:widowControl w:val="0"/>
              <w:tabs>
                <w:tab w:val="clear" w:pos="567"/>
                <w:tab w:val="left" w:pos="284"/>
              </w:tabs>
              <w:spacing w:line="240" w:lineRule="auto"/>
              <w:rPr>
                <w:rFonts w:eastAsia="MS Mincho"/>
              </w:rPr>
            </w:pPr>
            <w:r w:rsidRPr="009B1A37">
              <w:rPr>
                <w:rFonts w:eastAsia="MS Mincho"/>
              </w:rPr>
              <w:t>47,9 (39,0</w:t>
            </w:r>
            <w:r w:rsidRPr="009B1A37">
              <w:rPr>
                <w:rFonts w:eastAsia="MS Mincho"/>
              </w:rPr>
              <w:noBreakHyphen/>
              <w:t>56,3)</w:t>
            </w:r>
          </w:p>
        </w:tc>
        <w:tc>
          <w:tcPr>
            <w:tcW w:w="3100" w:type="dxa"/>
            <w:shd w:val="clear" w:color="auto" w:fill="auto"/>
          </w:tcPr>
          <w:p w14:paraId="48962882" w14:textId="77777777" w:rsidR="00EA5993" w:rsidRPr="009B1A37" w:rsidRDefault="00EA5993" w:rsidP="00EB4FF7">
            <w:pPr>
              <w:keepNext/>
              <w:widowControl w:val="0"/>
              <w:tabs>
                <w:tab w:val="clear" w:pos="567"/>
                <w:tab w:val="left" w:pos="284"/>
              </w:tabs>
              <w:spacing w:line="240" w:lineRule="auto"/>
              <w:rPr>
                <w:rFonts w:eastAsia="MS Mincho"/>
              </w:rPr>
            </w:pPr>
            <w:r w:rsidRPr="009B1A37">
              <w:rPr>
                <w:rFonts w:eastAsia="MS Mincho"/>
              </w:rPr>
              <w:t>65,6 (56,1</w:t>
            </w:r>
            <w:r w:rsidRPr="009B1A37">
              <w:rPr>
                <w:rFonts w:eastAsia="MS Mincho"/>
              </w:rPr>
              <w:noBreakHyphen/>
              <w:t>73,4)</w:t>
            </w:r>
          </w:p>
        </w:tc>
      </w:tr>
      <w:tr w:rsidR="00EA5993" w:rsidRPr="009B1A37" w14:paraId="373A9D93" w14:textId="77777777" w:rsidTr="00EB4FF7">
        <w:trPr>
          <w:cantSplit/>
        </w:trPr>
        <w:tc>
          <w:tcPr>
            <w:tcW w:w="3099" w:type="dxa"/>
            <w:shd w:val="clear" w:color="auto" w:fill="auto"/>
          </w:tcPr>
          <w:p w14:paraId="76E4A3CC" w14:textId="77777777" w:rsidR="00EA5993" w:rsidRPr="009B1A37" w:rsidRDefault="00EA5993" w:rsidP="00EB4FF7">
            <w:pPr>
              <w:keepNext/>
              <w:widowControl w:val="0"/>
              <w:tabs>
                <w:tab w:val="clear" w:pos="567"/>
                <w:tab w:val="left" w:pos="284"/>
              </w:tabs>
              <w:spacing w:line="240" w:lineRule="auto"/>
              <w:rPr>
                <w:rFonts w:eastAsia="MS Mincho"/>
                <w:b/>
              </w:rPr>
            </w:pPr>
            <w:r w:rsidRPr="009B1A37">
              <w:rPr>
                <w:rFonts w:eastAsia="MS Mincho"/>
                <w:b/>
              </w:rPr>
              <w:t>Přežití</w:t>
            </w:r>
          </w:p>
        </w:tc>
        <w:tc>
          <w:tcPr>
            <w:tcW w:w="3100" w:type="dxa"/>
            <w:shd w:val="clear" w:color="auto" w:fill="auto"/>
          </w:tcPr>
          <w:p w14:paraId="3C6CC497" w14:textId="77777777" w:rsidR="00EA5993" w:rsidRPr="009B1A37" w:rsidRDefault="00EA5993" w:rsidP="00EB4FF7">
            <w:pPr>
              <w:keepNext/>
              <w:widowControl w:val="0"/>
              <w:tabs>
                <w:tab w:val="clear" w:pos="567"/>
                <w:tab w:val="left" w:pos="284"/>
              </w:tabs>
              <w:spacing w:line="240" w:lineRule="auto"/>
              <w:rPr>
                <w:rFonts w:eastAsia="MS Mincho"/>
              </w:rPr>
            </w:pPr>
          </w:p>
        </w:tc>
        <w:tc>
          <w:tcPr>
            <w:tcW w:w="3100" w:type="dxa"/>
            <w:shd w:val="clear" w:color="auto" w:fill="auto"/>
          </w:tcPr>
          <w:p w14:paraId="33BEBBE2" w14:textId="77777777" w:rsidR="00EA5993" w:rsidRPr="009B1A37" w:rsidRDefault="00EA5993" w:rsidP="00EB4FF7">
            <w:pPr>
              <w:keepNext/>
              <w:widowControl w:val="0"/>
              <w:tabs>
                <w:tab w:val="clear" w:pos="567"/>
                <w:tab w:val="left" w:pos="284"/>
              </w:tabs>
              <w:spacing w:line="240" w:lineRule="auto"/>
              <w:rPr>
                <w:rFonts w:eastAsia="MS Mincho"/>
              </w:rPr>
            </w:pPr>
          </w:p>
        </w:tc>
      </w:tr>
      <w:tr w:rsidR="00EA5993" w:rsidRPr="009B1A37" w14:paraId="02786755" w14:textId="77777777" w:rsidTr="00EB4FF7">
        <w:trPr>
          <w:cantSplit/>
        </w:trPr>
        <w:tc>
          <w:tcPr>
            <w:tcW w:w="3099" w:type="dxa"/>
            <w:shd w:val="clear" w:color="auto" w:fill="auto"/>
          </w:tcPr>
          <w:p w14:paraId="5EBBED63" w14:textId="77777777" w:rsidR="00EA5993" w:rsidRPr="009B1A37" w:rsidRDefault="00EA5993" w:rsidP="00EB4FF7">
            <w:pPr>
              <w:keepNext/>
              <w:widowControl w:val="0"/>
              <w:tabs>
                <w:tab w:val="clear" w:pos="567"/>
              </w:tabs>
              <w:spacing w:line="240" w:lineRule="auto"/>
              <w:ind w:left="284"/>
              <w:rPr>
                <w:rFonts w:eastAsia="MS Mincho"/>
              </w:rPr>
            </w:pPr>
            <w:r w:rsidRPr="009B1A37">
              <w:rPr>
                <w:rFonts w:eastAsia="MS Mincho"/>
              </w:rPr>
              <w:t>36</w:t>
            </w:r>
            <w:r w:rsidRPr="009B1A37">
              <w:rPr>
                <w:rFonts w:eastAsia="MS Mincho"/>
                <w:lang w:eastAsia="ja-JP"/>
              </w:rPr>
              <w:t> </w:t>
            </w:r>
            <w:r w:rsidRPr="009B1A37">
              <w:rPr>
                <w:rFonts w:eastAsia="MS Mincho"/>
              </w:rPr>
              <w:t>měsíců</w:t>
            </w:r>
          </w:p>
        </w:tc>
        <w:tc>
          <w:tcPr>
            <w:tcW w:w="3100" w:type="dxa"/>
            <w:shd w:val="clear" w:color="auto" w:fill="auto"/>
          </w:tcPr>
          <w:p w14:paraId="6A8ED8C3" w14:textId="77777777" w:rsidR="00EA5993" w:rsidRPr="009B1A37" w:rsidRDefault="00EA5993" w:rsidP="00EB4FF7">
            <w:pPr>
              <w:keepNext/>
              <w:widowControl w:val="0"/>
              <w:tabs>
                <w:tab w:val="clear" w:pos="567"/>
                <w:tab w:val="left" w:pos="284"/>
              </w:tabs>
              <w:spacing w:line="240" w:lineRule="auto"/>
              <w:rPr>
                <w:rFonts w:eastAsia="MS Mincho"/>
              </w:rPr>
            </w:pPr>
            <w:r w:rsidRPr="009B1A37">
              <w:rPr>
                <w:rFonts w:eastAsia="MS Mincho"/>
              </w:rPr>
              <w:t>94,0 (89,5</w:t>
            </w:r>
            <w:r w:rsidRPr="009B1A37">
              <w:rPr>
                <w:rFonts w:eastAsia="MS Mincho"/>
              </w:rPr>
              <w:noBreakHyphen/>
              <w:t>96,7)</w:t>
            </w:r>
          </w:p>
        </w:tc>
        <w:tc>
          <w:tcPr>
            <w:tcW w:w="3100" w:type="dxa"/>
            <w:shd w:val="clear" w:color="auto" w:fill="auto"/>
          </w:tcPr>
          <w:p w14:paraId="051E9CF7" w14:textId="77777777" w:rsidR="00EA5993" w:rsidRPr="009B1A37" w:rsidRDefault="00EA5993" w:rsidP="00EB4FF7">
            <w:pPr>
              <w:keepNext/>
              <w:widowControl w:val="0"/>
              <w:tabs>
                <w:tab w:val="clear" w:pos="567"/>
                <w:tab w:val="left" w:pos="284"/>
              </w:tabs>
              <w:spacing w:line="240" w:lineRule="auto"/>
              <w:rPr>
                <w:rFonts w:eastAsia="MS Mincho"/>
              </w:rPr>
            </w:pPr>
            <w:r w:rsidRPr="009B1A37">
              <w:rPr>
                <w:rFonts w:eastAsia="MS Mincho"/>
              </w:rPr>
              <w:t>96,3 (92,4</w:t>
            </w:r>
            <w:r w:rsidRPr="009B1A37">
              <w:rPr>
                <w:rFonts w:eastAsia="MS Mincho"/>
              </w:rPr>
              <w:noBreakHyphen/>
              <w:t>98,2)</w:t>
            </w:r>
          </w:p>
        </w:tc>
      </w:tr>
      <w:tr w:rsidR="00EA5993" w:rsidRPr="009B1A37" w14:paraId="7DA85D8E" w14:textId="77777777" w:rsidTr="00EB4FF7">
        <w:trPr>
          <w:cantSplit/>
        </w:trPr>
        <w:tc>
          <w:tcPr>
            <w:tcW w:w="3099" w:type="dxa"/>
            <w:shd w:val="clear" w:color="auto" w:fill="auto"/>
          </w:tcPr>
          <w:p w14:paraId="6020D2D0" w14:textId="77777777" w:rsidR="00EA5993" w:rsidRPr="009B1A37" w:rsidRDefault="00EA5993" w:rsidP="00EB4FF7">
            <w:pPr>
              <w:keepNext/>
              <w:widowControl w:val="0"/>
              <w:tabs>
                <w:tab w:val="clear" w:pos="567"/>
              </w:tabs>
              <w:spacing w:line="240" w:lineRule="auto"/>
              <w:ind w:left="284"/>
              <w:rPr>
                <w:rFonts w:eastAsia="MS Mincho"/>
              </w:rPr>
            </w:pPr>
            <w:r w:rsidRPr="009B1A37">
              <w:rPr>
                <w:rFonts w:eastAsia="MS Mincho"/>
              </w:rPr>
              <w:t>48</w:t>
            </w:r>
            <w:r w:rsidRPr="009B1A37">
              <w:rPr>
                <w:rFonts w:eastAsia="MS Mincho"/>
                <w:lang w:eastAsia="ja-JP"/>
              </w:rPr>
              <w:t> </w:t>
            </w:r>
            <w:r w:rsidRPr="009B1A37">
              <w:rPr>
                <w:rFonts w:eastAsia="MS Mincho"/>
              </w:rPr>
              <w:t>měsícůs</w:t>
            </w:r>
          </w:p>
        </w:tc>
        <w:tc>
          <w:tcPr>
            <w:tcW w:w="3100" w:type="dxa"/>
            <w:shd w:val="clear" w:color="auto" w:fill="auto"/>
          </w:tcPr>
          <w:p w14:paraId="66445279" w14:textId="77777777" w:rsidR="00EA5993" w:rsidRPr="009B1A37" w:rsidRDefault="00EA5993" w:rsidP="00EB4FF7">
            <w:pPr>
              <w:keepNext/>
              <w:widowControl w:val="0"/>
              <w:tabs>
                <w:tab w:val="clear" w:pos="567"/>
                <w:tab w:val="left" w:pos="284"/>
              </w:tabs>
              <w:spacing w:line="240" w:lineRule="auto"/>
              <w:rPr>
                <w:rFonts w:eastAsia="MS Mincho"/>
              </w:rPr>
            </w:pPr>
            <w:r w:rsidRPr="009B1A37">
              <w:rPr>
                <w:rFonts w:eastAsia="MS Mincho"/>
              </w:rPr>
              <w:t>87,9 (81,1</w:t>
            </w:r>
            <w:r w:rsidRPr="009B1A37">
              <w:rPr>
                <w:rFonts w:eastAsia="MS Mincho"/>
              </w:rPr>
              <w:noBreakHyphen/>
              <w:t>92,3)</w:t>
            </w:r>
          </w:p>
        </w:tc>
        <w:tc>
          <w:tcPr>
            <w:tcW w:w="3100" w:type="dxa"/>
            <w:shd w:val="clear" w:color="auto" w:fill="auto"/>
          </w:tcPr>
          <w:p w14:paraId="661CE5CA" w14:textId="77777777" w:rsidR="00EA5993" w:rsidRPr="009B1A37" w:rsidRDefault="00EA5993" w:rsidP="00EB4FF7">
            <w:pPr>
              <w:keepNext/>
              <w:widowControl w:val="0"/>
              <w:tabs>
                <w:tab w:val="clear" w:pos="567"/>
                <w:tab w:val="left" w:pos="284"/>
              </w:tabs>
              <w:spacing w:line="240" w:lineRule="auto"/>
              <w:rPr>
                <w:rFonts w:eastAsia="MS Mincho"/>
              </w:rPr>
            </w:pPr>
            <w:r w:rsidRPr="009B1A37">
              <w:rPr>
                <w:rFonts w:eastAsia="MS Mincho"/>
              </w:rPr>
              <w:t>95,6 (91,2</w:t>
            </w:r>
            <w:r w:rsidRPr="009B1A37">
              <w:rPr>
                <w:rFonts w:eastAsia="MS Mincho"/>
              </w:rPr>
              <w:noBreakHyphen/>
              <w:t>97,8)</w:t>
            </w:r>
          </w:p>
        </w:tc>
      </w:tr>
      <w:tr w:rsidR="00EA5993" w:rsidRPr="009B1A37" w14:paraId="067A7BEB" w14:textId="77777777" w:rsidTr="00EB4FF7">
        <w:trPr>
          <w:cantSplit/>
        </w:trPr>
        <w:tc>
          <w:tcPr>
            <w:tcW w:w="3099" w:type="dxa"/>
            <w:shd w:val="clear" w:color="auto" w:fill="auto"/>
          </w:tcPr>
          <w:p w14:paraId="3F1A155C" w14:textId="77777777" w:rsidR="00EA5993" w:rsidRPr="009B1A37" w:rsidRDefault="00EA5993" w:rsidP="00EB4FF7">
            <w:pPr>
              <w:widowControl w:val="0"/>
              <w:tabs>
                <w:tab w:val="clear" w:pos="567"/>
              </w:tabs>
              <w:spacing w:line="240" w:lineRule="auto"/>
              <w:ind w:left="284"/>
              <w:rPr>
                <w:rFonts w:eastAsia="MS Mincho"/>
              </w:rPr>
            </w:pPr>
            <w:r w:rsidRPr="009B1A37">
              <w:rPr>
                <w:rFonts w:eastAsia="MS Mincho"/>
              </w:rPr>
              <w:t>60</w:t>
            </w:r>
            <w:r w:rsidRPr="009B1A37">
              <w:rPr>
                <w:rFonts w:eastAsia="MS Mincho"/>
                <w:lang w:eastAsia="ja-JP"/>
              </w:rPr>
              <w:t> měsíců</w:t>
            </w:r>
          </w:p>
        </w:tc>
        <w:tc>
          <w:tcPr>
            <w:tcW w:w="3100" w:type="dxa"/>
            <w:shd w:val="clear" w:color="auto" w:fill="auto"/>
          </w:tcPr>
          <w:p w14:paraId="66B23F2A" w14:textId="77777777" w:rsidR="00EA5993" w:rsidRPr="009B1A37" w:rsidRDefault="00EA5993" w:rsidP="00EB4FF7">
            <w:pPr>
              <w:widowControl w:val="0"/>
              <w:tabs>
                <w:tab w:val="clear" w:pos="567"/>
                <w:tab w:val="left" w:pos="284"/>
              </w:tabs>
              <w:spacing w:line="240" w:lineRule="auto"/>
              <w:rPr>
                <w:rFonts w:eastAsia="MS Mincho"/>
              </w:rPr>
            </w:pPr>
            <w:r w:rsidRPr="009B1A37">
              <w:rPr>
                <w:rFonts w:eastAsia="MS Mincho"/>
              </w:rPr>
              <w:t>81,7 (73,0</w:t>
            </w:r>
            <w:r w:rsidRPr="009B1A37">
              <w:rPr>
                <w:rFonts w:eastAsia="MS Mincho"/>
              </w:rPr>
              <w:noBreakHyphen/>
              <w:t>87,8)</w:t>
            </w:r>
          </w:p>
        </w:tc>
        <w:tc>
          <w:tcPr>
            <w:tcW w:w="3100" w:type="dxa"/>
            <w:shd w:val="clear" w:color="auto" w:fill="auto"/>
          </w:tcPr>
          <w:p w14:paraId="5F2E18CE" w14:textId="77777777" w:rsidR="00EA5993" w:rsidRPr="009B1A37" w:rsidRDefault="00EA5993" w:rsidP="00EB4FF7">
            <w:pPr>
              <w:widowControl w:val="0"/>
              <w:tabs>
                <w:tab w:val="clear" w:pos="567"/>
                <w:tab w:val="left" w:pos="284"/>
              </w:tabs>
              <w:spacing w:line="240" w:lineRule="auto"/>
              <w:rPr>
                <w:rFonts w:eastAsia="MS Mincho"/>
              </w:rPr>
            </w:pPr>
            <w:r w:rsidRPr="009B1A37">
              <w:rPr>
                <w:rFonts w:eastAsia="MS Mincho"/>
              </w:rPr>
              <w:t>92,0 (85,3</w:t>
            </w:r>
            <w:r w:rsidRPr="009B1A37">
              <w:rPr>
                <w:rFonts w:eastAsia="MS Mincho"/>
              </w:rPr>
              <w:noBreakHyphen/>
              <w:t>95,7)</w:t>
            </w:r>
          </w:p>
        </w:tc>
      </w:tr>
    </w:tbl>
    <w:p w14:paraId="23F09B1F" w14:textId="77777777" w:rsidR="00EA5993" w:rsidRPr="009B1A37" w:rsidRDefault="00EA5993" w:rsidP="00BE3D48">
      <w:pPr>
        <w:widowControl w:val="0"/>
        <w:tabs>
          <w:tab w:val="clear" w:pos="567"/>
        </w:tabs>
        <w:spacing w:line="240" w:lineRule="auto"/>
        <w:rPr>
          <w:rFonts w:eastAsia="MS Mincho"/>
        </w:rPr>
      </w:pPr>
    </w:p>
    <w:p w14:paraId="607BC94E" w14:textId="77777777" w:rsidR="00EA5993" w:rsidRPr="009B1A37" w:rsidRDefault="001B24B9" w:rsidP="00BE3D48">
      <w:pPr>
        <w:keepNext/>
        <w:keepLines/>
        <w:widowControl w:val="0"/>
        <w:tabs>
          <w:tab w:val="clear" w:pos="567"/>
          <w:tab w:val="left" w:pos="1134"/>
        </w:tabs>
        <w:spacing w:line="240" w:lineRule="auto"/>
        <w:ind w:left="1134" w:hanging="1134"/>
        <w:outlineLvl w:val="6"/>
        <w:rPr>
          <w:rFonts w:eastAsia="MS Mincho"/>
          <w:b/>
        </w:rPr>
      </w:pPr>
      <w:r w:rsidRPr="009B1A37">
        <w:rPr>
          <w:rFonts w:eastAsia="MS Mincho"/>
          <w:noProof/>
          <w:lang w:val="en-GB" w:eastAsia="en-GB"/>
        </w:rPr>
        <mc:AlternateContent>
          <mc:Choice Requires="wps">
            <w:drawing>
              <wp:anchor distT="0" distB="0" distL="114300" distR="114300" simplePos="0" relativeHeight="251658240" behindDoc="0" locked="0" layoutInCell="1" allowOverlap="1" wp14:anchorId="0CC6B549" wp14:editId="3E25751B">
                <wp:simplePos x="0" y="0"/>
                <wp:positionH relativeFrom="column">
                  <wp:posOffset>-282575</wp:posOffset>
                </wp:positionH>
                <wp:positionV relativeFrom="paragraph">
                  <wp:posOffset>107315</wp:posOffset>
                </wp:positionV>
                <wp:extent cx="335915" cy="29464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946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3AFAAC" w14:textId="77777777" w:rsidR="00897AA8" w:rsidRPr="00A33DBA" w:rsidRDefault="00897AA8" w:rsidP="00EA5993">
                            <w:pPr>
                              <w:rPr>
                                <w:rFonts w:ascii="Arial" w:hAnsi="Arial" w:cs="Arial"/>
                                <w:sz w:val="20"/>
                                <w:szCs w:val="20"/>
                              </w:rPr>
                            </w:pPr>
                            <w:r>
                              <w:rPr>
                                <w:rFonts w:ascii="Arial" w:hAnsi="Arial" w:cs="Arial"/>
                                <w:sz w:val="20"/>
                                <w:szCs w:val="20"/>
                              </w:rPr>
                              <w:t>Pravděpodobnost přežití bez návratu onemocnění</w:t>
                            </w:r>
                          </w:p>
                          <w:p w14:paraId="52AF7B2A" w14:textId="77777777" w:rsidR="00897AA8" w:rsidRPr="00A33DBA" w:rsidRDefault="00897AA8" w:rsidP="00EA5993">
                            <w:pPr>
                              <w:rPr>
                                <w:rFonts w:ascii="Arial" w:hAnsi="Arial" w:cs="Arial"/>
                                <w:sz w:val="20"/>
                                <w:szCs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C6B549" id="_x0000_s1032" type="#_x0000_t202" style="position:absolute;left:0;text-align:left;margin-left:-22.25pt;margin-top:8.45pt;width:26.45pt;height:2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" stroked="f">
                <v:fill opacity="0"/>
                <v:textbox style="layout-flow:vertical;mso-layout-flow-alt:bottom-to-top">
                  <w:txbxContent>
                    <w:p w14:paraId="553AFAAC" w14:textId="77777777" w:rsidR="00897AA8" w:rsidRPr="00A33DBA" w:rsidRDefault="00897AA8" w:rsidP="00EA5993">
                      <w:pPr>
                        <w:rPr>
                          <w:rFonts w:ascii="Arial" w:hAnsi="Arial" w:cs="Arial"/>
                          <w:sz w:val="20"/>
                          <w:szCs w:val="20"/>
                        </w:rPr>
                      </w:pPr>
                      <w:r>
                        <w:rPr>
                          <w:rFonts w:ascii="Arial" w:hAnsi="Arial" w:cs="Arial"/>
                          <w:sz w:val="20"/>
                          <w:szCs w:val="20"/>
                        </w:rPr>
                        <w:t>Pravděpodobnost přežití bez návratu onemocnění</w:t>
                      </w:r>
                    </w:p>
                    <w:p w14:paraId="52AF7B2A" w14:textId="77777777" w:rsidR="00897AA8" w:rsidRPr="00A33DBA" w:rsidRDefault="00897AA8" w:rsidP="00EA5993">
                      <w:pPr>
                        <w:rPr>
                          <w:rFonts w:ascii="Arial" w:hAnsi="Arial" w:cs="Arial"/>
                          <w:sz w:val="20"/>
                          <w:szCs w:val="20"/>
                        </w:rPr>
                      </w:pPr>
                    </w:p>
                  </w:txbxContent>
                </v:textbox>
              </v:shape>
            </w:pict>
          </mc:Fallback>
        </mc:AlternateContent>
      </w:r>
      <w:r w:rsidR="00EA5993" w:rsidRPr="009B1A37">
        <w:rPr>
          <w:rFonts w:eastAsia="MS Mincho"/>
          <w:b/>
        </w:rPr>
        <w:t>Obrázek 1</w:t>
      </w:r>
      <w:r w:rsidR="00EA5993" w:rsidRPr="009B1A37">
        <w:rPr>
          <w:rFonts w:eastAsia="MS Mincho"/>
          <w:b/>
        </w:rPr>
        <w:tab/>
        <w:t>Odhad primárního přežití bez návratu onemocnění podle Kaplan-Meiera (ITT populace)</w:t>
      </w:r>
    </w:p>
    <w:p w14:paraId="07E69566" w14:textId="77777777" w:rsidR="00EA5993" w:rsidRPr="009B1A37" w:rsidRDefault="00EA5993" w:rsidP="00BE3D48">
      <w:pPr>
        <w:keepNext/>
        <w:keepLines/>
        <w:widowControl w:val="0"/>
        <w:tabs>
          <w:tab w:val="clear" w:pos="567"/>
        </w:tabs>
        <w:spacing w:line="240" w:lineRule="auto"/>
        <w:rPr>
          <w:rFonts w:eastAsia="MS Mincho"/>
        </w:rPr>
      </w:pPr>
    </w:p>
    <w:p w14:paraId="33FE1849" w14:textId="77777777" w:rsidR="00EA5993" w:rsidRPr="009B1A37" w:rsidRDefault="001B24B9" w:rsidP="00BE3D48">
      <w:pPr>
        <w:keepNext/>
        <w:keepLines/>
        <w:widowControl w:val="0"/>
        <w:tabs>
          <w:tab w:val="clear" w:pos="567"/>
        </w:tabs>
        <w:spacing w:line="240" w:lineRule="auto"/>
        <w:rPr>
          <w:rFonts w:eastAsia="MS Mincho"/>
        </w:rPr>
      </w:pPr>
      <w:r w:rsidRPr="009B1A37">
        <w:rPr>
          <w:rFonts w:eastAsia="MS Mincho"/>
          <w:noProof/>
          <w:lang w:val="en-GB" w:eastAsia="en-GB"/>
        </w:rPr>
        <mc:AlternateContent>
          <mc:Choice Requires="wps">
            <w:drawing>
              <wp:anchor distT="0" distB="0" distL="114300" distR="114300" simplePos="0" relativeHeight="251659264" behindDoc="0" locked="0" layoutInCell="1" allowOverlap="1" wp14:anchorId="3E0A6081" wp14:editId="2F250A95">
                <wp:simplePos x="0" y="0"/>
                <wp:positionH relativeFrom="column">
                  <wp:posOffset>342265</wp:posOffset>
                </wp:positionH>
                <wp:positionV relativeFrom="paragraph">
                  <wp:posOffset>1178560</wp:posOffset>
                </wp:positionV>
                <wp:extent cx="4585335" cy="126682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26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851"/>
                              <w:gridCol w:w="709"/>
                              <w:gridCol w:w="850"/>
                            </w:tblGrid>
                            <w:tr w:rsidR="00897AA8" w:rsidRPr="0055776F" w14:paraId="684A96CD" w14:textId="77777777">
                              <w:trPr>
                                <w:gridAfter w:val="3"/>
                                <w:wAfter w:w="2410" w:type="dxa"/>
                              </w:trPr>
                              <w:tc>
                                <w:tcPr>
                                  <w:tcW w:w="3281" w:type="dxa"/>
                                  <w:gridSpan w:val="2"/>
                                  <w:shd w:val="clear" w:color="auto" w:fill="auto"/>
                                </w:tcPr>
                                <w:p w14:paraId="085E6625" w14:textId="77777777" w:rsidR="00897AA8" w:rsidRPr="0055776F" w:rsidRDefault="00897AA8" w:rsidP="00D2009B">
                                  <w:pPr>
                                    <w:rPr>
                                      <w:rFonts w:ascii="Arial" w:hAnsi="Arial" w:cs="Arial"/>
                                      <w:sz w:val="20"/>
                                    </w:rPr>
                                  </w:pPr>
                                  <w:r>
                                    <w:rPr>
                                      <w:rFonts w:ascii="Arial" w:hAnsi="Arial" w:cs="Arial"/>
                                      <w:sz w:val="20"/>
                                    </w:rPr>
                                    <w:t>P &lt; 0,0001</w:t>
                                  </w:r>
                                </w:p>
                                <w:p w14:paraId="28814726" w14:textId="77777777" w:rsidR="00897AA8" w:rsidRPr="0055776F" w:rsidRDefault="00897AA8" w:rsidP="00D2009B">
                                  <w:pPr>
                                    <w:rPr>
                                      <w:rFonts w:ascii="Arial" w:hAnsi="Arial" w:cs="Arial"/>
                                      <w:sz w:val="20"/>
                                    </w:rPr>
                                  </w:pPr>
                                  <w:r>
                                    <w:rPr>
                                      <w:rFonts w:ascii="Arial" w:hAnsi="Arial" w:cs="Arial"/>
                                      <w:sz w:val="20"/>
                                      <w:szCs w:val="20"/>
                                    </w:rPr>
                                    <w:t>Poměr rizik</w:t>
                                  </w:r>
                                  <w:r>
                                    <w:rPr>
                                      <w:rFonts w:ascii="Arial" w:hAnsi="Arial" w:cs="Arial"/>
                                      <w:sz w:val="20"/>
                                    </w:rPr>
                                    <w:t xml:space="preserve"> 0,</w:t>
                                  </w:r>
                                  <w:r w:rsidRPr="0055776F">
                                    <w:rPr>
                                      <w:rFonts w:ascii="Arial" w:hAnsi="Arial" w:cs="Arial"/>
                                      <w:sz w:val="20"/>
                                    </w:rPr>
                                    <w:t>4</w:t>
                                  </w:r>
                                  <w:r>
                                    <w:rPr>
                                      <w:rFonts w:ascii="Arial" w:hAnsi="Arial" w:cs="Arial"/>
                                      <w:sz w:val="20"/>
                                    </w:rPr>
                                    <w:t>6</w:t>
                                  </w:r>
                                </w:p>
                                <w:p w14:paraId="02934F01" w14:textId="77777777" w:rsidR="00897AA8" w:rsidRPr="0055776F" w:rsidRDefault="00897AA8" w:rsidP="00D2009B">
                                  <w:pPr>
                                    <w:rPr>
                                      <w:rFonts w:ascii="Arial" w:hAnsi="Arial" w:cs="Arial"/>
                                      <w:sz w:val="20"/>
                                      <w:lang w:val="de-DE"/>
                                    </w:rPr>
                                  </w:pPr>
                                  <w:r>
                                    <w:rPr>
                                      <w:rFonts w:ascii="Arial" w:hAnsi="Arial" w:cs="Arial"/>
                                      <w:sz w:val="20"/>
                                    </w:rPr>
                                    <w:t>(95% Cl,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897AA8" w:rsidRPr="0055776F" w14:paraId="51E69F91" w14:textId="77777777">
                              <w:tc>
                                <w:tcPr>
                                  <w:tcW w:w="817" w:type="dxa"/>
                                  <w:shd w:val="clear" w:color="auto" w:fill="auto"/>
                                </w:tcPr>
                                <w:p w14:paraId="10883495" w14:textId="77777777" w:rsidR="00897AA8" w:rsidRPr="0055776F" w:rsidRDefault="00897AA8" w:rsidP="007B7F7F">
                                  <w:pPr>
                                    <w:rPr>
                                      <w:rFonts w:ascii="Arial" w:hAnsi="Arial" w:cs="Arial"/>
                                      <w:sz w:val="20"/>
                                      <w:szCs w:val="20"/>
                                    </w:rPr>
                                  </w:pPr>
                                </w:p>
                              </w:tc>
                              <w:tc>
                                <w:tcPr>
                                  <w:tcW w:w="2464" w:type="dxa"/>
                                  <w:shd w:val="clear" w:color="auto" w:fill="auto"/>
                                </w:tcPr>
                                <w:p w14:paraId="5455F725" w14:textId="77777777" w:rsidR="00897AA8" w:rsidRPr="0055776F" w:rsidRDefault="00897AA8" w:rsidP="007B7F7F">
                                  <w:pPr>
                                    <w:rPr>
                                      <w:rFonts w:ascii="Arial" w:hAnsi="Arial" w:cs="Arial"/>
                                      <w:sz w:val="20"/>
                                      <w:szCs w:val="20"/>
                                    </w:rPr>
                                  </w:pPr>
                                </w:p>
                              </w:tc>
                              <w:tc>
                                <w:tcPr>
                                  <w:tcW w:w="851" w:type="dxa"/>
                                  <w:tcBorders>
                                    <w:bottom w:val="single" w:sz="4" w:space="0" w:color="auto"/>
                                  </w:tcBorders>
                                  <w:shd w:val="clear" w:color="auto" w:fill="auto"/>
                                </w:tcPr>
                                <w:p w14:paraId="00F71712" w14:textId="77777777" w:rsidR="00897AA8" w:rsidRPr="00112FBD" w:rsidRDefault="00897AA8" w:rsidP="007B7F7F">
                                  <w:pPr>
                                    <w:rPr>
                                      <w:rFonts w:ascii="Arial" w:hAnsi="Arial" w:cs="Arial"/>
                                      <w:sz w:val="20"/>
                                      <w:szCs w:val="20"/>
                                    </w:rPr>
                                  </w:pPr>
                                  <w:r>
                                    <w:rPr>
                                      <w:rFonts w:ascii="Arial" w:hAnsi="Arial" w:cs="Arial"/>
                                      <w:sz w:val="20"/>
                                      <w:szCs w:val="20"/>
                                      <w:lang w:val="de-DE"/>
                                    </w:rPr>
                                    <w:t>n</w:t>
                                  </w:r>
                                </w:p>
                              </w:tc>
                              <w:tc>
                                <w:tcPr>
                                  <w:tcW w:w="709" w:type="dxa"/>
                                  <w:tcBorders>
                                    <w:bottom w:val="single" w:sz="4" w:space="0" w:color="auto"/>
                                  </w:tcBorders>
                                  <w:shd w:val="clear" w:color="auto" w:fill="auto"/>
                                </w:tcPr>
                                <w:p w14:paraId="223CABBD" w14:textId="77777777" w:rsidR="00897AA8" w:rsidRPr="00112FBD" w:rsidRDefault="00897AA8" w:rsidP="007B7F7F">
                                  <w:pPr>
                                    <w:rPr>
                                      <w:rFonts w:ascii="Arial" w:hAnsi="Arial" w:cs="Arial"/>
                                      <w:sz w:val="20"/>
                                      <w:szCs w:val="20"/>
                                    </w:rPr>
                                  </w:pPr>
                                  <w:r w:rsidRPr="00112FBD">
                                    <w:rPr>
                                      <w:rFonts w:ascii="Arial" w:hAnsi="Arial" w:cs="Arial"/>
                                      <w:sz w:val="20"/>
                                      <w:szCs w:val="20"/>
                                      <w:lang w:val="it-IT"/>
                                    </w:rPr>
                                    <w:t>Udál.</w:t>
                                  </w:r>
                                </w:p>
                              </w:tc>
                              <w:tc>
                                <w:tcPr>
                                  <w:tcW w:w="850" w:type="dxa"/>
                                  <w:tcBorders>
                                    <w:bottom w:val="single" w:sz="4" w:space="0" w:color="auto"/>
                                  </w:tcBorders>
                                  <w:shd w:val="clear" w:color="auto" w:fill="auto"/>
                                </w:tcPr>
                                <w:p w14:paraId="0C952CDC" w14:textId="77777777" w:rsidR="00897AA8" w:rsidRPr="00112FBD" w:rsidRDefault="00897AA8" w:rsidP="007B7F7F">
                                  <w:pPr>
                                    <w:rPr>
                                      <w:rFonts w:ascii="Arial" w:hAnsi="Arial" w:cs="Arial"/>
                                      <w:sz w:val="20"/>
                                      <w:szCs w:val="20"/>
                                    </w:rPr>
                                  </w:pPr>
                                  <w:r w:rsidRPr="00112FBD">
                                    <w:rPr>
                                      <w:rFonts w:ascii="Arial" w:hAnsi="Arial" w:cs="Arial"/>
                                      <w:sz w:val="20"/>
                                      <w:szCs w:val="20"/>
                                      <w:lang w:val="it-IT"/>
                                    </w:rPr>
                                    <w:t>Cen.</w:t>
                                  </w:r>
                                </w:p>
                              </w:tc>
                            </w:tr>
                            <w:tr w:rsidR="00897AA8" w:rsidRPr="0055776F" w14:paraId="12116562" w14:textId="77777777">
                              <w:tc>
                                <w:tcPr>
                                  <w:tcW w:w="817" w:type="dxa"/>
                                  <w:shd w:val="clear" w:color="auto" w:fill="auto"/>
                                </w:tcPr>
                                <w:p w14:paraId="1784633E" w14:textId="77777777" w:rsidR="00897AA8" w:rsidRPr="0055776F" w:rsidRDefault="00897AA8" w:rsidP="007B7F7F">
                                  <w:pPr>
                                    <w:rPr>
                                      <w:rFonts w:ascii="Arial" w:hAnsi="Arial" w:cs="Arial"/>
                                      <w:sz w:val="20"/>
                                      <w:szCs w:val="20"/>
                                    </w:rPr>
                                  </w:pPr>
                                  <w:r w:rsidRPr="0055776F">
                                    <w:rPr>
                                      <w:rFonts w:ascii="Arial" w:hAnsi="Arial" w:cs="Arial"/>
                                      <w:b/>
                                      <w:sz w:val="20"/>
                                      <w:szCs w:val="20"/>
                                    </w:rPr>
                                    <w:t>——</w:t>
                                  </w:r>
                                </w:p>
                              </w:tc>
                              <w:tc>
                                <w:tcPr>
                                  <w:tcW w:w="2464" w:type="dxa"/>
                                  <w:shd w:val="clear" w:color="auto" w:fill="auto"/>
                                </w:tcPr>
                                <w:p w14:paraId="4CE01059" w14:textId="77777777" w:rsidR="00897AA8" w:rsidRPr="0055776F" w:rsidRDefault="00897AA8" w:rsidP="000E5517">
                                  <w:pPr>
                                    <w:rPr>
                                      <w:rFonts w:ascii="Arial" w:hAnsi="Arial" w:cs="Arial"/>
                                      <w:sz w:val="20"/>
                                      <w:szCs w:val="20"/>
                                    </w:rPr>
                                  </w:pPr>
                                  <w:r>
                                    <w:rPr>
                                      <w:rFonts w:ascii="Arial" w:hAnsi="Arial" w:cs="Arial"/>
                                      <w:sz w:val="20"/>
                                      <w:szCs w:val="20"/>
                                    </w:rPr>
                                    <w:t>(1) Imatinib 12 měsíců</w:t>
                                  </w:r>
                                  <w:r w:rsidRPr="00A33DBA">
                                    <w:rPr>
                                      <w:rFonts w:ascii="Arial" w:hAnsi="Arial" w:cs="Arial"/>
                                      <w:sz w:val="20"/>
                                      <w:szCs w:val="20"/>
                                    </w:rPr>
                                    <w:t>:</w:t>
                                  </w:r>
                                </w:p>
                              </w:tc>
                              <w:tc>
                                <w:tcPr>
                                  <w:tcW w:w="851" w:type="dxa"/>
                                  <w:tcBorders>
                                    <w:top w:val="single" w:sz="4" w:space="0" w:color="auto"/>
                                  </w:tcBorders>
                                  <w:shd w:val="clear" w:color="auto" w:fill="auto"/>
                                </w:tcPr>
                                <w:p w14:paraId="4AE00378" w14:textId="77777777" w:rsidR="00897AA8" w:rsidRPr="0055776F" w:rsidRDefault="00897AA8" w:rsidP="007B7F7F">
                                  <w:pPr>
                                    <w:rPr>
                                      <w:rFonts w:ascii="Arial" w:hAnsi="Arial" w:cs="Arial"/>
                                      <w:sz w:val="20"/>
                                      <w:szCs w:val="20"/>
                                    </w:rPr>
                                  </w:pPr>
                                  <w:r w:rsidRPr="0055776F">
                                    <w:rPr>
                                      <w:rFonts w:ascii="Arial" w:hAnsi="Arial" w:cs="Arial"/>
                                      <w:sz w:val="20"/>
                                      <w:szCs w:val="20"/>
                                    </w:rPr>
                                    <w:t>199</w:t>
                                  </w:r>
                                </w:p>
                              </w:tc>
                              <w:tc>
                                <w:tcPr>
                                  <w:tcW w:w="709" w:type="dxa"/>
                                  <w:tcBorders>
                                    <w:top w:val="single" w:sz="4" w:space="0" w:color="auto"/>
                                  </w:tcBorders>
                                  <w:shd w:val="clear" w:color="auto" w:fill="auto"/>
                                </w:tcPr>
                                <w:p w14:paraId="0EF1E3F8" w14:textId="77777777" w:rsidR="00897AA8" w:rsidRPr="0055776F" w:rsidRDefault="00897AA8" w:rsidP="007B7F7F">
                                  <w:pPr>
                                    <w:rPr>
                                      <w:rFonts w:ascii="Arial" w:hAnsi="Arial" w:cs="Arial"/>
                                      <w:sz w:val="20"/>
                                      <w:szCs w:val="20"/>
                                    </w:rPr>
                                  </w:pPr>
                                  <w:r w:rsidRPr="0055776F">
                                    <w:rPr>
                                      <w:rFonts w:ascii="Arial" w:hAnsi="Arial" w:cs="Arial"/>
                                      <w:sz w:val="20"/>
                                      <w:szCs w:val="20"/>
                                    </w:rPr>
                                    <w:t>84</w:t>
                                  </w:r>
                                </w:p>
                              </w:tc>
                              <w:tc>
                                <w:tcPr>
                                  <w:tcW w:w="850" w:type="dxa"/>
                                  <w:tcBorders>
                                    <w:top w:val="single" w:sz="4" w:space="0" w:color="auto"/>
                                  </w:tcBorders>
                                  <w:shd w:val="clear" w:color="auto" w:fill="auto"/>
                                </w:tcPr>
                                <w:p w14:paraId="70C35E9B" w14:textId="77777777" w:rsidR="00897AA8" w:rsidRPr="0055776F" w:rsidRDefault="00897AA8" w:rsidP="007B7F7F">
                                  <w:pPr>
                                    <w:rPr>
                                      <w:rFonts w:ascii="Arial" w:hAnsi="Arial" w:cs="Arial"/>
                                      <w:sz w:val="20"/>
                                      <w:szCs w:val="20"/>
                                    </w:rPr>
                                  </w:pPr>
                                  <w:r w:rsidRPr="0055776F">
                                    <w:rPr>
                                      <w:rFonts w:ascii="Arial" w:hAnsi="Arial" w:cs="Arial"/>
                                      <w:sz w:val="20"/>
                                      <w:szCs w:val="20"/>
                                    </w:rPr>
                                    <w:t>115</w:t>
                                  </w:r>
                                </w:p>
                              </w:tc>
                            </w:tr>
                            <w:tr w:rsidR="00897AA8" w:rsidRPr="0055776F" w14:paraId="5643AF14" w14:textId="77777777">
                              <w:tc>
                                <w:tcPr>
                                  <w:tcW w:w="817" w:type="dxa"/>
                                  <w:shd w:val="clear" w:color="auto" w:fill="auto"/>
                                </w:tcPr>
                                <w:p w14:paraId="406B2ADB" w14:textId="77777777" w:rsidR="00897AA8" w:rsidRPr="0055776F" w:rsidRDefault="00897AA8" w:rsidP="007B7F7F">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6A57ED9F" w14:textId="77777777" w:rsidR="00897AA8" w:rsidRPr="0055776F" w:rsidRDefault="00897AA8" w:rsidP="000E5517">
                                  <w:pPr>
                                    <w:rPr>
                                      <w:rFonts w:ascii="Arial" w:hAnsi="Arial" w:cs="Arial"/>
                                      <w:sz w:val="20"/>
                                      <w:szCs w:val="20"/>
                                    </w:rPr>
                                  </w:pPr>
                                  <w:r>
                                    <w:rPr>
                                      <w:rFonts w:ascii="Arial" w:hAnsi="Arial" w:cs="Arial"/>
                                      <w:sz w:val="20"/>
                                      <w:szCs w:val="20"/>
                                    </w:rPr>
                                    <w:t>(2) Imatinib 36 měsíců</w:t>
                                  </w:r>
                                  <w:r w:rsidRPr="00A33DBA">
                                    <w:rPr>
                                      <w:rFonts w:ascii="Arial" w:hAnsi="Arial" w:cs="Arial"/>
                                      <w:sz w:val="20"/>
                                      <w:szCs w:val="20"/>
                                    </w:rPr>
                                    <w:t>:</w:t>
                                  </w:r>
                                </w:p>
                              </w:tc>
                              <w:tc>
                                <w:tcPr>
                                  <w:tcW w:w="851" w:type="dxa"/>
                                  <w:tcBorders>
                                    <w:bottom w:val="single" w:sz="4" w:space="0" w:color="auto"/>
                                  </w:tcBorders>
                                  <w:shd w:val="clear" w:color="auto" w:fill="auto"/>
                                </w:tcPr>
                                <w:p w14:paraId="4A43D357" w14:textId="77777777" w:rsidR="00897AA8" w:rsidRPr="0055776F" w:rsidRDefault="00897AA8" w:rsidP="007B7F7F">
                                  <w:pPr>
                                    <w:rPr>
                                      <w:rFonts w:ascii="Arial" w:hAnsi="Arial" w:cs="Arial"/>
                                      <w:sz w:val="20"/>
                                      <w:szCs w:val="20"/>
                                    </w:rPr>
                                  </w:pPr>
                                  <w:r w:rsidRPr="0055776F">
                                    <w:rPr>
                                      <w:rFonts w:ascii="Arial" w:hAnsi="Arial" w:cs="Arial"/>
                                      <w:sz w:val="20"/>
                                      <w:szCs w:val="20"/>
                                    </w:rPr>
                                    <w:t>198</w:t>
                                  </w:r>
                                </w:p>
                              </w:tc>
                              <w:tc>
                                <w:tcPr>
                                  <w:tcW w:w="709" w:type="dxa"/>
                                  <w:tcBorders>
                                    <w:bottom w:val="single" w:sz="4" w:space="0" w:color="auto"/>
                                  </w:tcBorders>
                                  <w:shd w:val="clear" w:color="auto" w:fill="auto"/>
                                </w:tcPr>
                                <w:p w14:paraId="270F7DA2" w14:textId="77777777" w:rsidR="00897AA8" w:rsidRPr="0055776F" w:rsidRDefault="00897AA8" w:rsidP="007B7F7F">
                                  <w:pPr>
                                    <w:rPr>
                                      <w:rFonts w:ascii="Arial" w:hAnsi="Arial" w:cs="Arial"/>
                                      <w:sz w:val="20"/>
                                      <w:szCs w:val="20"/>
                                    </w:rPr>
                                  </w:pPr>
                                  <w:r w:rsidRPr="0055776F">
                                    <w:rPr>
                                      <w:rFonts w:ascii="Arial" w:hAnsi="Arial" w:cs="Arial"/>
                                      <w:sz w:val="20"/>
                                      <w:szCs w:val="20"/>
                                    </w:rPr>
                                    <w:t>50</w:t>
                                  </w:r>
                                </w:p>
                              </w:tc>
                              <w:tc>
                                <w:tcPr>
                                  <w:tcW w:w="850" w:type="dxa"/>
                                  <w:tcBorders>
                                    <w:bottom w:val="single" w:sz="4" w:space="0" w:color="auto"/>
                                  </w:tcBorders>
                                  <w:shd w:val="clear" w:color="auto" w:fill="auto"/>
                                </w:tcPr>
                                <w:p w14:paraId="18537F34" w14:textId="77777777" w:rsidR="00897AA8" w:rsidRPr="0055776F" w:rsidRDefault="00897AA8" w:rsidP="007B7F7F">
                                  <w:pPr>
                                    <w:rPr>
                                      <w:rFonts w:ascii="Arial" w:hAnsi="Arial" w:cs="Arial"/>
                                      <w:sz w:val="20"/>
                                      <w:szCs w:val="20"/>
                                    </w:rPr>
                                  </w:pPr>
                                  <w:r w:rsidRPr="0055776F">
                                    <w:rPr>
                                      <w:rFonts w:ascii="Arial" w:hAnsi="Arial" w:cs="Arial"/>
                                      <w:sz w:val="20"/>
                                      <w:szCs w:val="20"/>
                                    </w:rPr>
                                    <w:t>148</w:t>
                                  </w:r>
                                </w:p>
                              </w:tc>
                            </w:tr>
                            <w:tr w:rsidR="00897AA8" w:rsidRPr="0055776F" w14:paraId="453586B1" w14:textId="77777777">
                              <w:tc>
                                <w:tcPr>
                                  <w:tcW w:w="817" w:type="dxa"/>
                                  <w:shd w:val="clear" w:color="auto" w:fill="auto"/>
                                </w:tcPr>
                                <w:p w14:paraId="7DA06D26" w14:textId="77777777" w:rsidR="00897AA8" w:rsidRPr="0055776F" w:rsidRDefault="00897AA8" w:rsidP="007B7F7F">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0E8857AC" w14:textId="77777777" w:rsidR="00897AA8" w:rsidRPr="0055776F" w:rsidRDefault="00897AA8" w:rsidP="007B7F7F">
                                  <w:pPr>
                                    <w:rPr>
                                      <w:rFonts w:ascii="Arial" w:hAnsi="Arial" w:cs="Arial"/>
                                      <w:sz w:val="20"/>
                                      <w:szCs w:val="20"/>
                                    </w:rPr>
                                  </w:pPr>
                                  <w:r>
                                    <w:rPr>
                                      <w:rFonts w:ascii="Arial" w:hAnsi="Arial" w:cs="Arial"/>
                                      <w:sz w:val="20"/>
                                      <w:szCs w:val="20"/>
                                    </w:rPr>
                                    <w:t>Cenzorovaná pozorování</w:t>
                                  </w:r>
                                </w:p>
                              </w:tc>
                              <w:tc>
                                <w:tcPr>
                                  <w:tcW w:w="851" w:type="dxa"/>
                                  <w:tcBorders>
                                    <w:top w:val="single" w:sz="4" w:space="0" w:color="auto"/>
                                  </w:tcBorders>
                                  <w:shd w:val="clear" w:color="auto" w:fill="auto"/>
                                </w:tcPr>
                                <w:p w14:paraId="1F98278B" w14:textId="77777777" w:rsidR="00897AA8" w:rsidRPr="0055776F" w:rsidRDefault="00897AA8" w:rsidP="007B7F7F">
                                  <w:pPr>
                                    <w:rPr>
                                      <w:rFonts w:ascii="Arial" w:hAnsi="Arial" w:cs="Arial"/>
                                      <w:sz w:val="20"/>
                                      <w:szCs w:val="20"/>
                                    </w:rPr>
                                  </w:pPr>
                                </w:p>
                              </w:tc>
                              <w:tc>
                                <w:tcPr>
                                  <w:tcW w:w="709" w:type="dxa"/>
                                  <w:tcBorders>
                                    <w:top w:val="single" w:sz="4" w:space="0" w:color="auto"/>
                                  </w:tcBorders>
                                  <w:shd w:val="clear" w:color="auto" w:fill="auto"/>
                                </w:tcPr>
                                <w:p w14:paraId="2B31D2F8" w14:textId="77777777" w:rsidR="00897AA8" w:rsidRPr="0055776F" w:rsidRDefault="00897AA8" w:rsidP="007B7F7F">
                                  <w:pPr>
                                    <w:rPr>
                                      <w:rFonts w:ascii="Arial" w:hAnsi="Arial" w:cs="Arial"/>
                                      <w:sz w:val="20"/>
                                      <w:szCs w:val="20"/>
                                    </w:rPr>
                                  </w:pPr>
                                </w:p>
                              </w:tc>
                              <w:tc>
                                <w:tcPr>
                                  <w:tcW w:w="850" w:type="dxa"/>
                                  <w:tcBorders>
                                    <w:top w:val="single" w:sz="4" w:space="0" w:color="auto"/>
                                  </w:tcBorders>
                                  <w:shd w:val="clear" w:color="auto" w:fill="auto"/>
                                </w:tcPr>
                                <w:p w14:paraId="317734E8" w14:textId="77777777" w:rsidR="00897AA8" w:rsidRPr="0055776F" w:rsidRDefault="00897AA8" w:rsidP="007B7F7F">
                                  <w:pPr>
                                    <w:rPr>
                                      <w:rFonts w:ascii="Arial" w:hAnsi="Arial" w:cs="Arial"/>
                                      <w:sz w:val="20"/>
                                      <w:szCs w:val="20"/>
                                    </w:rPr>
                                  </w:pPr>
                                </w:p>
                              </w:tc>
                            </w:tr>
                          </w:tbl>
                          <w:p w14:paraId="317D090C" w14:textId="77777777" w:rsidR="00897AA8" w:rsidRPr="00A33DBA" w:rsidRDefault="00897AA8" w:rsidP="00EA5993">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0A6081" id="_x0000_s1033" type="#_x0000_t202" style="position:absolute;margin-left:26.95pt;margin-top:92.8pt;width:361.05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" filled="f" stroked="f">
                <v:textbox>
                  <w:txbxContent>
                    <w:tbl>
                      <w:tblPr>
                        <w:tblW w:w="0" w:type="auto"/>
                        <w:tblLook w:val="04A0" w:firstRow="1" w:lastRow="0" w:firstColumn="1" w:lastColumn="0" w:noHBand="0" w:noVBand="1"/>
                      </w:tblPr>
                      <w:tblGrid>
                        <w:gridCol w:w="817"/>
                        <w:gridCol w:w="2464"/>
                        <w:gridCol w:w="851"/>
                        <w:gridCol w:w="709"/>
                        <w:gridCol w:w="850"/>
                      </w:tblGrid>
                      <w:tr w:rsidR="00897AA8" w:rsidRPr="0055776F" w14:paraId="684A96CD" w14:textId="77777777">
                        <w:trPr>
                          <w:gridAfter w:val="3"/>
                          <w:wAfter w:w="2410" w:type="dxa"/>
                        </w:trPr>
                        <w:tc>
                          <w:tcPr>
                            <w:tcW w:w="3281" w:type="dxa"/>
                            <w:gridSpan w:val="2"/>
                            <w:shd w:val="clear" w:color="auto" w:fill="auto"/>
                          </w:tcPr>
                          <w:p w14:paraId="085E6625" w14:textId="77777777" w:rsidR="00897AA8" w:rsidRPr="0055776F" w:rsidRDefault="00897AA8" w:rsidP="00D2009B">
                            <w:pPr>
                              <w:rPr>
                                <w:rFonts w:ascii="Arial" w:hAnsi="Arial" w:cs="Arial"/>
                                <w:sz w:val="20"/>
                              </w:rPr>
                            </w:pPr>
                            <w:r>
                              <w:rPr>
                                <w:rFonts w:ascii="Arial" w:hAnsi="Arial" w:cs="Arial"/>
                                <w:sz w:val="20"/>
                              </w:rPr>
                              <w:t>P &lt; 0,0001</w:t>
                            </w:r>
                          </w:p>
                          <w:p w14:paraId="28814726" w14:textId="77777777" w:rsidR="00897AA8" w:rsidRPr="0055776F" w:rsidRDefault="00897AA8" w:rsidP="00D2009B">
                            <w:pPr>
                              <w:rPr>
                                <w:rFonts w:ascii="Arial" w:hAnsi="Arial" w:cs="Arial"/>
                                <w:sz w:val="20"/>
                              </w:rPr>
                            </w:pPr>
                            <w:r>
                              <w:rPr>
                                <w:rFonts w:ascii="Arial" w:hAnsi="Arial" w:cs="Arial"/>
                                <w:sz w:val="20"/>
                                <w:szCs w:val="20"/>
                              </w:rPr>
                              <w:t>Poměr rizik</w:t>
                            </w:r>
                            <w:r>
                              <w:rPr>
                                <w:rFonts w:ascii="Arial" w:hAnsi="Arial" w:cs="Arial"/>
                                <w:sz w:val="20"/>
                              </w:rPr>
                              <w:t xml:space="preserve"> 0,</w:t>
                            </w:r>
                            <w:r w:rsidRPr="0055776F">
                              <w:rPr>
                                <w:rFonts w:ascii="Arial" w:hAnsi="Arial" w:cs="Arial"/>
                                <w:sz w:val="20"/>
                              </w:rPr>
                              <w:t>4</w:t>
                            </w:r>
                            <w:r>
                              <w:rPr>
                                <w:rFonts w:ascii="Arial" w:hAnsi="Arial" w:cs="Arial"/>
                                <w:sz w:val="20"/>
                              </w:rPr>
                              <w:t>6</w:t>
                            </w:r>
                          </w:p>
                          <w:p w14:paraId="02934F01" w14:textId="77777777" w:rsidR="00897AA8" w:rsidRPr="0055776F" w:rsidRDefault="00897AA8" w:rsidP="00D2009B">
                            <w:pPr>
                              <w:rPr>
                                <w:rFonts w:ascii="Arial" w:hAnsi="Arial" w:cs="Arial"/>
                                <w:sz w:val="20"/>
                                <w:lang w:val="de-DE"/>
                              </w:rPr>
                            </w:pPr>
                            <w:r>
                              <w:rPr>
                                <w:rFonts w:ascii="Arial" w:hAnsi="Arial" w:cs="Arial"/>
                                <w:sz w:val="20"/>
                              </w:rPr>
                              <w:t>(95% Cl,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897AA8" w:rsidRPr="0055776F" w14:paraId="51E69F91" w14:textId="77777777">
                        <w:tc>
                          <w:tcPr>
                            <w:tcW w:w="817" w:type="dxa"/>
                            <w:shd w:val="clear" w:color="auto" w:fill="auto"/>
                          </w:tcPr>
                          <w:p w14:paraId="10883495" w14:textId="77777777" w:rsidR="00897AA8" w:rsidRPr="0055776F" w:rsidRDefault="00897AA8" w:rsidP="007B7F7F">
                            <w:pPr>
                              <w:rPr>
                                <w:rFonts w:ascii="Arial" w:hAnsi="Arial" w:cs="Arial"/>
                                <w:sz w:val="20"/>
                                <w:szCs w:val="20"/>
                              </w:rPr>
                            </w:pPr>
                          </w:p>
                        </w:tc>
                        <w:tc>
                          <w:tcPr>
                            <w:tcW w:w="2464" w:type="dxa"/>
                            <w:shd w:val="clear" w:color="auto" w:fill="auto"/>
                          </w:tcPr>
                          <w:p w14:paraId="5455F725" w14:textId="77777777" w:rsidR="00897AA8" w:rsidRPr="0055776F" w:rsidRDefault="00897AA8" w:rsidP="007B7F7F">
                            <w:pPr>
                              <w:rPr>
                                <w:rFonts w:ascii="Arial" w:hAnsi="Arial" w:cs="Arial"/>
                                <w:sz w:val="20"/>
                                <w:szCs w:val="20"/>
                              </w:rPr>
                            </w:pPr>
                          </w:p>
                        </w:tc>
                        <w:tc>
                          <w:tcPr>
                            <w:tcW w:w="851" w:type="dxa"/>
                            <w:tcBorders>
                              <w:bottom w:val="single" w:sz="4" w:space="0" w:color="auto"/>
                            </w:tcBorders>
                            <w:shd w:val="clear" w:color="auto" w:fill="auto"/>
                          </w:tcPr>
                          <w:p w14:paraId="00F71712" w14:textId="77777777" w:rsidR="00897AA8" w:rsidRPr="00112FBD" w:rsidRDefault="00897AA8" w:rsidP="007B7F7F">
                            <w:pPr>
                              <w:rPr>
                                <w:rFonts w:ascii="Arial" w:hAnsi="Arial" w:cs="Arial"/>
                                <w:sz w:val="20"/>
                                <w:szCs w:val="20"/>
                              </w:rPr>
                            </w:pPr>
                            <w:r>
                              <w:rPr>
                                <w:rFonts w:ascii="Arial" w:hAnsi="Arial" w:cs="Arial"/>
                                <w:sz w:val="20"/>
                                <w:szCs w:val="20"/>
                                <w:lang w:val="de-DE"/>
                              </w:rPr>
                              <w:t>n</w:t>
                            </w:r>
                          </w:p>
                        </w:tc>
                        <w:tc>
                          <w:tcPr>
                            <w:tcW w:w="709" w:type="dxa"/>
                            <w:tcBorders>
                              <w:bottom w:val="single" w:sz="4" w:space="0" w:color="auto"/>
                            </w:tcBorders>
                            <w:shd w:val="clear" w:color="auto" w:fill="auto"/>
                          </w:tcPr>
                          <w:p w14:paraId="223CABBD" w14:textId="77777777" w:rsidR="00897AA8" w:rsidRPr="00112FBD" w:rsidRDefault="00897AA8" w:rsidP="007B7F7F">
                            <w:pPr>
                              <w:rPr>
                                <w:rFonts w:ascii="Arial" w:hAnsi="Arial" w:cs="Arial"/>
                                <w:sz w:val="20"/>
                                <w:szCs w:val="20"/>
                              </w:rPr>
                            </w:pPr>
                            <w:r w:rsidRPr="00112FBD">
                              <w:rPr>
                                <w:rFonts w:ascii="Arial" w:hAnsi="Arial" w:cs="Arial"/>
                                <w:sz w:val="20"/>
                                <w:szCs w:val="20"/>
                                <w:lang w:val="it-IT"/>
                              </w:rPr>
                              <w:t>Udál.</w:t>
                            </w:r>
                          </w:p>
                        </w:tc>
                        <w:tc>
                          <w:tcPr>
                            <w:tcW w:w="850" w:type="dxa"/>
                            <w:tcBorders>
                              <w:bottom w:val="single" w:sz="4" w:space="0" w:color="auto"/>
                            </w:tcBorders>
                            <w:shd w:val="clear" w:color="auto" w:fill="auto"/>
                          </w:tcPr>
                          <w:p w14:paraId="0C952CDC" w14:textId="77777777" w:rsidR="00897AA8" w:rsidRPr="00112FBD" w:rsidRDefault="00897AA8" w:rsidP="007B7F7F">
                            <w:pPr>
                              <w:rPr>
                                <w:rFonts w:ascii="Arial" w:hAnsi="Arial" w:cs="Arial"/>
                                <w:sz w:val="20"/>
                                <w:szCs w:val="20"/>
                              </w:rPr>
                            </w:pPr>
                            <w:r w:rsidRPr="00112FBD">
                              <w:rPr>
                                <w:rFonts w:ascii="Arial" w:hAnsi="Arial" w:cs="Arial"/>
                                <w:sz w:val="20"/>
                                <w:szCs w:val="20"/>
                                <w:lang w:val="it-IT"/>
                              </w:rPr>
                              <w:t>Cen.</w:t>
                            </w:r>
                          </w:p>
                        </w:tc>
                      </w:tr>
                      <w:tr w:rsidR="00897AA8" w:rsidRPr="0055776F" w14:paraId="12116562" w14:textId="77777777">
                        <w:tc>
                          <w:tcPr>
                            <w:tcW w:w="817" w:type="dxa"/>
                            <w:shd w:val="clear" w:color="auto" w:fill="auto"/>
                          </w:tcPr>
                          <w:p w14:paraId="1784633E" w14:textId="77777777" w:rsidR="00897AA8" w:rsidRPr="0055776F" w:rsidRDefault="00897AA8" w:rsidP="007B7F7F">
                            <w:pPr>
                              <w:rPr>
                                <w:rFonts w:ascii="Arial" w:hAnsi="Arial" w:cs="Arial"/>
                                <w:sz w:val="20"/>
                                <w:szCs w:val="20"/>
                              </w:rPr>
                            </w:pPr>
                            <w:r w:rsidRPr="0055776F">
                              <w:rPr>
                                <w:rFonts w:ascii="Arial" w:hAnsi="Arial" w:cs="Arial"/>
                                <w:b/>
                                <w:sz w:val="20"/>
                                <w:szCs w:val="20"/>
                              </w:rPr>
                              <w:t>——</w:t>
                            </w:r>
                          </w:p>
                        </w:tc>
                        <w:tc>
                          <w:tcPr>
                            <w:tcW w:w="2464" w:type="dxa"/>
                            <w:shd w:val="clear" w:color="auto" w:fill="auto"/>
                          </w:tcPr>
                          <w:p w14:paraId="4CE01059" w14:textId="77777777" w:rsidR="00897AA8" w:rsidRPr="0055776F" w:rsidRDefault="00897AA8" w:rsidP="000E5517">
                            <w:pPr>
                              <w:rPr>
                                <w:rFonts w:ascii="Arial" w:hAnsi="Arial" w:cs="Arial"/>
                                <w:sz w:val="20"/>
                                <w:szCs w:val="20"/>
                              </w:rPr>
                            </w:pPr>
                            <w:r>
                              <w:rPr>
                                <w:rFonts w:ascii="Arial" w:hAnsi="Arial" w:cs="Arial"/>
                                <w:sz w:val="20"/>
                                <w:szCs w:val="20"/>
                              </w:rPr>
                              <w:t>(1) Imatinib 12 měsíců</w:t>
                            </w:r>
                            <w:r w:rsidRPr="00A33DBA">
                              <w:rPr>
                                <w:rFonts w:ascii="Arial" w:hAnsi="Arial" w:cs="Arial"/>
                                <w:sz w:val="20"/>
                                <w:szCs w:val="20"/>
                              </w:rPr>
                              <w:t>:</w:t>
                            </w:r>
                          </w:p>
                        </w:tc>
                        <w:tc>
                          <w:tcPr>
                            <w:tcW w:w="851" w:type="dxa"/>
                            <w:tcBorders>
                              <w:top w:val="single" w:sz="4" w:space="0" w:color="auto"/>
                            </w:tcBorders>
                            <w:shd w:val="clear" w:color="auto" w:fill="auto"/>
                          </w:tcPr>
                          <w:p w14:paraId="4AE00378" w14:textId="77777777" w:rsidR="00897AA8" w:rsidRPr="0055776F" w:rsidRDefault="00897AA8" w:rsidP="007B7F7F">
                            <w:pPr>
                              <w:rPr>
                                <w:rFonts w:ascii="Arial" w:hAnsi="Arial" w:cs="Arial"/>
                                <w:sz w:val="20"/>
                                <w:szCs w:val="20"/>
                              </w:rPr>
                            </w:pPr>
                            <w:r w:rsidRPr="0055776F">
                              <w:rPr>
                                <w:rFonts w:ascii="Arial" w:hAnsi="Arial" w:cs="Arial"/>
                                <w:sz w:val="20"/>
                                <w:szCs w:val="20"/>
                              </w:rPr>
                              <w:t>199</w:t>
                            </w:r>
                          </w:p>
                        </w:tc>
                        <w:tc>
                          <w:tcPr>
                            <w:tcW w:w="709" w:type="dxa"/>
                            <w:tcBorders>
                              <w:top w:val="single" w:sz="4" w:space="0" w:color="auto"/>
                            </w:tcBorders>
                            <w:shd w:val="clear" w:color="auto" w:fill="auto"/>
                          </w:tcPr>
                          <w:p w14:paraId="0EF1E3F8" w14:textId="77777777" w:rsidR="00897AA8" w:rsidRPr="0055776F" w:rsidRDefault="00897AA8" w:rsidP="007B7F7F">
                            <w:pPr>
                              <w:rPr>
                                <w:rFonts w:ascii="Arial" w:hAnsi="Arial" w:cs="Arial"/>
                                <w:sz w:val="20"/>
                                <w:szCs w:val="20"/>
                              </w:rPr>
                            </w:pPr>
                            <w:r w:rsidRPr="0055776F">
                              <w:rPr>
                                <w:rFonts w:ascii="Arial" w:hAnsi="Arial" w:cs="Arial"/>
                                <w:sz w:val="20"/>
                                <w:szCs w:val="20"/>
                              </w:rPr>
                              <w:t>84</w:t>
                            </w:r>
                          </w:p>
                        </w:tc>
                        <w:tc>
                          <w:tcPr>
                            <w:tcW w:w="850" w:type="dxa"/>
                            <w:tcBorders>
                              <w:top w:val="single" w:sz="4" w:space="0" w:color="auto"/>
                            </w:tcBorders>
                            <w:shd w:val="clear" w:color="auto" w:fill="auto"/>
                          </w:tcPr>
                          <w:p w14:paraId="70C35E9B" w14:textId="77777777" w:rsidR="00897AA8" w:rsidRPr="0055776F" w:rsidRDefault="00897AA8" w:rsidP="007B7F7F">
                            <w:pPr>
                              <w:rPr>
                                <w:rFonts w:ascii="Arial" w:hAnsi="Arial" w:cs="Arial"/>
                                <w:sz w:val="20"/>
                                <w:szCs w:val="20"/>
                              </w:rPr>
                            </w:pPr>
                            <w:r w:rsidRPr="0055776F">
                              <w:rPr>
                                <w:rFonts w:ascii="Arial" w:hAnsi="Arial" w:cs="Arial"/>
                                <w:sz w:val="20"/>
                                <w:szCs w:val="20"/>
                              </w:rPr>
                              <w:t>115</w:t>
                            </w:r>
                          </w:p>
                        </w:tc>
                      </w:tr>
                      <w:tr w:rsidR="00897AA8" w:rsidRPr="0055776F" w14:paraId="5643AF14" w14:textId="77777777">
                        <w:tc>
                          <w:tcPr>
                            <w:tcW w:w="817" w:type="dxa"/>
                            <w:shd w:val="clear" w:color="auto" w:fill="auto"/>
                          </w:tcPr>
                          <w:p w14:paraId="406B2ADB" w14:textId="77777777" w:rsidR="00897AA8" w:rsidRPr="0055776F" w:rsidRDefault="00897AA8" w:rsidP="007B7F7F">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6A57ED9F" w14:textId="77777777" w:rsidR="00897AA8" w:rsidRPr="0055776F" w:rsidRDefault="00897AA8" w:rsidP="000E5517">
                            <w:pPr>
                              <w:rPr>
                                <w:rFonts w:ascii="Arial" w:hAnsi="Arial" w:cs="Arial"/>
                                <w:sz w:val="20"/>
                                <w:szCs w:val="20"/>
                              </w:rPr>
                            </w:pPr>
                            <w:r>
                              <w:rPr>
                                <w:rFonts w:ascii="Arial" w:hAnsi="Arial" w:cs="Arial"/>
                                <w:sz w:val="20"/>
                                <w:szCs w:val="20"/>
                              </w:rPr>
                              <w:t>(2) Imatinib 36 měsíců</w:t>
                            </w:r>
                            <w:r w:rsidRPr="00A33DBA">
                              <w:rPr>
                                <w:rFonts w:ascii="Arial" w:hAnsi="Arial" w:cs="Arial"/>
                                <w:sz w:val="20"/>
                                <w:szCs w:val="20"/>
                              </w:rPr>
                              <w:t>:</w:t>
                            </w:r>
                          </w:p>
                        </w:tc>
                        <w:tc>
                          <w:tcPr>
                            <w:tcW w:w="851" w:type="dxa"/>
                            <w:tcBorders>
                              <w:bottom w:val="single" w:sz="4" w:space="0" w:color="auto"/>
                            </w:tcBorders>
                            <w:shd w:val="clear" w:color="auto" w:fill="auto"/>
                          </w:tcPr>
                          <w:p w14:paraId="4A43D357" w14:textId="77777777" w:rsidR="00897AA8" w:rsidRPr="0055776F" w:rsidRDefault="00897AA8" w:rsidP="007B7F7F">
                            <w:pPr>
                              <w:rPr>
                                <w:rFonts w:ascii="Arial" w:hAnsi="Arial" w:cs="Arial"/>
                                <w:sz w:val="20"/>
                                <w:szCs w:val="20"/>
                              </w:rPr>
                            </w:pPr>
                            <w:r w:rsidRPr="0055776F">
                              <w:rPr>
                                <w:rFonts w:ascii="Arial" w:hAnsi="Arial" w:cs="Arial"/>
                                <w:sz w:val="20"/>
                                <w:szCs w:val="20"/>
                              </w:rPr>
                              <w:t>198</w:t>
                            </w:r>
                          </w:p>
                        </w:tc>
                        <w:tc>
                          <w:tcPr>
                            <w:tcW w:w="709" w:type="dxa"/>
                            <w:tcBorders>
                              <w:bottom w:val="single" w:sz="4" w:space="0" w:color="auto"/>
                            </w:tcBorders>
                            <w:shd w:val="clear" w:color="auto" w:fill="auto"/>
                          </w:tcPr>
                          <w:p w14:paraId="270F7DA2" w14:textId="77777777" w:rsidR="00897AA8" w:rsidRPr="0055776F" w:rsidRDefault="00897AA8" w:rsidP="007B7F7F">
                            <w:pPr>
                              <w:rPr>
                                <w:rFonts w:ascii="Arial" w:hAnsi="Arial" w:cs="Arial"/>
                                <w:sz w:val="20"/>
                                <w:szCs w:val="20"/>
                              </w:rPr>
                            </w:pPr>
                            <w:r w:rsidRPr="0055776F">
                              <w:rPr>
                                <w:rFonts w:ascii="Arial" w:hAnsi="Arial" w:cs="Arial"/>
                                <w:sz w:val="20"/>
                                <w:szCs w:val="20"/>
                              </w:rPr>
                              <w:t>50</w:t>
                            </w:r>
                          </w:p>
                        </w:tc>
                        <w:tc>
                          <w:tcPr>
                            <w:tcW w:w="850" w:type="dxa"/>
                            <w:tcBorders>
                              <w:bottom w:val="single" w:sz="4" w:space="0" w:color="auto"/>
                            </w:tcBorders>
                            <w:shd w:val="clear" w:color="auto" w:fill="auto"/>
                          </w:tcPr>
                          <w:p w14:paraId="18537F34" w14:textId="77777777" w:rsidR="00897AA8" w:rsidRPr="0055776F" w:rsidRDefault="00897AA8" w:rsidP="007B7F7F">
                            <w:pPr>
                              <w:rPr>
                                <w:rFonts w:ascii="Arial" w:hAnsi="Arial" w:cs="Arial"/>
                                <w:sz w:val="20"/>
                                <w:szCs w:val="20"/>
                              </w:rPr>
                            </w:pPr>
                            <w:r w:rsidRPr="0055776F">
                              <w:rPr>
                                <w:rFonts w:ascii="Arial" w:hAnsi="Arial" w:cs="Arial"/>
                                <w:sz w:val="20"/>
                                <w:szCs w:val="20"/>
                              </w:rPr>
                              <w:t>148</w:t>
                            </w:r>
                          </w:p>
                        </w:tc>
                      </w:tr>
                      <w:tr w:rsidR="00897AA8" w:rsidRPr="0055776F" w14:paraId="453586B1" w14:textId="77777777">
                        <w:tc>
                          <w:tcPr>
                            <w:tcW w:w="817" w:type="dxa"/>
                            <w:shd w:val="clear" w:color="auto" w:fill="auto"/>
                          </w:tcPr>
                          <w:p w14:paraId="7DA06D26" w14:textId="77777777" w:rsidR="00897AA8" w:rsidRPr="0055776F" w:rsidRDefault="00897AA8" w:rsidP="007B7F7F">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0E8857AC" w14:textId="77777777" w:rsidR="00897AA8" w:rsidRPr="0055776F" w:rsidRDefault="00897AA8" w:rsidP="007B7F7F">
                            <w:pPr>
                              <w:rPr>
                                <w:rFonts w:ascii="Arial" w:hAnsi="Arial" w:cs="Arial"/>
                                <w:sz w:val="20"/>
                                <w:szCs w:val="20"/>
                              </w:rPr>
                            </w:pPr>
                            <w:r>
                              <w:rPr>
                                <w:rFonts w:ascii="Arial" w:hAnsi="Arial" w:cs="Arial"/>
                                <w:sz w:val="20"/>
                                <w:szCs w:val="20"/>
                              </w:rPr>
                              <w:t>Cenzorovaná pozorování</w:t>
                            </w:r>
                          </w:p>
                        </w:tc>
                        <w:tc>
                          <w:tcPr>
                            <w:tcW w:w="851" w:type="dxa"/>
                            <w:tcBorders>
                              <w:top w:val="single" w:sz="4" w:space="0" w:color="auto"/>
                            </w:tcBorders>
                            <w:shd w:val="clear" w:color="auto" w:fill="auto"/>
                          </w:tcPr>
                          <w:p w14:paraId="1F98278B" w14:textId="77777777" w:rsidR="00897AA8" w:rsidRPr="0055776F" w:rsidRDefault="00897AA8" w:rsidP="007B7F7F">
                            <w:pPr>
                              <w:rPr>
                                <w:rFonts w:ascii="Arial" w:hAnsi="Arial" w:cs="Arial"/>
                                <w:sz w:val="20"/>
                                <w:szCs w:val="20"/>
                              </w:rPr>
                            </w:pPr>
                          </w:p>
                        </w:tc>
                        <w:tc>
                          <w:tcPr>
                            <w:tcW w:w="709" w:type="dxa"/>
                            <w:tcBorders>
                              <w:top w:val="single" w:sz="4" w:space="0" w:color="auto"/>
                            </w:tcBorders>
                            <w:shd w:val="clear" w:color="auto" w:fill="auto"/>
                          </w:tcPr>
                          <w:p w14:paraId="2B31D2F8" w14:textId="77777777" w:rsidR="00897AA8" w:rsidRPr="0055776F" w:rsidRDefault="00897AA8" w:rsidP="007B7F7F">
                            <w:pPr>
                              <w:rPr>
                                <w:rFonts w:ascii="Arial" w:hAnsi="Arial" w:cs="Arial"/>
                                <w:sz w:val="20"/>
                                <w:szCs w:val="20"/>
                              </w:rPr>
                            </w:pPr>
                          </w:p>
                        </w:tc>
                        <w:tc>
                          <w:tcPr>
                            <w:tcW w:w="850" w:type="dxa"/>
                            <w:tcBorders>
                              <w:top w:val="single" w:sz="4" w:space="0" w:color="auto"/>
                            </w:tcBorders>
                            <w:shd w:val="clear" w:color="auto" w:fill="auto"/>
                          </w:tcPr>
                          <w:p w14:paraId="317734E8" w14:textId="77777777" w:rsidR="00897AA8" w:rsidRPr="0055776F" w:rsidRDefault="00897AA8" w:rsidP="007B7F7F">
                            <w:pPr>
                              <w:rPr>
                                <w:rFonts w:ascii="Arial" w:hAnsi="Arial" w:cs="Arial"/>
                                <w:sz w:val="20"/>
                                <w:szCs w:val="20"/>
                              </w:rPr>
                            </w:pPr>
                          </w:p>
                        </w:tc>
                      </w:tr>
                    </w:tbl>
                    <w:p w14:paraId="317D090C" w14:textId="77777777" w:rsidR="00897AA8" w:rsidRPr="00A33DBA" w:rsidRDefault="00897AA8" w:rsidP="00EA5993">
                      <w:pPr>
                        <w:rPr>
                          <w:rFonts w:ascii="Arial" w:hAnsi="Arial" w:cs="Arial"/>
                          <w:sz w:val="20"/>
                          <w:szCs w:val="20"/>
                        </w:rPr>
                      </w:pPr>
                    </w:p>
                  </w:txbxContent>
                </v:textbox>
              </v:shape>
            </w:pict>
          </mc:Fallback>
        </mc:AlternateContent>
      </w:r>
      <w:r w:rsidRPr="009B1A37">
        <w:rPr>
          <w:rFonts w:eastAsia="MS Mincho"/>
          <w:noProof/>
          <w:lang w:val="en-GB" w:eastAsia="en-GB"/>
        </w:rPr>
        <mc:AlternateContent>
          <mc:Choice Requires="wps">
            <w:drawing>
              <wp:anchor distT="0" distB="0" distL="114300" distR="114300" simplePos="0" relativeHeight="251660288" behindDoc="0" locked="0" layoutInCell="1" allowOverlap="1" wp14:anchorId="3B13C82D" wp14:editId="00F33C38">
                <wp:simplePos x="0" y="0"/>
                <wp:positionH relativeFrom="column">
                  <wp:posOffset>2273935</wp:posOffset>
                </wp:positionH>
                <wp:positionV relativeFrom="paragraph">
                  <wp:posOffset>2621280</wp:posOffset>
                </wp:positionV>
                <wp:extent cx="1540510" cy="29527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0510" cy="295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D1A92" w14:textId="77777777" w:rsidR="00897AA8" w:rsidRPr="00A33DBA" w:rsidRDefault="00897AA8" w:rsidP="00EA5993">
                            <w:pPr>
                              <w:rPr>
                                <w:rFonts w:ascii="Arial" w:hAnsi="Arial" w:cs="Arial"/>
                                <w:sz w:val="20"/>
                                <w:szCs w:val="20"/>
                              </w:rPr>
                            </w:pPr>
                            <w:r>
                              <w:rPr>
                                <w:rFonts w:ascii="Arial" w:hAnsi="Arial" w:cs="Arial"/>
                                <w:sz w:val="20"/>
                                <w:szCs w:val="20"/>
                                <w:lang w:val="de-DE"/>
                              </w:rPr>
                              <w:t>Doba přežití v měsících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13C82D" id="_x0000_s1034" type="#_x0000_t202" style="position:absolute;margin-left:179.05pt;margin-top:206.4pt;width:121.3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" stroked="f">
                <v:fill opacity="0"/>
                <v:textbox>
                  <w:txbxContent>
                    <w:p w14:paraId="7A9D1A92" w14:textId="77777777" w:rsidR="00897AA8" w:rsidRPr="00A33DBA" w:rsidRDefault="00897AA8" w:rsidP="00EA5993">
                      <w:pPr>
                        <w:rPr>
                          <w:rFonts w:ascii="Arial" w:hAnsi="Arial" w:cs="Arial"/>
                          <w:sz w:val="20"/>
                          <w:szCs w:val="20"/>
                        </w:rPr>
                      </w:pPr>
                      <w:r>
                        <w:rPr>
                          <w:rFonts w:ascii="Arial" w:hAnsi="Arial" w:cs="Arial"/>
                          <w:sz w:val="20"/>
                          <w:szCs w:val="20"/>
                          <w:lang w:val="de-DE"/>
                        </w:rPr>
                        <w:t>Doba přežití v měsících</w:t>
                      </w:r>
                    </w:p>
                  </w:txbxContent>
                </v:textbox>
              </v:shape>
            </w:pict>
          </mc:Fallback>
        </mc:AlternateContent>
      </w:r>
      <w:r w:rsidRPr="009B1A37">
        <w:rPr>
          <w:noProof/>
          <w:lang w:val="en-GB" w:eastAsia="en-GB"/>
        </w:rPr>
        <w:drawing>
          <wp:inline distT="0" distB="0" distL="0" distR="0" wp14:anchorId="0E59E9F8" wp14:editId="2A71765C">
            <wp:extent cx="5939790" cy="26797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2679700"/>
                    </a:xfrm>
                    <a:prstGeom prst="rect">
                      <a:avLst/>
                    </a:prstGeom>
                    <a:noFill/>
                    <a:ln>
                      <a:noFill/>
                    </a:ln>
                  </pic:spPr>
                </pic:pic>
              </a:graphicData>
            </a:graphic>
          </wp:inline>
        </w:drawing>
      </w:r>
    </w:p>
    <w:p w14:paraId="35F68522" w14:textId="77777777" w:rsidR="00EA5993" w:rsidRPr="009B1A37" w:rsidRDefault="00EA5993" w:rsidP="00BE3D48">
      <w:pPr>
        <w:keepNext/>
        <w:keepLines/>
        <w:widowControl w:val="0"/>
        <w:tabs>
          <w:tab w:val="clear" w:pos="567"/>
        </w:tabs>
        <w:spacing w:line="240" w:lineRule="auto"/>
        <w:rPr>
          <w:rFonts w:eastAsia="MS Mincho"/>
        </w:rPr>
      </w:pPr>
    </w:p>
    <w:p w14:paraId="4D5E304F" w14:textId="77777777" w:rsidR="00EA5993" w:rsidRPr="009B1A37" w:rsidRDefault="00EA5993" w:rsidP="00BE3D48">
      <w:pPr>
        <w:keepNext/>
        <w:keepLines/>
        <w:widowControl w:val="0"/>
        <w:tabs>
          <w:tab w:val="clear" w:pos="567"/>
        </w:tabs>
        <w:spacing w:line="240" w:lineRule="auto"/>
        <w:rPr>
          <w:rFonts w:eastAsia="MS Mincho"/>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EA5993" w:rsidRPr="009B1A37" w14:paraId="35B13EE6" w14:textId="77777777" w:rsidTr="00CD5C21">
        <w:tc>
          <w:tcPr>
            <w:tcW w:w="10599" w:type="dxa"/>
            <w:gridSpan w:val="16"/>
            <w:shd w:val="clear" w:color="auto" w:fill="auto"/>
          </w:tcPr>
          <w:p w14:paraId="31702110" w14:textId="77777777" w:rsidR="00EA5993" w:rsidRPr="009B1A37" w:rsidRDefault="00EA5993" w:rsidP="00BE3D48">
            <w:pPr>
              <w:keepNext/>
              <w:keepLines/>
              <w:widowControl w:val="0"/>
              <w:spacing w:line="240" w:lineRule="auto"/>
              <w:ind w:left="-27"/>
              <w:rPr>
                <w:rFonts w:ascii="Arial" w:hAnsi="Arial" w:cs="Arial"/>
                <w:sz w:val="16"/>
                <w:szCs w:val="16"/>
              </w:rPr>
            </w:pPr>
            <w:r w:rsidRPr="009B1A37">
              <w:rPr>
                <w:rFonts w:ascii="Arial" w:hAnsi="Arial" w:cs="Arial"/>
                <w:sz w:val="20"/>
                <w:szCs w:val="20"/>
              </w:rPr>
              <w:t>V riziku: Události</w:t>
            </w:r>
          </w:p>
        </w:tc>
      </w:tr>
      <w:tr w:rsidR="00EA5993" w:rsidRPr="009B1A37" w14:paraId="4734DD6E" w14:textId="77777777" w:rsidTr="00CD5C21">
        <w:tc>
          <w:tcPr>
            <w:tcW w:w="450" w:type="dxa"/>
            <w:shd w:val="clear" w:color="auto" w:fill="auto"/>
          </w:tcPr>
          <w:p w14:paraId="6BC6E075" w14:textId="77777777" w:rsidR="00EA5993" w:rsidRPr="009B1A37" w:rsidRDefault="00EA5993" w:rsidP="00BE3D48">
            <w:pPr>
              <w:keepNext/>
              <w:keepLines/>
              <w:widowControl w:val="0"/>
              <w:spacing w:line="240" w:lineRule="auto"/>
              <w:rPr>
                <w:sz w:val="18"/>
                <w:szCs w:val="18"/>
              </w:rPr>
            </w:pPr>
            <w:r w:rsidRPr="009B1A37">
              <w:rPr>
                <w:sz w:val="18"/>
                <w:szCs w:val="18"/>
              </w:rPr>
              <w:t>(1)</w:t>
            </w:r>
          </w:p>
        </w:tc>
        <w:tc>
          <w:tcPr>
            <w:tcW w:w="646" w:type="dxa"/>
            <w:shd w:val="clear" w:color="auto" w:fill="auto"/>
          </w:tcPr>
          <w:p w14:paraId="479DDFB7" w14:textId="77777777" w:rsidR="00EA5993" w:rsidRPr="009B1A37" w:rsidRDefault="00EA5993" w:rsidP="00BE3D48">
            <w:pPr>
              <w:keepNext/>
              <w:keepLines/>
              <w:widowControl w:val="0"/>
              <w:spacing w:line="240" w:lineRule="auto"/>
              <w:ind w:left="-27"/>
              <w:rPr>
                <w:sz w:val="18"/>
                <w:szCs w:val="18"/>
              </w:rPr>
            </w:pPr>
            <w:r w:rsidRPr="009B1A37">
              <w:rPr>
                <w:sz w:val="18"/>
                <w:szCs w:val="18"/>
              </w:rPr>
              <w:t>199:0</w:t>
            </w:r>
          </w:p>
        </w:tc>
        <w:tc>
          <w:tcPr>
            <w:tcW w:w="645" w:type="dxa"/>
            <w:shd w:val="clear" w:color="auto" w:fill="auto"/>
          </w:tcPr>
          <w:p w14:paraId="0E9C4906" w14:textId="77777777" w:rsidR="00EA5993" w:rsidRPr="009B1A37" w:rsidRDefault="00EA5993" w:rsidP="00BE3D48">
            <w:pPr>
              <w:keepNext/>
              <w:keepLines/>
              <w:widowControl w:val="0"/>
              <w:spacing w:line="240" w:lineRule="auto"/>
              <w:ind w:left="-27"/>
              <w:rPr>
                <w:sz w:val="18"/>
                <w:szCs w:val="18"/>
              </w:rPr>
            </w:pPr>
            <w:r w:rsidRPr="009B1A37">
              <w:rPr>
                <w:sz w:val="18"/>
                <w:szCs w:val="18"/>
              </w:rPr>
              <w:t>182:8</w:t>
            </w:r>
          </w:p>
        </w:tc>
        <w:tc>
          <w:tcPr>
            <w:tcW w:w="745" w:type="dxa"/>
            <w:shd w:val="clear" w:color="auto" w:fill="auto"/>
          </w:tcPr>
          <w:p w14:paraId="1CAA20FB" w14:textId="77777777" w:rsidR="00EA5993" w:rsidRPr="009B1A37" w:rsidRDefault="00EA5993" w:rsidP="00BE3D48">
            <w:pPr>
              <w:keepNext/>
              <w:keepLines/>
              <w:widowControl w:val="0"/>
              <w:spacing w:line="240" w:lineRule="auto"/>
              <w:ind w:left="-27"/>
              <w:rPr>
                <w:sz w:val="18"/>
                <w:szCs w:val="18"/>
              </w:rPr>
            </w:pPr>
            <w:r w:rsidRPr="009B1A37">
              <w:rPr>
                <w:sz w:val="18"/>
                <w:szCs w:val="18"/>
              </w:rPr>
              <w:t>177:12</w:t>
            </w:r>
          </w:p>
        </w:tc>
        <w:tc>
          <w:tcPr>
            <w:tcW w:w="745" w:type="dxa"/>
            <w:shd w:val="clear" w:color="auto" w:fill="auto"/>
          </w:tcPr>
          <w:p w14:paraId="45C000B2" w14:textId="77777777" w:rsidR="00EA5993" w:rsidRPr="009B1A37" w:rsidRDefault="00EA5993" w:rsidP="00BE3D48">
            <w:pPr>
              <w:keepNext/>
              <w:keepLines/>
              <w:widowControl w:val="0"/>
              <w:spacing w:line="240" w:lineRule="auto"/>
              <w:ind w:left="-27"/>
              <w:rPr>
                <w:sz w:val="18"/>
                <w:szCs w:val="18"/>
              </w:rPr>
            </w:pPr>
            <w:r w:rsidRPr="009B1A37">
              <w:rPr>
                <w:sz w:val="18"/>
                <w:szCs w:val="18"/>
              </w:rPr>
              <w:t>163:25</w:t>
            </w:r>
          </w:p>
        </w:tc>
        <w:tc>
          <w:tcPr>
            <w:tcW w:w="745" w:type="dxa"/>
            <w:shd w:val="clear" w:color="auto" w:fill="auto"/>
          </w:tcPr>
          <w:p w14:paraId="71E77963" w14:textId="77777777" w:rsidR="00EA5993" w:rsidRPr="009B1A37" w:rsidRDefault="00EA5993" w:rsidP="00BE3D48">
            <w:pPr>
              <w:keepNext/>
              <w:keepLines/>
              <w:widowControl w:val="0"/>
              <w:spacing w:line="240" w:lineRule="auto"/>
              <w:ind w:left="-27"/>
              <w:rPr>
                <w:sz w:val="18"/>
                <w:szCs w:val="18"/>
              </w:rPr>
            </w:pPr>
            <w:r w:rsidRPr="009B1A37">
              <w:rPr>
                <w:sz w:val="18"/>
                <w:szCs w:val="18"/>
              </w:rPr>
              <w:t>137:46</w:t>
            </w:r>
          </w:p>
        </w:tc>
        <w:tc>
          <w:tcPr>
            <w:tcW w:w="752" w:type="dxa"/>
            <w:shd w:val="clear" w:color="auto" w:fill="auto"/>
          </w:tcPr>
          <w:p w14:paraId="5828CB2A" w14:textId="77777777" w:rsidR="00EA5993" w:rsidRPr="009B1A37" w:rsidRDefault="00EA5993" w:rsidP="00BE3D48">
            <w:pPr>
              <w:keepNext/>
              <w:keepLines/>
              <w:widowControl w:val="0"/>
              <w:spacing w:line="240" w:lineRule="auto"/>
              <w:ind w:left="-27"/>
              <w:rPr>
                <w:sz w:val="18"/>
                <w:szCs w:val="18"/>
              </w:rPr>
            </w:pPr>
            <w:r w:rsidRPr="009B1A37">
              <w:rPr>
                <w:sz w:val="18"/>
                <w:szCs w:val="18"/>
              </w:rPr>
              <w:t>105:65</w:t>
            </w:r>
          </w:p>
        </w:tc>
        <w:tc>
          <w:tcPr>
            <w:tcW w:w="745" w:type="dxa"/>
            <w:shd w:val="clear" w:color="auto" w:fill="auto"/>
          </w:tcPr>
          <w:p w14:paraId="3007025F" w14:textId="77777777" w:rsidR="00EA5993" w:rsidRPr="009B1A37" w:rsidRDefault="00EA5993" w:rsidP="00BE3D48">
            <w:pPr>
              <w:keepNext/>
              <w:keepLines/>
              <w:widowControl w:val="0"/>
              <w:spacing w:line="240" w:lineRule="auto"/>
              <w:ind w:left="-27"/>
              <w:rPr>
                <w:sz w:val="18"/>
                <w:szCs w:val="18"/>
              </w:rPr>
            </w:pPr>
            <w:r w:rsidRPr="009B1A37">
              <w:rPr>
                <w:sz w:val="18"/>
                <w:szCs w:val="18"/>
              </w:rPr>
              <w:t>88:72</w:t>
            </w:r>
          </w:p>
        </w:tc>
        <w:tc>
          <w:tcPr>
            <w:tcW w:w="745" w:type="dxa"/>
            <w:shd w:val="clear" w:color="auto" w:fill="auto"/>
          </w:tcPr>
          <w:p w14:paraId="17F2B082" w14:textId="77777777" w:rsidR="00EA5993" w:rsidRPr="009B1A37" w:rsidRDefault="00EA5993" w:rsidP="00BE3D48">
            <w:pPr>
              <w:keepNext/>
              <w:keepLines/>
              <w:widowControl w:val="0"/>
              <w:spacing w:line="240" w:lineRule="auto"/>
              <w:ind w:left="-27"/>
              <w:rPr>
                <w:sz w:val="18"/>
                <w:szCs w:val="18"/>
              </w:rPr>
            </w:pPr>
            <w:r w:rsidRPr="009B1A37">
              <w:rPr>
                <w:sz w:val="18"/>
                <w:szCs w:val="18"/>
              </w:rPr>
              <w:t>61:77</w:t>
            </w:r>
          </w:p>
        </w:tc>
        <w:tc>
          <w:tcPr>
            <w:tcW w:w="652" w:type="dxa"/>
            <w:shd w:val="clear" w:color="auto" w:fill="auto"/>
          </w:tcPr>
          <w:p w14:paraId="546A3554" w14:textId="77777777" w:rsidR="00EA5993" w:rsidRPr="009B1A37" w:rsidRDefault="00EA5993" w:rsidP="00BE3D48">
            <w:pPr>
              <w:keepNext/>
              <w:keepLines/>
              <w:widowControl w:val="0"/>
              <w:spacing w:line="240" w:lineRule="auto"/>
              <w:ind w:left="-27"/>
              <w:rPr>
                <w:sz w:val="18"/>
                <w:szCs w:val="18"/>
              </w:rPr>
            </w:pPr>
            <w:r w:rsidRPr="009B1A37">
              <w:rPr>
                <w:sz w:val="18"/>
                <w:szCs w:val="18"/>
              </w:rPr>
              <w:t>49:81</w:t>
            </w:r>
          </w:p>
        </w:tc>
        <w:tc>
          <w:tcPr>
            <w:tcW w:w="652" w:type="dxa"/>
            <w:shd w:val="clear" w:color="auto" w:fill="auto"/>
          </w:tcPr>
          <w:p w14:paraId="098CCA02" w14:textId="77777777" w:rsidR="00EA5993" w:rsidRPr="009B1A37" w:rsidRDefault="00EA5993" w:rsidP="00BE3D48">
            <w:pPr>
              <w:keepNext/>
              <w:keepLines/>
              <w:widowControl w:val="0"/>
              <w:spacing w:line="240" w:lineRule="auto"/>
              <w:ind w:left="-27"/>
              <w:rPr>
                <w:sz w:val="18"/>
                <w:szCs w:val="18"/>
              </w:rPr>
            </w:pPr>
            <w:r w:rsidRPr="009B1A37">
              <w:rPr>
                <w:sz w:val="18"/>
                <w:szCs w:val="18"/>
              </w:rPr>
              <w:t>36:83</w:t>
            </w:r>
          </w:p>
        </w:tc>
        <w:tc>
          <w:tcPr>
            <w:tcW w:w="649" w:type="dxa"/>
            <w:shd w:val="clear" w:color="auto" w:fill="auto"/>
          </w:tcPr>
          <w:p w14:paraId="792E772E" w14:textId="77777777" w:rsidR="00EA5993" w:rsidRPr="009B1A37" w:rsidRDefault="00EA5993" w:rsidP="00BE3D48">
            <w:pPr>
              <w:keepNext/>
              <w:keepLines/>
              <w:widowControl w:val="0"/>
              <w:spacing w:line="240" w:lineRule="auto"/>
              <w:ind w:left="-27"/>
              <w:rPr>
                <w:sz w:val="18"/>
                <w:szCs w:val="18"/>
              </w:rPr>
            </w:pPr>
            <w:r w:rsidRPr="009B1A37">
              <w:rPr>
                <w:sz w:val="18"/>
                <w:szCs w:val="18"/>
              </w:rPr>
              <w:t>27:84</w:t>
            </w:r>
          </w:p>
        </w:tc>
        <w:tc>
          <w:tcPr>
            <w:tcW w:w="660" w:type="dxa"/>
            <w:shd w:val="clear" w:color="auto" w:fill="auto"/>
          </w:tcPr>
          <w:p w14:paraId="069F125B" w14:textId="77777777" w:rsidR="00EA5993" w:rsidRPr="009B1A37" w:rsidRDefault="00EA5993" w:rsidP="00BE3D48">
            <w:pPr>
              <w:keepNext/>
              <w:keepLines/>
              <w:widowControl w:val="0"/>
              <w:spacing w:line="240" w:lineRule="auto"/>
              <w:ind w:left="-27"/>
              <w:rPr>
                <w:sz w:val="18"/>
                <w:szCs w:val="18"/>
              </w:rPr>
            </w:pPr>
            <w:r w:rsidRPr="009B1A37">
              <w:rPr>
                <w:sz w:val="18"/>
                <w:szCs w:val="18"/>
              </w:rPr>
              <w:t>14:84</w:t>
            </w:r>
          </w:p>
        </w:tc>
        <w:tc>
          <w:tcPr>
            <w:tcW w:w="649" w:type="dxa"/>
            <w:shd w:val="clear" w:color="auto" w:fill="auto"/>
          </w:tcPr>
          <w:p w14:paraId="1F8FDD3D" w14:textId="77777777" w:rsidR="00EA5993" w:rsidRPr="009B1A37" w:rsidRDefault="00EA5993" w:rsidP="00BE3D48">
            <w:pPr>
              <w:keepNext/>
              <w:keepLines/>
              <w:widowControl w:val="0"/>
              <w:spacing w:line="240" w:lineRule="auto"/>
              <w:ind w:left="-27"/>
              <w:rPr>
                <w:sz w:val="18"/>
                <w:szCs w:val="18"/>
              </w:rPr>
            </w:pPr>
            <w:r w:rsidRPr="009B1A37">
              <w:rPr>
                <w:sz w:val="18"/>
                <w:szCs w:val="18"/>
              </w:rPr>
              <w:t>10:84</w:t>
            </w:r>
          </w:p>
        </w:tc>
        <w:tc>
          <w:tcPr>
            <w:tcW w:w="564" w:type="dxa"/>
            <w:shd w:val="clear" w:color="auto" w:fill="auto"/>
          </w:tcPr>
          <w:p w14:paraId="6D273F21" w14:textId="77777777" w:rsidR="00EA5993" w:rsidRPr="009B1A37" w:rsidRDefault="00EA5993" w:rsidP="00BE3D48">
            <w:pPr>
              <w:keepNext/>
              <w:keepLines/>
              <w:widowControl w:val="0"/>
              <w:spacing w:line="240" w:lineRule="auto"/>
              <w:ind w:left="-27"/>
              <w:rPr>
                <w:sz w:val="18"/>
                <w:szCs w:val="18"/>
              </w:rPr>
            </w:pPr>
            <w:r w:rsidRPr="009B1A37">
              <w:rPr>
                <w:sz w:val="18"/>
                <w:szCs w:val="18"/>
              </w:rPr>
              <w:t>2:84</w:t>
            </w:r>
          </w:p>
        </w:tc>
        <w:tc>
          <w:tcPr>
            <w:tcW w:w="555" w:type="dxa"/>
            <w:shd w:val="clear" w:color="auto" w:fill="auto"/>
          </w:tcPr>
          <w:p w14:paraId="15ADCA41" w14:textId="77777777" w:rsidR="00EA5993" w:rsidRPr="009B1A37" w:rsidRDefault="00EA5993" w:rsidP="00BE3D48">
            <w:pPr>
              <w:keepNext/>
              <w:keepLines/>
              <w:widowControl w:val="0"/>
              <w:spacing w:line="240" w:lineRule="auto"/>
              <w:ind w:left="-27"/>
              <w:rPr>
                <w:sz w:val="18"/>
                <w:szCs w:val="18"/>
              </w:rPr>
            </w:pPr>
            <w:r w:rsidRPr="009B1A37">
              <w:rPr>
                <w:sz w:val="18"/>
                <w:szCs w:val="18"/>
              </w:rPr>
              <w:t>0:84</w:t>
            </w:r>
          </w:p>
        </w:tc>
      </w:tr>
      <w:tr w:rsidR="00EA5993" w:rsidRPr="009B1A37" w14:paraId="679BCF0C" w14:textId="77777777" w:rsidTr="00CD5C21">
        <w:tc>
          <w:tcPr>
            <w:tcW w:w="450" w:type="dxa"/>
            <w:shd w:val="clear" w:color="auto" w:fill="auto"/>
          </w:tcPr>
          <w:p w14:paraId="521F992E" w14:textId="77777777" w:rsidR="00EA5993" w:rsidRPr="009B1A37" w:rsidRDefault="00EA5993" w:rsidP="00BE3D48">
            <w:pPr>
              <w:keepNext/>
              <w:keepLines/>
              <w:widowControl w:val="0"/>
              <w:spacing w:line="240" w:lineRule="auto"/>
              <w:rPr>
                <w:sz w:val="18"/>
                <w:szCs w:val="18"/>
              </w:rPr>
            </w:pPr>
            <w:r w:rsidRPr="009B1A37">
              <w:rPr>
                <w:sz w:val="18"/>
                <w:szCs w:val="18"/>
              </w:rPr>
              <w:t>(2)</w:t>
            </w:r>
          </w:p>
        </w:tc>
        <w:tc>
          <w:tcPr>
            <w:tcW w:w="646" w:type="dxa"/>
            <w:shd w:val="clear" w:color="auto" w:fill="auto"/>
          </w:tcPr>
          <w:p w14:paraId="214459D9" w14:textId="77777777" w:rsidR="00EA5993" w:rsidRPr="009B1A37" w:rsidRDefault="00EA5993" w:rsidP="00BE3D48">
            <w:pPr>
              <w:keepNext/>
              <w:keepLines/>
              <w:widowControl w:val="0"/>
              <w:spacing w:line="240" w:lineRule="auto"/>
              <w:ind w:left="-27"/>
              <w:rPr>
                <w:sz w:val="18"/>
                <w:szCs w:val="18"/>
              </w:rPr>
            </w:pPr>
            <w:r w:rsidRPr="009B1A37">
              <w:rPr>
                <w:sz w:val="18"/>
                <w:szCs w:val="18"/>
              </w:rPr>
              <w:t>198:0</w:t>
            </w:r>
          </w:p>
        </w:tc>
        <w:tc>
          <w:tcPr>
            <w:tcW w:w="645" w:type="dxa"/>
            <w:shd w:val="clear" w:color="auto" w:fill="auto"/>
          </w:tcPr>
          <w:p w14:paraId="56378F08" w14:textId="77777777" w:rsidR="00EA5993" w:rsidRPr="009B1A37" w:rsidRDefault="00EA5993" w:rsidP="00BE3D48">
            <w:pPr>
              <w:keepNext/>
              <w:keepLines/>
              <w:widowControl w:val="0"/>
              <w:spacing w:line="240" w:lineRule="auto"/>
              <w:ind w:left="-27"/>
              <w:rPr>
                <w:sz w:val="18"/>
                <w:szCs w:val="18"/>
              </w:rPr>
            </w:pPr>
            <w:r w:rsidRPr="009B1A37">
              <w:rPr>
                <w:sz w:val="18"/>
                <w:szCs w:val="18"/>
              </w:rPr>
              <w:t>189:5</w:t>
            </w:r>
          </w:p>
        </w:tc>
        <w:tc>
          <w:tcPr>
            <w:tcW w:w="745" w:type="dxa"/>
            <w:shd w:val="clear" w:color="auto" w:fill="auto"/>
          </w:tcPr>
          <w:p w14:paraId="2C76FE66" w14:textId="77777777" w:rsidR="00EA5993" w:rsidRPr="009B1A37" w:rsidRDefault="00EA5993" w:rsidP="00BE3D48">
            <w:pPr>
              <w:keepNext/>
              <w:keepLines/>
              <w:widowControl w:val="0"/>
              <w:spacing w:line="240" w:lineRule="auto"/>
              <w:ind w:left="-27"/>
              <w:rPr>
                <w:sz w:val="18"/>
                <w:szCs w:val="18"/>
              </w:rPr>
            </w:pPr>
            <w:r w:rsidRPr="009B1A37">
              <w:rPr>
                <w:sz w:val="18"/>
                <w:szCs w:val="18"/>
              </w:rPr>
              <w:t>184:8</w:t>
            </w:r>
          </w:p>
        </w:tc>
        <w:tc>
          <w:tcPr>
            <w:tcW w:w="745" w:type="dxa"/>
            <w:shd w:val="clear" w:color="auto" w:fill="auto"/>
          </w:tcPr>
          <w:p w14:paraId="6C0A5662" w14:textId="77777777" w:rsidR="00EA5993" w:rsidRPr="009B1A37" w:rsidRDefault="00EA5993" w:rsidP="00BE3D48">
            <w:pPr>
              <w:keepNext/>
              <w:keepLines/>
              <w:widowControl w:val="0"/>
              <w:spacing w:line="240" w:lineRule="auto"/>
              <w:ind w:left="-27"/>
              <w:rPr>
                <w:sz w:val="18"/>
                <w:szCs w:val="18"/>
              </w:rPr>
            </w:pPr>
            <w:r w:rsidRPr="009B1A37">
              <w:rPr>
                <w:sz w:val="18"/>
                <w:szCs w:val="18"/>
              </w:rPr>
              <w:t>181:11</w:t>
            </w:r>
          </w:p>
        </w:tc>
        <w:tc>
          <w:tcPr>
            <w:tcW w:w="745" w:type="dxa"/>
            <w:shd w:val="clear" w:color="auto" w:fill="auto"/>
          </w:tcPr>
          <w:p w14:paraId="63A0EACE" w14:textId="77777777" w:rsidR="00EA5993" w:rsidRPr="009B1A37" w:rsidRDefault="00EA5993" w:rsidP="00BE3D48">
            <w:pPr>
              <w:keepNext/>
              <w:keepLines/>
              <w:widowControl w:val="0"/>
              <w:spacing w:line="240" w:lineRule="auto"/>
              <w:ind w:left="-27"/>
              <w:rPr>
                <w:sz w:val="18"/>
                <w:szCs w:val="18"/>
              </w:rPr>
            </w:pPr>
            <w:r w:rsidRPr="009B1A37">
              <w:rPr>
                <w:sz w:val="18"/>
                <w:szCs w:val="18"/>
              </w:rPr>
              <w:t>173:18</w:t>
            </w:r>
          </w:p>
        </w:tc>
        <w:tc>
          <w:tcPr>
            <w:tcW w:w="752" w:type="dxa"/>
            <w:shd w:val="clear" w:color="auto" w:fill="auto"/>
          </w:tcPr>
          <w:p w14:paraId="2F5CCEC2" w14:textId="77777777" w:rsidR="00EA5993" w:rsidRPr="009B1A37" w:rsidRDefault="00EA5993" w:rsidP="00BE3D48">
            <w:pPr>
              <w:keepNext/>
              <w:keepLines/>
              <w:widowControl w:val="0"/>
              <w:spacing w:line="240" w:lineRule="auto"/>
              <w:ind w:left="-27"/>
              <w:rPr>
                <w:sz w:val="18"/>
                <w:szCs w:val="18"/>
              </w:rPr>
            </w:pPr>
            <w:r w:rsidRPr="009B1A37">
              <w:rPr>
                <w:sz w:val="18"/>
                <w:szCs w:val="18"/>
              </w:rPr>
              <w:t>152:22</w:t>
            </w:r>
          </w:p>
        </w:tc>
        <w:tc>
          <w:tcPr>
            <w:tcW w:w="745" w:type="dxa"/>
            <w:shd w:val="clear" w:color="auto" w:fill="auto"/>
          </w:tcPr>
          <w:p w14:paraId="1674ADDD" w14:textId="77777777" w:rsidR="00EA5993" w:rsidRPr="009B1A37" w:rsidRDefault="00EA5993" w:rsidP="00BE3D48">
            <w:pPr>
              <w:keepNext/>
              <w:keepLines/>
              <w:widowControl w:val="0"/>
              <w:spacing w:line="240" w:lineRule="auto"/>
              <w:ind w:left="-27"/>
              <w:rPr>
                <w:sz w:val="18"/>
                <w:szCs w:val="18"/>
              </w:rPr>
            </w:pPr>
            <w:r w:rsidRPr="009B1A37">
              <w:rPr>
                <w:sz w:val="18"/>
                <w:szCs w:val="18"/>
              </w:rPr>
              <w:t>133:25</w:t>
            </w:r>
          </w:p>
        </w:tc>
        <w:tc>
          <w:tcPr>
            <w:tcW w:w="745" w:type="dxa"/>
            <w:shd w:val="clear" w:color="auto" w:fill="auto"/>
          </w:tcPr>
          <w:p w14:paraId="153EB268" w14:textId="77777777" w:rsidR="00EA5993" w:rsidRPr="009B1A37" w:rsidRDefault="00EA5993" w:rsidP="00BE3D48">
            <w:pPr>
              <w:keepNext/>
              <w:keepLines/>
              <w:widowControl w:val="0"/>
              <w:spacing w:line="240" w:lineRule="auto"/>
              <w:ind w:left="-27"/>
              <w:rPr>
                <w:sz w:val="18"/>
                <w:szCs w:val="18"/>
              </w:rPr>
            </w:pPr>
            <w:r w:rsidRPr="009B1A37">
              <w:rPr>
                <w:sz w:val="18"/>
                <w:szCs w:val="18"/>
              </w:rPr>
              <w:t>102:29</w:t>
            </w:r>
          </w:p>
        </w:tc>
        <w:tc>
          <w:tcPr>
            <w:tcW w:w="652" w:type="dxa"/>
            <w:shd w:val="clear" w:color="auto" w:fill="auto"/>
          </w:tcPr>
          <w:p w14:paraId="214EFF53" w14:textId="77777777" w:rsidR="00EA5993" w:rsidRPr="009B1A37" w:rsidRDefault="00EA5993" w:rsidP="00BE3D48">
            <w:pPr>
              <w:keepNext/>
              <w:keepLines/>
              <w:widowControl w:val="0"/>
              <w:spacing w:line="240" w:lineRule="auto"/>
              <w:ind w:left="-27"/>
              <w:rPr>
                <w:sz w:val="18"/>
                <w:szCs w:val="18"/>
              </w:rPr>
            </w:pPr>
            <w:r w:rsidRPr="009B1A37">
              <w:rPr>
                <w:sz w:val="18"/>
                <w:szCs w:val="18"/>
              </w:rPr>
              <w:t>82:35</w:t>
            </w:r>
          </w:p>
        </w:tc>
        <w:tc>
          <w:tcPr>
            <w:tcW w:w="652" w:type="dxa"/>
            <w:shd w:val="clear" w:color="auto" w:fill="auto"/>
          </w:tcPr>
          <w:p w14:paraId="6EA5C7D3" w14:textId="77777777" w:rsidR="00EA5993" w:rsidRPr="009B1A37" w:rsidRDefault="00EA5993" w:rsidP="00BE3D48">
            <w:pPr>
              <w:keepNext/>
              <w:keepLines/>
              <w:widowControl w:val="0"/>
              <w:spacing w:line="240" w:lineRule="auto"/>
              <w:ind w:left="-27"/>
              <w:rPr>
                <w:sz w:val="18"/>
                <w:szCs w:val="18"/>
              </w:rPr>
            </w:pPr>
            <w:r w:rsidRPr="009B1A37">
              <w:rPr>
                <w:sz w:val="18"/>
                <w:szCs w:val="18"/>
              </w:rPr>
              <w:t>54:46</w:t>
            </w:r>
          </w:p>
        </w:tc>
        <w:tc>
          <w:tcPr>
            <w:tcW w:w="649" w:type="dxa"/>
            <w:shd w:val="clear" w:color="auto" w:fill="auto"/>
          </w:tcPr>
          <w:p w14:paraId="68EFDE17" w14:textId="77777777" w:rsidR="00EA5993" w:rsidRPr="009B1A37" w:rsidRDefault="00EA5993" w:rsidP="00BE3D48">
            <w:pPr>
              <w:keepNext/>
              <w:keepLines/>
              <w:widowControl w:val="0"/>
              <w:spacing w:line="240" w:lineRule="auto"/>
              <w:ind w:left="-27"/>
              <w:rPr>
                <w:sz w:val="18"/>
                <w:szCs w:val="18"/>
              </w:rPr>
            </w:pPr>
            <w:r w:rsidRPr="009B1A37">
              <w:rPr>
                <w:sz w:val="18"/>
                <w:szCs w:val="18"/>
              </w:rPr>
              <w:t>39:47</w:t>
            </w:r>
          </w:p>
        </w:tc>
        <w:tc>
          <w:tcPr>
            <w:tcW w:w="660" w:type="dxa"/>
            <w:shd w:val="clear" w:color="auto" w:fill="auto"/>
          </w:tcPr>
          <w:p w14:paraId="5527FCAF" w14:textId="77777777" w:rsidR="00EA5993" w:rsidRPr="009B1A37" w:rsidRDefault="00EA5993" w:rsidP="00BE3D48">
            <w:pPr>
              <w:keepNext/>
              <w:keepLines/>
              <w:widowControl w:val="0"/>
              <w:spacing w:line="240" w:lineRule="auto"/>
              <w:ind w:left="-27"/>
              <w:rPr>
                <w:sz w:val="18"/>
                <w:szCs w:val="18"/>
              </w:rPr>
            </w:pPr>
            <w:r w:rsidRPr="009B1A37">
              <w:rPr>
                <w:sz w:val="18"/>
                <w:szCs w:val="18"/>
              </w:rPr>
              <w:t>21:49</w:t>
            </w:r>
          </w:p>
        </w:tc>
        <w:tc>
          <w:tcPr>
            <w:tcW w:w="649" w:type="dxa"/>
            <w:shd w:val="clear" w:color="auto" w:fill="auto"/>
          </w:tcPr>
          <w:p w14:paraId="7A15A7BA" w14:textId="77777777" w:rsidR="00EA5993" w:rsidRPr="009B1A37" w:rsidRDefault="00EA5993" w:rsidP="00BE3D48">
            <w:pPr>
              <w:keepNext/>
              <w:keepLines/>
              <w:widowControl w:val="0"/>
              <w:spacing w:line="240" w:lineRule="auto"/>
              <w:ind w:left="-27"/>
              <w:rPr>
                <w:sz w:val="18"/>
                <w:szCs w:val="18"/>
              </w:rPr>
            </w:pPr>
            <w:r w:rsidRPr="009B1A37">
              <w:rPr>
                <w:sz w:val="18"/>
                <w:szCs w:val="18"/>
              </w:rPr>
              <w:t>8:50</w:t>
            </w:r>
          </w:p>
        </w:tc>
        <w:tc>
          <w:tcPr>
            <w:tcW w:w="564" w:type="dxa"/>
            <w:shd w:val="clear" w:color="auto" w:fill="auto"/>
          </w:tcPr>
          <w:p w14:paraId="2BD088D3" w14:textId="77777777" w:rsidR="00EA5993" w:rsidRPr="009B1A37" w:rsidRDefault="00EA5993" w:rsidP="00BE3D48">
            <w:pPr>
              <w:keepNext/>
              <w:keepLines/>
              <w:widowControl w:val="0"/>
              <w:spacing w:line="240" w:lineRule="auto"/>
              <w:ind w:left="-27"/>
              <w:rPr>
                <w:sz w:val="18"/>
                <w:szCs w:val="18"/>
              </w:rPr>
            </w:pPr>
            <w:r w:rsidRPr="009B1A37">
              <w:rPr>
                <w:sz w:val="18"/>
                <w:szCs w:val="18"/>
              </w:rPr>
              <w:t>0:50</w:t>
            </w:r>
          </w:p>
        </w:tc>
        <w:tc>
          <w:tcPr>
            <w:tcW w:w="555" w:type="dxa"/>
            <w:shd w:val="clear" w:color="auto" w:fill="auto"/>
          </w:tcPr>
          <w:p w14:paraId="7A1DE309" w14:textId="77777777" w:rsidR="00EA5993" w:rsidRPr="009B1A37" w:rsidRDefault="00EA5993" w:rsidP="00BE3D48">
            <w:pPr>
              <w:keepNext/>
              <w:keepLines/>
              <w:widowControl w:val="0"/>
              <w:spacing w:line="240" w:lineRule="auto"/>
              <w:ind w:left="-27"/>
              <w:rPr>
                <w:sz w:val="18"/>
                <w:szCs w:val="18"/>
              </w:rPr>
            </w:pPr>
          </w:p>
        </w:tc>
      </w:tr>
    </w:tbl>
    <w:p w14:paraId="5F62E616" w14:textId="77777777" w:rsidR="00EA5993" w:rsidRPr="009B1A37" w:rsidRDefault="00EA5993" w:rsidP="00BE3D48">
      <w:pPr>
        <w:widowControl w:val="0"/>
        <w:tabs>
          <w:tab w:val="clear" w:pos="567"/>
        </w:tabs>
        <w:spacing w:line="240" w:lineRule="auto"/>
        <w:rPr>
          <w:rFonts w:eastAsia="MS Mincho"/>
        </w:rPr>
      </w:pPr>
    </w:p>
    <w:p w14:paraId="7021B4F4" w14:textId="77777777" w:rsidR="00EA5993" w:rsidRPr="009B1A37" w:rsidRDefault="00EA5993" w:rsidP="00BE3D48">
      <w:pPr>
        <w:widowControl w:val="0"/>
        <w:tabs>
          <w:tab w:val="clear" w:pos="567"/>
        </w:tabs>
        <w:spacing w:line="240" w:lineRule="auto"/>
        <w:rPr>
          <w:rFonts w:eastAsia="MS Mincho"/>
        </w:rPr>
      </w:pPr>
    </w:p>
    <w:p w14:paraId="5827E21C" w14:textId="77777777" w:rsidR="00EA5993" w:rsidRPr="009B1A37" w:rsidRDefault="00EA5993" w:rsidP="00BE3D48">
      <w:pPr>
        <w:keepNext/>
        <w:keepLines/>
        <w:widowControl w:val="0"/>
        <w:tabs>
          <w:tab w:val="clear" w:pos="567"/>
        </w:tabs>
        <w:spacing w:line="240" w:lineRule="auto"/>
        <w:ind w:left="1134" w:hanging="1134"/>
        <w:outlineLvl w:val="6"/>
        <w:rPr>
          <w:rFonts w:eastAsia="MS Mincho"/>
          <w:b/>
        </w:rPr>
      </w:pPr>
      <w:r w:rsidRPr="009B1A37">
        <w:rPr>
          <w:rFonts w:eastAsia="MS Mincho"/>
          <w:b/>
        </w:rPr>
        <w:t>Obrázek 2</w:t>
      </w:r>
      <w:r w:rsidRPr="009B1A37">
        <w:rPr>
          <w:rFonts w:eastAsia="MS Mincho"/>
          <w:b/>
        </w:rPr>
        <w:tab/>
        <w:t>Odhad celkového přežití podle Kaplan-Meiera (ITT populace)</w:t>
      </w:r>
    </w:p>
    <w:p w14:paraId="0D1A348D" w14:textId="77777777" w:rsidR="00EA5993" w:rsidRPr="009B1A37" w:rsidRDefault="001B24B9" w:rsidP="00BE3D48">
      <w:pPr>
        <w:keepNext/>
        <w:keepLines/>
        <w:widowControl w:val="0"/>
        <w:tabs>
          <w:tab w:val="clear" w:pos="567"/>
        </w:tabs>
        <w:spacing w:line="240" w:lineRule="auto"/>
        <w:ind w:left="1134" w:hanging="1134"/>
        <w:outlineLvl w:val="6"/>
        <w:rPr>
          <w:rFonts w:eastAsia="MS Mincho"/>
        </w:rPr>
      </w:pPr>
      <w:r w:rsidRPr="009B1A37">
        <w:rPr>
          <w:rFonts w:eastAsia="MS Mincho"/>
          <w:noProof/>
          <w:lang w:val="en-GB" w:eastAsia="en-GB"/>
        </w:rPr>
        <mc:AlternateContent>
          <mc:Choice Requires="wps">
            <w:drawing>
              <wp:anchor distT="0" distB="0" distL="114300" distR="114300" simplePos="0" relativeHeight="251661312" behindDoc="0" locked="0" layoutInCell="1" allowOverlap="1" wp14:anchorId="5DD66D4A" wp14:editId="062BAB7B">
                <wp:simplePos x="0" y="0"/>
                <wp:positionH relativeFrom="column">
                  <wp:posOffset>-282575</wp:posOffset>
                </wp:positionH>
                <wp:positionV relativeFrom="paragraph">
                  <wp:posOffset>143510</wp:posOffset>
                </wp:positionV>
                <wp:extent cx="335915" cy="223266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E420FF" w14:textId="77777777" w:rsidR="00897AA8" w:rsidRPr="00A33DBA" w:rsidRDefault="00897AA8" w:rsidP="00EA5993">
                            <w:pPr>
                              <w:rPr>
                                <w:rFonts w:ascii="Arial" w:hAnsi="Arial" w:cs="Arial"/>
                                <w:sz w:val="20"/>
                                <w:szCs w:val="20"/>
                              </w:rPr>
                            </w:pPr>
                            <w:r w:rsidRPr="00A33DBA">
                              <w:rPr>
                                <w:rFonts w:ascii="Arial" w:hAnsi="Arial" w:cs="Arial"/>
                                <w:sz w:val="20"/>
                                <w:szCs w:val="20"/>
                              </w:rPr>
                              <w:t>P</w:t>
                            </w:r>
                            <w:r>
                              <w:rPr>
                                <w:rFonts w:ascii="Arial" w:hAnsi="Arial" w:cs="Arial"/>
                                <w:sz w:val="20"/>
                                <w:szCs w:val="20"/>
                              </w:rPr>
                              <w:t>ravděpodobnost  celkového přežití</w:t>
                            </w:r>
                          </w:p>
                          <w:p w14:paraId="09D2B6C6" w14:textId="77777777" w:rsidR="00897AA8" w:rsidRPr="00A33DBA" w:rsidRDefault="00897AA8" w:rsidP="00EA5993">
                            <w:pPr>
                              <w:rPr>
                                <w:rFonts w:ascii="Arial" w:hAnsi="Arial" w:cs="Arial"/>
                                <w:sz w:val="20"/>
                                <w:szCs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D66D4A" id="_x0000_s1035" type="#_x0000_t202" style="position:absolute;left:0;text-align:left;margin-left:-22.25pt;margin-top:11.3pt;width:26.45pt;height:17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" stroked="f">
                <v:fill opacity="0"/>
                <v:textbox style="layout-flow:vertical;mso-layout-flow-alt:bottom-to-top">
                  <w:txbxContent>
                    <w:p w14:paraId="4BE420FF" w14:textId="77777777" w:rsidR="00897AA8" w:rsidRPr="00A33DBA" w:rsidRDefault="00897AA8" w:rsidP="00EA5993">
                      <w:pPr>
                        <w:rPr>
                          <w:rFonts w:ascii="Arial" w:hAnsi="Arial" w:cs="Arial"/>
                          <w:sz w:val="20"/>
                          <w:szCs w:val="20"/>
                        </w:rPr>
                      </w:pPr>
                      <w:r w:rsidRPr="00A33DBA">
                        <w:rPr>
                          <w:rFonts w:ascii="Arial" w:hAnsi="Arial" w:cs="Arial"/>
                          <w:sz w:val="20"/>
                          <w:szCs w:val="20"/>
                        </w:rPr>
                        <w:t>P</w:t>
                      </w:r>
                      <w:r>
                        <w:rPr>
                          <w:rFonts w:ascii="Arial" w:hAnsi="Arial" w:cs="Arial"/>
                          <w:sz w:val="20"/>
                          <w:szCs w:val="20"/>
                        </w:rPr>
                        <w:t>ravděpodobnost  celkového přežití</w:t>
                      </w:r>
                    </w:p>
                    <w:p w14:paraId="09D2B6C6" w14:textId="77777777" w:rsidR="00897AA8" w:rsidRPr="00A33DBA" w:rsidRDefault="00897AA8" w:rsidP="00EA5993">
                      <w:pPr>
                        <w:rPr>
                          <w:rFonts w:ascii="Arial" w:hAnsi="Arial" w:cs="Arial"/>
                          <w:sz w:val="20"/>
                          <w:szCs w:val="20"/>
                        </w:rPr>
                      </w:pPr>
                    </w:p>
                  </w:txbxContent>
                </v:textbox>
              </v:shape>
            </w:pict>
          </mc:Fallback>
        </mc:AlternateContent>
      </w:r>
    </w:p>
    <w:p w14:paraId="415EB9AC" w14:textId="77777777" w:rsidR="00EA5993" w:rsidRPr="009B1A37" w:rsidRDefault="001B24B9" w:rsidP="00BE3D48">
      <w:pPr>
        <w:keepNext/>
        <w:keepLines/>
        <w:widowControl w:val="0"/>
        <w:tabs>
          <w:tab w:val="clear" w:pos="567"/>
        </w:tabs>
        <w:spacing w:line="240" w:lineRule="auto"/>
        <w:ind w:left="1134" w:hanging="1134"/>
        <w:outlineLvl w:val="6"/>
        <w:rPr>
          <w:rFonts w:eastAsia="MS Mincho"/>
        </w:rPr>
      </w:pPr>
      <w:r w:rsidRPr="009B1A37">
        <w:rPr>
          <w:rFonts w:eastAsia="MS Mincho"/>
          <w:noProof/>
          <w:lang w:val="en-GB" w:eastAsia="en-GB"/>
        </w:rPr>
        <mc:AlternateContent>
          <mc:Choice Requires="wps">
            <w:drawing>
              <wp:anchor distT="0" distB="0" distL="114300" distR="114300" simplePos="0" relativeHeight="251662336" behindDoc="0" locked="0" layoutInCell="1" allowOverlap="1" wp14:anchorId="545E4594" wp14:editId="3FA02BF0">
                <wp:simplePos x="0" y="0"/>
                <wp:positionH relativeFrom="column">
                  <wp:posOffset>342265</wp:posOffset>
                </wp:positionH>
                <wp:positionV relativeFrom="paragraph">
                  <wp:posOffset>944880</wp:posOffset>
                </wp:positionV>
                <wp:extent cx="4585335" cy="14287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BED7A" w14:textId="77777777" w:rsidR="00897AA8" w:rsidRDefault="00897AA8" w:rsidP="00EA5993">
                            <w:pPr>
                              <w:rPr>
                                <w:rFonts w:ascii="Arial" w:hAnsi="Arial" w:cs="Arial"/>
                                <w:sz w:val="20"/>
                                <w:szCs w:val="20"/>
                              </w:rPr>
                            </w:pPr>
                          </w:p>
                          <w:tbl>
                            <w:tblPr>
                              <w:tblW w:w="0" w:type="auto"/>
                              <w:tblLook w:val="04A0" w:firstRow="1" w:lastRow="0" w:firstColumn="1" w:lastColumn="0" w:noHBand="0" w:noVBand="1"/>
                            </w:tblPr>
                            <w:tblGrid>
                              <w:gridCol w:w="817"/>
                              <w:gridCol w:w="2464"/>
                              <w:gridCol w:w="851"/>
                              <w:gridCol w:w="709"/>
                              <w:gridCol w:w="850"/>
                            </w:tblGrid>
                            <w:tr w:rsidR="00897AA8" w:rsidRPr="0055776F" w14:paraId="1E46C157" w14:textId="77777777">
                              <w:tc>
                                <w:tcPr>
                                  <w:tcW w:w="5691" w:type="dxa"/>
                                  <w:gridSpan w:val="5"/>
                                  <w:shd w:val="clear" w:color="auto" w:fill="auto"/>
                                </w:tcPr>
                                <w:p w14:paraId="62C24F17" w14:textId="77777777" w:rsidR="00897AA8" w:rsidRPr="0055776F" w:rsidRDefault="00897AA8" w:rsidP="007B7F7F">
                                  <w:pPr>
                                    <w:rPr>
                                      <w:rFonts w:ascii="Arial" w:hAnsi="Arial" w:cs="Arial"/>
                                      <w:sz w:val="20"/>
                                      <w:szCs w:val="20"/>
                                    </w:rPr>
                                  </w:pPr>
                                  <w:r>
                                    <w:rPr>
                                      <w:rFonts w:ascii="Arial" w:hAnsi="Arial" w:cs="Arial"/>
                                      <w:sz w:val="20"/>
                                      <w:szCs w:val="20"/>
                                    </w:rPr>
                                    <w:t>P = 0,0</w:t>
                                  </w:r>
                                  <w:r w:rsidRPr="0055776F">
                                    <w:rPr>
                                      <w:rFonts w:ascii="Arial" w:hAnsi="Arial" w:cs="Arial"/>
                                      <w:sz w:val="20"/>
                                      <w:szCs w:val="20"/>
                                    </w:rPr>
                                    <w:t>19</w:t>
                                  </w:r>
                                </w:p>
                                <w:p w14:paraId="5361032A" w14:textId="77777777" w:rsidR="00897AA8" w:rsidRPr="00A33DBA" w:rsidRDefault="00897AA8" w:rsidP="00112FBD">
                                  <w:pPr>
                                    <w:rPr>
                                      <w:rFonts w:ascii="Arial" w:hAnsi="Arial" w:cs="Arial"/>
                                      <w:sz w:val="20"/>
                                      <w:szCs w:val="20"/>
                                    </w:rPr>
                                  </w:pPr>
                                  <w:r>
                                    <w:rPr>
                                      <w:rFonts w:ascii="Arial" w:hAnsi="Arial" w:cs="Arial"/>
                                      <w:sz w:val="20"/>
                                      <w:szCs w:val="20"/>
                                    </w:rPr>
                                    <w:t>Poměr rizik</w:t>
                                  </w:r>
                                  <w:r w:rsidRPr="00A33DBA">
                                    <w:rPr>
                                      <w:rFonts w:ascii="Arial" w:hAnsi="Arial" w:cs="Arial"/>
                                      <w:sz w:val="20"/>
                                      <w:szCs w:val="20"/>
                                    </w:rPr>
                                    <w:t xml:space="preserve"> 0</w:t>
                                  </w:r>
                                  <w:r>
                                    <w:rPr>
                                      <w:rFonts w:ascii="Arial" w:hAnsi="Arial" w:cs="Arial"/>
                                      <w:sz w:val="20"/>
                                      <w:szCs w:val="20"/>
                                    </w:rPr>
                                    <w:t>,</w:t>
                                  </w:r>
                                  <w:r w:rsidRPr="00A33DBA">
                                    <w:rPr>
                                      <w:rFonts w:ascii="Arial" w:hAnsi="Arial" w:cs="Arial"/>
                                      <w:sz w:val="20"/>
                                      <w:szCs w:val="20"/>
                                    </w:rPr>
                                    <w:t>45</w:t>
                                  </w:r>
                                </w:p>
                                <w:p w14:paraId="4BC34BFB" w14:textId="77777777" w:rsidR="00897AA8" w:rsidRPr="0055776F" w:rsidRDefault="00897AA8" w:rsidP="00112FBD">
                                  <w:pPr>
                                    <w:rPr>
                                      <w:rFonts w:ascii="Arial" w:hAnsi="Arial" w:cs="Arial"/>
                                      <w:sz w:val="20"/>
                                      <w:szCs w:val="20"/>
                                      <w:lang w:val="de-DE"/>
                                    </w:rPr>
                                  </w:pPr>
                                  <w:r w:rsidRPr="00A33DBA">
                                    <w:rPr>
                                      <w:rFonts w:ascii="Arial" w:hAnsi="Arial" w:cs="Arial"/>
                                      <w:sz w:val="20"/>
                                      <w:szCs w:val="20"/>
                                    </w:rPr>
                                    <w:t>(95% Cl, 0</w:t>
                                  </w:r>
                                  <w:r>
                                    <w:rPr>
                                      <w:rFonts w:ascii="Arial" w:hAnsi="Arial" w:cs="Arial"/>
                                      <w:sz w:val="20"/>
                                      <w:szCs w:val="20"/>
                                    </w:rPr>
                                    <w:t>,22</w:t>
                                  </w:r>
                                  <w:r>
                                    <w:rPr>
                                      <w:rFonts w:ascii="Arial" w:hAnsi="Arial" w:cs="Arial"/>
                                      <w:sz w:val="20"/>
                                      <w:szCs w:val="20"/>
                                    </w:rPr>
                                    <w:noBreakHyphen/>
                                  </w:r>
                                  <w:r w:rsidRPr="00A33DBA">
                                    <w:rPr>
                                      <w:rFonts w:ascii="Arial" w:hAnsi="Arial" w:cs="Arial"/>
                                      <w:sz w:val="20"/>
                                      <w:szCs w:val="20"/>
                                    </w:rPr>
                                    <w:t>0</w:t>
                                  </w:r>
                                  <w:r>
                                    <w:rPr>
                                      <w:rFonts w:ascii="Arial" w:hAnsi="Arial" w:cs="Arial"/>
                                      <w:sz w:val="20"/>
                                      <w:szCs w:val="20"/>
                                    </w:rPr>
                                    <w:t>,</w:t>
                                  </w:r>
                                  <w:r w:rsidRPr="00A33DBA">
                                    <w:rPr>
                                      <w:rFonts w:ascii="Arial" w:hAnsi="Arial" w:cs="Arial"/>
                                      <w:sz w:val="20"/>
                                      <w:szCs w:val="20"/>
                                    </w:rPr>
                                    <w:t>89)</w:t>
                                  </w:r>
                                </w:p>
                              </w:tc>
                            </w:tr>
                            <w:tr w:rsidR="00897AA8" w:rsidRPr="0055776F" w14:paraId="0700C5E6" w14:textId="77777777">
                              <w:tc>
                                <w:tcPr>
                                  <w:tcW w:w="817" w:type="dxa"/>
                                  <w:shd w:val="clear" w:color="auto" w:fill="auto"/>
                                </w:tcPr>
                                <w:p w14:paraId="1B73E253" w14:textId="77777777" w:rsidR="00897AA8" w:rsidRPr="0055776F" w:rsidRDefault="00897AA8" w:rsidP="007B7F7F">
                                  <w:pPr>
                                    <w:rPr>
                                      <w:rFonts w:ascii="Arial" w:hAnsi="Arial" w:cs="Arial"/>
                                      <w:sz w:val="20"/>
                                      <w:szCs w:val="20"/>
                                    </w:rPr>
                                  </w:pPr>
                                </w:p>
                              </w:tc>
                              <w:tc>
                                <w:tcPr>
                                  <w:tcW w:w="2464" w:type="dxa"/>
                                  <w:shd w:val="clear" w:color="auto" w:fill="auto"/>
                                </w:tcPr>
                                <w:p w14:paraId="47BE5B13" w14:textId="77777777" w:rsidR="00897AA8" w:rsidRPr="0055776F" w:rsidRDefault="00897AA8" w:rsidP="007B7F7F">
                                  <w:pPr>
                                    <w:rPr>
                                      <w:rFonts w:ascii="Arial" w:hAnsi="Arial" w:cs="Arial"/>
                                      <w:sz w:val="20"/>
                                      <w:szCs w:val="20"/>
                                    </w:rPr>
                                  </w:pPr>
                                </w:p>
                              </w:tc>
                              <w:tc>
                                <w:tcPr>
                                  <w:tcW w:w="851" w:type="dxa"/>
                                  <w:tcBorders>
                                    <w:bottom w:val="single" w:sz="4" w:space="0" w:color="auto"/>
                                  </w:tcBorders>
                                  <w:shd w:val="clear" w:color="auto" w:fill="auto"/>
                                </w:tcPr>
                                <w:p w14:paraId="6CB8C855" w14:textId="77777777" w:rsidR="00897AA8" w:rsidRPr="0055776F" w:rsidRDefault="00897AA8" w:rsidP="007B7F7F">
                                  <w:pPr>
                                    <w:rPr>
                                      <w:rFonts w:ascii="Arial" w:hAnsi="Arial" w:cs="Arial"/>
                                      <w:sz w:val="20"/>
                                      <w:szCs w:val="20"/>
                                    </w:rPr>
                                  </w:pPr>
                                  <w:r>
                                    <w:rPr>
                                      <w:rFonts w:ascii="Arial" w:hAnsi="Arial" w:cs="Arial"/>
                                      <w:sz w:val="20"/>
                                      <w:szCs w:val="20"/>
                                      <w:lang w:val="de-DE"/>
                                    </w:rPr>
                                    <w:t>n</w:t>
                                  </w:r>
                                </w:p>
                              </w:tc>
                              <w:tc>
                                <w:tcPr>
                                  <w:tcW w:w="709" w:type="dxa"/>
                                  <w:tcBorders>
                                    <w:bottom w:val="single" w:sz="4" w:space="0" w:color="auto"/>
                                  </w:tcBorders>
                                  <w:shd w:val="clear" w:color="auto" w:fill="auto"/>
                                </w:tcPr>
                                <w:p w14:paraId="07EA5C52" w14:textId="77777777" w:rsidR="00897AA8" w:rsidRPr="0055776F" w:rsidRDefault="00897AA8" w:rsidP="007B7F7F">
                                  <w:pPr>
                                    <w:rPr>
                                      <w:rFonts w:ascii="Arial" w:hAnsi="Arial" w:cs="Arial"/>
                                      <w:sz w:val="20"/>
                                      <w:szCs w:val="20"/>
                                    </w:rPr>
                                  </w:pPr>
                                  <w:r w:rsidRPr="00112FBD">
                                    <w:rPr>
                                      <w:rFonts w:ascii="Arial" w:hAnsi="Arial" w:cs="Arial"/>
                                      <w:sz w:val="20"/>
                                      <w:szCs w:val="20"/>
                                      <w:lang w:val="it-IT"/>
                                    </w:rPr>
                                    <w:t>Udál.</w:t>
                                  </w:r>
                                </w:p>
                              </w:tc>
                              <w:tc>
                                <w:tcPr>
                                  <w:tcW w:w="850" w:type="dxa"/>
                                  <w:tcBorders>
                                    <w:bottom w:val="single" w:sz="4" w:space="0" w:color="auto"/>
                                  </w:tcBorders>
                                  <w:shd w:val="clear" w:color="auto" w:fill="auto"/>
                                </w:tcPr>
                                <w:p w14:paraId="44E45795" w14:textId="77777777" w:rsidR="00897AA8" w:rsidRPr="0055776F" w:rsidRDefault="00897AA8" w:rsidP="007B7F7F">
                                  <w:pPr>
                                    <w:rPr>
                                      <w:rFonts w:ascii="Arial" w:hAnsi="Arial" w:cs="Arial"/>
                                      <w:sz w:val="20"/>
                                      <w:szCs w:val="20"/>
                                    </w:rPr>
                                  </w:pPr>
                                  <w:r w:rsidRPr="00112FBD">
                                    <w:rPr>
                                      <w:rFonts w:ascii="Arial" w:hAnsi="Arial" w:cs="Arial"/>
                                      <w:sz w:val="20"/>
                                      <w:szCs w:val="20"/>
                                      <w:lang w:val="it-IT"/>
                                    </w:rPr>
                                    <w:t>Cen.</w:t>
                                  </w:r>
                                </w:p>
                              </w:tc>
                            </w:tr>
                            <w:tr w:rsidR="00897AA8" w:rsidRPr="0055776F" w14:paraId="50B56235" w14:textId="77777777">
                              <w:tc>
                                <w:tcPr>
                                  <w:tcW w:w="817" w:type="dxa"/>
                                  <w:shd w:val="clear" w:color="auto" w:fill="auto"/>
                                </w:tcPr>
                                <w:p w14:paraId="43B4C911" w14:textId="77777777" w:rsidR="00897AA8" w:rsidRPr="0055776F" w:rsidRDefault="00897AA8" w:rsidP="007B7F7F">
                                  <w:pPr>
                                    <w:rPr>
                                      <w:rFonts w:ascii="Arial" w:hAnsi="Arial" w:cs="Arial"/>
                                      <w:sz w:val="20"/>
                                      <w:szCs w:val="20"/>
                                    </w:rPr>
                                  </w:pPr>
                                  <w:r w:rsidRPr="0055776F">
                                    <w:rPr>
                                      <w:rFonts w:ascii="Arial" w:hAnsi="Arial" w:cs="Arial"/>
                                      <w:b/>
                                      <w:sz w:val="20"/>
                                      <w:szCs w:val="20"/>
                                    </w:rPr>
                                    <w:t>——</w:t>
                                  </w:r>
                                </w:p>
                              </w:tc>
                              <w:tc>
                                <w:tcPr>
                                  <w:tcW w:w="2464" w:type="dxa"/>
                                  <w:shd w:val="clear" w:color="auto" w:fill="auto"/>
                                </w:tcPr>
                                <w:p w14:paraId="09927A14" w14:textId="77777777" w:rsidR="00897AA8" w:rsidRPr="0055776F" w:rsidRDefault="00897AA8" w:rsidP="000E5517">
                                  <w:pPr>
                                    <w:rPr>
                                      <w:rFonts w:ascii="Arial" w:hAnsi="Arial" w:cs="Arial"/>
                                      <w:sz w:val="20"/>
                                      <w:szCs w:val="20"/>
                                    </w:rPr>
                                  </w:pPr>
                                  <w:r>
                                    <w:rPr>
                                      <w:rFonts w:ascii="Arial" w:hAnsi="Arial" w:cs="Arial"/>
                                      <w:sz w:val="20"/>
                                      <w:szCs w:val="20"/>
                                    </w:rPr>
                                    <w:t>(1) Imatinib 12 měsíců</w:t>
                                  </w:r>
                                  <w:r w:rsidRPr="00A33DBA">
                                    <w:rPr>
                                      <w:rFonts w:ascii="Arial" w:hAnsi="Arial" w:cs="Arial"/>
                                      <w:sz w:val="20"/>
                                      <w:szCs w:val="20"/>
                                    </w:rPr>
                                    <w:t>:</w:t>
                                  </w:r>
                                </w:p>
                              </w:tc>
                              <w:tc>
                                <w:tcPr>
                                  <w:tcW w:w="851" w:type="dxa"/>
                                  <w:tcBorders>
                                    <w:top w:val="single" w:sz="4" w:space="0" w:color="auto"/>
                                  </w:tcBorders>
                                  <w:shd w:val="clear" w:color="auto" w:fill="auto"/>
                                </w:tcPr>
                                <w:p w14:paraId="53621021" w14:textId="77777777" w:rsidR="00897AA8" w:rsidRPr="0055776F" w:rsidRDefault="00897AA8" w:rsidP="007B7F7F">
                                  <w:pPr>
                                    <w:rPr>
                                      <w:rFonts w:ascii="Arial" w:hAnsi="Arial" w:cs="Arial"/>
                                      <w:sz w:val="20"/>
                                      <w:szCs w:val="20"/>
                                    </w:rPr>
                                  </w:pPr>
                                  <w:r w:rsidRPr="0055776F">
                                    <w:rPr>
                                      <w:rFonts w:ascii="Arial" w:hAnsi="Arial" w:cs="Arial"/>
                                      <w:sz w:val="20"/>
                                      <w:szCs w:val="20"/>
                                    </w:rPr>
                                    <w:t>199</w:t>
                                  </w:r>
                                </w:p>
                              </w:tc>
                              <w:tc>
                                <w:tcPr>
                                  <w:tcW w:w="709" w:type="dxa"/>
                                  <w:tcBorders>
                                    <w:top w:val="single" w:sz="4" w:space="0" w:color="auto"/>
                                  </w:tcBorders>
                                  <w:shd w:val="clear" w:color="auto" w:fill="auto"/>
                                </w:tcPr>
                                <w:p w14:paraId="7411AB09" w14:textId="77777777" w:rsidR="00897AA8" w:rsidRPr="0055776F" w:rsidRDefault="00897AA8" w:rsidP="007B7F7F">
                                  <w:pPr>
                                    <w:rPr>
                                      <w:rFonts w:ascii="Arial" w:hAnsi="Arial" w:cs="Arial"/>
                                      <w:sz w:val="20"/>
                                      <w:szCs w:val="20"/>
                                    </w:rPr>
                                  </w:pPr>
                                  <w:r w:rsidRPr="0055776F">
                                    <w:rPr>
                                      <w:rFonts w:ascii="Arial" w:hAnsi="Arial" w:cs="Arial"/>
                                      <w:sz w:val="20"/>
                                      <w:szCs w:val="20"/>
                                    </w:rPr>
                                    <w:t>25</w:t>
                                  </w:r>
                                </w:p>
                              </w:tc>
                              <w:tc>
                                <w:tcPr>
                                  <w:tcW w:w="850" w:type="dxa"/>
                                  <w:tcBorders>
                                    <w:top w:val="single" w:sz="4" w:space="0" w:color="auto"/>
                                  </w:tcBorders>
                                  <w:shd w:val="clear" w:color="auto" w:fill="auto"/>
                                </w:tcPr>
                                <w:p w14:paraId="64DB6B6F" w14:textId="77777777" w:rsidR="00897AA8" w:rsidRPr="0055776F" w:rsidRDefault="00897AA8" w:rsidP="007B7F7F">
                                  <w:pPr>
                                    <w:rPr>
                                      <w:rFonts w:ascii="Arial" w:hAnsi="Arial" w:cs="Arial"/>
                                      <w:sz w:val="20"/>
                                      <w:szCs w:val="20"/>
                                    </w:rPr>
                                  </w:pPr>
                                  <w:r w:rsidRPr="0055776F">
                                    <w:rPr>
                                      <w:rFonts w:ascii="Arial" w:hAnsi="Arial" w:cs="Arial"/>
                                      <w:sz w:val="20"/>
                                      <w:szCs w:val="20"/>
                                    </w:rPr>
                                    <w:t>174</w:t>
                                  </w:r>
                                </w:p>
                              </w:tc>
                            </w:tr>
                            <w:tr w:rsidR="00897AA8" w:rsidRPr="0055776F" w14:paraId="4A9871A6" w14:textId="77777777">
                              <w:tc>
                                <w:tcPr>
                                  <w:tcW w:w="817" w:type="dxa"/>
                                  <w:shd w:val="clear" w:color="auto" w:fill="auto"/>
                                </w:tcPr>
                                <w:p w14:paraId="59855FC6" w14:textId="77777777" w:rsidR="00897AA8" w:rsidRPr="0055776F" w:rsidRDefault="00897AA8" w:rsidP="007B7F7F">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6CB80492" w14:textId="77777777" w:rsidR="00897AA8" w:rsidRPr="0055776F" w:rsidRDefault="00897AA8" w:rsidP="000E5517">
                                  <w:pPr>
                                    <w:rPr>
                                      <w:rFonts w:ascii="Arial" w:hAnsi="Arial" w:cs="Arial"/>
                                      <w:sz w:val="20"/>
                                      <w:szCs w:val="20"/>
                                    </w:rPr>
                                  </w:pPr>
                                  <w:r>
                                    <w:rPr>
                                      <w:rFonts w:ascii="Arial" w:hAnsi="Arial" w:cs="Arial"/>
                                      <w:sz w:val="20"/>
                                      <w:szCs w:val="20"/>
                                    </w:rPr>
                                    <w:t>(2) Imatinib 36 měsíců</w:t>
                                  </w:r>
                                  <w:r w:rsidRPr="00A33DBA">
                                    <w:rPr>
                                      <w:rFonts w:ascii="Arial" w:hAnsi="Arial" w:cs="Arial"/>
                                      <w:sz w:val="20"/>
                                      <w:szCs w:val="20"/>
                                    </w:rPr>
                                    <w:t>:</w:t>
                                  </w:r>
                                </w:p>
                              </w:tc>
                              <w:tc>
                                <w:tcPr>
                                  <w:tcW w:w="851" w:type="dxa"/>
                                  <w:tcBorders>
                                    <w:bottom w:val="single" w:sz="4" w:space="0" w:color="auto"/>
                                  </w:tcBorders>
                                  <w:shd w:val="clear" w:color="auto" w:fill="auto"/>
                                </w:tcPr>
                                <w:p w14:paraId="6A94467A" w14:textId="77777777" w:rsidR="00897AA8" w:rsidRPr="0055776F" w:rsidRDefault="00897AA8" w:rsidP="007B7F7F">
                                  <w:pPr>
                                    <w:rPr>
                                      <w:rFonts w:ascii="Arial" w:hAnsi="Arial" w:cs="Arial"/>
                                      <w:sz w:val="20"/>
                                      <w:szCs w:val="20"/>
                                    </w:rPr>
                                  </w:pPr>
                                  <w:r w:rsidRPr="0055776F">
                                    <w:rPr>
                                      <w:rFonts w:ascii="Arial" w:hAnsi="Arial" w:cs="Arial"/>
                                      <w:sz w:val="20"/>
                                      <w:szCs w:val="20"/>
                                    </w:rPr>
                                    <w:t>198</w:t>
                                  </w:r>
                                </w:p>
                              </w:tc>
                              <w:tc>
                                <w:tcPr>
                                  <w:tcW w:w="709" w:type="dxa"/>
                                  <w:tcBorders>
                                    <w:bottom w:val="single" w:sz="4" w:space="0" w:color="auto"/>
                                  </w:tcBorders>
                                  <w:shd w:val="clear" w:color="auto" w:fill="auto"/>
                                </w:tcPr>
                                <w:p w14:paraId="5560B6D2" w14:textId="77777777" w:rsidR="00897AA8" w:rsidRPr="0055776F" w:rsidRDefault="00897AA8" w:rsidP="007B7F7F">
                                  <w:pPr>
                                    <w:rPr>
                                      <w:rFonts w:ascii="Arial" w:hAnsi="Arial" w:cs="Arial"/>
                                      <w:sz w:val="20"/>
                                      <w:szCs w:val="20"/>
                                    </w:rPr>
                                  </w:pPr>
                                  <w:r w:rsidRPr="0055776F">
                                    <w:rPr>
                                      <w:rFonts w:ascii="Arial" w:hAnsi="Arial" w:cs="Arial"/>
                                      <w:sz w:val="20"/>
                                      <w:szCs w:val="20"/>
                                    </w:rPr>
                                    <w:t>12</w:t>
                                  </w:r>
                                </w:p>
                              </w:tc>
                              <w:tc>
                                <w:tcPr>
                                  <w:tcW w:w="850" w:type="dxa"/>
                                  <w:tcBorders>
                                    <w:bottom w:val="single" w:sz="4" w:space="0" w:color="auto"/>
                                  </w:tcBorders>
                                  <w:shd w:val="clear" w:color="auto" w:fill="auto"/>
                                </w:tcPr>
                                <w:p w14:paraId="7A5283D5" w14:textId="77777777" w:rsidR="00897AA8" w:rsidRPr="0055776F" w:rsidRDefault="00897AA8" w:rsidP="007B7F7F">
                                  <w:pPr>
                                    <w:rPr>
                                      <w:rFonts w:ascii="Arial" w:hAnsi="Arial" w:cs="Arial"/>
                                      <w:sz w:val="20"/>
                                      <w:szCs w:val="20"/>
                                    </w:rPr>
                                  </w:pPr>
                                  <w:r w:rsidRPr="0055776F">
                                    <w:rPr>
                                      <w:rFonts w:ascii="Arial" w:hAnsi="Arial" w:cs="Arial"/>
                                      <w:sz w:val="20"/>
                                      <w:szCs w:val="20"/>
                                    </w:rPr>
                                    <w:t>186</w:t>
                                  </w:r>
                                </w:p>
                              </w:tc>
                            </w:tr>
                            <w:tr w:rsidR="00897AA8" w:rsidRPr="0055776F" w14:paraId="0094E2B1" w14:textId="77777777">
                              <w:tc>
                                <w:tcPr>
                                  <w:tcW w:w="817" w:type="dxa"/>
                                  <w:shd w:val="clear" w:color="auto" w:fill="auto"/>
                                </w:tcPr>
                                <w:p w14:paraId="554CBD1A" w14:textId="77777777" w:rsidR="00897AA8" w:rsidRPr="0055776F" w:rsidRDefault="00897AA8" w:rsidP="007B7F7F">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7BFF7971" w14:textId="77777777" w:rsidR="00897AA8" w:rsidRPr="0055776F" w:rsidRDefault="00897AA8" w:rsidP="007B7F7F">
                                  <w:pPr>
                                    <w:rPr>
                                      <w:rFonts w:ascii="Arial" w:hAnsi="Arial" w:cs="Arial"/>
                                      <w:sz w:val="20"/>
                                      <w:szCs w:val="20"/>
                                    </w:rPr>
                                  </w:pPr>
                                  <w:r>
                                    <w:rPr>
                                      <w:rFonts w:ascii="Arial" w:hAnsi="Arial" w:cs="Arial"/>
                                      <w:sz w:val="20"/>
                                      <w:szCs w:val="20"/>
                                    </w:rPr>
                                    <w:t>Cenzorovaná pozorování</w:t>
                                  </w:r>
                                </w:p>
                              </w:tc>
                              <w:tc>
                                <w:tcPr>
                                  <w:tcW w:w="851" w:type="dxa"/>
                                  <w:tcBorders>
                                    <w:top w:val="single" w:sz="4" w:space="0" w:color="auto"/>
                                  </w:tcBorders>
                                  <w:shd w:val="clear" w:color="auto" w:fill="auto"/>
                                </w:tcPr>
                                <w:p w14:paraId="12E2CC94" w14:textId="77777777" w:rsidR="00897AA8" w:rsidRPr="0055776F" w:rsidRDefault="00897AA8" w:rsidP="007B7F7F">
                                  <w:pPr>
                                    <w:rPr>
                                      <w:rFonts w:ascii="Arial" w:hAnsi="Arial" w:cs="Arial"/>
                                      <w:sz w:val="20"/>
                                      <w:szCs w:val="20"/>
                                    </w:rPr>
                                  </w:pPr>
                                </w:p>
                              </w:tc>
                              <w:tc>
                                <w:tcPr>
                                  <w:tcW w:w="709" w:type="dxa"/>
                                  <w:tcBorders>
                                    <w:top w:val="single" w:sz="4" w:space="0" w:color="auto"/>
                                  </w:tcBorders>
                                  <w:shd w:val="clear" w:color="auto" w:fill="auto"/>
                                </w:tcPr>
                                <w:p w14:paraId="21CF0C3B" w14:textId="77777777" w:rsidR="00897AA8" w:rsidRPr="0055776F" w:rsidRDefault="00897AA8" w:rsidP="007B7F7F">
                                  <w:pPr>
                                    <w:rPr>
                                      <w:rFonts w:ascii="Arial" w:hAnsi="Arial" w:cs="Arial"/>
                                      <w:sz w:val="20"/>
                                      <w:szCs w:val="20"/>
                                    </w:rPr>
                                  </w:pPr>
                                </w:p>
                              </w:tc>
                              <w:tc>
                                <w:tcPr>
                                  <w:tcW w:w="850" w:type="dxa"/>
                                  <w:tcBorders>
                                    <w:top w:val="single" w:sz="4" w:space="0" w:color="auto"/>
                                  </w:tcBorders>
                                  <w:shd w:val="clear" w:color="auto" w:fill="auto"/>
                                </w:tcPr>
                                <w:p w14:paraId="1F14EB55" w14:textId="77777777" w:rsidR="00897AA8" w:rsidRPr="0055776F" w:rsidRDefault="00897AA8" w:rsidP="007B7F7F">
                                  <w:pPr>
                                    <w:rPr>
                                      <w:rFonts w:ascii="Arial" w:hAnsi="Arial" w:cs="Arial"/>
                                      <w:sz w:val="20"/>
                                      <w:szCs w:val="20"/>
                                    </w:rPr>
                                  </w:pPr>
                                </w:p>
                              </w:tc>
                            </w:tr>
                          </w:tbl>
                          <w:p w14:paraId="6AC9465D" w14:textId="77777777" w:rsidR="00897AA8" w:rsidRPr="00A33DBA" w:rsidRDefault="00897AA8" w:rsidP="00EA5993">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5E4594" id="_x0000_s1036" type="#_x0000_t202" style="position:absolute;left:0;text-align:left;margin-left:26.95pt;margin-top:74.4pt;width:361.0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" filled="f" stroked="f">
                <v:textbox>
                  <w:txbxContent>
                    <w:p w14:paraId="54ABED7A" w14:textId="77777777" w:rsidR="00897AA8" w:rsidRDefault="00897AA8" w:rsidP="00EA5993">
                      <w:pPr>
                        <w:rPr>
                          <w:rFonts w:ascii="Arial" w:hAnsi="Arial" w:cs="Arial"/>
                          <w:sz w:val="20"/>
                          <w:szCs w:val="20"/>
                        </w:rPr>
                      </w:pPr>
                    </w:p>
                    <w:tbl>
                      <w:tblPr>
                        <w:tblW w:w="0" w:type="auto"/>
                        <w:tblLook w:val="04A0" w:firstRow="1" w:lastRow="0" w:firstColumn="1" w:lastColumn="0" w:noHBand="0" w:noVBand="1"/>
                      </w:tblPr>
                      <w:tblGrid>
                        <w:gridCol w:w="817"/>
                        <w:gridCol w:w="2464"/>
                        <w:gridCol w:w="851"/>
                        <w:gridCol w:w="709"/>
                        <w:gridCol w:w="850"/>
                      </w:tblGrid>
                      <w:tr w:rsidR="00897AA8" w:rsidRPr="0055776F" w14:paraId="1E46C157" w14:textId="77777777">
                        <w:tc>
                          <w:tcPr>
                            <w:tcW w:w="5691" w:type="dxa"/>
                            <w:gridSpan w:val="5"/>
                            <w:shd w:val="clear" w:color="auto" w:fill="auto"/>
                          </w:tcPr>
                          <w:p w14:paraId="62C24F17" w14:textId="77777777" w:rsidR="00897AA8" w:rsidRPr="0055776F" w:rsidRDefault="00897AA8" w:rsidP="007B7F7F">
                            <w:pPr>
                              <w:rPr>
                                <w:rFonts w:ascii="Arial" w:hAnsi="Arial" w:cs="Arial"/>
                                <w:sz w:val="20"/>
                                <w:szCs w:val="20"/>
                              </w:rPr>
                            </w:pPr>
                            <w:r>
                              <w:rPr>
                                <w:rFonts w:ascii="Arial" w:hAnsi="Arial" w:cs="Arial"/>
                                <w:sz w:val="20"/>
                                <w:szCs w:val="20"/>
                              </w:rPr>
                              <w:t>P = 0,0</w:t>
                            </w:r>
                            <w:r w:rsidRPr="0055776F">
                              <w:rPr>
                                <w:rFonts w:ascii="Arial" w:hAnsi="Arial" w:cs="Arial"/>
                                <w:sz w:val="20"/>
                                <w:szCs w:val="20"/>
                              </w:rPr>
                              <w:t>19</w:t>
                            </w:r>
                          </w:p>
                          <w:p w14:paraId="5361032A" w14:textId="77777777" w:rsidR="00897AA8" w:rsidRPr="00A33DBA" w:rsidRDefault="00897AA8" w:rsidP="00112FBD">
                            <w:pPr>
                              <w:rPr>
                                <w:rFonts w:ascii="Arial" w:hAnsi="Arial" w:cs="Arial"/>
                                <w:sz w:val="20"/>
                                <w:szCs w:val="20"/>
                              </w:rPr>
                            </w:pPr>
                            <w:r>
                              <w:rPr>
                                <w:rFonts w:ascii="Arial" w:hAnsi="Arial" w:cs="Arial"/>
                                <w:sz w:val="20"/>
                                <w:szCs w:val="20"/>
                              </w:rPr>
                              <w:t>Poměr rizik</w:t>
                            </w:r>
                            <w:r w:rsidRPr="00A33DBA">
                              <w:rPr>
                                <w:rFonts w:ascii="Arial" w:hAnsi="Arial" w:cs="Arial"/>
                                <w:sz w:val="20"/>
                                <w:szCs w:val="20"/>
                              </w:rPr>
                              <w:t xml:space="preserve"> 0</w:t>
                            </w:r>
                            <w:r>
                              <w:rPr>
                                <w:rFonts w:ascii="Arial" w:hAnsi="Arial" w:cs="Arial"/>
                                <w:sz w:val="20"/>
                                <w:szCs w:val="20"/>
                              </w:rPr>
                              <w:t>,</w:t>
                            </w:r>
                            <w:r w:rsidRPr="00A33DBA">
                              <w:rPr>
                                <w:rFonts w:ascii="Arial" w:hAnsi="Arial" w:cs="Arial"/>
                                <w:sz w:val="20"/>
                                <w:szCs w:val="20"/>
                              </w:rPr>
                              <w:t>45</w:t>
                            </w:r>
                          </w:p>
                          <w:p w14:paraId="4BC34BFB" w14:textId="77777777" w:rsidR="00897AA8" w:rsidRPr="0055776F" w:rsidRDefault="00897AA8" w:rsidP="00112FBD">
                            <w:pPr>
                              <w:rPr>
                                <w:rFonts w:ascii="Arial" w:hAnsi="Arial" w:cs="Arial"/>
                                <w:sz w:val="20"/>
                                <w:szCs w:val="20"/>
                                <w:lang w:val="de-DE"/>
                              </w:rPr>
                            </w:pPr>
                            <w:r w:rsidRPr="00A33DBA">
                              <w:rPr>
                                <w:rFonts w:ascii="Arial" w:hAnsi="Arial" w:cs="Arial"/>
                                <w:sz w:val="20"/>
                                <w:szCs w:val="20"/>
                              </w:rPr>
                              <w:t>(95% Cl, 0</w:t>
                            </w:r>
                            <w:r>
                              <w:rPr>
                                <w:rFonts w:ascii="Arial" w:hAnsi="Arial" w:cs="Arial"/>
                                <w:sz w:val="20"/>
                                <w:szCs w:val="20"/>
                              </w:rPr>
                              <w:t>,22</w:t>
                            </w:r>
                            <w:r>
                              <w:rPr>
                                <w:rFonts w:ascii="Arial" w:hAnsi="Arial" w:cs="Arial"/>
                                <w:sz w:val="20"/>
                                <w:szCs w:val="20"/>
                              </w:rPr>
                              <w:noBreakHyphen/>
                            </w:r>
                            <w:r w:rsidRPr="00A33DBA">
                              <w:rPr>
                                <w:rFonts w:ascii="Arial" w:hAnsi="Arial" w:cs="Arial"/>
                                <w:sz w:val="20"/>
                                <w:szCs w:val="20"/>
                              </w:rPr>
                              <w:t>0</w:t>
                            </w:r>
                            <w:r>
                              <w:rPr>
                                <w:rFonts w:ascii="Arial" w:hAnsi="Arial" w:cs="Arial"/>
                                <w:sz w:val="20"/>
                                <w:szCs w:val="20"/>
                              </w:rPr>
                              <w:t>,</w:t>
                            </w:r>
                            <w:r w:rsidRPr="00A33DBA">
                              <w:rPr>
                                <w:rFonts w:ascii="Arial" w:hAnsi="Arial" w:cs="Arial"/>
                                <w:sz w:val="20"/>
                                <w:szCs w:val="20"/>
                              </w:rPr>
                              <w:t>89)</w:t>
                            </w:r>
                          </w:p>
                        </w:tc>
                      </w:tr>
                      <w:tr w:rsidR="00897AA8" w:rsidRPr="0055776F" w14:paraId="0700C5E6" w14:textId="77777777">
                        <w:tc>
                          <w:tcPr>
                            <w:tcW w:w="817" w:type="dxa"/>
                            <w:shd w:val="clear" w:color="auto" w:fill="auto"/>
                          </w:tcPr>
                          <w:p w14:paraId="1B73E253" w14:textId="77777777" w:rsidR="00897AA8" w:rsidRPr="0055776F" w:rsidRDefault="00897AA8" w:rsidP="007B7F7F">
                            <w:pPr>
                              <w:rPr>
                                <w:rFonts w:ascii="Arial" w:hAnsi="Arial" w:cs="Arial"/>
                                <w:sz w:val="20"/>
                                <w:szCs w:val="20"/>
                              </w:rPr>
                            </w:pPr>
                          </w:p>
                        </w:tc>
                        <w:tc>
                          <w:tcPr>
                            <w:tcW w:w="2464" w:type="dxa"/>
                            <w:shd w:val="clear" w:color="auto" w:fill="auto"/>
                          </w:tcPr>
                          <w:p w14:paraId="47BE5B13" w14:textId="77777777" w:rsidR="00897AA8" w:rsidRPr="0055776F" w:rsidRDefault="00897AA8" w:rsidP="007B7F7F">
                            <w:pPr>
                              <w:rPr>
                                <w:rFonts w:ascii="Arial" w:hAnsi="Arial" w:cs="Arial"/>
                                <w:sz w:val="20"/>
                                <w:szCs w:val="20"/>
                              </w:rPr>
                            </w:pPr>
                          </w:p>
                        </w:tc>
                        <w:tc>
                          <w:tcPr>
                            <w:tcW w:w="851" w:type="dxa"/>
                            <w:tcBorders>
                              <w:bottom w:val="single" w:sz="4" w:space="0" w:color="auto"/>
                            </w:tcBorders>
                            <w:shd w:val="clear" w:color="auto" w:fill="auto"/>
                          </w:tcPr>
                          <w:p w14:paraId="6CB8C855" w14:textId="77777777" w:rsidR="00897AA8" w:rsidRPr="0055776F" w:rsidRDefault="00897AA8" w:rsidP="007B7F7F">
                            <w:pPr>
                              <w:rPr>
                                <w:rFonts w:ascii="Arial" w:hAnsi="Arial" w:cs="Arial"/>
                                <w:sz w:val="20"/>
                                <w:szCs w:val="20"/>
                              </w:rPr>
                            </w:pPr>
                            <w:r>
                              <w:rPr>
                                <w:rFonts w:ascii="Arial" w:hAnsi="Arial" w:cs="Arial"/>
                                <w:sz w:val="20"/>
                                <w:szCs w:val="20"/>
                                <w:lang w:val="de-DE"/>
                              </w:rPr>
                              <w:t>n</w:t>
                            </w:r>
                          </w:p>
                        </w:tc>
                        <w:tc>
                          <w:tcPr>
                            <w:tcW w:w="709" w:type="dxa"/>
                            <w:tcBorders>
                              <w:bottom w:val="single" w:sz="4" w:space="0" w:color="auto"/>
                            </w:tcBorders>
                            <w:shd w:val="clear" w:color="auto" w:fill="auto"/>
                          </w:tcPr>
                          <w:p w14:paraId="07EA5C52" w14:textId="77777777" w:rsidR="00897AA8" w:rsidRPr="0055776F" w:rsidRDefault="00897AA8" w:rsidP="007B7F7F">
                            <w:pPr>
                              <w:rPr>
                                <w:rFonts w:ascii="Arial" w:hAnsi="Arial" w:cs="Arial"/>
                                <w:sz w:val="20"/>
                                <w:szCs w:val="20"/>
                              </w:rPr>
                            </w:pPr>
                            <w:r w:rsidRPr="00112FBD">
                              <w:rPr>
                                <w:rFonts w:ascii="Arial" w:hAnsi="Arial" w:cs="Arial"/>
                                <w:sz w:val="20"/>
                                <w:szCs w:val="20"/>
                                <w:lang w:val="it-IT"/>
                              </w:rPr>
                              <w:t>Udál.</w:t>
                            </w:r>
                          </w:p>
                        </w:tc>
                        <w:tc>
                          <w:tcPr>
                            <w:tcW w:w="850" w:type="dxa"/>
                            <w:tcBorders>
                              <w:bottom w:val="single" w:sz="4" w:space="0" w:color="auto"/>
                            </w:tcBorders>
                            <w:shd w:val="clear" w:color="auto" w:fill="auto"/>
                          </w:tcPr>
                          <w:p w14:paraId="44E45795" w14:textId="77777777" w:rsidR="00897AA8" w:rsidRPr="0055776F" w:rsidRDefault="00897AA8" w:rsidP="007B7F7F">
                            <w:pPr>
                              <w:rPr>
                                <w:rFonts w:ascii="Arial" w:hAnsi="Arial" w:cs="Arial"/>
                                <w:sz w:val="20"/>
                                <w:szCs w:val="20"/>
                              </w:rPr>
                            </w:pPr>
                            <w:r w:rsidRPr="00112FBD">
                              <w:rPr>
                                <w:rFonts w:ascii="Arial" w:hAnsi="Arial" w:cs="Arial"/>
                                <w:sz w:val="20"/>
                                <w:szCs w:val="20"/>
                                <w:lang w:val="it-IT"/>
                              </w:rPr>
                              <w:t>Cen.</w:t>
                            </w:r>
                          </w:p>
                        </w:tc>
                      </w:tr>
                      <w:tr w:rsidR="00897AA8" w:rsidRPr="0055776F" w14:paraId="50B56235" w14:textId="77777777">
                        <w:tc>
                          <w:tcPr>
                            <w:tcW w:w="817" w:type="dxa"/>
                            <w:shd w:val="clear" w:color="auto" w:fill="auto"/>
                          </w:tcPr>
                          <w:p w14:paraId="43B4C911" w14:textId="77777777" w:rsidR="00897AA8" w:rsidRPr="0055776F" w:rsidRDefault="00897AA8" w:rsidP="007B7F7F">
                            <w:pPr>
                              <w:rPr>
                                <w:rFonts w:ascii="Arial" w:hAnsi="Arial" w:cs="Arial"/>
                                <w:sz w:val="20"/>
                                <w:szCs w:val="20"/>
                              </w:rPr>
                            </w:pPr>
                            <w:r w:rsidRPr="0055776F">
                              <w:rPr>
                                <w:rFonts w:ascii="Arial" w:hAnsi="Arial" w:cs="Arial"/>
                                <w:b/>
                                <w:sz w:val="20"/>
                                <w:szCs w:val="20"/>
                              </w:rPr>
                              <w:t>——</w:t>
                            </w:r>
                          </w:p>
                        </w:tc>
                        <w:tc>
                          <w:tcPr>
                            <w:tcW w:w="2464" w:type="dxa"/>
                            <w:shd w:val="clear" w:color="auto" w:fill="auto"/>
                          </w:tcPr>
                          <w:p w14:paraId="09927A14" w14:textId="77777777" w:rsidR="00897AA8" w:rsidRPr="0055776F" w:rsidRDefault="00897AA8" w:rsidP="000E5517">
                            <w:pPr>
                              <w:rPr>
                                <w:rFonts w:ascii="Arial" w:hAnsi="Arial" w:cs="Arial"/>
                                <w:sz w:val="20"/>
                                <w:szCs w:val="20"/>
                              </w:rPr>
                            </w:pPr>
                            <w:r>
                              <w:rPr>
                                <w:rFonts w:ascii="Arial" w:hAnsi="Arial" w:cs="Arial"/>
                                <w:sz w:val="20"/>
                                <w:szCs w:val="20"/>
                              </w:rPr>
                              <w:t>(1) Imatinib 12 měsíců</w:t>
                            </w:r>
                            <w:r w:rsidRPr="00A33DBA">
                              <w:rPr>
                                <w:rFonts w:ascii="Arial" w:hAnsi="Arial" w:cs="Arial"/>
                                <w:sz w:val="20"/>
                                <w:szCs w:val="20"/>
                              </w:rPr>
                              <w:t>:</w:t>
                            </w:r>
                          </w:p>
                        </w:tc>
                        <w:tc>
                          <w:tcPr>
                            <w:tcW w:w="851" w:type="dxa"/>
                            <w:tcBorders>
                              <w:top w:val="single" w:sz="4" w:space="0" w:color="auto"/>
                            </w:tcBorders>
                            <w:shd w:val="clear" w:color="auto" w:fill="auto"/>
                          </w:tcPr>
                          <w:p w14:paraId="53621021" w14:textId="77777777" w:rsidR="00897AA8" w:rsidRPr="0055776F" w:rsidRDefault="00897AA8" w:rsidP="007B7F7F">
                            <w:pPr>
                              <w:rPr>
                                <w:rFonts w:ascii="Arial" w:hAnsi="Arial" w:cs="Arial"/>
                                <w:sz w:val="20"/>
                                <w:szCs w:val="20"/>
                              </w:rPr>
                            </w:pPr>
                            <w:r w:rsidRPr="0055776F">
                              <w:rPr>
                                <w:rFonts w:ascii="Arial" w:hAnsi="Arial" w:cs="Arial"/>
                                <w:sz w:val="20"/>
                                <w:szCs w:val="20"/>
                              </w:rPr>
                              <w:t>199</w:t>
                            </w:r>
                          </w:p>
                        </w:tc>
                        <w:tc>
                          <w:tcPr>
                            <w:tcW w:w="709" w:type="dxa"/>
                            <w:tcBorders>
                              <w:top w:val="single" w:sz="4" w:space="0" w:color="auto"/>
                            </w:tcBorders>
                            <w:shd w:val="clear" w:color="auto" w:fill="auto"/>
                          </w:tcPr>
                          <w:p w14:paraId="7411AB09" w14:textId="77777777" w:rsidR="00897AA8" w:rsidRPr="0055776F" w:rsidRDefault="00897AA8" w:rsidP="007B7F7F">
                            <w:pPr>
                              <w:rPr>
                                <w:rFonts w:ascii="Arial" w:hAnsi="Arial" w:cs="Arial"/>
                                <w:sz w:val="20"/>
                                <w:szCs w:val="20"/>
                              </w:rPr>
                            </w:pPr>
                            <w:r w:rsidRPr="0055776F">
                              <w:rPr>
                                <w:rFonts w:ascii="Arial" w:hAnsi="Arial" w:cs="Arial"/>
                                <w:sz w:val="20"/>
                                <w:szCs w:val="20"/>
                              </w:rPr>
                              <w:t>25</w:t>
                            </w:r>
                          </w:p>
                        </w:tc>
                        <w:tc>
                          <w:tcPr>
                            <w:tcW w:w="850" w:type="dxa"/>
                            <w:tcBorders>
                              <w:top w:val="single" w:sz="4" w:space="0" w:color="auto"/>
                            </w:tcBorders>
                            <w:shd w:val="clear" w:color="auto" w:fill="auto"/>
                          </w:tcPr>
                          <w:p w14:paraId="64DB6B6F" w14:textId="77777777" w:rsidR="00897AA8" w:rsidRPr="0055776F" w:rsidRDefault="00897AA8" w:rsidP="007B7F7F">
                            <w:pPr>
                              <w:rPr>
                                <w:rFonts w:ascii="Arial" w:hAnsi="Arial" w:cs="Arial"/>
                                <w:sz w:val="20"/>
                                <w:szCs w:val="20"/>
                              </w:rPr>
                            </w:pPr>
                            <w:r w:rsidRPr="0055776F">
                              <w:rPr>
                                <w:rFonts w:ascii="Arial" w:hAnsi="Arial" w:cs="Arial"/>
                                <w:sz w:val="20"/>
                                <w:szCs w:val="20"/>
                              </w:rPr>
                              <w:t>174</w:t>
                            </w:r>
                          </w:p>
                        </w:tc>
                      </w:tr>
                      <w:tr w:rsidR="00897AA8" w:rsidRPr="0055776F" w14:paraId="4A9871A6" w14:textId="77777777">
                        <w:tc>
                          <w:tcPr>
                            <w:tcW w:w="817" w:type="dxa"/>
                            <w:shd w:val="clear" w:color="auto" w:fill="auto"/>
                          </w:tcPr>
                          <w:p w14:paraId="59855FC6" w14:textId="77777777" w:rsidR="00897AA8" w:rsidRPr="0055776F" w:rsidRDefault="00897AA8" w:rsidP="007B7F7F">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6CB80492" w14:textId="77777777" w:rsidR="00897AA8" w:rsidRPr="0055776F" w:rsidRDefault="00897AA8" w:rsidP="000E5517">
                            <w:pPr>
                              <w:rPr>
                                <w:rFonts w:ascii="Arial" w:hAnsi="Arial" w:cs="Arial"/>
                                <w:sz w:val="20"/>
                                <w:szCs w:val="20"/>
                              </w:rPr>
                            </w:pPr>
                            <w:r>
                              <w:rPr>
                                <w:rFonts w:ascii="Arial" w:hAnsi="Arial" w:cs="Arial"/>
                                <w:sz w:val="20"/>
                                <w:szCs w:val="20"/>
                              </w:rPr>
                              <w:t>(2) Imatinib 36 měsíců</w:t>
                            </w:r>
                            <w:r w:rsidRPr="00A33DBA">
                              <w:rPr>
                                <w:rFonts w:ascii="Arial" w:hAnsi="Arial" w:cs="Arial"/>
                                <w:sz w:val="20"/>
                                <w:szCs w:val="20"/>
                              </w:rPr>
                              <w:t>:</w:t>
                            </w:r>
                          </w:p>
                        </w:tc>
                        <w:tc>
                          <w:tcPr>
                            <w:tcW w:w="851" w:type="dxa"/>
                            <w:tcBorders>
                              <w:bottom w:val="single" w:sz="4" w:space="0" w:color="auto"/>
                            </w:tcBorders>
                            <w:shd w:val="clear" w:color="auto" w:fill="auto"/>
                          </w:tcPr>
                          <w:p w14:paraId="6A94467A" w14:textId="77777777" w:rsidR="00897AA8" w:rsidRPr="0055776F" w:rsidRDefault="00897AA8" w:rsidP="007B7F7F">
                            <w:pPr>
                              <w:rPr>
                                <w:rFonts w:ascii="Arial" w:hAnsi="Arial" w:cs="Arial"/>
                                <w:sz w:val="20"/>
                                <w:szCs w:val="20"/>
                              </w:rPr>
                            </w:pPr>
                            <w:r w:rsidRPr="0055776F">
                              <w:rPr>
                                <w:rFonts w:ascii="Arial" w:hAnsi="Arial" w:cs="Arial"/>
                                <w:sz w:val="20"/>
                                <w:szCs w:val="20"/>
                              </w:rPr>
                              <w:t>198</w:t>
                            </w:r>
                          </w:p>
                        </w:tc>
                        <w:tc>
                          <w:tcPr>
                            <w:tcW w:w="709" w:type="dxa"/>
                            <w:tcBorders>
                              <w:bottom w:val="single" w:sz="4" w:space="0" w:color="auto"/>
                            </w:tcBorders>
                            <w:shd w:val="clear" w:color="auto" w:fill="auto"/>
                          </w:tcPr>
                          <w:p w14:paraId="5560B6D2" w14:textId="77777777" w:rsidR="00897AA8" w:rsidRPr="0055776F" w:rsidRDefault="00897AA8" w:rsidP="007B7F7F">
                            <w:pPr>
                              <w:rPr>
                                <w:rFonts w:ascii="Arial" w:hAnsi="Arial" w:cs="Arial"/>
                                <w:sz w:val="20"/>
                                <w:szCs w:val="20"/>
                              </w:rPr>
                            </w:pPr>
                            <w:r w:rsidRPr="0055776F">
                              <w:rPr>
                                <w:rFonts w:ascii="Arial" w:hAnsi="Arial" w:cs="Arial"/>
                                <w:sz w:val="20"/>
                                <w:szCs w:val="20"/>
                              </w:rPr>
                              <w:t>12</w:t>
                            </w:r>
                          </w:p>
                        </w:tc>
                        <w:tc>
                          <w:tcPr>
                            <w:tcW w:w="850" w:type="dxa"/>
                            <w:tcBorders>
                              <w:bottom w:val="single" w:sz="4" w:space="0" w:color="auto"/>
                            </w:tcBorders>
                            <w:shd w:val="clear" w:color="auto" w:fill="auto"/>
                          </w:tcPr>
                          <w:p w14:paraId="7A5283D5" w14:textId="77777777" w:rsidR="00897AA8" w:rsidRPr="0055776F" w:rsidRDefault="00897AA8" w:rsidP="007B7F7F">
                            <w:pPr>
                              <w:rPr>
                                <w:rFonts w:ascii="Arial" w:hAnsi="Arial" w:cs="Arial"/>
                                <w:sz w:val="20"/>
                                <w:szCs w:val="20"/>
                              </w:rPr>
                            </w:pPr>
                            <w:r w:rsidRPr="0055776F">
                              <w:rPr>
                                <w:rFonts w:ascii="Arial" w:hAnsi="Arial" w:cs="Arial"/>
                                <w:sz w:val="20"/>
                                <w:szCs w:val="20"/>
                              </w:rPr>
                              <w:t>186</w:t>
                            </w:r>
                          </w:p>
                        </w:tc>
                      </w:tr>
                      <w:tr w:rsidR="00897AA8" w:rsidRPr="0055776F" w14:paraId="0094E2B1" w14:textId="77777777">
                        <w:tc>
                          <w:tcPr>
                            <w:tcW w:w="817" w:type="dxa"/>
                            <w:shd w:val="clear" w:color="auto" w:fill="auto"/>
                          </w:tcPr>
                          <w:p w14:paraId="554CBD1A" w14:textId="77777777" w:rsidR="00897AA8" w:rsidRPr="0055776F" w:rsidRDefault="00897AA8" w:rsidP="007B7F7F">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7BFF7971" w14:textId="77777777" w:rsidR="00897AA8" w:rsidRPr="0055776F" w:rsidRDefault="00897AA8" w:rsidP="007B7F7F">
                            <w:pPr>
                              <w:rPr>
                                <w:rFonts w:ascii="Arial" w:hAnsi="Arial" w:cs="Arial"/>
                                <w:sz w:val="20"/>
                                <w:szCs w:val="20"/>
                              </w:rPr>
                            </w:pPr>
                            <w:r>
                              <w:rPr>
                                <w:rFonts w:ascii="Arial" w:hAnsi="Arial" w:cs="Arial"/>
                                <w:sz w:val="20"/>
                                <w:szCs w:val="20"/>
                              </w:rPr>
                              <w:t>Cenzorovaná pozorování</w:t>
                            </w:r>
                          </w:p>
                        </w:tc>
                        <w:tc>
                          <w:tcPr>
                            <w:tcW w:w="851" w:type="dxa"/>
                            <w:tcBorders>
                              <w:top w:val="single" w:sz="4" w:space="0" w:color="auto"/>
                            </w:tcBorders>
                            <w:shd w:val="clear" w:color="auto" w:fill="auto"/>
                          </w:tcPr>
                          <w:p w14:paraId="12E2CC94" w14:textId="77777777" w:rsidR="00897AA8" w:rsidRPr="0055776F" w:rsidRDefault="00897AA8" w:rsidP="007B7F7F">
                            <w:pPr>
                              <w:rPr>
                                <w:rFonts w:ascii="Arial" w:hAnsi="Arial" w:cs="Arial"/>
                                <w:sz w:val="20"/>
                                <w:szCs w:val="20"/>
                              </w:rPr>
                            </w:pPr>
                          </w:p>
                        </w:tc>
                        <w:tc>
                          <w:tcPr>
                            <w:tcW w:w="709" w:type="dxa"/>
                            <w:tcBorders>
                              <w:top w:val="single" w:sz="4" w:space="0" w:color="auto"/>
                            </w:tcBorders>
                            <w:shd w:val="clear" w:color="auto" w:fill="auto"/>
                          </w:tcPr>
                          <w:p w14:paraId="21CF0C3B" w14:textId="77777777" w:rsidR="00897AA8" w:rsidRPr="0055776F" w:rsidRDefault="00897AA8" w:rsidP="007B7F7F">
                            <w:pPr>
                              <w:rPr>
                                <w:rFonts w:ascii="Arial" w:hAnsi="Arial" w:cs="Arial"/>
                                <w:sz w:val="20"/>
                                <w:szCs w:val="20"/>
                              </w:rPr>
                            </w:pPr>
                          </w:p>
                        </w:tc>
                        <w:tc>
                          <w:tcPr>
                            <w:tcW w:w="850" w:type="dxa"/>
                            <w:tcBorders>
                              <w:top w:val="single" w:sz="4" w:space="0" w:color="auto"/>
                            </w:tcBorders>
                            <w:shd w:val="clear" w:color="auto" w:fill="auto"/>
                          </w:tcPr>
                          <w:p w14:paraId="1F14EB55" w14:textId="77777777" w:rsidR="00897AA8" w:rsidRPr="0055776F" w:rsidRDefault="00897AA8" w:rsidP="007B7F7F">
                            <w:pPr>
                              <w:rPr>
                                <w:rFonts w:ascii="Arial" w:hAnsi="Arial" w:cs="Arial"/>
                                <w:sz w:val="20"/>
                                <w:szCs w:val="20"/>
                              </w:rPr>
                            </w:pPr>
                          </w:p>
                        </w:tc>
                      </w:tr>
                    </w:tbl>
                    <w:p w14:paraId="6AC9465D" w14:textId="77777777" w:rsidR="00897AA8" w:rsidRPr="00A33DBA" w:rsidRDefault="00897AA8" w:rsidP="00EA5993">
                      <w:pPr>
                        <w:rPr>
                          <w:rFonts w:ascii="Arial" w:hAnsi="Arial" w:cs="Arial"/>
                          <w:sz w:val="20"/>
                          <w:szCs w:val="20"/>
                        </w:rPr>
                      </w:pPr>
                    </w:p>
                  </w:txbxContent>
                </v:textbox>
              </v:shape>
            </w:pict>
          </mc:Fallback>
        </mc:AlternateContent>
      </w:r>
      <w:r w:rsidRPr="009B1A37">
        <w:rPr>
          <w:noProof/>
          <w:lang w:val="en-GB" w:eastAsia="en-GB"/>
        </w:rPr>
        <w:drawing>
          <wp:inline distT="0" distB="0" distL="0" distR="0" wp14:anchorId="7EC2629C" wp14:editId="024E055E">
            <wp:extent cx="5947410" cy="26320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7410" cy="2632075"/>
                    </a:xfrm>
                    <a:prstGeom prst="rect">
                      <a:avLst/>
                    </a:prstGeom>
                    <a:noFill/>
                    <a:ln>
                      <a:noFill/>
                    </a:ln>
                  </pic:spPr>
                </pic:pic>
              </a:graphicData>
            </a:graphic>
          </wp:inline>
        </w:drawing>
      </w:r>
    </w:p>
    <w:p w14:paraId="6A05DB04" w14:textId="77777777" w:rsidR="00EA5993" w:rsidRPr="009B1A37" w:rsidRDefault="001B24B9" w:rsidP="00BE3D48">
      <w:pPr>
        <w:keepNext/>
        <w:keepLines/>
        <w:widowControl w:val="0"/>
        <w:tabs>
          <w:tab w:val="clear" w:pos="567"/>
        </w:tabs>
        <w:spacing w:line="240" w:lineRule="auto"/>
        <w:ind w:left="1134" w:hanging="1134"/>
        <w:outlineLvl w:val="6"/>
        <w:rPr>
          <w:rFonts w:eastAsia="MS Mincho"/>
        </w:rPr>
      </w:pPr>
      <w:r w:rsidRPr="009B1A37">
        <w:rPr>
          <w:rFonts w:eastAsia="MS Mincho"/>
          <w:noProof/>
          <w:lang w:val="en-GB" w:eastAsia="en-GB"/>
        </w:rPr>
        <mc:AlternateContent>
          <mc:Choice Requires="wps">
            <w:drawing>
              <wp:anchor distT="0" distB="0" distL="114300" distR="114300" simplePos="0" relativeHeight="251663360" behindDoc="0" locked="0" layoutInCell="1" allowOverlap="1" wp14:anchorId="0630A305" wp14:editId="12EAAF51">
                <wp:simplePos x="0" y="0"/>
                <wp:positionH relativeFrom="column">
                  <wp:posOffset>2112010</wp:posOffset>
                </wp:positionH>
                <wp:positionV relativeFrom="paragraph">
                  <wp:posOffset>10795</wp:posOffset>
                </wp:positionV>
                <wp:extent cx="1619250" cy="2857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E404F" w14:textId="77777777" w:rsidR="00897AA8" w:rsidRPr="00A33DBA" w:rsidRDefault="00897AA8" w:rsidP="00EA5993">
                            <w:pPr>
                              <w:rPr>
                                <w:rFonts w:ascii="Arial" w:hAnsi="Arial" w:cs="Arial"/>
                                <w:sz w:val="20"/>
                                <w:szCs w:val="20"/>
                              </w:rPr>
                            </w:pPr>
                            <w:r>
                              <w:rPr>
                                <w:rFonts w:ascii="Arial" w:hAnsi="Arial" w:cs="Arial"/>
                                <w:sz w:val="20"/>
                                <w:szCs w:val="20"/>
                                <w:lang w:val="de-DE"/>
                              </w:rPr>
                              <w:t>Doba přežití v měsících</w:t>
                            </w:r>
                          </w:p>
                          <w:p w14:paraId="49F5CE25" w14:textId="77777777" w:rsidR="00897AA8" w:rsidRPr="00A33DBA" w:rsidRDefault="00897AA8" w:rsidP="00EA5993">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30A305" id="_x0000_s1037" type="#_x0000_t202" style="position:absolute;left:0;text-align:left;margin-left:166.3pt;margin-top:.85pt;width:12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" stroked="f">
                <v:fill opacity="0"/>
                <v:textbox>
                  <w:txbxContent>
                    <w:p w14:paraId="19FE404F" w14:textId="77777777" w:rsidR="00897AA8" w:rsidRPr="00A33DBA" w:rsidRDefault="00897AA8" w:rsidP="00EA5993">
                      <w:pPr>
                        <w:rPr>
                          <w:rFonts w:ascii="Arial" w:hAnsi="Arial" w:cs="Arial"/>
                          <w:sz w:val="20"/>
                          <w:szCs w:val="20"/>
                        </w:rPr>
                      </w:pPr>
                      <w:r>
                        <w:rPr>
                          <w:rFonts w:ascii="Arial" w:hAnsi="Arial" w:cs="Arial"/>
                          <w:sz w:val="20"/>
                          <w:szCs w:val="20"/>
                          <w:lang w:val="de-DE"/>
                        </w:rPr>
                        <w:t>Doba přežití v měsících</w:t>
                      </w:r>
                    </w:p>
                    <w:p w14:paraId="49F5CE25" w14:textId="77777777" w:rsidR="00897AA8" w:rsidRPr="00A33DBA" w:rsidRDefault="00897AA8" w:rsidP="00EA5993">
                      <w:pPr>
                        <w:rPr>
                          <w:rFonts w:ascii="Arial" w:hAnsi="Arial" w:cs="Arial"/>
                          <w:sz w:val="20"/>
                          <w:szCs w:val="20"/>
                        </w:rPr>
                      </w:pPr>
                    </w:p>
                  </w:txbxContent>
                </v:textbox>
              </v:shape>
            </w:pict>
          </mc:Fallback>
        </mc:AlternateContent>
      </w:r>
    </w:p>
    <w:p w14:paraId="7DB018FE" w14:textId="77777777" w:rsidR="00EA5993" w:rsidRPr="009B1A37" w:rsidRDefault="00EA5993" w:rsidP="00BE3D48">
      <w:pPr>
        <w:keepNext/>
        <w:keepLines/>
        <w:widowControl w:val="0"/>
        <w:spacing w:line="240" w:lineRule="auto"/>
        <w:rPr>
          <w:noProof/>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EA5993" w:rsidRPr="009B1A37" w14:paraId="29040DB5" w14:textId="77777777" w:rsidTr="00CD5C21">
        <w:tc>
          <w:tcPr>
            <w:tcW w:w="10632" w:type="dxa"/>
            <w:gridSpan w:val="16"/>
            <w:shd w:val="clear" w:color="auto" w:fill="auto"/>
          </w:tcPr>
          <w:p w14:paraId="67BBC1BB" w14:textId="77777777" w:rsidR="00EA5993" w:rsidRPr="009B1A37" w:rsidRDefault="00EA5993" w:rsidP="00BE3D48">
            <w:pPr>
              <w:keepNext/>
              <w:keepLines/>
              <w:widowControl w:val="0"/>
              <w:spacing w:line="240" w:lineRule="auto"/>
              <w:ind w:left="-27"/>
              <w:rPr>
                <w:rFonts w:ascii="Arial" w:hAnsi="Arial" w:cs="Arial"/>
                <w:sz w:val="16"/>
                <w:szCs w:val="16"/>
              </w:rPr>
            </w:pPr>
            <w:r w:rsidRPr="009B1A37">
              <w:rPr>
                <w:rFonts w:ascii="Arial" w:hAnsi="Arial" w:cs="Arial"/>
                <w:sz w:val="20"/>
                <w:szCs w:val="20"/>
              </w:rPr>
              <w:t>V riziku: Události</w:t>
            </w:r>
          </w:p>
        </w:tc>
      </w:tr>
      <w:tr w:rsidR="00EA5993" w:rsidRPr="009B1A37" w14:paraId="4D735963" w14:textId="77777777" w:rsidTr="00CD5C21">
        <w:tc>
          <w:tcPr>
            <w:tcW w:w="450" w:type="dxa"/>
            <w:shd w:val="clear" w:color="auto" w:fill="auto"/>
          </w:tcPr>
          <w:p w14:paraId="1B8EAC60" w14:textId="77777777" w:rsidR="00EA5993" w:rsidRPr="009B1A37" w:rsidRDefault="00EA5993" w:rsidP="00BE3D48">
            <w:pPr>
              <w:keepNext/>
              <w:keepLines/>
              <w:widowControl w:val="0"/>
              <w:spacing w:line="240" w:lineRule="auto"/>
              <w:rPr>
                <w:sz w:val="20"/>
                <w:szCs w:val="20"/>
              </w:rPr>
            </w:pPr>
            <w:r w:rsidRPr="009B1A37">
              <w:rPr>
                <w:sz w:val="20"/>
                <w:szCs w:val="20"/>
              </w:rPr>
              <w:t>(1)</w:t>
            </w:r>
          </w:p>
        </w:tc>
        <w:tc>
          <w:tcPr>
            <w:tcW w:w="687" w:type="dxa"/>
            <w:shd w:val="clear" w:color="auto" w:fill="auto"/>
          </w:tcPr>
          <w:p w14:paraId="4B77ADA0" w14:textId="77777777" w:rsidR="00EA5993" w:rsidRPr="009B1A37" w:rsidRDefault="00EA5993" w:rsidP="00BE3D48">
            <w:pPr>
              <w:keepNext/>
              <w:keepLines/>
              <w:widowControl w:val="0"/>
              <w:spacing w:line="240" w:lineRule="auto"/>
              <w:ind w:left="-45"/>
              <w:rPr>
                <w:sz w:val="20"/>
                <w:szCs w:val="20"/>
              </w:rPr>
            </w:pPr>
            <w:r w:rsidRPr="009B1A37">
              <w:rPr>
                <w:sz w:val="20"/>
                <w:szCs w:val="20"/>
              </w:rPr>
              <w:t>199:0</w:t>
            </w:r>
          </w:p>
        </w:tc>
        <w:tc>
          <w:tcPr>
            <w:tcW w:w="670" w:type="dxa"/>
            <w:shd w:val="clear" w:color="auto" w:fill="auto"/>
          </w:tcPr>
          <w:p w14:paraId="494CA94B" w14:textId="77777777" w:rsidR="00EA5993" w:rsidRPr="009B1A37" w:rsidRDefault="00EA5993" w:rsidP="00BE3D48">
            <w:pPr>
              <w:keepNext/>
              <w:keepLines/>
              <w:widowControl w:val="0"/>
              <w:spacing w:line="240" w:lineRule="auto"/>
              <w:ind w:left="-45"/>
              <w:rPr>
                <w:sz w:val="20"/>
                <w:szCs w:val="20"/>
              </w:rPr>
            </w:pPr>
            <w:r w:rsidRPr="009B1A37">
              <w:rPr>
                <w:sz w:val="20"/>
                <w:szCs w:val="20"/>
              </w:rPr>
              <w:t>190:2</w:t>
            </w:r>
          </w:p>
        </w:tc>
        <w:tc>
          <w:tcPr>
            <w:tcW w:w="710" w:type="dxa"/>
            <w:shd w:val="clear" w:color="auto" w:fill="auto"/>
          </w:tcPr>
          <w:p w14:paraId="1D0777BE" w14:textId="77777777" w:rsidR="00EA5993" w:rsidRPr="009B1A37" w:rsidRDefault="00EA5993" w:rsidP="00BE3D48">
            <w:pPr>
              <w:keepNext/>
              <w:keepLines/>
              <w:widowControl w:val="0"/>
              <w:spacing w:line="240" w:lineRule="auto"/>
              <w:ind w:left="-45"/>
              <w:rPr>
                <w:sz w:val="20"/>
                <w:szCs w:val="20"/>
              </w:rPr>
            </w:pPr>
            <w:r w:rsidRPr="009B1A37">
              <w:rPr>
                <w:sz w:val="20"/>
                <w:szCs w:val="20"/>
              </w:rPr>
              <w:t>188:2</w:t>
            </w:r>
          </w:p>
        </w:tc>
        <w:tc>
          <w:tcPr>
            <w:tcW w:w="717" w:type="dxa"/>
            <w:shd w:val="clear" w:color="auto" w:fill="auto"/>
          </w:tcPr>
          <w:p w14:paraId="4289712A" w14:textId="77777777" w:rsidR="00EA5993" w:rsidRPr="009B1A37" w:rsidRDefault="00EA5993" w:rsidP="00BE3D48">
            <w:pPr>
              <w:keepNext/>
              <w:keepLines/>
              <w:widowControl w:val="0"/>
              <w:spacing w:line="240" w:lineRule="auto"/>
              <w:ind w:left="-45"/>
              <w:rPr>
                <w:sz w:val="20"/>
                <w:szCs w:val="20"/>
              </w:rPr>
            </w:pPr>
            <w:r w:rsidRPr="009B1A37">
              <w:rPr>
                <w:sz w:val="20"/>
                <w:szCs w:val="20"/>
              </w:rPr>
              <w:t>183:6</w:t>
            </w:r>
          </w:p>
        </w:tc>
        <w:tc>
          <w:tcPr>
            <w:tcW w:w="691" w:type="dxa"/>
            <w:shd w:val="clear" w:color="auto" w:fill="auto"/>
          </w:tcPr>
          <w:p w14:paraId="2DC73A7E" w14:textId="77777777" w:rsidR="00EA5993" w:rsidRPr="009B1A37" w:rsidRDefault="00EA5993" w:rsidP="00BE3D48">
            <w:pPr>
              <w:keepNext/>
              <w:keepLines/>
              <w:widowControl w:val="0"/>
              <w:spacing w:line="240" w:lineRule="auto"/>
              <w:ind w:left="-45"/>
              <w:rPr>
                <w:sz w:val="20"/>
                <w:szCs w:val="20"/>
              </w:rPr>
            </w:pPr>
            <w:r w:rsidRPr="009B1A37">
              <w:rPr>
                <w:sz w:val="20"/>
                <w:szCs w:val="20"/>
              </w:rPr>
              <w:t>176:8</w:t>
            </w:r>
          </w:p>
        </w:tc>
        <w:tc>
          <w:tcPr>
            <w:tcW w:w="770" w:type="dxa"/>
            <w:shd w:val="clear" w:color="auto" w:fill="auto"/>
          </w:tcPr>
          <w:p w14:paraId="4F1BAC45" w14:textId="77777777" w:rsidR="00EA5993" w:rsidRPr="009B1A37" w:rsidRDefault="00EA5993" w:rsidP="00BE3D48">
            <w:pPr>
              <w:keepNext/>
              <w:keepLines/>
              <w:widowControl w:val="0"/>
              <w:spacing w:line="240" w:lineRule="auto"/>
              <w:ind w:left="-45"/>
              <w:rPr>
                <w:sz w:val="20"/>
                <w:szCs w:val="20"/>
              </w:rPr>
            </w:pPr>
            <w:r w:rsidRPr="009B1A37">
              <w:rPr>
                <w:sz w:val="20"/>
                <w:szCs w:val="20"/>
              </w:rPr>
              <w:t>156:10</w:t>
            </w:r>
          </w:p>
        </w:tc>
        <w:tc>
          <w:tcPr>
            <w:tcW w:w="779" w:type="dxa"/>
            <w:shd w:val="clear" w:color="auto" w:fill="auto"/>
          </w:tcPr>
          <w:p w14:paraId="73ACAB41" w14:textId="77777777" w:rsidR="00EA5993" w:rsidRPr="009B1A37" w:rsidRDefault="00EA5993" w:rsidP="00BE3D48">
            <w:pPr>
              <w:keepNext/>
              <w:keepLines/>
              <w:widowControl w:val="0"/>
              <w:spacing w:line="240" w:lineRule="auto"/>
              <w:ind w:left="-45"/>
              <w:rPr>
                <w:sz w:val="20"/>
                <w:szCs w:val="20"/>
              </w:rPr>
            </w:pPr>
            <w:r w:rsidRPr="009B1A37">
              <w:rPr>
                <w:sz w:val="20"/>
                <w:szCs w:val="20"/>
              </w:rPr>
              <w:t>140:11</w:t>
            </w:r>
          </w:p>
        </w:tc>
        <w:tc>
          <w:tcPr>
            <w:tcW w:w="794" w:type="dxa"/>
            <w:shd w:val="clear" w:color="auto" w:fill="auto"/>
          </w:tcPr>
          <w:p w14:paraId="4232D4CC" w14:textId="77777777" w:rsidR="00EA5993" w:rsidRPr="009B1A37" w:rsidRDefault="00EA5993" w:rsidP="00BE3D48">
            <w:pPr>
              <w:keepNext/>
              <w:keepLines/>
              <w:widowControl w:val="0"/>
              <w:spacing w:line="240" w:lineRule="auto"/>
              <w:ind w:left="-45"/>
              <w:rPr>
                <w:sz w:val="20"/>
                <w:szCs w:val="20"/>
              </w:rPr>
            </w:pPr>
            <w:r w:rsidRPr="009B1A37">
              <w:rPr>
                <w:sz w:val="20"/>
                <w:szCs w:val="20"/>
              </w:rPr>
              <w:t>105:14</w:t>
            </w:r>
          </w:p>
        </w:tc>
        <w:tc>
          <w:tcPr>
            <w:tcW w:w="653" w:type="dxa"/>
            <w:shd w:val="clear" w:color="auto" w:fill="auto"/>
          </w:tcPr>
          <w:p w14:paraId="331A7D70" w14:textId="77777777" w:rsidR="00EA5993" w:rsidRPr="009B1A37" w:rsidRDefault="00EA5993" w:rsidP="00BE3D48">
            <w:pPr>
              <w:keepNext/>
              <w:keepLines/>
              <w:widowControl w:val="0"/>
              <w:spacing w:line="240" w:lineRule="auto"/>
              <w:ind w:left="-45"/>
              <w:rPr>
                <w:sz w:val="20"/>
                <w:szCs w:val="20"/>
              </w:rPr>
            </w:pPr>
            <w:r w:rsidRPr="009B1A37">
              <w:rPr>
                <w:sz w:val="20"/>
                <w:szCs w:val="20"/>
              </w:rPr>
              <w:t>87:18</w:t>
            </w:r>
          </w:p>
        </w:tc>
        <w:tc>
          <w:tcPr>
            <w:tcW w:w="630" w:type="dxa"/>
            <w:shd w:val="clear" w:color="auto" w:fill="auto"/>
          </w:tcPr>
          <w:p w14:paraId="1A4AF7AC" w14:textId="77777777" w:rsidR="00EA5993" w:rsidRPr="009B1A37" w:rsidRDefault="00EA5993" w:rsidP="00BE3D48">
            <w:pPr>
              <w:keepNext/>
              <w:keepLines/>
              <w:widowControl w:val="0"/>
              <w:spacing w:line="240" w:lineRule="auto"/>
              <w:ind w:left="-45"/>
              <w:rPr>
                <w:sz w:val="20"/>
                <w:szCs w:val="20"/>
              </w:rPr>
            </w:pPr>
            <w:r w:rsidRPr="009B1A37">
              <w:rPr>
                <w:sz w:val="20"/>
                <w:szCs w:val="20"/>
              </w:rPr>
              <w:t>64:22</w:t>
            </w:r>
          </w:p>
        </w:tc>
        <w:tc>
          <w:tcPr>
            <w:tcW w:w="643" w:type="dxa"/>
            <w:shd w:val="clear" w:color="auto" w:fill="auto"/>
          </w:tcPr>
          <w:p w14:paraId="490C4DFC" w14:textId="77777777" w:rsidR="00EA5993" w:rsidRPr="009B1A37" w:rsidRDefault="00EA5993" w:rsidP="00BE3D48">
            <w:pPr>
              <w:keepNext/>
              <w:keepLines/>
              <w:widowControl w:val="0"/>
              <w:spacing w:line="240" w:lineRule="auto"/>
              <w:ind w:left="-45"/>
              <w:rPr>
                <w:sz w:val="20"/>
                <w:szCs w:val="20"/>
              </w:rPr>
            </w:pPr>
            <w:r w:rsidRPr="009B1A37">
              <w:rPr>
                <w:sz w:val="20"/>
                <w:szCs w:val="20"/>
              </w:rPr>
              <w:t>46:23</w:t>
            </w:r>
          </w:p>
        </w:tc>
        <w:tc>
          <w:tcPr>
            <w:tcW w:w="670" w:type="dxa"/>
            <w:shd w:val="clear" w:color="auto" w:fill="auto"/>
          </w:tcPr>
          <w:p w14:paraId="7818A7D7" w14:textId="77777777" w:rsidR="00EA5993" w:rsidRPr="009B1A37" w:rsidRDefault="00EA5993" w:rsidP="00BE3D48">
            <w:pPr>
              <w:keepNext/>
              <w:keepLines/>
              <w:widowControl w:val="0"/>
              <w:spacing w:line="240" w:lineRule="auto"/>
              <w:ind w:left="-45"/>
              <w:rPr>
                <w:sz w:val="20"/>
                <w:szCs w:val="20"/>
              </w:rPr>
            </w:pPr>
            <w:r w:rsidRPr="009B1A37">
              <w:rPr>
                <w:sz w:val="20"/>
                <w:szCs w:val="20"/>
              </w:rPr>
              <w:t>27:25</w:t>
            </w:r>
          </w:p>
        </w:tc>
        <w:tc>
          <w:tcPr>
            <w:tcW w:w="683" w:type="dxa"/>
            <w:shd w:val="clear" w:color="auto" w:fill="auto"/>
          </w:tcPr>
          <w:p w14:paraId="64EBE780" w14:textId="77777777" w:rsidR="00EA5993" w:rsidRPr="009B1A37" w:rsidRDefault="00EA5993" w:rsidP="00BE3D48">
            <w:pPr>
              <w:keepNext/>
              <w:keepLines/>
              <w:widowControl w:val="0"/>
              <w:spacing w:line="240" w:lineRule="auto"/>
              <w:ind w:left="-45"/>
              <w:rPr>
                <w:sz w:val="20"/>
                <w:szCs w:val="20"/>
              </w:rPr>
            </w:pPr>
            <w:r w:rsidRPr="009B1A37">
              <w:rPr>
                <w:sz w:val="20"/>
                <w:szCs w:val="20"/>
              </w:rPr>
              <w:t>20:25</w:t>
            </w:r>
          </w:p>
        </w:tc>
        <w:tc>
          <w:tcPr>
            <w:tcW w:w="558" w:type="dxa"/>
            <w:shd w:val="clear" w:color="auto" w:fill="auto"/>
          </w:tcPr>
          <w:p w14:paraId="491D1834" w14:textId="77777777" w:rsidR="00EA5993" w:rsidRPr="009B1A37" w:rsidRDefault="00EA5993" w:rsidP="00BE3D48">
            <w:pPr>
              <w:keepNext/>
              <w:keepLines/>
              <w:widowControl w:val="0"/>
              <w:spacing w:line="240" w:lineRule="auto"/>
              <w:ind w:left="-45"/>
              <w:rPr>
                <w:sz w:val="20"/>
                <w:szCs w:val="20"/>
              </w:rPr>
            </w:pPr>
            <w:r w:rsidRPr="009B1A37">
              <w:rPr>
                <w:sz w:val="20"/>
                <w:szCs w:val="20"/>
              </w:rPr>
              <w:t>2:25</w:t>
            </w:r>
          </w:p>
        </w:tc>
        <w:tc>
          <w:tcPr>
            <w:tcW w:w="527" w:type="dxa"/>
            <w:shd w:val="clear" w:color="auto" w:fill="auto"/>
          </w:tcPr>
          <w:p w14:paraId="7C3662A5" w14:textId="77777777" w:rsidR="00EA5993" w:rsidRPr="009B1A37" w:rsidRDefault="00EA5993" w:rsidP="00BE3D48">
            <w:pPr>
              <w:keepNext/>
              <w:keepLines/>
              <w:widowControl w:val="0"/>
              <w:spacing w:line="240" w:lineRule="auto"/>
              <w:ind w:left="-45"/>
              <w:rPr>
                <w:sz w:val="20"/>
                <w:szCs w:val="20"/>
              </w:rPr>
            </w:pPr>
            <w:r w:rsidRPr="009B1A37">
              <w:rPr>
                <w:sz w:val="20"/>
                <w:szCs w:val="20"/>
              </w:rPr>
              <w:t>0:25</w:t>
            </w:r>
          </w:p>
        </w:tc>
      </w:tr>
      <w:tr w:rsidR="00EA5993" w:rsidRPr="009B1A37" w14:paraId="654115CA" w14:textId="77777777" w:rsidTr="00CD5C21">
        <w:tc>
          <w:tcPr>
            <w:tcW w:w="450" w:type="dxa"/>
            <w:shd w:val="clear" w:color="auto" w:fill="auto"/>
          </w:tcPr>
          <w:p w14:paraId="5D391822" w14:textId="77777777" w:rsidR="00EA5993" w:rsidRPr="009B1A37" w:rsidRDefault="00EA5993" w:rsidP="00BE3D48">
            <w:pPr>
              <w:keepNext/>
              <w:keepLines/>
              <w:widowControl w:val="0"/>
              <w:spacing w:line="240" w:lineRule="auto"/>
              <w:rPr>
                <w:sz w:val="20"/>
                <w:szCs w:val="20"/>
              </w:rPr>
            </w:pPr>
            <w:r w:rsidRPr="009B1A37">
              <w:rPr>
                <w:sz w:val="20"/>
                <w:szCs w:val="20"/>
              </w:rPr>
              <w:t>(2)</w:t>
            </w:r>
          </w:p>
        </w:tc>
        <w:tc>
          <w:tcPr>
            <w:tcW w:w="687" w:type="dxa"/>
            <w:shd w:val="clear" w:color="auto" w:fill="auto"/>
          </w:tcPr>
          <w:p w14:paraId="725FC324" w14:textId="77777777" w:rsidR="00EA5993" w:rsidRPr="009B1A37" w:rsidRDefault="00EA5993" w:rsidP="00BE3D48">
            <w:pPr>
              <w:keepNext/>
              <w:keepLines/>
              <w:widowControl w:val="0"/>
              <w:spacing w:line="240" w:lineRule="auto"/>
              <w:ind w:left="-45"/>
              <w:rPr>
                <w:sz w:val="20"/>
                <w:szCs w:val="20"/>
              </w:rPr>
            </w:pPr>
            <w:r w:rsidRPr="009B1A37">
              <w:rPr>
                <w:sz w:val="20"/>
                <w:szCs w:val="20"/>
              </w:rPr>
              <w:t>198:0</w:t>
            </w:r>
          </w:p>
        </w:tc>
        <w:tc>
          <w:tcPr>
            <w:tcW w:w="670" w:type="dxa"/>
            <w:shd w:val="clear" w:color="auto" w:fill="auto"/>
          </w:tcPr>
          <w:p w14:paraId="5ECE2068" w14:textId="77777777" w:rsidR="00EA5993" w:rsidRPr="009B1A37" w:rsidRDefault="00EA5993" w:rsidP="00BE3D48">
            <w:pPr>
              <w:keepNext/>
              <w:keepLines/>
              <w:widowControl w:val="0"/>
              <w:spacing w:line="240" w:lineRule="auto"/>
              <w:ind w:left="-45"/>
              <w:rPr>
                <w:sz w:val="20"/>
                <w:szCs w:val="20"/>
              </w:rPr>
            </w:pPr>
            <w:r w:rsidRPr="009B1A37">
              <w:rPr>
                <w:sz w:val="20"/>
                <w:szCs w:val="20"/>
              </w:rPr>
              <w:t>196:0</w:t>
            </w:r>
          </w:p>
        </w:tc>
        <w:tc>
          <w:tcPr>
            <w:tcW w:w="710" w:type="dxa"/>
            <w:shd w:val="clear" w:color="auto" w:fill="auto"/>
          </w:tcPr>
          <w:p w14:paraId="24BE1804" w14:textId="77777777" w:rsidR="00EA5993" w:rsidRPr="009B1A37" w:rsidRDefault="00EA5993" w:rsidP="00BE3D48">
            <w:pPr>
              <w:keepNext/>
              <w:keepLines/>
              <w:widowControl w:val="0"/>
              <w:spacing w:line="240" w:lineRule="auto"/>
              <w:ind w:left="-45"/>
              <w:rPr>
                <w:sz w:val="20"/>
                <w:szCs w:val="20"/>
              </w:rPr>
            </w:pPr>
            <w:r w:rsidRPr="009B1A37">
              <w:rPr>
                <w:sz w:val="20"/>
                <w:szCs w:val="20"/>
              </w:rPr>
              <w:t>192:0</w:t>
            </w:r>
          </w:p>
        </w:tc>
        <w:tc>
          <w:tcPr>
            <w:tcW w:w="717" w:type="dxa"/>
            <w:shd w:val="clear" w:color="auto" w:fill="auto"/>
          </w:tcPr>
          <w:p w14:paraId="2BAC09F3" w14:textId="77777777" w:rsidR="00EA5993" w:rsidRPr="009B1A37" w:rsidRDefault="00EA5993" w:rsidP="00BE3D48">
            <w:pPr>
              <w:keepNext/>
              <w:keepLines/>
              <w:widowControl w:val="0"/>
              <w:spacing w:line="240" w:lineRule="auto"/>
              <w:ind w:left="-45"/>
              <w:rPr>
                <w:sz w:val="20"/>
                <w:szCs w:val="20"/>
              </w:rPr>
            </w:pPr>
            <w:r w:rsidRPr="009B1A37">
              <w:rPr>
                <w:sz w:val="20"/>
                <w:szCs w:val="20"/>
              </w:rPr>
              <w:t>187:4</w:t>
            </w:r>
          </w:p>
        </w:tc>
        <w:tc>
          <w:tcPr>
            <w:tcW w:w="691" w:type="dxa"/>
            <w:shd w:val="clear" w:color="auto" w:fill="auto"/>
          </w:tcPr>
          <w:p w14:paraId="02068779" w14:textId="77777777" w:rsidR="00EA5993" w:rsidRPr="009B1A37" w:rsidRDefault="00EA5993" w:rsidP="00BE3D48">
            <w:pPr>
              <w:keepNext/>
              <w:keepLines/>
              <w:widowControl w:val="0"/>
              <w:spacing w:line="240" w:lineRule="auto"/>
              <w:ind w:left="-45"/>
              <w:rPr>
                <w:sz w:val="20"/>
                <w:szCs w:val="20"/>
              </w:rPr>
            </w:pPr>
            <w:r w:rsidRPr="009B1A37">
              <w:rPr>
                <w:sz w:val="20"/>
                <w:szCs w:val="20"/>
              </w:rPr>
              <w:t>184:5</w:t>
            </w:r>
          </w:p>
        </w:tc>
        <w:tc>
          <w:tcPr>
            <w:tcW w:w="770" w:type="dxa"/>
            <w:shd w:val="clear" w:color="auto" w:fill="auto"/>
          </w:tcPr>
          <w:p w14:paraId="4F87D86A" w14:textId="77777777" w:rsidR="00EA5993" w:rsidRPr="009B1A37" w:rsidRDefault="00EA5993" w:rsidP="00BE3D48">
            <w:pPr>
              <w:keepNext/>
              <w:keepLines/>
              <w:widowControl w:val="0"/>
              <w:spacing w:line="240" w:lineRule="auto"/>
              <w:ind w:left="-45"/>
              <w:rPr>
                <w:sz w:val="20"/>
                <w:szCs w:val="20"/>
              </w:rPr>
            </w:pPr>
            <w:r w:rsidRPr="009B1A37">
              <w:rPr>
                <w:sz w:val="20"/>
                <w:szCs w:val="20"/>
              </w:rPr>
              <w:t>164:7</w:t>
            </w:r>
          </w:p>
        </w:tc>
        <w:tc>
          <w:tcPr>
            <w:tcW w:w="779" w:type="dxa"/>
            <w:shd w:val="clear" w:color="auto" w:fill="auto"/>
          </w:tcPr>
          <w:p w14:paraId="298641D7" w14:textId="77777777" w:rsidR="00EA5993" w:rsidRPr="009B1A37" w:rsidRDefault="00EA5993" w:rsidP="00BE3D48">
            <w:pPr>
              <w:keepNext/>
              <w:keepLines/>
              <w:widowControl w:val="0"/>
              <w:spacing w:line="240" w:lineRule="auto"/>
              <w:ind w:left="-45"/>
              <w:rPr>
                <w:sz w:val="20"/>
                <w:szCs w:val="20"/>
              </w:rPr>
            </w:pPr>
            <w:r w:rsidRPr="009B1A37">
              <w:rPr>
                <w:sz w:val="20"/>
                <w:szCs w:val="20"/>
              </w:rPr>
              <w:t>152:7</w:t>
            </w:r>
          </w:p>
        </w:tc>
        <w:tc>
          <w:tcPr>
            <w:tcW w:w="794" w:type="dxa"/>
            <w:shd w:val="clear" w:color="auto" w:fill="auto"/>
          </w:tcPr>
          <w:p w14:paraId="1E988BBB" w14:textId="77777777" w:rsidR="00EA5993" w:rsidRPr="009B1A37" w:rsidRDefault="00EA5993" w:rsidP="00BE3D48">
            <w:pPr>
              <w:keepNext/>
              <w:keepLines/>
              <w:widowControl w:val="0"/>
              <w:spacing w:line="240" w:lineRule="auto"/>
              <w:ind w:left="-45"/>
              <w:rPr>
                <w:sz w:val="20"/>
                <w:szCs w:val="20"/>
              </w:rPr>
            </w:pPr>
            <w:r w:rsidRPr="009B1A37">
              <w:rPr>
                <w:sz w:val="20"/>
                <w:szCs w:val="20"/>
              </w:rPr>
              <w:t>119:8</w:t>
            </w:r>
          </w:p>
        </w:tc>
        <w:tc>
          <w:tcPr>
            <w:tcW w:w="653" w:type="dxa"/>
            <w:shd w:val="clear" w:color="auto" w:fill="auto"/>
          </w:tcPr>
          <w:p w14:paraId="5D35485E" w14:textId="77777777" w:rsidR="00EA5993" w:rsidRPr="009B1A37" w:rsidRDefault="00EA5993" w:rsidP="00BE3D48">
            <w:pPr>
              <w:keepNext/>
              <w:keepLines/>
              <w:widowControl w:val="0"/>
              <w:spacing w:line="240" w:lineRule="auto"/>
              <w:ind w:left="-45"/>
              <w:rPr>
                <w:sz w:val="20"/>
                <w:szCs w:val="20"/>
              </w:rPr>
            </w:pPr>
            <w:r w:rsidRPr="009B1A37">
              <w:rPr>
                <w:sz w:val="20"/>
                <w:szCs w:val="20"/>
              </w:rPr>
              <w:t>100:8</w:t>
            </w:r>
          </w:p>
        </w:tc>
        <w:tc>
          <w:tcPr>
            <w:tcW w:w="630" w:type="dxa"/>
            <w:shd w:val="clear" w:color="auto" w:fill="auto"/>
          </w:tcPr>
          <w:p w14:paraId="60262A45" w14:textId="77777777" w:rsidR="00EA5993" w:rsidRPr="009B1A37" w:rsidRDefault="00EA5993" w:rsidP="00BE3D48">
            <w:pPr>
              <w:keepNext/>
              <w:keepLines/>
              <w:widowControl w:val="0"/>
              <w:spacing w:line="240" w:lineRule="auto"/>
              <w:ind w:left="-45"/>
              <w:rPr>
                <w:sz w:val="20"/>
                <w:szCs w:val="20"/>
              </w:rPr>
            </w:pPr>
            <w:r w:rsidRPr="009B1A37">
              <w:rPr>
                <w:sz w:val="20"/>
                <w:szCs w:val="20"/>
              </w:rPr>
              <w:t>76:10</w:t>
            </w:r>
          </w:p>
        </w:tc>
        <w:tc>
          <w:tcPr>
            <w:tcW w:w="643" w:type="dxa"/>
            <w:shd w:val="clear" w:color="auto" w:fill="auto"/>
          </w:tcPr>
          <w:p w14:paraId="33307707" w14:textId="77777777" w:rsidR="00EA5993" w:rsidRPr="009B1A37" w:rsidRDefault="00EA5993" w:rsidP="00BE3D48">
            <w:pPr>
              <w:keepNext/>
              <w:keepLines/>
              <w:widowControl w:val="0"/>
              <w:spacing w:line="240" w:lineRule="auto"/>
              <w:ind w:left="-45"/>
              <w:rPr>
                <w:sz w:val="20"/>
                <w:szCs w:val="20"/>
              </w:rPr>
            </w:pPr>
            <w:r w:rsidRPr="009B1A37">
              <w:rPr>
                <w:sz w:val="20"/>
                <w:szCs w:val="20"/>
              </w:rPr>
              <w:t>56:11</w:t>
            </w:r>
          </w:p>
        </w:tc>
        <w:tc>
          <w:tcPr>
            <w:tcW w:w="670" w:type="dxa"/>
            <w:shd w:val="clear" w:color="auto" w:fill="auto"/>
          </w:tcPr>
          <w:p w14:paraId="655318D7" w14:textId="77777777" w:rsidR="00EA5993" w:rsidRPr="009B1A37" w:rsidRDefault="00EA5993" w:rsidP="00BE3D48">
            <w:pPr>
              <w:keepNext/>
              <w:keepLines/>
              <w:widowControl w:val="0"/>
              <w:spacing w:line="240" w:lineRule="auto"/>
              <w:ind w:left="-45"/>
              <w:rPr>
                <w:sz w:val="20"/>
                <w:szCs w:val="20"/>
              </w:rPr>
            </w:pPr>
            <w:r w:rsidRPr="009B1A37">
              <w:rPr>
                <w:sz w:val="20"/>
                <w:szCs w:val="20"/>
              </w:rPr>
              <w:t>31:11</w:t>
            </w:r>
          </w:p>
        </w:tc>
        <w:tc>
          <w:tcPr>
            <w:tcW w:w="683" w:type="dxa"/>
            <w:shd w:val="clear" w:color="auto" w:fill="auto"/>
          </w:tcPr>
          <w:p w14:paraId="3FECCD04" w14:textId="77777777" w:rsidR="00EA5993" w:rsidRPr="009B1A37" w:rsidRDefault="00EA5993" w:rsidP="00BE3D48">
            <w:pPr>
              <w:keepNext/>
              <w:keepLines/>
              <w:widowControl w:val="0"/>
              <w:spacing w:line="240" w:lineRule="auto"/>
              <w:ind w:left="-45"/>
              <w:rPr>
                <w:sz w:val="20"/>
                <w:szCs w:val="20"/>
              </w:rPr>
            </w:pPr>
            <w:r w:rsidRPr="009B1A37">
              <w:rPr>
                <w:sz w:val="20"/>
                <w:szCs w:val="20"/>
              </w:rPr>
              <w:t>13:12</w:t>
            </w:r>
          </w:p>
        </w:tc>
        <w:tc>
          <w:tcPr>
            <w:tcW w:w="558" w:type="dxa"/>
            <w:shd w:val="clear" w:color="auto" w:fill="auto"/>
          </w:tcPr>
          <w:p w14:paraId="7A81F548" w14:textId="77777777" w:rsidR="00EA5993" w:rsidRPr="009B1A37" w:rsidRDefault="00EA5993" w:rsidP="00BE3D48">
            <w:pPr>
              <w:keepNext/>
              <w:keepLines/>
              <w:widowControl w:val="0"/>
              <w:spacing w:line="240" w:lineRule="auto"/>
              <w:ind w:left="-45"/>
              <w:rPr>
                <w:sz w:val="20"/>
                <w:szCs w:val="20"/>
              </w:rPr>
            </w:pPr>
            <w:r w:rsidRPr="009B1A37">
              <w:rPr>
                <w:sz w:val="20"/>
                <w:szCs w:val="20"/>
              </w:rPr>
              <w:t>0:12</w:t>
            </w:r>
          </w:p>
        </w:tc>
        <w:tc>
          <w:tcPr>
            <w:tcW w:w="527" w:type="dxa"/>
            <w:shd w:val="clear" w:color="auto" w:fill="auto"/>
          </w:tcPr>
          <w:p w14:paraId="66ABBB66" w14:textId="77777777" w:rsidR="00EA5993" w:rsidRPr="009B1A37" w:rsidRDefault="00EA5993" w:rsidP="00BE3D48">
            <w:pPr>
              <w:keepNext/>
              <w:keepLines/>
              <w:widowControl w:val="0"/>
              <w:spacing w:line="240" w:lineRule="auto"/>
              <w:ind w:left="-45"/>
              <w:rPr>
                <w:sz w:val="20"/>
                <w:szCs w:val="20"/>
              </w:rPr>
            </w:pPr>
          </w:p>
        </w:tc>
      </w:tr>
    </w:tbl>
    <w:p w14:paraId="0CEDC924" w14:textId="77777777" w:rsidR="00EA5993" w:rsidRPr="009B1A37" w:rsidRDefault="00EA5993" w:rsidP="00BE3D48">
      <w:pPr>
        <w:pStyle w:val="EndnoteText"/>
        <w:widowControl w:val="0"/>
        <w:tabs>
          <w:tab w:val="clear" w:pos="567"/>
        </w:tabs>
        <w:rPr>
          <w:color w:val="000000"/>
        </w:rPr>
      </w:pPr>
    </w:p>
    <w:p w14:paraId="194A2CFE" w14:textId="77777777" w:rsidR="00EA5993" w:rsidRPr="009B1A37" w:rsidRDefault="00EA5993" w:rsidP="00BE3D48">
      <w:pPr>
        <w:pStyle w:val="EndnoteText"/>
        <w:widowControl w:val="0"/>
        <w:tabs>
          <w:tab w:val="clear" w:pos="567"/>
        </w:tabs>
        <w:rPr>
          <w:rFonts w:eastAsia="MS Mincho"/>
          <w:color w:val="000000"/>
        </w:rPr>
      </w:pPr>
      <w:r w:rsidRPr="009B1A37">
        <w:rPr>
          <w:color w:val="000000"/>
        </w:rPr>
        <w:t>U pediatrických pacientů s c-Kit pozitivním GIST nebyly provedeny kontrolované klinické studie. V 7 publikacích bylo hlášeno sedmnáct (17) pacientů s GIST (s Kit nebo bez Kit a s mutacemi PDGFR nebo bez mutací PDGFR). Věk těchto pacientů se pohyboval v rozmezí 8 až 18 let a imatinib byl podáván adjuvantně i pro metastatické onemocnění v dávkách v rozmezí 300 až 800 mg denně. U většiny léčených pacientů s GIST nebyla k dispozici data potvrzující c-kit nebo mutace PDGFR, což mohlo vést k různým klinickým výsledkům.</w:t>
      </w:r>
    </w:p>
    <w:p w14:paraId="4DACC79E" w14:textId="77777777" w:rsidR="00EA5993" w:rsidRPr="009B1A37" w:rsidRDefault="00EA5993" w:rsidP="00BE3D48">
      <w:pPr>
        <w:pStyle w:val="EndnoteText"/>
        <w:widowControl w:val="0"/>
        <w:tabs>
          <w:tab w:val="clear" w:pos="567"/>
        </w:tabs>
        <w:rPr>
          <w:rFonts w:eastAsia="MS Mincho"/>
          <w:color w:val="000000"/>
          <w:u w:val="single"/>
        </w:rPr>
      </w:pPr>
    </w:p>
    <w:p w14:paraId="7872CCD7" w14:textId="77777777" w:rsidR="00EA5993" w:rsidRPr="009B1A37" w:rsidRDefault="00EA5993" w:rsidP="00BE3D48">
      <w:pPr>
        <w:pStyle w:val="EndnoteText"/>
        <w:keepNext/>
        <w:widowControl w:val="0"/>
        <w:tabs>
          <w:tab w:val="clear" w:pos="567"/>
        </w:tabs>
        <w:rPr>
          <w:rFonts w:eastAsia="MS Mincho"/>
          <w:color w:val="000000"/>
          <w:u w:val="single"/>
        </w:rPr>
      </w:pPr>
      <w:r w:rsidRPr="009B1A37">
        <w:rPr>
          <w:rFonts w:eastAsia="MS Mincho"/>
          <w:color w:val="000000"/>
          <w:u w:val="single"/>
        </w:rPr>
        <w:t>Klinické studie u DFSP</w:t>
      </w:r>
    </w:p>
    <w:p w14:paraId="67294924" w14:textId="77777777" w:rsidR="00EA5993" w:rsidRPr="009B1A37" w:rsidRDefault="00EA5993" w:rsidP="00BE3D48">
      <w:pPr>
        <w:pStyle w:val="EndnoteText"/>
        <w:widowControl w:val="0"/>
        <w:tabs>
          <w:tab w:val="clear" w:pos="567"/>
        </w:tabs>
        <w:rPr>
          <w:color w:val="000000"/>
        </w:rPr>
      </w:pPr>
      <w:r w:rsidRPr="009B1A37">
        <w:rPr>
          <w:rFonts w:eastAsia="MS Mincho"/>
          <w:color w:val="000000"/>
        </w:rPr>
        <w:t>Byla provedena otevřená, multicentrická klinická studie fáze II (studie B2225) zahrnující 12 pacientů s DFSP léčených Glivecem 800 mg denně. Věk pacientů s DFSP byl v rozmezí 23 až 75 </w:t>
      </w:r>
      <w:r w:rsidR="004F264F" w:rsidRPr="009B1A37">
        <w:rPr>
          <w:rFonts w:eastAsia="MS Mincho"/>
          <w:color w:val="000000"/>
        </w:rPr>
        <w:t>let</w:t>
      </w:r>
      <w:r w:rsidRPr="009B1A37">
        <w:rPr>
          <w:rFonts w:eastAsia="MS Mincho"/>
          <w:color w:val="000000"/>
        </w:rPr>
        <w:t>; DFSP byl metastatický, lokálně recidivující po primárním chirurgickém vynětí a v době zařazení do studie vyhodnocen jako inoperabilní.</w:t>
      </w:r>
      <w:r w:rsidR="00A12785" w:rsidRPr="009B1A37">
        <w:rPr>
          <w:rFonts w:eastAsia="MS Mincho"/>
          <w:color w:val="000000"/>
        </w:rPr>
        <w:t xml:space="preserve"> </w:t>
      </w:r>
      <w:r w:rsidRPr="009B1A37">
        <w:rPr>
          <w:rFonts w:eastAsia="MS Mincho"/>
          <w:color w:val="000000"/>
        </w:rPr>
        <w:t xml:space="preserve">Primární důkaz účinnosti byl založen na </w:t>
      </w:r>
      <w:r w:rsidR="004F264F" w:rsidRPr="009B1A37">
        <w:rPr>
          <w:rFonts w:eastAsia="MS Mincho"/>
          <w:color w:val="000000"/>
        </w:rPr>
        <w:t>výskytu</w:t>
      </w:r>
      <w:r w:rsidRPr="009B1A37">
        <w:rPr>
          <w:rFonts w:eastAsia="MS Mincho"/>
          <w:color w:val="000000"/>
        </w:rPr>
        <w:t xml:space="preserve"> objektivní odpovědi. Z 12 zařazených pacientů jich 9 odpovědělo: 1 kompletně a 8 parciálně. Tři pacienti s parciální odpovědí byli následně po provedené operaci interpretováni jako bez známek onemocnění. Medián doby trvání léčby ve studii B2225 byl 6,2 měsíce, s maximem doby trvání 24,3 měsíců. Dalších 6 pacientů s DFSP léčených Glivecem bylo publikováno v 5 kazuistikách, věk těchto pacientů byl v rozmezí 18 měsíců až 49 let. Dospělí pacienti uvedení v publikované literatuře byli léčeni dávkou Glivecu buď 400 mg (4 případy) nebo 800 mg (1 případ) denně. Odpovědělo pět pacientů, 3 kompletně a 2 parciálně. Medián doby trvání léčby v publikované literatuře je v rozmezí 4 týdnů až více než 20 měsíců. Translokace </w:t>
      </w:r>
      <w:r w:rsidRPr="009B1A37">
        <w:rPr>
          <w:color w:val="000000"/>
        </w:rPr>
        <w:t>t</w:t>
      </w:r>
      <w:r w:rsidR="00435A80" w:rsidRPr="009B1A37">
        <w:rPr>
          <w:color w:val="000000"/>
        </w:rPr>
        <w:t xml:space="preserve"> </w:t>
      </w:r>
      <w:r w:rsidRPr="009B1A37">
        <w:rPr>
          <w:color w:val="000000"/>
        </w:rPr>
        <w:t>(17:22)[(q22:q13)] nebo její genový produkt byl přítomen téměř u všech pacientů odpovídajících na léčbu Glivecem.</w:t>
      </w:r>
    </w:p>
    <w:p w14:paraId="35E7DFCB" w14:textId="77777777" w:rsidR="00EA5993" w:rsidRPr="009B1A37" w:rsidRDefault="00EA5993" w:rsidP="00BE3D48">
      <w:pPr>
        <w:pStyle w:val="EndnoteText"/>
        <w:widowControl w:val="0"/>
        <w:tabs>
          <w:tab w:val="clear" w:pos="567"/>
        </w:tabs>
        <w:rPr>
          <w:color w:val="000000"/>
        </w:rPr>
      </w:pPr>
    </w:p>
    <w:p w14:paraId="1B812FF0" w14:textId="77777777" w:rsidR="00EA5993" w:rsidRPr="009B1A37" w:rsidRDefault="00EA5993" w:rsidP="00BE3D48">
      <w:pPr>
        <w:pStyle w:val="EndnoteText"/>
        <w:widowControl w:val="0"/>
        <w:tabs>
          <w:tab w:val="clear" w:pos="567"/>
        </w:tabs>
        <w:rPr>
          <w:color w:val="000000"/>
        </w:rPr>
      </w:pPr>
      <w:r w:rsidRPr="009B1A37">
        <w:rPr>
          <w:color w:val="000000"/>
        </w:rPr>
        <w:t>U pediatrických pacientů s DFSP nebyly provedeny kontrolované klinické studie. Ve 3 publikacích bylo hlášeno pět (5) pacientů s DFSP a přestavbou PDGFR genu. Věk pacientů se pohyboval od narození do 14 let a imatinib byl podáván v dávce 50 mg denně nebo v dávkách v rozmezí 400 až 520 mg/</w:t>
      </w:r>
      <w:r w:rsidRPr="009B1A37">
        <w:rPr>
          <w:color w:val="000000"/>
          <w:lang w:eastAsia="ja-JP"/>
        </w:rPr>
        <w:t>m</w:t>
      </w:r>
      <w:r w:rsidRPr="009B1A37">
        <w:rPr>
          <w:color w:val="000000"/>
          <w:vertAlign w:val="superscript"/>
          <w:lang w:eastAsia="ja-JP"/>
        </w:rPr>
        <w:t>2</w:t>
      </w:r>
      <w:r w:rsidRPr="009B1A37">
        <w:rPr>
          <w:color w:val="000000"/>
        </w:rPr>
        <w:t xml:space="preserve"> denně. Všichni pacienti dosáhli částečné a/nebo kompletní odpovědi.</w:t>
      </w:r>
    </w:p>
    <w:p w14:paraId="4618BEB6" w14:textId="77777777" w:rsidR="00EA5993" w:rsidRPr="009B1A37" w:rsidRDefault="00EA5993" w:rsidP="00BE3D48">
      <w:pPr>
        <w:pStyle w:val="EndnoteText"/>
        <w:widowControl w:val="0"/>
        <w:tabs>
          <w:tab w:val="clear" w:pos="567"/>
        </w:tabs>
        <w:rPr>
          <w:color w:val="000000"/>
        </w:rPr>
      </w:pPr>
    </w:p>
    <w:p w14:paraId="3E59329F" w14:textId="77777777" w:rsidR="00D94F95" w:rsidRPr="009B1A37" w:rsidRDefault="00D94F95" w:rsidP="00BE3D48">
      <w:pPr>
        <w:keepNext/>
        <w:widowControl w:val="0"/>
        <w:tabs>
          <w:tab w:val="clear" w:pos="567"/>
        </w:tabs>
        <w:spacing w:line="240" w:lineRule="auto"/>
        <w:ind w:left="567" w:hanging="567"/>
        <w:rPr>
          <w:color w:val="000000"/>
        </w:rPr>
      </w:pPr>
      <w:r w:rsidRPr="009B1A37">
        <w:rPr>
          <w:b/>
          <w:bCs/>
          <w:color w:val="000000"/>
        </w:rPr>
        <w:t>5.2</w:t>
      </w:r>
      <w:r w:rsidRPr="009B1A37">
        <w:rPr>
          <w:b/>
          <w:bCs/>
          <w:color w:val="000000"/>
        </w:rPr>
        <w:tab/>
        <w:t>Farmakokinetické vlastnosti</w:t>
      </w:r>
    </w:p>
    <w:p w14:paraId="7EF7C3D1" w14:textId="77777777" w:rsidR="00D94F95" w:rsidRPr="009B1A37" w:rsidRDefault="00D94F95" w:rsidP="00BE3D48">
      <w:pPr>
        <w:pStyle w:val="EndnoteText"/>
        <w:keepNext/>
        <w:widowControl w:val="0"/>
        <w:tabs>
          <w:tab w:val="clear" w:pos="567"/>
        </w:tabs>
        <w:rPr>
          <w:color w:val="000000"/>
        </w:rPr>
      </w:pPr>
    </w:p>
    <w:p w14:paraId="022022C3" w14:textId="77777777" w:rsidR="00D94F95" w:rsidRPr="009B1A37" w:rsidRDefault="00D94F95" w:rsidP="00BE3D48">
      <w:pPr>
        <w:pStyle w:val="EndnoteText"/>
        <w:keepNext/>
        <w:widowControl w:val="0"/>
        <w:tabs>
          <w:tab w:val="clear" w:pos="567"/>
        </w:tabs>
        <w:rPr>
          <w:color w:val="000000"/>
          <w:u w:val="single"/>
        </w:rPr>
      </w:pPr>
      <w:r w:rsidRPr="009B1A37">
        <w:rPr>
          <w:color w:val="000000"/>
          <w:u w:val="single"/>
        </w:rPr>
        <w:t>Farmakokinetika Glivecu</w:t>
      </w:r>
    </w:p>
    <w:p w14:paraId="25E253CE" w14:textId="77777777" w:rsidR="00D94F95" w:rsidRPr="009B1A37" w:rsidRDefault="00D94F95" w:rsidP="00BE3D48">
      <w:pPr>
        <w:pStyle w:val="EndnoteText"/>
        <w:widowControl w:val="0"/>
        <w:tabs>
          <w:tab w:val="clear" w:pos="567"/>
        </w:tabs>
        <w:rPr>
          <w:color w:val="000000"/>
        </w:rPr>
      </w:pPr>
      <w:r w:rsidRPr="009B1A37">
        <w:rPr>
          <w:color w:val="000000"/>
        </w:rPr>
        <w:t>Farmakokinetika Glivecu byla hodnocena v rozmezí dávek 25 až 1 000 mg. Farmakokinetický profil léku v plazmě byl analyzován 1.</w:t>
      </w:r>
      <w:r w:rsidR="003A2308" w:rsidRPr="009B1A37">
        <w:rPr>
          <w:color w:val="000000"/>
        </w:rPr>
        <w:t xml:space="preserve"> a </w:t>
      </w:r>
      <w:r w:rsidRPr="009B1A37">
        <w:rPr>
          <w:color w:val="000000"/>
        </w:rPr>
        <w:t>7. nebo 28. den, kdy koncentrace v plazmě dosáhla rovnovážného stavu.</w:t>
      </w:r>
    </w:p>
    <w:p w14:paraId="76B5CBD1" w14:textId="77777777" w:rsidR="00D94F95" w:rsidRPr="009B1A37" w:rsidRDefault="00D94F95" w:rsidP="00BE3D48">
      <w:pPr>
        <w:pStyle w:val="EndnoteText"/>
        <w:widowControl w:val="0"/>
        <w:tabs>
          <w:tab w:val="clear" w:pos="567"/>
        </w:tabs>
        <w:rPr>
          <w:color w:val="000000"/>
        </w:rPr>
      </w:pPr>
    </w:p>
    <w:p w14:paraId="37591ACB" w14:textId="77777777" w:rsidR="00D97A44" w:rsidRPr="009B1A37" w:rsidRDefault="00D97A44" w:rsidP="00BE3D48">
      <w:pPr>
        <w:pStyle w:val="EndnoteText"/>
        <w:keepNext/>
        <w:widowControl w:val="0"/>
        <w:tabs>
          <w:tab w:val="clear" w:pos="567"/>
        </w:tabs>
        <w:rPr>
          <w:color w:val="000000"/>
          <w:u w:val="single"/>
        </w:rPr>
      </w:pPr>
      <w:r w:rsidRPr="009B1A37">
        <w:rPr>
          <w:color w:val="000000"/>
          <w:u w:val="single"/>
        </w:rPr>
        <w:t>Absorpce</w:t>
      </w:r>
    </w:p>
    <w:p w14:paraId="7065BFF9" w14:textId="77777777" w:rsidR="00D97A44" w:rsidRPr="009B1A37" w:rsidRDefault="00D97A44" w:rsidP="00BE3D48">
      <w:pPr>
        <w:pStyle w:val="EndnoteText"/>
        <w:widowControl w:val="0"/>
        <w:tabs>
          <w:tab w:val="clear" w:pos="567"/>
        </w:tabs>
        <w:rPr>
          <w:color w:val="000000"/>
        </w:rPr>
      </w:pPr>
      <w:r w:rsidRPr="009B1A37">
        <w:rPr>
          <w:color w:val="000000"/>
        </w:rPr>
        <w:t>Průměrná absolutní biologická dostupnost imatinibu byla 98</w:t>
      </w:r>
      <w:r w:rsidR="00FC57C0" w:rsidRPr="009B1A37">
        <w:rPr>
          <w:color w:val="000000"/>
        </w:rPr>
        <w:t> </w:t>
      </w:r>
      <w:r w:rsidRPr="009B1A37">
        <w:rPr>
          <w:color w:val="000000"/>
        </w:rPr>
        <w:t xml:space="preserve">%. Po perorálním podání byla mezi pacienty vysoká variabilita v hladinách </w:t>
      </w:r>
      <w:r w:rsidR="00E9090F" w:rsidRPr="009B1A37">
        <w:rPr>
          <w:color w:val="000000"/>
        </w:rPr>
        <w:t xml:space="preserve">AUC </w:t>
      </w:r>
      <w:r w:rsidRPr="009B1A37">
        <w:rPr>
          <w:color w:val="000000"/>
        </w:rPr>
        <w:t xml:space="preserve">imatinibu v plazmě. Při podání léku s tučným jídlem, byla </w:t>
      </w:r>
      <w:r w:rsidR="003A2308" w:rsidRPr="009B1A37">
        <w:rPr>
          <w:color w:val="000000"/>
        </w:rPr>
        <w:t xml:space="preserve">rychlost </w:t>
      </w:r>
      <w:r w:rsidRPr="009B1A37">
        <w:rPr>
          <w:color w:val="000000"/>
        </w:rPr>
        <w:t>absorpce imatinibu snížena jen minimálně (11</w:t>
      </w:r>
      <w:r w:rsidR="00FC57C0" w:rsidRPr="009B1A37">
        <w:rPr>
          <w:color w:val="000000"/>
        </w:rPr>
        <w:t> </w:t>
      </w:r>
      <w:r w:rsidRPr="009B1A37">
        <w:rPr>
          <w:color w:val="000000"/>
        </w:rPr>
        <w:t>% snížení C</w:t>
      </w:r>
      <w:r w:rsidRPr="009B1A37">
        <w:rPr>
          <w:color w:val="000000"/>
          <w:vertAlign w:val="subscript"/>
        </w:rPr>
        <w:t>max</w:t>
      </w:r>
      <w:r w:rsidRPr="009B1A37">
        <w:rPr>
          <w:color w:val="000000"/>
        </w:rPr>
        <w:t xml:space="preserve"> a prodloužení t</w:t>
      </w:r>
      <w:r w:rsidRPr="009B1A37">
        <w:rPr>
          <w:color w:val="000000"/>
          <w:vertAlign w:val="subscript"/>
        </w:rPr>
        <w:t>max</w:t>
      </w:r>
      <w:r w:rsidRPr="009B1A37">
        <w:rPr>
          <w:color w:val="000000"/>
        </w:rPr>
        <w:t xml:space="preserve"> o 1,5 h), s malým zmenšením AUC (7,4</w:t>
      </w:r>
      <w:r w:rsidR="00FC57C0" w:rsidRPr="009B1A37">
        <w:rPr>
          <w:color w:val="000000"/>
        </w:rPr>
        <w:t> </w:t>
      </w:r>
      <w:r w:rsidRPr="009B1A37">
        <w:rPr>
          <w:color w:val="000000"/>
        </w:rPr>
        <w:t>%), ve srovnání s podáním nalačno. Ovlivnění absorpce léku předchozí gastrointestinální operací nebylo studováno.</w:t>
      </w:r>
    </w:p>
    <w:p w14:paraId="0A82B8AF" w14:textId="77777777" w:rsidR="00D97A44" w:rsidRPr="009B1A37" w:rsidRDefault="00D97A44" w:rsidP="00BE3D48">
      <w:pPr>
        <w:pStyle w:val="EndnoteText"/>
        <w:widowControl w:val="0"/>
        <w:tabs>
          <w:tab w:val="clear" w:pos="567"/>
        </w:tabs>
        <w:rPr>
          <w:color w:val="000000"/>
        </w:rPr>
      </w:pPr>
    </w:p>
    <w:p w14:paraId="53F3C38D" w14:textId="77777777" w:rsidR="00D94F95" w:rsidRPr="009B1A37" w:rsidRDefault="00D94F95" w:rsidP="00BE3D48">
      <w:pPr>
        <w:pStyle w:val="EndnoteText"/>
        <w:keepNext/>
        <w:widowControl w:val="0"/>
        <w:tabs>
          <w:tab w:val="clear" w:pos="567"/>
        </w:tabs>
        <w:rPr>
          <w:color w:val="000000"/>
          <w:u w:val="single"/>
        </w:rPr>
      </w:pPr>
      <w:r w:rsidRPr="009B1A37">
        <w:rPr>
          <w:color w:val="000000"/>
          <w:u w:val="single"/>
        </w:rPr>
        <w:t>Distribuce</w:t>
      </w:r>
    </w:p>
    <w:p w14:paraId="49A1D7FB" w14:textId="77777777" w:rsidR="00D94F95" w:rsidRPr="009B1A37" w:rsidRDefault="00D94F95" w:rsidP="00BE3D48">
      <w:pPr>
        <w:pStyle w:val="EndnoteText"/>
        <w:widowControl w:val="0"/>
        <w:tabs>
          <w:tab w:val="clear" w:pos="567"/>
        </w:tabs>
        <w:rPr>
          <w:color w:val="000000"/>
        </w:rPr>
      </w:pPr>
      <w:r w:rsidRPr="009B1A37">
        <w:rPr>
          <w:color w:val="000000"/>
        </w:rPr>
        <w:t xml:space="preserve">V klinicky relevantních koncentracích imatinibu došlo v pokusech </w:t>
      </w:r>
      <w:r w:rsidRPr="009B1A37">
        <w:rPr>
          <w:i/>
          <w:iCs/>
          <w:color w:val="000000"/>
        </w:rPr>
        <w:t xml:space="preserve">in vitro </w:t>
      </w:r>
      <w:r w:rsidRPr="009B1A37">
        <w:rPr>
          <w:color w:val="000000"/>
        </w:rPr>
        <w:t>k vazbě na plazmatické proteiny přibližně v</w:t>
      </w:r>
      <w:r w:rsidR="00FC57C0" w:rsidRPr="009B1A37">
        <w:rPr>
          <w:color w:val="000000"/>
        </w:rPr>
        <w:t> </w:t>
      </w:r>
      <w:r w:rsidRPr="009B1A37">
        <w:rPr>
          <w:color w:val="000000"/>
        </w:rPr>
        <w:t>95</w:t>
      </w:r>
      <w:r w:rsidR="00FC57C0" w:rsidRPr="009B1A37">
        <w:rPr>
          <w:color w:val="000000"/>
        </w:rPr>
        <w:t> </w:t>
      </w:r>
      <w:r w:rsidRPr="009B1A37">
        <w:rPr>
          <w:color w:val="000000"/>
        </w:rPr>
        <w:t>%, převážně na albumin a alfa-1- kyselý-glykoprotein, s malou vazbou na lipoproteiny.</w:t>
      </w:r>
    </w:p>
    <w:p w14:paraId="60E79744" w14:textId="77777777" w:rsidR="00D94F95" w:rsidRPr="009B1A37" w:rsidRDefault="00D94F95" w:rsidP="00BE3D48">
      <w:pPr>
        <w:pStyle w:val="EndnoteText"/>
        <w:widowControl w:val="0"/>
        <w:tabs>
          <w:tab w:val="clear" w:pos="567"/>
        </w:tabs>
        <w:rPr>
          <w:color w:val="000000"/>
        </w:rPr>
      </w:pPr>
    </w:p>
    <w:p w14:paraId="2FA2F8CD" w14:textId="77777777" w:rsidR="00D94F95" w:rsidRPr="009B1A37" w:rsidRDefault="0020295F" w:rsidP="00BE3D48">
      <w:pPr>
        <w:pStyle w:val="EndnoteText"/>
        <w:keepNext/>
        <w:widowControl w:val="0"/>
        <w:tabs>
          <w:tab w:val="clear" w:pos="567"/>
        </w:tabs>
        <w:rPr>
          <w:color w:val="000000"/>
          <w:u w:val="single"/>
        </w:rPr>
      </w:pPr>
      <w:r w:rsidRPr="009B1A37">
        <w:rPr>
          <w:color w:val="000000"/>
          <w:u w:val="single"/>
        </w:rPr>
        <w:t>Biotransformace</w:t>
      </w:r>
    </w:p>
    <w:p w14:paraId="1A2F95EF" w14:textId="77777777" w:rsidR="00D94F95" w:rsidRPr="009B1A37" w:rsidRDefault="00D94F95" w:rsidP="00BE3D48">
      <w:pPr>
        <w:pStyle w:val="EndnoteText"/>
        <w:widowControl w:val="0"/>
        <w:tabs>
          <w:tab w:val="clear" w:pos="567"/>
        </w:tabs>
        <w:rPr>
          <w:color w:val="000000"/>
        </w:rPr>
      </w:pPr>
      <w:r w:rsidRPr="009B1A37">
        <w:rPr>
          <w:color w:val="000000"/>
        </w:rPr>
        <w:t xml:space="preserve">Hlavním cirkulujícím metabolitem je u člověka N-demethylovaný derivát piperazinu, který měl </w:t>
      </w:r>
      <w:r w:rsidRPr="009B1A37">
        <w:rPr>
          <w:i/>
          <w:iCs/>
          <w:color w:val="000000"/>
        </w:rPr>
        <w:t>in vitro</w:t>
      </w:r>
      <w:r w:rsidRPr="009B1A37">
        <w:rPr>
          <w:color w:val="000000"/>
        </w:rPr>
        <w:t xml:space="preserve"> podobnou účinnost jako mateřská látka. Zjištěná plazmatická AUC tohoto metabolitu byla pouze 16</w:t>
      </w:r>
      <w:r w:rsidR="00FC57C0" w:rsidRPr="009B1A37">
        <w:rPr>
          <w:color w:val="000000"/>
        </w:rPr>
        <w:t> </w:t>
      </w:r>
      <w:r w:rsidRPr="009B1A37">
        <w:rPr>
          <w:color w:val="000000"/>
        </w:rPr>
        <w:t>% AUC imatinibu. Vazba N-demetylovaného metabolitu na plazmatické bílkoviny je podobná vazebné schopnosti mateřské látky.</w:t>
      </w:r>
    </w:p>
    <w:p w14:paraId="2E97B3EA" w14:textId="77777777" w:rsidR="00D94F95" w:rsidRPr="009B1A37" w:rsidRDefault="00D94F95" w:rsidP="00BE3D48">
      <w:pPr>
        <w:pStyle w:val="EndnoteText"/>
        <w:widowControl w:val="0"/>
        <w:tabs>
          <w:tab w:val="clear" w:pos="567"/>
        </w:tabs>
        <w:rPr>
          <w:color w:val="000000"/>
        </w:rPr>
      </w:pPr>
    </w:p>
    <w:p w14:paraId="0CDDD36E" w14:textId="77777777" w:rsidR="00D94F95" w:rsidRPr="009B1A37" w:rsidRDefault="00D94F95" w:rsidP="00BE3D48">
      <w:pPr>
        <w:pStyle w:val="EndnoteText"/>
        <w:widowControl w:val="0"/>
        <w:tabs>
          <w:tab w:val="clear" w:pos="567"/>
        </w:tabs>
      </w:pPr>
      <w:r w:rsidRPr="009B1A37">
        <w:t>Imatinib a N-demethylovaný metabolit činily dohromady přibližně 65</w:t>
      </w:r>
      <w:r w:rsidR="00FC57C0" w:rsidRPr="009B1A37">
        <w:t> </w:t>
      </w:r>
      <w:r w:rsidRPr="009B1A37">
        <w:t>% cirkulující radioaktivity (AUC</w:t>
      </w:r>
      <w:r w:rsidRPr="009B1A37">
        <w:rPr>
          <w:vertAlign w:val="subscript"/>
        </w:rPr>
        <w:t>(0-48h)</w:t>
      </w:r>
      <w:r w:rsidRPr="009B1A37">
        <w:t>). Zbývající cirkulující radioaktivita byla tvořena množstvím minoritních metabolitů.</w:t>
      </w:r>
    </w:p>
    <w:p w14:paraId="3504D803" w14:textId="77777777" w:rsidR="00D94F95" w:rsidRPr="009B1A37" w:rsidRDefault="00D94F95" w:rsidP="00BE3D48">
      <w:pPr>
        <w:pStyle w:val="EndnoteText"/>
        <w:widowControl w:val="0"/>
      </w:pPr>
    </w:p>
    <w:p w14:paraId="15DFB5A5" w14:textId="77777777" w:rsidR="00D94F95" w:rsidRPr="009B1A37" w:rsidRDefault="00D94F95" w:rsidP="00BE3D48">
      <w:pPr>
        <w:pStyle w:val="Text"/>
        <w:widowControl w:val="0"/>
        <w:spacing w:before="0"/>
        <w:jc w:val="left"/>
        <w:rPr>
          <w:color w:val="000000"/>
          <w:sz w:val="22"/>
          <w:szCs w:val="22"/>
          <w:lang w:val="cs-CZ"/>
        </w:rPr>
      </w:pPr>
      <w:r w:rsidRPr="009B1A37">
        <w:rPr>
          <w:color w:val="000000"/>
          <w:sz w:val="22"/>
          <w:szCs w:val="22"/>
          <w:lang w:val="cs-CZ"/>
        </w:rPr>
        <w:t xml:space="preserve">Výsledky studií </w:t>
      </w:r>
      <w:r w:rsidRPr="009B1A37">
        <w:rPr>
          <w:i/>
          <w:iCs/>
          <w:color w:val="000000"/>
          <w:sz w:val="22"/>
          <w:szCs w:val="22"/>
          <w:lang w:val="cs-CZ"/>
        </w:rPr>
        <w:t>in vitro</w:t>
      </w:r>
      <w:r w:rsidRPr="009B1A37">
        <w:rPr>
          <w:color w:val="000000"/>
          <w:sz w:val="22"/>
          <w:szCs w:val="22"/>
          <w:lang w:val="cs-CZ"/>
        </w:rPr>
        <w:t xml:space="preserve"> ukázaly, že CYP3A4 je u </w:t>
      </w:r>
      <w:r w:rsidR="003A2308" w:rsidRPr="009B1A37">
        <w:rPr>
          <w:color w:val="000000"/>
          <w:sz w:val="22"/>
          <w:szCs w:val="22"/>
          <w:lang w:val="cs-CZ"/>
        </w:rPr>
        <w:t xml:space="preserve">člověka </w:t>
      </w:r>
      <w:r w:rsidRPr="009B1A37">
        <w:rPr>
          <w:color w:val="000000"/>
          <w:sz w:val="22"/>
          <w:szCs w:val="22"/>
          <w:lang w:val="cs-CZ"/>
        </w:rPr>
        <w:t>hlavním enzymem cytochromu P450, který katalyzuje biotransformaci imatinibu. Z řady potenciálně souběžně podávaných léků (paracetamol, aciklovir, alopurinol, amfotericin, cytarabin, eryt</w:t>
      </w:r>
      <w:r w:rsidR="003A2308" w:rsidRPr="009B1A37">
        <w:rPr>
          <w:color w:val="000000"/>
          <w:sz w:val="22"/>
          <w:szCs w:val="22"/>
          <w:lang w:val="cs-CZ"/>
        </w:rPr>
        <w:t>h</w:t>
      </w:r>
      <w:r w:rsidRPr="009B1A37">
        <w:rPr>
          <w:color w:val="000000"/>
          <w:sz w:val="22"/>
          <w:szCs w:val="22"/>
          <w:lang w:val="cs-CZ"/>
        </w:rPr>
        <w:t>romycin, flukonazol, hydroxyurea, norfloxacin, penicilin V) pouze eryt</w:t>
      </w:r>
      <w:r w:rsidR="003A2308" w:rsidRPr="009B1A37">
        <w:rPr>
          <w:color w:val="000000"/>
          <w:sz w:val="22"/>
          <w:szCs w:val="22"/>
          <w:lang w:val="cs-CZ"/>
        </w:rPr>
        <w:t>h</w:t>
      </w:r>
      <w:r w:rsidRPr="009B1A37">
        <w:rPr>
          <w:color w:val="000000"/>
          <w:sz w:val="22"/>
          <w:szCs w:val="22"/>
          <w:lang w:val="cs-CZ"/>
        </w:rPr>
        <w:t>romycin (IC</w:t>
      </w:r>
      <w:r w:rsidRPr="009B1A37">
        <w:rPr>
          <w:color w:val="000000"/>
          <w:sz w:val="22"/>
          <w:szCs w:val="22"/>
          <w:vertAlign w:val="subscript"/>
          <w:lang w:val="cs-CZ"/>
        </w:rPr>
        <w:t>50</w:t>
      </w:r>
      <w:r w:rsidRPr="009B1A37">
        <w:rPr>
          <w:color w:val="000000"/>
          <w:sz w:val="22"/>
          <w:szCs w:val="22"/>
          <w:lang w:val="cs-CZ"/>
        </w:rPr>
        <w:t xml:space="preserve"> 50 µM) a flukonazol (IC</w:t>
      </w:r>
      <w:r w:rsidRPr="009B1A37">
        <w:rPr>
          <w:color w:val="000000"/>
          <w:sz w:val="22"/>
          <w:szCs w:val="22"/>
          <w:vertAlign w:val="subscript"/>
          <w:lang w:val="cs-CZ"/>
        </w:rPr>
        <w:t>50</w:t>
      </w:r>
      <w:r w:rsidRPr="009B1A37">
        <w:rPr>
          <w:color w:val="000000"/>
          <w:sz w:val="22"/>
          <w:szCs w:val="22"/>
          <w:lang w:val="cs-CZ"/>
        </w:rPr>
        <w:t xml:space="preserve"> 118 µM) inhibovaly metabolismus imatinibu v rozsahu, který by mohl být klinicky významný.</w:t>
      </w:r>
    </w:p>
    <w:p w14:paraId="42484A84" w14:textId="77777777" w:rsidR="00D94F95" w:rsidRPr="009B1A37" w:rsidRDefault="00D94F95" w:rsidP="00BE3D48">
      <w:pPr>
        <w:pStyle w:val="Text"/>
        <w:widowControl w:val="0"/>
        <w:spacing w:before="0"/>
        <w:jc w:val="left"/>
        <w:rPr>
          <w:color w:val="000000"/>
          <w:sz w:val="22"/>
          <w:szCs w:val="22"/>
          <w:lang w:val="cs-CZ"/>
        </w:rPr>
      </w:pPr>
    </w:p>
    <w:p w14:paraId="6A5F800B" w14:textId="77777777" w:rsidR="00D94F95" w:rsidRPr="009B1A37" w:rsidRDefault="00D94F95" w:rsidP="00BE3D48">
      <w:pPr>
        <w:pStyle w:val="Text"/>
        <w:widowControl w:val="0"/>
        <w:spacing w:before="0"/>
        <w:jc w:val="left"/>
        <w:rPr>
          <w:color w:val="000000"/>
          <w:sz w:val="22"/>
          <w:szCs w:val="22"/>
          <w:lang w:val="cs-CZ"/>
        </w:rPr>
      </w:pPr>
      <w:r w:rsidRPr="009B1A37">
        <w:rPr>
          <w:i/>
          <w:iCs/>
          <w:color w:val="000000"/>
          <w:sz w:val="22"/>
          <w:szCs w:val="22"/>
          <w:lang w:val="cs-CZ"/>
        </w:rPr>
        <w:t>In vitro</w:t>
      </w:r>
      <w:r w:rsidRPr="009B1A37">
        <w:rPr>
          <w:color w:val="000000"/>
          <w:sz w:val="22"/>
          <w:szCs w:val="22"/>
          <w:lang w:val="cs-CZ"/>
        </w:rPr>
        <w:t xml:space="preserve"> bylo zjištěno, že imatinib je kompetitivním inhibitorem markrových substrátů pro CYP2C9, CYP2D6 a CYP3A4/5. K</w:t>
      </w:r>
      <w:r w:rsidRPr="009B1A37">
        <w:rPr>
          <w:color w:val="000000"/>
          <w:sz w:val="22"/>
          <w:szCs w:val="22"/>
          <w:vertAlign w:val="subscript"/>
          <w:lang w:val="cs-CZ"/>
        </w:rPr>
        <w:t>i</w:t>
      </w:r>
      <w:r w:rsidRPr="009B1A37">
        <w:rPr>
          <w:color w:val="000000"/>
          <w:sz w:val="22"/>
          <w:szCs w:val="22"/>
          <w:lang w:val="cs-CZ"/>
        </w:rPr>
        <w:t xml:space="preserve"> hodnoty v lidských jaterních mikrosomech byly 27, </w:t>
      </w:r>
      <w:smartTag w:uri="urn:schemas-microsoft-com:office:smarttags" w:element="metricconverter">
        <w:smartTagPr>
          <w:attr w:name="ProductID" w:val="7,5 a"/>
        </w:smartTagPr>
        <w:r w:rsidRPr="009B1A37">
          <w:rPr>
            <w:color w:val="000000"/>
            <w:sz w:val="22"/>
            <w:szCs w:val="22"/>
            <w:lang w:val="cs-CZ"/>
          </w:rPr>
          <w:t>7,5 a</w:t>
        </w:r>
      </w:smartTag>
      <w:r w:rsidRPr="009B1A37">
        <w:rPr>
          <w:color w:val="000000"/>
          <w:sz w:val="22"/>
          <w:szCs w:val="22"/>
          <w:lang w:val="cs-CZ"/>
        </w:rPr>
        <w:t xml:space="preserve"> 7,9 </w:t>
      </w:r>
      <w:r w:rsidRPr="009B1A37">
        <w:rPr>
          <w:rFonts w:ascii="Symbol" w:hAnsi="Symbol"/>
          <w:color w:val="000000"/>
          <w:sz w:val="22"/>
          <w:szCs w:val="22"/>
          <w:lang w:val="cs-CZ"/>
        </w:rPr>
        <w:t></w:t>
      </w:r>
      <w:r w:rsidRPr="009B1A37">
        <w:rPr>
          <w:color w:val="000000"/>
          <w:sz w:val="22"/>
          <w:szCs w:val="22"/>
          <w:lang w:val="cs-CZ"/>
        </w:rPr>
        <w:t>mol/l. Maximální plazmatické koncentrace imatinibu u pacientů jsou 2–4 </w:t>
      </w:r>
      <w:r w:rsidRPr="009B1A37">
        <w:rPr>
          <w:rFonts w:ascii="Symbol" w:hAnsi="Symbol"/>
          <w:color w:val="000000"/>
          <w:sz w:val="22"/>
          <w:szCs w:val="22"/>
          <w:lang w:val="cs-CZ"/>
        </w:rPr>
        <w:t></w:t>
      </w:r>
      <w:r w:rsidRPr="009B1A37">
        <w:rPr>
          <w:color w:val="000000"/>
          <w:sz w:val="22"/>
          <w:szCs w:val="22"/>
          <w:lang w:val="cs-CZ"/>
        </w:rPr>
        <w:t>mol/l, tudíž je možná inhibice metabolismu zprostředkovaného CYP2D6 a/nebo CYP3A4/5 souběžně podávaných léků. Imatinib neinterferuje s biotran</w:t>
      </w:r>
      <w:r w:rsidR="003A2308" w:rsidRPr="009B1A37">
        <w:rPr>
          <w:color w:val="000000"/>
          <w:sz w:val="22"/>
          <w:szCs w:val="22"/>
          <w:lang w:val="cs-CZ"/>
        </w:rPr>
        <w:t>s</w:t>
      </w:r>
      <w:r w:rsidRPr="009B1A37">
        <w:rPr>
          <w:color w:val="000000"/>
          <w:sz w:val="22"/>
          <w:szCs w:val="22"/>
          <w:lang w:val="cs-CZ"/>
        </w:rPr>
        <w:t>formací fluoruracilu, ale inhibuje metabolismus paklitaxelu, což je výsledkem kompetitivní inhibice CYP2C8 (K</w:t>
      </w:r>
      <w:r w:rsidRPr="009B1A37">
        <w:rPr>
          <w:color w:val="000000"/>
          <w:sz w:val="22"/>
          <w:szCs w:val="22"/>
          <w:vertAlign w:val="subscript"/>
          <w:lang w:val="cs-CZ"/>
        </w:rPr>
        <w:t>i</w:t>
      </w:r>
      <w:r w:rsidRPr="009B1A37">
        <w:rPr>
          <w:color w:val="000000"/>
          <w:sz w:val="22"/>
          <w:szCs w:val="22"/>
          <w:lang w:val="cs-CZ"/>
        </w:rPr>
        <w:t xml:space="preserve"> = 34,7 µM). Odpovídající hodnota K</w:t>
      </w:r>
      <w:r w:rsidRPr="009B1A37">
        <w:rPr>
          <w:color w:val="000000"/>
          <w:sz w:val="22"/>
          <w:szCs w:val="22"/>
          <w:vertAlign w:val="subscript"/>
          <w:lang w:val="cs-CZ"/>
        </w:rPr>
        <w:t>i</w:t>
      </w:r>
      <w:r w:rsidRPr="009B1A37">
        <w:rPr>
          <w:color w:val="000000"/>
          <w:sz w:val="22"/>
          <w:szCs w:val="22"/>
          <w:lang w:val="cs-CZ"/>
        </w:rPr>
        <w:t xml:space="preserve"> je daleko vyšší než očekávané plazmatické hladiny imatinibu u pacientů a tudíž se neočekávají interakce při souběžném podávání fluoruracilu nebo paklitaxelu a imatinibu.</w:t>
      </w:r>
    </w:p>
    <w:p w14:paraId="6CC01AE2" w14:textId="77777777" w:rsidR="00D94F95" w:rsidRPr="009B1A37" w:rsidRDefault="00D94F95" w:rsidP="00BE3D48">
      <w:pPr>
        <w:pStyle w:val="EndnoteText"/>
        <w:widowControl w:val="0"/>
        <w:tabs>
          <w:tab w:val="clear" w:pos="567"/>
        </w:tabs>
        <w:rPr>
          <w:color w:val="000000"/>
        </w:rPr>
      </w:pPr>
    </w:p>
    <w:p w14:paraId="20D437BB" w14:textId="77777777" w:rsidR="0020295F" w:rsidRPr="009B1A37" w:rsidRDefault="0020295F" w:rsidP="00BE3D48">
      <w:pPr>
        <w:pStyle w:val="EndnoteText"/>
        <w:keepNext/>
        <w:widowControl w:val="0"/>
        <w:tabs>
          <w:tab w:val="clear" w:pos="567"/>
        </w:tabs>
        <w:rPr>
          <w:color w:val="000000"/>
          <w:u w:val="single"/>
        </w:rPr>
      </w:pPr>
      <w:r w:rsidRPr="009B1A37">
        <w:rPr>
          <w:color w:val="000000"/>
          <w:u w:val="single"/>
        </w:rPr>
        <w:t>Eliminace z organismu</w:t>
      </w:r>
    </w:p>
    <w:p w14:paraId="086ABC81" w14:textId="77777777" w:rsidR="00D94F95" w:rsidRPr="009B1A37" w:rsidRDefault="00D94F95" w:rsidP="00BE3D48">
      <w:pPr>
        <w:pStyle w:val="EndnoteText"/>
        <w:widowControl w:val="0"/>
        <w:tabs>
          <w:tab w:val="clear" w:pos="567"/>
        </w:tabs>
        <w:rPr>
          <w:color w:val="000000"/>
        </w:rPr>
      </w:pPr>
      <w:r w:rsidRPr="009B1A37">
        <w:rPr>
          <w:color w:val="000000"/>
        </w:rPr>
        <w:t>Na základě sledování vylučování radioaktivní</w:t>
      </w:r>
      <w:r w:rsidR="003A2308" w:rsidRPr="009B1A37">
        <w:rPr>
          <w:color w:val="000000"/>
        </w:rPr>
        <w:t>(</w:t>
      </w:r>
      <w:r w:rsidRPr="009B1A37">
        <w:rPr>
          <w:color w:val="000000"/>
        </w:rPr>
        <w:t>ch</w:t>
      </w:r>
      <w:r w:rsidR="003A2308" w:rsidRPr="009B1A37">
        <w:rPr>
          <w:color w:val="000000"/>
        </w:rPr>
        <w:t>)</w:t>
      </w:r>
      <w:r w:rsidRPr="009B1A37">
        <w:rPr>
          <w:color w:val="000000"/>
        </w:rPr>
        <w:t xml:space="preserve"> sloučenin(y) po perorálním podání </w:t>
      </w:r>
      <w:r w:rsidRPr="009B1A37">
        <w:rPr>
          <w:color w:val="000000"/>
          <w:vertAlign w:val="superscript"/>
        </w:rPr>
        <w:t>14</w:t>
      </w:r>
      <w:r w:rsidRPr="009B1A37">
        <w:rPr>
          <w:color w:val="000000"/>
        </w:rPr>
        <w:t>C-značeného imatinibu bylo přibližně 81</w:t>
      </w:r>
      <w:r w:rsidR="00FC57C0" w:rsidRPr="009B1A37">
        <w:rPr>
          <w:color w:val="000000"/>
        </w:rPr>
        <w:t> </w:t>
      </w:r>
      <w:r w:rsidRPr="009B1A37">
        <w:rPr>
          <w:color w:val="000000"/>
        </w:rPr>
        <w:t>% dávky nalezeno v průběhu 7 dnů ve stolici (68</w:t>
      </w:r>
      <w:r w:rsidR="00FC57C0" w:rsidRPr="009B1A37">
        <w:rPr>
          <w:color w:val="000000"/>
        </w:rPr>
        <w:t> </w:t>
      </w:r>
      <w:r w:rsidRPr="009B1A37">
        <w:rPr>
          <w:color w:val="000000"/>
        </w:rPr>
        <w:t>% dávky) a v moči (13</w:t>
      </w:r>
      <w:r w:rsidR="00FC57C0" w:rsidRPr="009B1A37">
        <w:rPr>
          <w:color w:val="000000"/>
        </w:rPr>
        <w:t> </w:t>
      </w:r>
      <w:r w:rsidRPr="009B1A37">
        <w:rPr>
          <w:color w:val="000000"/>
        </w:rPr>
        <w:t>% dávky). V nezměněné formě bylo vyloučeno 25</w:t>
      </w:r>
      <w:r w:rsidR="00FC57C0" w:rsidRPr="009B1A37">
        <w:rPr>
          <w:color w:val="000000"/>
        </w:rPr>
        <w:t> </w:t>
      </w:r>
      <w:r w:rsidRPr="009B1A37">
        <w:rPr>
          <w:color w:val="000000"/>
        </w:rPr>
        <w:t>% dávky (5</w:t>
      </w:r>
      <w:r w:rsidR="00FC57C0" w:rsidRPr="009B1A37">
        <w:rPr>
          <w:color w:val="000000"/>
        </w:rPr>
        <w:t> </w:t>
      </w:r>
      <w:r w:rsidRPr="009B1A37">
        <w:rPr>
          <w:color w:val="000000"/>
        </w:rPr>
        <w:t>% močí, 20</w:t>
      </w:r>
      <w:r w:rsidR="00FC57C0" w:rsidRPr="009B1A37">
        <w:rPr>
          <w:color w:val="000000"/>
        </w:rPr>
        <w:t> </w:t>
      </w:r>
      <w:r w:rsidRPr="009B1A37">
        <w:rPr>
          <w:color w:val="000000"/>
        </w:rPr>
        <w:t>% stolicí), zbytek činily metabolity.</w:t>
      </w:r>
    </w:p>
    <w:p w14:paraId="01CE63DA" w14:textId="77777777" w:rsidR="00D94F95" w:rsidRPr="009B1A37" w:rsidRDefault="00D94F95" w:rsidP="00BE3D48">
      <w:pPr>
        <w:pStyle w:val="EndnoteText"/>
        <w:widowControl w:val="0"/>
        <w:tabs>
          <w:tab w:val="clear" w:pos="567"/>
        </w:tabs>
        <w:rPr>
          <w:color w:val="000000"/>
        </w:rPr>
      </w:pPr>
    </w:p>
    <w:p w14:paraId="65D96481" w14:textId="77777777" w:rsidR="00D94F95" w:rsidRPr="009B1A37" w:rsidRDefault="00D94F95" w:rsidP="00BE3D48">
      <w:pPr>
        <w:pStyle w:val="EndnoteText"/>
        <w:keepNext/>
        <w:widowControl w:val="0"/>
        <w:tabs>
          <w:tab w:val="clear" w:pos="567"/>
        </w:tabs>
        <w:rPr>
          <w:color w:val="000000"/>
          <w:u w:val="single"/>
        </w:rPr>
      </w:pPr>
      <w:r w:rsidRPr="009B1A37">
        <w:rPr>
          <w:color w:val="000000"/>
          <w:u w:val="single"/>
        </w:rPr>
        <w:t>Farmakokinetika v plazmě</w:t>
      </w:r>
    </w:p>
    <w:p w14:paraId="5FF19F8D" w14:textId="77777777" w:rsidR="00D94F95" w:rsidRPr="009B1A37" w:rsidRDefault="00D94F95" w:rsidP="00BE3D48">
      <w:pPr>
        <w:pStyle w:val="EndnoteText"/>
        <w:widowControl w:val="0"/>
        <w:tabs>
          <w:tab w:val="clear" w:pos="567"/>
        </w:tabs>
        <w:rPr>
          <w:color w:val="000000"/>
        </w:rPr>
      </w:pPr>
      <w:r w:rsidRPr="009B1A37">
        <w:rPr>
          <w:color w:val="000000"/>
        </w:rPr>
        <w:t>Po perorálním podání zdravým dobrovolníkům byl t</w:t>
      </w:r>
      <w:r w:rsidRPr="009B1A37">
        <w:rPr>
          <w:color w:val="000000"/>
          <w:vertAlign w:val="subscript"/>
        </w:rPr>
        <w:t>½</w:t>
      </w:r>
      <w:r w:rsidRPr="009B1A37">
        <w:rPr>
          <w:color w:val="000000"/>
        </w:rPr>
        <w:t xml:space="preserve"> přibližně 18 hodin, to znamená, že podávání jednou denně je dostačující. Zvyšování průměrné hodnoty AUC se stoupající dávkou bylo lineární a závislé na dávce v rozmezí dávek 25–1 000 mg imatinibu po perorálním podání. Po opakovaném podání nebyly při dávkování jednou denně nalezeny změny v kinetice imatinibu a akumulace v rovnovážném stavu činila 1,5–2,5násobek.</w:t>
      </w:r>
    </w:p>
    <w:p w14:paraId="5382CA46" w14:textId="77777777" w:rsidR="00D94F95" w:rsidRPr="009B1A37" w:rsidRDefault="00D94F95" w:rsidP="00BE3D48">
      <w:pPr>
        <w:pStyle w:val="EndnoteText"/>
        <w:widowControl w:val="0"/>
        <w:tabs>
          <w:tab w:val="clear" w:pos="567"/>
        </w:tabs>
        <w:rPr>
          <w:color w:val="000000"/>
        </w:rPr>
      </w:pPr>
    </w:p>
    <w:p w14:paraId="5B96C867" w14:textId="77777777" w:rsidR="00D94F95" w:rsidRPr="009B1A37" w:rsidRDefault="00D94F95" w:rsidP="00BE3D48">
      <w:pPr>
        <w:pStyle w:val="EndnoteText"/>
        <w:keepNext/>
        <w:widowControl w:val="0"/>
        <w:tabs>
          <w:tab w:val="clear" w:pos="567"/>
        </w:tabs>
        <w:rPr>
          <w:color w:val="000000"/>
          <w:u w:val="single"/>
        </w:rPr>
      </w:pPr>
      <w:r w:rsidRPr="009B1A37">
        <w:rPr>
          <w:color w:val="000000"/>
          <w:u w:val="single"/>
        </w:rPr>
        <w:t>Farmakokinetika u pacientů s GIST</w:t>
      </w:r>
    </w:p>
    <w:p w14:paraId="4293039D" w14:textId="77777777" w:rsidR="00D94F95" w:rsidRPr="009B1A37" w:rsidRDefault="00D94F95" w:rsidP="00BE3D48">
      <w:pPr>
        <w:pStyle w:val="Text"/>
        <w:widowControl w:val="0"/>
        <w:spacing w:before="0"/>
        <w:jc w:val="left"/>
        <w:rPr>
          <w:color w:val="000000"/>
          <w:sz w:val="22"/>
          <w:szCs w:val="22"/>
          <w:lang w:val="cs-CZ"/>
        </w:rPr>
      </w:pPr>
      <w:r w:rsidRPr="009B1A37">
        <w:rPr>
          <w:color w:val="000000"/>
          <w:sz w:val="22"/>
          <w:szCs w:val="22"/>
          <w:lang w:val="cs-CZ"/>
        </w:rPr>
        <w:t>U pacientů s GIST byla v rovnovážném stavu při stejné dávce (400 mg denně) 1,5krát vyšší expozice než ta, která byla pozorována u pacientů s CML. Na základě předběžné analýzy farmakokinetiky v populaci pacientů s GIST zde byly nalezeny tři proměnné (albumin, bílé krvinky a bilirubin), které měly statisticky významnou souvislost s farmakokinetikou imatinibu. Snížení hodnot albuminu bylo příčinou poklesu clearance (CL/f); a vyšší hodnoty počtu bílých krvinek vedly ke snížení CL/f. Tato souvislost však není dostatečně výrazná, aby opravňovala k úpravě dávkování. V této skupině pacientů by mohla přítomnost metastáz v játrech mít za následek jaterní insuficienci a redukci metabolismu.</w:t>
      </w:r>
    </w:p>
    <w:p w14:paraId="1CFE82F7" w14:textId="77777777" w:rsidR="00D94F95" w:rsidRPr="009B1A37" w:rsidRDefault="00D94F95" w:rsidP="00BE3D48">
      <w:pPr>
        <w:pStyle w:val="EndnoteText"/>
        <w:widowControl w:val="0"/>
        <w:tabs>
          <w:tab w:val="clear" w:pos="567"/>
        </w:tabs>
        <w:rPr>
          <w:color w:val="000000"/>
        </w:rPr>
      </w:pPr>
    </w:p>
    <w:p w14:paraId="6AF30AE8" w14:textId="77777777" w:rsidR="00D94F95" w:rsidRPr="009B1A37" w:rsidRDefault="00D94F95" w:rsidP="00BE3D48">
      <w:pPr>
        <w:pStyle w:val="EndnoteText"/>
        <w:keepNext/>
        <w:widowControl w:val="0"/>
        <w:tabs>
          <w:tab w:val="clear" w:pos="567"/>
        </w:tabs>
        <w:rPr>
          <w:color w:val="000000"/>
          <w:u w:val="single"/>
        </w:rPr>
      </w:pPr>
      <w:r w:rsidRPr="009B1A37">
        <w:rPr>
          <w:color w:val="000000"/>
          <w:u w:val="single"/>
        </w:rPr>
        <w:t>Populační farmakokinetika</w:t>
      </w:r>
    </w:p>
    <w:p w14:paraId="08F64392" w14:textId="77777777" w:rsidR="00D94F95" w:rsidRPr="009B1A37" w:rsidRDefault="00D94F95" w:rsidP="00BE3D48">
      <w:pPr>
        <w:pStyle w:val="EndnoteText"/>
        <w:widowControl w:val="0"/>
        <w:tabs>
          <w:tab w:val="clear" w:pos="567"/>
        </w:tabs>
        <w:rPr>
          <w:color w:val="000000"/>
        </w:rPr>
      </w:pPr>
      <w:r w:rsidRPr="009B1A37">
        <w:rPr>
          <w:color w:val="000000"/>
        </w:rPr>
        <w:t>Na základě analýzy farmakokinetiky v populaci pacientů s CML bylo zjištěno, že věk jen málo ovlivnil distribuční objem (12</w:t>
      </w:r>
      <w:r w:rsidR="00FC57C0" w:rsidRPr="009B1A37">
        <w:rPr>
          <w:color w:val="000000"/>
        </w:rPr>
        <w:t> </w:t>
      </w:r>
      <w:r w:rsidRPr="009B1A37">
        <w:rPr>
          <w:color w:val="000000"/>
        </w:rPr>
        <w:t xml:space="preserve">% zvýšení u pacientů starších &gt; 65 let). Tyto změny nejsou považovány za klinicky významné. Vliv tělesné hmotnosti na clearance imatinibu je následující: u pacientů s tělesnou hmotností </w:t>
      </w:r>
      <w:smartTag w:uri="urn:schemas-microsoft-com:office:smarttags" w:element="metricconverter">
        <w:smartTagPr>
          <w:attr w:name="ProductID" w:val="50ﾠkg"/>
        </w:smartTagPr>
        <w:r w:rsidRPr="009B1A37">
          <w:rPr>
            <w:color w:val="000000"/>
          </w:rPr>
          <w:t>50 kg</w:t>
        </w:r>
      </w:smartTag>
      <w:r w:rsidRPr="009B1A37">
        <w:rPr>
          <w:color w:val="000000"/>
        </w:rPr>
        <w:t xml:space="preserve"> je možné očekávat průměrnou clearance 8,5 l/h, zatímco u pacientů vážících </w:t>
      </w:r>
      <w:smartTag w:uri="urn:schemas-microsoft-com:office:smarttags" w:element="metricconverter">
        <w:smartTagPr>
          <w:attr w:name="ProductID" w:val="100ﾠkg"/>
        </w:smartTagPr>
        <w:r w:rsidRPr="009B1A37">
          <w:rPr>
            <w:color w:val="000000"/>
          </w:rPr>
          <w:t>100 kg</w:t>
        </w:r>
      </w:smartTag>
      <w:r w:rsidRPr="009B1A37">
        <w:rPr>
          <w:color w:val="000000"/>
        </w:rPr>
        <w:t xml:space="preserve"> clearance stoupne na 11,8 l/h. Tyto změny nejsou dostačující, aby opravňovaly k úpravě dávkování podle </w:t>
      </w:r>
      <w:r w:rsidR="003A2308" w:rsidRPr="009B1A37">
        <w:rPr>
          <w:color w:val="000000"/>
        </w:rPr>
        <w:t xml:space="preserve">tělesné </w:t>
      </w:r>
      <w:r w:rsidRPr="009B1A37">
        <w:rPr>
          <w:color w:val="000000"/>
        </w:rPr>
        <w:t>hmotnosti. V kinetice imatinibu není rozdíl mezi muži a ženami.</w:t>
      </w:r>
    </w:p>
    <w:p w14:paraId="6A8AF10F" w14:textId="77777777" w:rsidR="00D94F95" w:rsidRPr="009B1A37" w:rsidRDefault="00D94F95" w:rsidP="00BE3D48">
      <w:pPr>
        <w:pStyle w:val="EndnoteText"/>
        <w:widowControl w:val="0"/>
        <w:tabs>
          <w:tab w:val="clear" w:pos="567"/>
        </w:tabs>
        <w:rPr>
          <w:color w:val="000000"/>
        </w:rPr>
      </w:pPr>
    </w:p>
    <w:p w14:paraId="6F4EAF0D" w14:textId="77777777" w:rsidR="00D94F95" w:rsidRPr="009B1A37" w:rsidRDefault="00D94F95" w:rsidP="00BE3D48">
      <w:pPr>
        <w:pStyle w:val="EndnoteText"/>
        <w:keepNext/>
        <w:widowControl w:val="0"/>
        <w:tabs>
          <w:tab w:val="clear" w:pos="567"/>
        </w:tabs>
        <w:rPr>
          <w:color w:val="000000"/>
          <w:u w:val="single"/>
        </w:rPr>
      </w:pPr>
      <w:r w:rsidRPr="009B1A37">
        <w:rPr>
          <w:color w:val="000000"/>
          <w:u w:val="single"/>
        </w:rPr>
        <w:t>Farmakokinetika u dětí</w:t>
      </w:r>
    </w:p>
    <w:p w14:paraId="389E876D" w14:textId="77777777" w:rsidR="00D94F95" w:rsidRPr="009B1A37" w:rsidRDefault="00D94F95" w:rsidP="00BE3D48">
      <w:pPr>
        <w:pStyle w:val="EndnoteText"/>
        <w:widowControl w:val="0"/>
        <w:rPr>
          <w:color w:val="000000"/>
        </w:rPr>
      </w:pPr>
      <w:r w:rsidRPr="009B1A37">
        <w:rPr>
          <w:color w:val="000000"/>
        </w:rPr>
        <w:t xml:space="preserve">Obdobně jako u dospělých pacientů byl imatinib po perorálním podání rychle absorbován i u </w:t>
      </w:r>
      <w:r w:rsidR="003A2308" w:rsidRPr="009B1A37">
        <w:rPr>
          <w:color w:val="000000"/>
        </w:rPr>
        <w:t xml:space="preserve">pediatrických </w:t>
      </w:r>
      <w:r w:rsidRPr="009B1A37">
        <w:rPr>
          <w:color w:val="000000"/>
        </w:rPr>
        <w:t xml:space="preserve">pacientů ve studii fáze I i fáze II. Dávkami </w:t>
      </w:r>
      <w:smartTag w:uri="urn:schemas-microsoft-com:office:smarttags" w:element="metricconverter">
        <w:smartTagPr>
          <w:attr w:name="ProductID" w:val="260 a"/>
        </w:smartTagPr>
        <w:r w:rsidRPr="009B1A37">
          <w:rPr>
            <w:color w:val="000000"/>
          </w:rPr>
          <w:t>260 a</w:t>
        </w:r>
      </w:smartTag>
      <w:r w:rsidRPr="009B1A37">
        <w:rPr>
          <w:color w:val="000000"/>
        </w:rPr>
        <w:t xml:space="preserve"> 340 mg/m</w:t>
      </w:r>
      <w:r w:rsidRPr="009B1A37">
        <w:rPr>
          <w:color w:val="000000"/>
          <w:vertAlign w:val="superscript"/>
        </w:rPr>
        <w:t>2</w:t>
      </w:r>
      <w:r w:rsidRPr="009B1A37">
        <w:rPr>
          <w:color w:val="000000"/>
        </w:rPr>
        <w:t>/den bylo u dětí dosaženo stejné účinnosti jako u dospělých dávkami 400 mg a 600 mg. Při srovnání AUC</w:t>
      </w:r>
      <w:r w:rsidRPr="009B1A37">
        <w:rPr>
          <w:color w:val="000000"/>
          <w:vertAlign w:val="subscript"/>
        </w:rPr>
        <w:t>(0-24)</w:t>
      </w:r>
      <w:r w:rsidRPr="009B1A37">
        <w:rPr>
          <w:color w:val="000000"/>
        </w:rPr>
        <w:t xml:space="preserve"> 8. den s 1. dnem při dávce 340 mg/m</w:t>
      </w:r>
      <w:r w:rsidRPr="009B1A37">
        <w:rPr>
          <w:color w:val="000000"/>
          <w:vertAlign w:val="superscript"/>
        </w:rPr>
        <w:t>2</w:t>
      </w:r>
      <w:r w:rsidRPr="009B1A37">
        <w:rPr>
          <w:color w:val="000000"/>
        </w:rPr>
        <w:t>/den hladina ukázala 1,7násobnou akumulaci léku po opakovaném podávání jednou denně.</w:t>
      </w:r>
    </w:p>
    <w:p w14:paraId="34BE2442" w14:textId="77777777" w:rsidR="00A44EA7" w:rsidRPr="009B1A37" w:rsidRDefault="00A44EA7" w:rsidP="00BE3D48">
      <w:pPr>
        <w:pStyle w:val="EndnoteText"/>
        <w:widowControl w:val="0"/>
        <w:rPr>
          <w:color w:val="000000"/>
        </w:rPr>
      </w:pPr>
    </w:p>
    <w:p w14:paraId="7D81D2A3" w14:textId="77777777" w:rsidR="00A44EA7" w:rsidRPr="009B1A37" w:rsidRDefault="00A44EA7" w:rsidP="00BE3D48">
      <w:pPr>
        <w:pStyle w:val="EndnoteText"/>
        <w:widowControl w:val="0"/>
        <w:rPr>
          <w:color w:val="000000"/>
        </w:rPr>
      </w:pPr>
      <w:r w:rsidRPr="009B1A37">
        <w:rPr>
          <w:color w:val="000000"/>
        </w:rPr>
        <w:t>Na základě poolovaných farmakokinetických analýz populací pediatrických pacientů s hematologickými poruchami (CML, Ph+ALL, nebo jinými hematologickými poruchami léčenými imatinibem) roste clearance imatinibu se zvyšujícím se povrchem těla (BSA). Po úpravě vlivu BSA neměly další demografické ukazatele, jako je věk, tělesná hmotnost a body mass index, klinicky významný vliv na expozici imatinibem. Analýzy potvrdily, že expozice imatinibem u pediatrických pacientů užívajících 260 mg/m</w:t>
      </w:r>
      <w:r w:rsidRPr="009B1A37">
        <w:rPr>
          <w:color w:val="000000"/>
          <w:vertAlign w:val="superscript"/>
        </w:rPr>
        <w:t>2</w:t>
      </w:r>
      <w:r w:rsidRPr="009B1A37">
        <w:rPr>
          <w:color w:val="000000"/>
        </w:rPr>
        <w:t xml:space="preserve"> jednou denně (nepřevyšující 400 mg jednou denně) nebo 340 mg/m</w:t>
      </w:r>
      <w:r w:rsidRPr="009B1A37">
        <w:rPr>
          <w:color w:val="000000"/>
          <w:vertAlign w:val="superscript"/>
        </w:rPr>
        <w:t>2</w:t>
      </w:r>
      <w:r w:rsidRPr="009B1A37">
        <w:rPr>
          <w:color w:val="000000"/>
        </w:rPr>
        <w:t xml:space="preserve"> jednou denně (nepřevyšující 600 mg jednou denně) byly podobné jako u dospělých pacientů, kteří užívali imatinib v dávce 400 mg nebo 600 mg jednou denně.</w:t>
      </w:r>
    </w:p>
    <w:p w14:paraId="787AAF2C" w14:textId="77777777" w:rsidR="00D94F95" w:rsidRPr="009B1A37" w:rsidRDefault="00D94F95" w:rsidP="00BE3D48">
      <w:pPr>
        <w:pStyle w:val="EndnoteText"/>
        <w:widowControl w:val="0"/>
        <w:tabs>
          <w:tab w:val="clear" w:pos="567"/>
        </w:tabs>
        <w:rPr>
          <w:color w:val="000000"/>
        </w:rPr>
      </w:pPr>
    </w:p>
    <w:p w14:paraId="159F23D9" w14:textId="77777777" w:rsidR="00D94F95" w:rsidRPr="009B1A37" w:rsidRDefault="003A2308" w:rsidP="00BE3D48">
      <w:pPr>
        <w:pStyle w:val="EndnoteText"/>
        <w:keepNext/>
        <w:widowControl w:val="0"/>
        <w:tabs>
          <w:tab w:val="clear" w:pos="567"/>
        </w:tabs>
        <w:rPr>
          <w:color w:val="000000"/>
          <w:u w:val="single"/>
        </w:rPr>
      </w:pPr>
      <w:r w:rsidRPr="009B1A37">
        <w:rPr>
          <w:color w:val="000000"/>
          <w:u w:val="single"/>
        </w:rPr>
        <w:t xml:space="preserve">Porucha </w:t>
      </w:r>
      <w:r w:rsidR="00D94F95" w:rsidRPr="009B1A37">
        <w:rPr>
          <w:color w:val="000000"/>
          <w:u w:val="single"/>
        </w:rPr>
        <w:t>funkce orgánů</w:t>
      </w:r>
    </w:p>
    <w:p w14:paraId="152EEEDC" w14:textId="77777777" w:rsidR="00D94F95" w:rsidRPr="009B1A37" w:rsidRDefault="00D94F95" w:rsidP="00BE3D48">
      <w:pPr>
        <w:pStyle w:val="EndnoteText"/>
        <w:widowControl w:val="0"/>
        <w:tabs>
          <w:tab w:val="clear" w:pos="567"/>
        </w:tabs>
        <w:rPr>
          <w:color w:val="000000"/>
        </w:rPr>
      </w:pPr>
      <w:r w:rsidRPr="009B1A37">
        <w:rPr>
          <w:color w:val="000000"/>
        </w:rPr>
        <w:t xml:space="preserve">Imatinib a jeho metabolity nejsou ve významném množství vylučovány ledvinami. U pacientů s </w:t>
      </w:r>
      <w:r w:rsidR="003A2308" w:rsidRPr="009B1A37">
        <w:rPr>
          <w:color w:val="000000"/>
        </w:rPr>
        <w:t>lehkou</w:t>
      </w:r>
      <w:r w:rsidRPr="009B1A37">
        <w:rPr>
          <w:color w:val="000000"/>
        </w:rPr>
        <w:t xml:space="preserve"> a středně </w:t>
      </w:r>
      <w:r w:rsidR="003A2308" w:rsidRPr="009B1A37">
        <w:rPr>
          <w:color w:val="000000"/>
        </w:rPr>
        <w:t>těžkou poruchou funkce ledvin</w:t>
      </w:r>
      <w:r w:rsidRPr="009B1A37">
        <w:rPr>
          <w:color w:val="000000"/>
        </w:rPr>
        <w:t xml:space="preserve"> se ukázalo, že mají vyšší plazmatickou expozici než pacienti s normální funkcí ledvin. Zvýšení je přibližně 1,5- až 2násobné, což odpovídá 1,5násobku zvýšení plazmatického AGP, na který se imatinib silně váže. Clearance volného imatinibu je pravděpodobně obdobná u pacientů s</w:t>
      </w:r>
      <w:r w:rsidR="003A2308" w:rsidRPr="009B1A37">
        <w:rPr>
          <w:color w:val="000000"/>
        </w:rPr>
        <w:t> poruchou funkce ledvin</w:t>
      </w:r>
      <w:r w:rsidRPr="009B1A37">
        <w:rPr>
          <w:color w:val="000000"/>
        </w:rPr>
        <w:t xml:space="preserve"> a u pacientů s normální funkcí ledvin vzhledem k tomu, že vylučování ledvinami představuje pouze vedlejší cestu eliminace imatinibu (viz bod</w:t>
      </w:r>
      <w:r w:rsidR="003A2308" w:rsidRPr="009B1A37">
        <w:rPr>
          <w:color w:val="000000"/>
        </w:rPr>
        <w:t>y</w:t>
      </w:r>
      <w:r w:rsidRPr="009B1A37">
        <w:rPr>
          <w:color w:val="000000"/>
        </w:rPr>
        <w:t xml:space="preserve"> </w:t>
      </w:r>
      <w:smartTag w:uri="urn:schemas-microsoft-com:office:smarttags" w:element="metricconverter">
        <w:smartTagPr>
          <w:attr w:name="ProductID" w:val="4.2 a"/>
        </w:smartTagPr>
        <w:r w:rsidRPr="009B1A37">
          <w:rPr>
            <w:color w:val="000000"/>
          </w:rPr>
          <w:t>4.2 a</w:t>
        </w:r>
      </w:smartTag>
      <w:r w:rsidRPr="009B1A37">
        <w:rPr>
          <w:color w:val="000000"/>
        </w:rPr>
        <w:t xml:space="preserve"> 4.4).</w:t>
      </w:r>
    </w:p>
    <w:p w14:paraId="448E3C26" w14:textId="77777777" w:rsidR="00D94F95" w:rsidRPr="009B1A37" w:rsidRDefault="00D94F95" w:rsidP="00BE3D48">
      <w:pPr>
        <w:pStyle w:val="EndnoteText"/>
        <w:widowControl w:val="0"/>
        <w:tabs>
          <w:tab w:val="clear" w:pos="567"/>
        </w:tabs>
        <w:rPr>
          <w:color w:val="000000"/>
        </w:rPr>
      </w:pPr>
    </w:p>
    <w:p w14:paraId="1FA6498F" w14:textId="77777777" w:rsidR="00D94F95" w:rsidRPr="009B1A37" w:rsidRDefault="00D94F95" w:rsidP="00BE3D48">
      <w:pPr>
        <w:pStyle w:val="EndnoteText"/>
        <w:widowControl w:val="0"/>
        <w:tabs>
          <w:tab w:val="clear" w:pos="567"/>
        </w:tabs>
        <w:rPr>
          <w:color w:val="000000"/>
        </w:rPr>
      </w:pPr>
      <w:r w:rsidRPr="009B1A37">
        <w:rPr>
          <w:color w:val="000000"/>
        </w:rPr>
        <w:t xml:space="preserve">Ačkoli výsledky farmakokinetických analýz ukázaly, že je zde značný rozdíl mezi jedinci, střední expozice imatinibu se nezvýšila u pacientů s různými stupni dysfunkce jater ve srovnání s pacienty s normální funkcí jater (viz body 4.2, </w:t>
      </w:r>
      <w:smartTag w:uri="urn:schemas-microsoft-com:office:smarttags" w:element="metricconverter">
        <w:smartTagPr>
          <w:attr w:name="ProductID" w:val="4.4 a"/>
        </w:smartTagPr>
        <w:r w:rsidRPr="009B1A37">
          <w:rPr>
            <w:color w:val="000000"/>
          </w:rPr>
          <w:t>4.4 a</w:t>
        </w:r>
      </w:smartTag>
      <w:r w:rsidRPr="009B1A37">
        <w:rPr>
          <w:color w:val="000000"/>
        </w:rPr>
        <w:t xml:space="preserve"> 4.8).</w:t>
      </w:r>
    </w:p>
    <w:p w14:paraId="4960BEED" w14:textId="77777777" w:rsidR="00D94F95" w:rsidRPr="009B1A37" w:rsidRDefault="00D94F95" w:rsidP="00BE3D48">
      <w:pPr>
        <w:pStyle w:val="EndnoteText"/>
        <w:widowControl w:val="0"/>
        <w:tabs>
          <w:tab w:val="clear" w:pos="567"/>
        </w:tabs>
        <w:rPr>
          <w:color w:val="000000"/>
        </w:rPr>
      </w:pPr>
    </w:p>
    <w:p w14:paraId="1F896AFB" w14:textId="77777777" w:rsidR="00D94F95" w:rsidRPr="009B1A37" w:rsidRDefault="00D94F95" w:rsidP="00BE3D48">
      <w:pPr>
        <w:keepNext/>
        <w:widowControl w:val="0"/>
        <w:tabs>
          <w:tab w:val="clear" w:pos="567"/>
        </w:tabs>
        <w:spacing w:line="240" w:lineRule="auto"/>
        <w:ind w:left="567" w:hanging="567"/>
        <w:rPr>
          <w:b/>
          <w:bCs/>
          <w:color w:val="000000"/>
        </w:rPr>
      </w:pPr>
      <w:r w:rsidRPr="009B1A37">
        <w:rPr>
          <w:b/>
          <w:bCs/>
          <w:color w:val="000000"/>
        </w:rPr>
        <w:t>5.3</w:t>
      </w:r>
      <w:r w:rsidRPr="009B1A37">
        <w:rPr>
          <w:b/>
          <w:bCs/>
          <w:color w:val="000000"/>
        </w:rPr>
        <w:tab/>
        <w:t>Předklinické údaje vztahující se k bezpečnosti</w:t>
      </w:r>
    </w:p>
    <w:p w14:paraId="75D9F3B3" w14:textId="77777777" w:rsidR="00D94F95" w:rsidRPr="009B1A37" w:rsidRDefault="00D94F95" w:rsidP="00BE3D48">
      <w:pPr>
        <w:pStyle w:val="EndnoteText"/>
        <w:keepNext/>
        <w:widowControl w:val="0"/>
        <w:tabs>
          <w:tab w:val="clear" w:pos="567"/>
        </w:tabs>
        <w:rPr>
          <w:color w:val="000000"/>
        </w:rPr>
      </w:pPr>
    </w:p>
    <w:p w14:paraId="45671609" w14:textId="77777777" w:rsidR="00D94F95" w:rsidRPr="009B1A37" w:rsidRDefault="00D94F95" w:rsidP="00BE3D48">
      <w:pPr>
        <w:widowControl w:val="0"/>
        <w:tabs>
          <w:tab w:val="clear" w:pos="567"/>
        </w:tabs>
        <w:spacing w:line="240" w:lineRule="auto"/>
        <w:rPr>
          <w:color w:val="000000"/>
        </w:rPr>
      </w:pPr>
      <w:r w:rsidRPr="009B1A37">
        <w:rPr>
          <w:color w:val="000000"/>
        </w:rPr>
        <w:t>Předklinický profil bezpečnosti imatinibu byl stanoven na potkanech, psech, opicích a králících.</w:t>
      </w:r>
    </w:p>
    <w:p w14:paraId="1EC5226D" w14:textId="77777777" w:rsidR="00D94F95" w:rsidRPr="009B1A37" w:rsidRDefault="00D94F95" w:rsidP="00BE3D48">
      <w:pPr>
        <w:widowControl w:val="0"/>
        <w:tabs>
          <w:tab w:val="clear" w:pos="567"/>
        </w:tabs>
        <w:spacing w:line="240" w:lineRule="auto"/>
        <w:rPr>
          <w:color w:val="000000"/>
        </w:rPr>
      </w:pPr>
    </w:p>
    <w:p w14:paraId="0BC66A32" w14:textId="77777777" w:rsidR="00D94F95" w:rsidRPr="009B1A37" w:rsidRDefault="00D94F95" w:rsidP="00BE3D48">
      <w:pPr>
        <w:pStyle w:val="Text"/>
        <w:widowControl w:val="0"/>
        <w:spacing w:before="0"/>
        <w:jc w:val="left"/>
        <w:rPr>
          <w:color w:val="000000"/>
          <w:sz w:val="22"/>
          <w:szCs w:val="22"/>
          <w:lang w:val="cs-CZ"/>
        </w:rPr>
      </w:pPr>
      <w:r w:rsidRPr="009B1A37">
        <w:rPr>
          <w:color w:val="000000"/>
          <w:sz w:val="22"/>
          <w:szCs w:val="22"/>
          <w:lang w:val="cs-CZ"/>
        </w:rPr>
        <w:t>Při studiu toxicity po opakovaném podání byly pozorovány mírné až středně závažné hematologické změny u potkanů, psů, a opic doprovázené změnami v kostní dřeni u potkanů a psů.</w:t>
      </w:r>
    </w:p>
    <w:p w14:paraId="55E4B54A" w14:textId="77777777" w:rsidR="00D94F95" w:rsidRPr="009B1A37" w:rsidRDefault="00D94F95" w:rsidP="00BE3D48">
      <w:pPr>
        <w:pStyle w:val="Text"/>
        <w:widowControl w:val="0"/>
        <w:spacing w:before="0"/>
        <w:jc w:val="left"/>
        <w:rPr>
          <w:color w:val="000000"/>
          <w:sz w:val="22"/>
          <w:szCs w:val="22"/>
          <w:lang w:val="cs-CZ"/>
        </w:rPr>
      </w:pPr>
    </w:p>
    <w:p w14:paraId="420BA968" w14:textId="77777777" w:rsidR="00D94F95" w:rsidRPr="009B1A37" w:rsidRDefault="00D94F95" w:rsidP="00BE3D48">
      <w:pPr>
        <w:pStyle w:val="Text"/>
        <w:widowControl w:val="0"/>
        <w:spacing w:before="0"/>
        <w:jc w:val="left"/>
        <w:rPr>
          <w:color w:val="000000"/>
          <w:sz w:val="22"/>
          <w:szCs w:val="22"/>
          <w:lang w:val="cs-CZ"/>
        </w:rPr>
      </w:pPr>
      <w:r w:rsidRPr="009B1A37">
        <w:rPr>
          <w:color w:val="000000"/>
          <w:sz w:val="22"/>
          <w:szCs w:val="22"/>
          <w:lang w:val="cs-CZ"/>
        </w:rPr>
        <w:t>U potkanů a psů byly cílovým orgánem játra. U obou druhů zvířat bylo pozorováno mírné až středn</w:t>
      </w:r>
      <w:r w:rsidR="005A42AC" w:rsidRPr="009B1A37">
        <w:rPr>
          <w:color w:val="000000"/>
          <w:sz w:val="22"/>
          <w:szCs w:val="22"/>
          <w:lang w:val="cs-CZ"/>
        </w:rPr>
        <w:t>ě</w:t>
      </w:r>
      <w:r w:rsidRPr="009B1A37">
        <w:rPr>
          <w:color w:val="000000"/>
          <w:sz w:val="22"/>
          <w:szCs w:val="22"/>
          <w:lang w:val="cs-CZ"/>
        </w:rPr>
        <w:t xml:space="preserve"> </w:t>
      </w:r>
      <w:r w:rsidR="005A42AC" w:rsidRPr="009B1A37">
        <w:rPr>
          <w:color w:val="000000"/>
          <w:sz w:val="22"/>
          <w:szCs w:val="22"/>
          <w:lang w:val="cs-CZ"/>
        </w:rPr>
        <w:t xml:space="preserve">výrazné </w:t>
      </w:r>
      <w:r w:rsidRPr="009B1A37">
        <w:rPr>
          <w:color w:val="000000"/>
          <w:sz w:val="22"/>
          <w:szCs w:val="22"/>
          <w:lang w:val="cs-CZ"/>
        </w:rPr>
        <w:t xml:space="preserve">zvýšení transamináz a mírný pokles cholesterolu, triglyceridů, celkových proteinů a hladiny albuminu. V játrech potkanů nebyly nalezeny žádné histopatologické změny. Závažné toxické změny se zvýšením jaterních enzymů, hepatocelulární nekrózou, nekrózou žlučových cest a hyperplazií žlučovodu byly pozorovány u psů léčených po </w:t>
      </w:r>
      <w:r w:rsidR="005A42AC" w:rsidRPr="009B1A37">
        <w:rPr>
          <w:color w:val="000000"/>
          <w:sz w:val="22"/>
          <w:szCs w:val="22"/>
          <w:lang w:val="cs-CZ"/>
        </w:rPr>
        <w:t xml:space="preserve">dobu </w:t>
      </w:r>
      <w:r w:rsidRPr="009B1A37">
        <w:rPr>
          <w:color w:val="000000"/>
          <w:sz w:val="22"/>
          <w:szCs w:val="22"/>
          <w:lang w:val="cs-CZ"/>
        </w:rPr>
        <w:t>2 týdn</w:t>
      </w:r>
      <w:r w:rsidR="005A42AC" w:rsidRPr="009B1A37">
        <w:rPr>
          <w:color w:val="000000"/>
          <w:sz w:val="22"/>
          <w:szCs w:val="22"/>
          <w:lang w:val="cs-CZ"/>
        </w:rPr>
        <w:t>ů</w:t>
      </w:r>
      <w:r w:rsidRPr="009B1A37">
        <w:rPr>
          <w:color w:val="000000"/>
          <w:sz w:val="22"/>
          <w:szCs w:val="22"/>
          <w:lang w:val="cs-CZ"/>
        </w:rPr>
        <w:t>.</w:t>
      </w:r>
    </w:p>
    <w:p w14:paraId="546EC63C" w14:textId="77777777" w:rsidR="00D94F95" w:rsidRPr="009B1A37" w:rsidRDefault="00D94F95" w:rsidP="00BE3D48">
      <w:pPr>
        <w:pStyle w:val="Text"/>
        <w:widowControl w:val="0"/>
        <w:spacing w:before="0"/>
        <w:rPr>
          <w:color w:val="000000"/>
          <w:sz w:val="22"/>
          <w:szCs w:val="22"/>
          <w:lang w:val="cs-CZ"/>
        </w:rPr>
      </w:pPr>
    </w:p>
    <w:p w14:paraId="38B7C244" w14:textId="77777777" w:rsidR="00D94F95" w:rsidRPr="009B1A37" w:rsidRDefault="00D94F95" w:rsidP="00BE3D48">
      <w:pPr>
        <w:pStyle w:val="Text"/>
        <w:widowControl w:val="0"/>
        <w:spacing w:before="0"/>
        <w:jc w:val="left"/>
        <w:rPr>
          <w:color w:val="000000"/>
          <w:sz w:val="22"/>
          <w:szCs w:val="22"/>
          <w:lang w:val="cs-CZ"/>
        </w:rPr>
      </w:pPr>
      <w:r w:rsidRPr="009B1A37">
        <w:rPr>
          <w:color w:val="000000"/>
          <w:sz w:val="22"/>
          <w:szCs w:val="22"/>
          <w:lang w:val="cs-CZ"/>
        </w:rPr>
        <w:t>U opic byla po dvou týdnech léčby pozorována nefrotoxicita, s ložiskovou mineralizací a dilatací renálních tubulů a tubulární nefrózou. U několika zvířat bylo pozorováno zvýšení urey (BUN) a kreatininu</w:t>
      </w:r>
      <w:r w:rsidR="005A42AC" w:rsidRPr="009B1A37">
        <w:rPr>
          <w:color w:val="000000"/>
          <w:sz w:val="22"/>
          <w:szCs w:val="22"/>
          <w:lang w:val="cs-CZ"/>
        </w:rPr>
        <w:t xml:space="preserve"> v krvi</w:t>
      </w:r>
      <w:r w:rsidRPr="009B1A37">
        <w:rPr>
          <w:color w:val="000000"/>
          <w:sz w:val="22"/>
          <w:szCs w:val="22"/>
          <w:lang w:val="cs-CZ"/>
        </w:rPr>
        <w:t xml:space="preserve">. U potkanů byla po dávkách </w:t>
      </w:r>
      <w:r w:rsidRPr="009B1A37">
        <w:rPr>
          <w:rFonts w:ascii="Symbol" w:hAnsi="Symbol"/>
          <w:color w:val="000000"/>
          <w:sz w:val="22"/>
          <w:szCs w:val="22"/>
          <w:lang w:val="cs-CZ"/>
        </w:rPr>
        <w:t></w:t>
      </w:r>
      <w:r w:rsidRPr="009B1A37">
        <w:rPr>
          <w:color w:val="000000"/>
          <w:sz w:val="22"/>
          <w:szCs w:val="22"/>
          <w:lang w:val="cs-CZ"/>
        </w:rPr>
        <w:t> 6 mg/kg ve 13týdenní studii pozorována hyperplazie přechodového epitelu renální papily a močového měchýře, beze změn parametrů v séru nebo moči. Při chronické léčbě imatinibem byl pozorován četnější výskyt oportunních infekcí.</w:t>
      </w:r>
    </w:p>
    <w:p w14:paraId="7CA475B4" w14:textId="77777777" w:rsidR="00D94F95" w:rsidRPr="009B1A37" w:rsidRDefault="00D94F95" w:rsidP="00BE3D48">
      <w:pPr>
        <w:pStyle w:val="Text"/>
        <w:widowControl w:val="0"/>
        <w:spacing w:before="0"/>
        <w:jc w:val="left"/>
        <w:rPr>
          <w:color w:val="000000"/>
          <w:sz w:val="22"/>
          <w:szCs w:val="22"/>
          <w:lang w:val="cs-CZ"/>
        </w:rPr>
      </w:pPr>
    </w:p>
    <w:p w14:paraId="4C4473C6" w14:textId="77777777" w:rsidR="00D94F95" w:rsidRPr="009B1A37" w:rsidRDefault="00D94F95" w:rsidP="00BE3D48">
      <w:pPr>
        <w:pStyle w:val="Text"/>
        <w:widowControl w:val="0"/>
        <w:spacing w:before="0"/>
        <w:jc w:val="left"/>
        <w:rPr>
          <w:color w:val="000000"/>
          <w:sz w:val="22"/>
          <w:szCs w:val="22"/>
          <w:lang w:val="cs-CZ"/>
        </w:rPr>
      </w:pPr>
      <w:r w:rsidRPr="009B1A37">
        <w:rPr>
          <w:color w:val="000000"/>
          <w:sz w:val="22"/>
          <w:szCs w:val="22"/>
          <w:lang w:val="cs-CZ"/>
        </w:rPr>
        <w:t xml:space="preserve">Ve 39týdenní studii u opic nebyla při nejnižší dávce 15 mg/kg, odpovídající přibližně jedné třetině maximální dávky 800 mg </w:t>
      </w:r>
      <w:r w:rsidR="005A42AC" w:rsidRPr="009B1A37">
        <w:rPr>
          <w:color w:val="000000"/>
          <w:sz w:val="22"/>
          <w:szCs w:val="22"/>
          <w:lang w:val="cs-CZ"/>
        </w:rPr>
        <w:t xml:space="preserve">u člověka </w:t>
      </w:r>
      <w:r w:rsidRPr="009B1A37">
        <w:rPr>
          <w:color w:val="000000"/>
          <w:sz w:val="22"/>
          <w:szCs w:val="22"/>
          <w:lang w:val="cs-CZ"/>
        </w:rPr>
        <w:t xml:space="preserve">stanovené podle tělesného povrchu, stanovena hladina bez nežádoucích účinků -NOAEL (No Observed Adverse Effect Level). U těchto zvířat došlo ke zhoršení normálně </w:t>
      </w:r>
      <w:r w:rsidR="005A42AC" w:rsidRPr="009B1A37">
        <w:rPr>
          <w:color w:val="000000"/>
          <w:sz w:val="22"/>
          <w:szCs w:val="22"/>
          <w:lang w:val="cs-CZ"/>
        </w:rPr>
        <w:t>suprimované</w:t>
      </w:r>
      <w:r w:rsidRPr="009B1A37">
        <w:rPr>
          <w:color w:val="000000"/>
          <w:sz w:val="22"/>
          <w:szCs w:val="22"/>
          <w:lang w:val="cs-CZ"/>
        </w:rPr>
        <w:t xml:space="preserve"> malárie.</w:t>
      </w:r>
    </w:p>
    <w:p w14:paraId="791A56A8" w14:textId="77777777" w:rsidR="00D94F95" w:rsidRPr="009B1A37" w:rsidRDefault="00D94F95" w:rsidP="00BE3D48">
      <w:pPr>
        <w:pStyle w:val="Text"/>
        <w:widowControl w:val="0"/>
        <w:spacing w:before="0"/>
        <w:jc w:val="left"/>
        <w:rPr>
          <w:color w:val="000000"/>
          <w:sz w:val="22"/>
          <w:szCs w:val="22"/>
          <w:lang w:val="cs-CZ"/>
        </w:rPr>
      </w:pPr>
    </w:p>
    <w:p w14:paraId="027B622C" w14:textId="77777777" w:rsidR="00D94F95" w:rsidRPr="009B1A37" w:rsidRDefault="00D94F95" w:rsidP="00BE3D48">
      <w:pPr>
        <w:pStyle w:val="Text"/>
        <w:widowControl w:val="0"/>
        <w:spacing w:before="0"/>
        <w:jc w:val="left"/>
        <w:rPr>
          <w:color w:val="000000"/>
          <w:sz w:val="22"/>
          <w:szCs w:val="22"/>
          <w:lang w:val="cs-CZ"/>
        </w:rPr>
      </w:pPr>
      <w:r w:rsidRPr="009B1A37">
        <w:rPr>
          <w:color w:val="000000"/>
          <w:sz w:val="22"/>
          <w:szCs w:val="22"/>
          <w:lang w:val="cs-CZ"/>
        </w:rPr>
        <w:t xml:space="preserve">Ve studiích </w:t>
      </w:r>
      <w:r w:rsidRPr="009B1A37">
        <w:rPr>
          <w:i/>
          <w:iCs/>
          <w:color w:val="000000"/>
          <w:sz w:val="22"/>
          <w:szCs w:val="22"/>
          <w:lang w:val="cs-CZ"/>
        </w:rPr>
        <w:t>in vitro</w:t>
      </w:r>
      <w:r w:rsidRPr="009B1A37">
        <w:rPr>
          <w:color w:val="000000"/>
          <w:sz w:val="22"/>
          <w:szCs w:val="22"/>
          <w:lang w:val="cs-CZ"/>
        </w:rPr>
        <w:t xml:space="preserve"> na bakteriálních buňkách (Amesův test), na savčích buňkách (myší lymfomové buňky) ani ve studiích </w:t>
      </w:r>
      <w:r w:rsidRPr="009B1A37">
        <w:rPr>
          <w:i/>
          <w:iCs/>
          <w:color w:val="000000"/>
          <w:sz w:val="22"/>
          <w:szCs w:val="22"/>
          <w:lang w:val="cs-CZ"/>
        </w:rPr>
        <w:t xml:space="preserve">in vivo </w:t>
      </w:r>
      <w:r w:rsidRPr="009B1A37">
        <w:rPr>
          <w:iCs/>
          <w:color w:val="000000"/>
          <w:sz w:val="22"/>
          <w:szCs w:val="22"/>
          <w:lang w:val="cs-CZ"/>
        </w:rPr>
        <w:t>u</w:t>
      </w:r>
      <w:r w:rsidRPr="009B1A37">
        <w:rPr>
          <w:color w:val="000000"/>
          <w:sz w:val="22"/>
          <w:szCs w:val="22"/>
          <w:lang w:val="cs-CZ"/>
        </w:rPr>
        <w:t> </w:t>
      </w:r>
      <w:r w:rsidRPr="009B1A37">
        <w:rPr>
          <w:iCs/>
          <w:color w:val="000000"/>
          <w:sz w:val="22"/>
          <w:szCs w:val="22"/>
          <w:lang w:val="cs-CZ"/>
        </w:rPr>
        <w:t xml:space="preserve">potkanů </w:t>
      </w:r>
      <w:r w:rsidRPr="009B1A37">
        <w:rPr>
          <w:color w:val="000000"/>
          <w:sz w:val="22"/>
          <w:szCs w:val="22"/>
          <w:lang w:val="cs-CZ"/>
        </w:rPr>
        <w:t xml:space="preserve">mikronukleárním testem nebyla zjištěna genotoxicita imatinibu. Pozitivní genotoxický účinek imatinibu byl zjištěn v testu </w:t>
      </w:r>
      <w:r w:rsidRPr="009B1A37">
        <w:rPr>
          <w:i/>
          <w:iCs/>
          <w:color w:val="000000"/>
          <w:sz w:val="22"/>
          <w:szCs w:val="22"/>
          <w:lang w:val="cs-CZ"/>
        </w:rPr>
        <w:t xml:space="preserve">in vitro </w:t>
      </w:r>
      <w:r w:rsidRPr="009B1A37">
        <w:rPr>
          <w:color w:val="000000"/>
          <w:sz w:val="22"/>
          <w:szCs w:val="22"/>
          <w:lang w:val="cs-CZ"/>
        </w:rPr>
        <w:t xml:space="preserve">na savčích buňkách (ovariální buňky křečka čínského) na klastogenitu (chromozomální aberaci) za přítomnosti metabolické aktivace. Dva meziprodukty výrobního procesu, které jsou také přítomny ve finálním </w:t>
      </w:r>
      <w:r w:rsidR="005A42AC" w:rsidRPr="009B1A37">
        <w:rPr>
          <w:color w:val="000000"/>
          <w:sz w:val="22"/>
          <w:szCs w:val="22"/>
          <w:lang w:val="cs-CZ"/>
        </w:rPr>
        <w:t>přípravku</w:t>
      </w:r>
      <w:r w:rsidRPr="009B1A37">
        <w:rPr>
          <w:color w:val="000000"/>
          <w:sz w:val="22"/>
          <w:szCs w:val="22"/>
          <w:lang w:val="cs-CZ"/>
        </w:rPr>
        <w:t>, měly pozitivní Amesův test na mutagenitu. Jeden z těchto meziproduktů byl také pozitivní při testování na myších lymfomových buňkách.</w:t>
      </w:r>
    </w:p>
    <w:p w14:paraId="5271DE44" w14:textId="77777777" w:rsidR="00D94F95" w:rsidRPr="009B1A37" w:rsidRDefault="00D94F95" w:rsidP="00BE3D48">
      <w:pPr>
        <w:pStyle w:val="Text"/>
        <w:widowControl w:val="0"/>
        <w:spacing w:before="0"/>
        <w:jc w:val="left"/>
        <w:rPr>
          <w:color w:val="000000"/>
          <w:sz w:val="22"/>
          <w:szCs w:val="22"/>
          <w:lang w:val="cs-CZ"/>
        </w:rPr>
      </w:pPr>
    </w:p>
    <w:p w14:paraId="7568BDF4" w14:textId="77777777" w:rsidR="00D94F95" w:rsidRPr="009B1A37" w:rsidRDefault="00D94F95" w:rsidP="00BE3D48">
      <w:pPr>
        <w:pStyle w:val="Text"/>
        <w:widowControl w:val="0"/>
        <w:spacing w:before="0"/>
        <w:jc w:val="left"/>
        <w:rPr>
          <w:color w:val="000000"/>
          <w:sz w:val="22"/>
          <w:szCs w:val="22"/>
          <w:lang w:val="cs-CZ"/>
        </w:rPr>
      </w:pPr>
      <w:r w:rsidRPr="009B1A37">
        <w:rPr>
          <w:color w:val="000000"/>
          <w:sz w:val="22"/>
          <w:szCs w:val="22"/>
          <w:lang w:val="cs-CZ"/>
        </w:rPr>
        <w:t xml:space="preserve">Ve studii fertility byla potkaním samcům po dobu 70 dnů před připuštěním podávána dávka 60 mg/kg, která přibližně odpovídá maximální klinické dávce 800 mg/den, stanovené podle tělesného povrchu. Byl zjištěn úbytek hmotnosti varlat a nadvarlat a sníženo procento pohyblivých spermií. Tento účinek nebyl pozorován při dávce ≤ 20 mg/kg. Mírné až střední snížení spermatogeneze bylo také pozorováno u psů po perorálních dávkách </w:t>
      </w:r>
      <w:r w:rsidRPr="009B1A37">
        <w:rPr>
          <w:rFonts w:ascii="Symbol" w:hAnsi="Symbol"/>
          <w:color w:val="000000"/>
          <w:sz w:val="22"/>
          <w:szCs w:val="22"/>
          <w:lang w:val="cs-CZ"/>
        </w:rPr>
        <w:t></w:t>
      </w:r>
      <w:r w:rsidRPr="009B1A37">
        <w:rPr>
          <w:color w:val="000000"/>
          <w:sz w:val="22"/>
          <w:szCs w:val="22"/>
          <w:lang w:val="cs-CZ"/>
        </w:rPr>
        <w:t> 30 mg/kg. Pokud byl imatinib podáván samicím potkanů 14 dnů před připuštěním a až do 6. dne březosti nebylo ovlivněno ani zabřeznutí ani počet březích samic. Po podávání dávky 60 mg/kg, došlo u samic potkanů k významným postimplantačním ztrátám plodů a snížení počtu živých plodů. Tento účinek nebyl pozorován v dávkách ≤ 20 mg/kg.</w:t>
      </w:r>
    </w:p>
    <w:p w14:paraId="4E4C3605" w14:textId="77777777" w:rsidR="00D94F95" w:rsidRPr="009B1A37" w:rsidRDefault="00D94F95" w:rsidP="00BE3D48">
      <w:pPr>
        <w:pStyle w:val="Text"/>
        <w:widowControl w:val="0"/>
        <w:spacing w:before="0"/>
        <w:jc w:val="left"/>
        <w:rPr>
          <w:color w:val="000000"/>
          <w:sz w:val="22"/>
          <w:szCs w:val="22"/>
          <w:lang w:val="cs-CZ"/>
        </w:rPr>
      </w:pPr>
    </w:p>
    <w:p w14:paraId="5CC14BBC" w14:textId="77777777" w:rsidR="00D94F95" w:rsidRPr="009B1A37" w:rsidRDefault="00D94F95" w:rsidP="00BE3D48">
      <w:pPr>
        <w:pStyle w:val="Text"/>
        <w:widowControl w:val="0"/>
        <w:spacing w:before="0"/>
        <w:jc w:val="left"/>
        <w:rPr>
          <w:color w:val="000000"/>
          <w:sz w:val="22"/>
          <w:szCs w:val="22"/>
          <w:lang w:val="cs-CZ"/>
        </w:rPr>
      </w:pPr>
      <w:r w:rsidRPr="009B1A37">
        <w:rPr>
          <w:color w:val="000000"/>
          <w:sz w:val="22"/>
          <w:szCs w:val="22"/>
          <w:lang w:val="cs-CZ"/>
        </w:rPr>
        <w:t>Ve studii pre a postnatálního vývoje u potkanů po perorálním podání 45 mg/kg/den byl 14. nebo 15. den zabřeznutí pozorován rudý výtok z vagíny. Při stejné dávce stoupnul počet mrtvě narozených mláďat stejně jako počet uhynulých po narození mezi 0. až 4. dnem. U mláďat z vrhu F</w:t>
      </w:r>
      <w:r w:rsidRPr="009B1A37">
        <w:rPr>
          <w:color w:val="000000"/>
          <w:sz w:val="22"/>
          <w:szCs w:val="22"/>
          <w:vertAlign w:val="subscript"/>
          <w:lang w:val="cs-CZ"/>
        </w:rPr>
        <w:t>1</w:t>
      </w:r>
      <w:r w:rsidRPr="009B1A37">
        <w:rPr>
          <w:color w:val="000000"/>
          <w:sz w:val="22"/>
          <w:szCs w:val="22"/>
          <w:lang w:val="cs-CZ"/>
        </w:rPr>
        <w:t>, byla při stejné dávce nižší průměrná tělesná hmotnost od narození až do usmrcení a počet mláďat ve vrhu byl také snížen. Fertilita F</w:t>
      </w:r>
      <w:r w:rsidRPr="009B1A37">
        <w:rPr>
          <w:color w:val="000000"/>
          <w:sz w:val="22"/>
          <w:szCs w:val="22"/>
          <w:vertAlign w:val="subscript"/>
          <w:lang w:val="cs-CZ"/>
        </w:rPr>
        <w:t>1</w:t>
      </w:r>
      <w:r w:rsidRPr="009B1A37">
        <w:rPr>
          <w:color w:val="000000"/>
          <w:sz w:val="22"/>
          <w:szCs w:val="22"/>
          <w:lang w:val="cs-CZ"/>
        </w:rPr>
        <w:t xml:space="preserve"> nebyla ovlivněna po dávce 45 mg/kg/den, zatímco počet resorbovaných plodů stoupl a klesl počet živě narozených mláďat. Dle hodnocení No Observed Effect Level (NOEL) byla pro mateřská zvířata a F</w:t>
      </w:r>
      <w:r w:rsidRPr="009B1A37">
        <w:rPr>
          <w:color w:val="000000"/>
          <w:sz w:val="22"/>
          <w:szCs w:val="22"/>
          <w:vertAlign w:val="subscript"/>
          <w:lang w:val="cs-CZ"/>
        </w:rPr>
        <w:t>1</w:t>
      </w:r>
      <w:r w:rsidRPr="009B1A37">
        <w:rPr>
          <w:color w:val="000000"/>
          <w:sz w:val="22"/>
          <w:szCs w:val="22"/>
          <w:lang w:val="cs-CZ"/>
        </w:rPr>
        <w:t xml:space="preserve"> generaci mláďat bezpečná dávka 15 mg/kg/den (jedna čtvrtina maximální dávky 800 mg</w:t>
      </w:r>
      <w:r w:rsidR="005A42AC" w:rsidRPr="009B1A37">
        <w:rPr>
          <w:color w:val="000000"/>
          <w:sz w:val="22"/>
          <w:szCs w:val="22"/>
          <w:lang w:val="cs-CZ"/>
        </w:rPr>
        <w:t xml:space="preserve"> u člověka</w:t>
      </w:r>
      <w:r w:rsidRPr="009B1A37">
        <w:rPr>
          <w:color w:val="000000"/>
          <w:sz w:val="22"/>
          <w:szCs w:val="22"/>
          <w:lang w:val="cs-CZ"/>
        </w:rPr>
        <w:t>).</w:t>
      </w:r>
    </w:p>
    <w:p w14:paraId="7E83570A" w14:textId="77777777" w:rsidR="00D94F95" w:rsidRPr="009B1A37" w:rsidRDefault="00D94F95" w:rsidP="00BE3D48">
      <w:pPr>
        <w:pStyle w:val="Text"/>
        <w:widowControl w:val="0"/>
        <w:spacing w:before="0"/>
        <w:jc w:val="left"/>
        <w:rPr>
          <w:color w:val="000000"/>
          <w:sz w:val="22"/>
          <w:szCs w:val="22"/>
          <w:lang w:val="cs-CZ"/>
        </w:rPr>
      </w:pPr>
    </w:p>
    <w:p w14:paraId="0FAF227B" w14:textId="77777777" w:rsidR="00D94F95" w:rsidRPr="009B1A37" w:rsidRDefault="00D94F95" w:rsidP="00BE3D48">
      <w:pPr>
        <w:pStyle w:val="Text"/>
        <w:widowControl w:val="0"/>
        <w:spacing w:before="0"/>
        <w:jc w:val="left"/>
        <w:rPr>
          <w:color w:val="000000"/>
          <w:sz w:val="22"/>
          <w:szCs w:val="22"/>
          <w:lang w:val="cs-CZ"/>
        </w:rPr>
      </w:pPr>
      <w:r w:rsidRPr="009B1A37">
        <w:rPr>
          <w:color w:val="000000"/>
          <w:sz w:val="22"/>
          <w:szCs w:val="22"/>
          <w:lang w:val="cs-CZ"/>
        </w:rPr>
        <w:t>Imatinib byl teratogenní, pokud byl podáván potkanům během organogeneze v dávkách ≥ 100 mg/kg, přibližně odpovídající maximální klinické dávce 800 mg/den, stanovené podle tělesného povrchu. Teratogenní účinky zahrnovaly exencefalii nebo encefalokelu, absenci nebo redukci frontálních kostí a absenci parietálních kostí. Tyto účinky nebyly pozorovány při dávkách ≤ 30 mg/kg.</w:t>
      </w:r>
    </w:p>
    <w:p w14:paraId="4CCA884C" w14:textId="77777777" w:rsidR="00797010" w:rsidRPr="009B1A37" w:rsidRDefault="00797010" w:rsidP="00BE3D48">
      <w:pPr>
        <w:pStyle w:val="Text"/>
        <w:widowControl w:val="0"/>
        <w:spacing w:before="0"/>
        <w:jc w:val="left"/>
        <w:rPr>
          <w:color w:val="000000"/>
          <w:sz w:val="22"/>
          <w:szCs w:val="22"/>
          <w:lang w:val="cs-CZ"/>
        </w:rPr>
      </w:pPr>
    </w:p>
    <w:p w14:paraId="10DBAD9E" w14:textId="77777777" w:rsidR="00797010" w:rsidRPr="009B1A37" w:rsidRDefault="00797010" w:rsidP="00BE3D48">
      <w:pPr>
        <w:pStyle w:val="Text"/>
        <w:widowControl w:val="0"/>
        <w:spacing w:before="0"/>
        <w:jc w:val="left"/>
        <w:rPr>
          <w:color w:val="000000"/>
          <w:sz w:val="22"/>
          <w:szCs w:val="22"/>
          <w:lang w:val="cs-CZ"/>
        </w:rPr>
      </w:pPr>
      <w:r w:rsidRPr="009B1A37">
        <w:rPr>
          <w:color w:val="000000"/>
          <w:sz w:val="22"/>
          <w:szCs w:val="22"/>
          <w:lang w:val="cs-CZ"/>
        </w:rPr>
        <w:t>V toxikologické studii zaměřené na juvenilní vývoj potkanů (den 10 až 70 post partum) nebyly zjištěné nové cílové orgány ve srovnání se zjištěnými cílovými orgány u dospělých potkanů. V toxikologické studii zaměřené na juvenilní jedince byly pozorovány účinky na růst, zpoždění otevření vaginy a oddělení předkožky při přibližně 0,3 až 2násobku průměrné pediatrické expozice při nejvyšší doporučené dávce 340 mg/m</w:t>
      </w:r>
      <w:r w:rsidRPr="009B1A37">
        <w:rPr>
          <w:color w:val="000000"/>
          <w:sz w:val="22"/>
          <w:szCs w:val="22"/>
          <w:vertAlign w:val="superscript"/>
          <w:lang w:val="cs-CZ"/>
        </w:rPr>
        <w:t>2</w:t>
      </w:r>
      <w:r w:rsidRPr="009B1A37">
        <w:rPr>
          <w:color w:val="000000"/>
          <w:sz w:val="22"/>
          <w:szCs w:val="22"/>
          <w:lang w:val="cs-CZ"/>
        </w:rPr>
        <w:t>. Dále byla u juvenilních zvířat (ve fázi odstavení) zjištěna mortalita při přibližně 2násobku průměrné pediatrické expozice při nejvyšší doporučené dávce 340 mg/m</w:t>
      </w:r>
      <w:r w:rsidRPr="009B1A37">
        <w:rPr>
          <w:color w:val="000000"/>
          <w:sz w:val="22"/>
          <w:szCs w:val="22"/>
          <w:vertAlign w:val="superscript"/>
          <w:lang w:val="cs-CZ"/>
        </w:rPr>
        <w:t>2</w:t>
      </w:r>
      <w:r w:rsidRPr="009B1A37">
        <w:rPr>
          <w:color w:val="000000"/>
          <w:sz w:val="22"/>
          <w:szCs w:val="22"/>
          <w:lang w:val="cs-CZ"/>
        </w:rPr>
        <w:t>.</w:t>
      </w:r>
    </w:p>
    <w:p w14:paraId="56A0505A" w14:textId="77777777" w:rsidR="00D94F95" w:rsidRPr="009B1A37" w:rsidRDefault="00D94F95" w:rsidP="00BE3D48">
      <w:pPr>
        <w:pStyle w:val="Text"/>
        <w:widowControl w:val="0"/>
        <w:spacing w:before="0"/>
        <w:jc w:val="left"/>
        <w:rPr>
          <w:color w:val="000000"/>
          <w:sz w:val="22"/>
          <w:szCs w:val="22"/>
          <w:lang w:val="cs-CZ"/>
        </w:rPr>
      </w:pPr>
    </w:p>
    <w:p w14:paraId="5F37713F" w14:textId="77777777" w:rsidR="00D94F95" w:rsidRPr="009B1A37" w:rsidRDefault="00D94F95" w:rsidP="00BE3D48">
      <w:pPr>
        <w:pStyle w:val="Text"/>
        <w:widowControl w:val="0"/>
        <w:spacing w:before="0"/>
        <w:jc w:val="left"/>
        <w:rPr>
          <w:color w:val="000000"/>
          <w:sz w:val="22"/>
          <w:szCs w:val="22"/>
          <w:lang w:val="cs-CZ"/>
        </w:rPr>
      </w:pPr>
      <w:r w:rsidRPr="009B1A37">
        <w:rPr>
          <w:color w:val="000000"/>
          <w:sz w:val="22"/>
          <w:szCs w:val="22"/>
          <w:lang w:val="cs-CZ"/>
        </w:rPr>
        <w:t xml:space="preserve">Výsledky 2leté studie kancerogenity u potkanů, kterým byl podáván imatinib v dávce 15, </w:t>
      </w:r>
      <w:smartTag w:uri="urn:schemas-microsoft-com:office:smarttags" w:element="metricconverter">
        <w:smartTagPr>
          <w:attr w:name="ProductID" w:val="30 a"/>
        </w:smartTagPr>
        <w:r w:rsidRPr="009B1A37">
          <w:rPr>
            <w:color w:val="000000"/>
            <w:sz w:val="22"/>
            <w:szCs w:val="22"/>
            <w:lang w:val="cs-CZ"/>
          </w:rPr>
          <w:t>30 a</w:t>
        </w:r>
      </w:smartTag>
      <w:r w:rsidRPr="009B1A37">
        <w:rPr>
          <w:color w:val="000000"/>
          <w:sz w:val="22"/>
          <w:szCs w:val="22"/>
          <w:lang w:val="cs-CZ"/>
        </w:rPr>
        <w:t xml:space="preserve"> 60 mg/kg/den ukázaly statisticky významné snížení délky života u samců při dávce 60 mg/kg/den a u samic při dávce ≥ 30 mg/kg/den. Histopatologická vyšetření jako hlavní příčinu </w:t>
      </w:r>
      <w:r w:rsidR="005A42AC" w:rsidRPr="009B1A37">
        <w:rPr>
          <w:color w:val="000000"/>
          <w:sz w:val="22"/>
          <w:szCs w:val="22"/>
          <w:lang w:val="cs-CZ"/>
        </w:rPr>
        <w:t>úmrtí</w:t>
      </w:r>
      <w:r w:rsidRPr="009B1A37">
        <w:rPr>
          <w:color w:val="000000"/>
          <w:sz w:val="22"/>
          <w:szCs w:val="22"/>
          <w:lang w:val="cs-CZ"/>
        </w:rPr>
        <w:t xml:space="preserve"> nebo důvodu pro utracení zvířat odhalily kardiomyopatii (u obou pohlaví), chronickou progresivní nefropatii (u samic) a papilomy předkožkové žlázky. Cílovými orgány, pokud se týká neoplastických změn, byly ledviny, močový měchýř, uretra, předkožková a klitoridální žlázka, tenké střevo, příštítná tělíska, nadledvinky a nesekretorická část žaludeční stěny.</w:t>
      </w:r>
    </w:p>
    <w:p w14:paraId="6D0074F2" w14:textId="77777777" w:rsidR="00D94F95" w:rsidRPr="009B1A37" w:rsidRDefault="00D94F95" w:rsidP="00BE3D48">
      <w:pPr>
        <w:pStyle w:val="Text"/>
        <w:widowControl w:val="0"/>
        <w:spacing w:before="0"/>
        <w:jc w:val="left"/>
        <w:rPr>
          <w:color w:val="000000"/>
          <w:sz w:val="22"/>
          <w:szCs w:val="22"/>
          <w:lang w:val="cs-CZ"/>
        </w:rPr>
      </w:pPr>
    </w:p>
    <w:p w14:paraId="459359CE" w14:textId="77777777" w:rsidR="00D94F95" w:rsidRPr="009B1A37" w:rsidRDefault="00D94F95" w:rsidP="00BE3D48">
      <w:pPr>
        <w:pStyle w:val="Text"/>
        <w:widowControl w:val="0"/>
        <w:spacing w:before="0"/>
        <w:jc w:val="left"/>
        <w:rPr>
          <w:color w:val="000000"/>
          <w:sz w:val="22"/>
          <w:szCs w:val="22"/>
          <w:lang w:val="cs-CZ"/>
        </w:rPr>
      </w:pPr>
      <w:r w:rsidRPr="009B1A37">
        <w:rPr>
          <w:color w:val="000000"/>
          <w:sz w:val="22"/>
          <w:szCs w:val="22"/>
          <w:lang w:val="cs-CZ"/>
        </w:rPr>
        <w:t xml:space="preserve">Byly zaznamenány případy vzniku papilomů/karcinomů předkožkové/klitoridální žlázky při dávce od 30 mg/kg/den a více, což </w:t>
      </w:r>
      <w:r w:rsidR="005A42AC" w:rsidRPr="009B1A37">
        <w:rPr>
          <w:color w:val="000000"/>
          <w:sz w:val="22"/>
          <w:szCs w:val="22"/>
          <w:lang w:val="cs-CZ"/>
        </w:rPr>
        <w:t>představuje</w:t>
      </w:r>
      <w:r w:rsidRPr="009B1A37">
        <w:rPr>
          <w:color w:val="000000"/>
          <w:sz w:val="22"/>
          <w:szCs w:val="22"/>
          <w:lang w:val="cs-CZ"/>
        </w:rPr>
        <w:t xml:space="preserve"> přibližně 0,5násobek dávky 400 mg/den běžně užívané u člověka (podle AUC), nebo 0,3násobek dávky 800 mg/den užívané u člověka, a 0,4násobek dávky 340 mg/m</w:t>
      </w:r>
      <w:r w:rsidRPr="009B1A37">
        <w:rPr>
          <w:color w:val="000000"/>
          <w:sz w:val="22"/>
          <w:szCs w:val="22"/>
          <w:vertAlign w:val="superscript"/>
          <w:lang w:val="cs-CZ"/>
        </w:rPr>
        <w:t>2</w:t>
      </w:r>
      <w:r w:rsidRPr="009B1A37">
        <w:rPr>
          <w:color w:val="000000"/>
          <w:sz w:val="22"/>
          <w:szCs w:val="22"/>
          <w:lang w:val="cs-CZ"/>
        </w:rPr>
        <w:t xml:space="preserve">/den u dětí (podle AUC). Dle hodnocení No Observed Effect Level (NOEL) byla bezpečná dávka 15 mg/kg/den. Renální adenom/karcinom a papilom močového měchýře a uretry, adenokarcinomy tenkého střeva, adenomy příštítných tělísek, benigní a maligní medulární tumory nadledvinek a papilomy/karcinomy nesekretorické části žaludeční stěny byly pozorovány při dávce 60 mg/kg/den, což </w:t>
      </w:r>
      <w:r w:rsidR="005A42AC" w:rsidRPr="009B1A37">
        <w:rPr>
          <w:color w:val="000000"/>
          <w:sz w:val="22"/>
          <w:szCs w:val="22"/>
          <w:lang w:val="cs-CZ"/>
        </w:rPr>
        <w:t>představuje</w:t>
      </w:r>
      <w:r w:rsidRPr="009B1A37">
        <w:rPr>
          <w:color w:val="000000"/>
          <w:sz w:val="22"/>
          <w:szCs w:val="22"/>
          <w:lang w:val="cs-CZ"/>
        </w:rPr>
        <w:t xml:space="preserve"> přibližně 1,7násobek dávky 400 mg/den běžně užívané u člověka (podle AUC) nebo dávku 800 mg/den běžně užívané u člověka, a 1,2násobek dávky 340 mg/m</w:t>
      </w:r>
      <w:r w:rsidRPr="009B1A37">
        <w:rPr>
          <w:color w:val="000000"/>
          <w:sz w:val="22"/>
          <w:szCs w:val="22"/>
          <w:vertAlign w:val="superscript"/>
          <w:lang w:val="cs-CZ"/>
        </w:rPr>
        <w:t>2</w:t>
      </w:r>
      <w:r w:rsidRPr="009B1A37">
        <w:rPr>
          <w:color w:val="000000"/>
          <w:sz w:val="22"/>
          <w:szCs w:val="22"/>
          <w:lang w:val="cs-CZ"/>
        </w:rPr>
        <w:t>/den u dětí (podle AUC). Dle hodnocení No Observed Effect Level (NOEL) byla bezpečná dávka 30 mg/kg/den.</w:t>
      </w:r>
    </w:p>
    <w:p w14:paraId="40E91146" w14:textId="77777777" w:rsidR="00D94F95" w:rsidRPr="009B1A37" w:rsidRDefault="00D94F95" w:rsidP="00BE3D48">
      <w:pPr>
        <w:pStyle w:val="Text"/>
        <w:widowControl w:val="0"/>
        <w:spacing w:before="0"/>
        <w:jc w:val="left"/>
        <w:rPr>
          <w:color w:val="000000"/>
          <w:sz w:val="22"/>
          <w:szCs w:val="22"/>
          <w:lang w:val="cs-CZ"/>
        </w:rPr>
      </w:pPr>
    </w:p>
    <w:p w14:paraId="48487150" w14:textId="77777777" w:rsidR="00D94F95" w:rsidRPr="009B1A37" w:rsidRDefault="00D94F95" w:rsidP="00BE3D48">
      <w:pPr>
        <w:pStyle w:val="Text"/>
        <w:widowControl w:val="0"/>
        <w:spacing w:before="0"/>
        <w:jc w:val="left"/>
        <w:rPr>
          <w:color w:val="000000"/>
          <w:sz w:val="22"/>
          <w:szCs w:val="22"/>
          <w:lang w:val="cs-CZ"/>
        </w:rPr>
      </w:pPr>
      <w:r w:rsidRPr="009B1A37">
        <w:rPr>
          <w:color w:val="000000"/>
          <w:sz w:val="22"/>
          <w:szCs w:val="22"/>
          <w:lang w:val="cs-CZ"/>
        </w:rPr>
        <w:t>Mechanismus a závažnost těchto nálezů ze studie kancerogenity u potkanů není ještě u člověka objasněn.</w:t>
      </w:r>
    </w:p>
    <w:p w14:paraId="1E2FDD76" w14:textId="77777777" w:rsidR="00D94F95" w:rsidRPr="009B1A37" w:rsidRDefault="00D94F95" w:rsidP="00BE3D48">
      <w:pPr>
        <w:pStyle w:val="Text"/>
        <w:widowControl w:val="0"/>
        <w:spacing w:before="0"/>
        <w:jc w:val="left"/>
        <w:rPr>
          <w:color w:val="000000"/>
          <w:sz w:val="22"/>
          <w:szCs w:val="22"/>
          <w:lang w:val="cs-CZ"/>
        </w:rPr>
      </w:pPr>
    </w:p>
    <w:p w14:paraId="2D4FB1B7" w14:textId="77777777" w:rsidR="00D94F95" w:rsidRPr="009B1A37" w:rsidRDefault="00D94F95" w:rsidP="00BE3D48">
      <w:pPr>
        <w:pStyle w:val="Text"/>
        <w:widowControl w:val="0"/>
        <w:spacing w:before="0"/>
        <w:jc w:val="left"/>
        <w:rPr>
          <w:color w:val="000000"/>
          <w:sz w:val="22"/>
          <w:szCs w:val="22"/>
          <w:lang w:val="cs-CZ"/>
        </w:rPr>
      </w:pPr>
      <w:r w:rsidRPr="009B1A37">
        <w:rPr>
          <w:color w:val="000000"/>
          <w:sz w:val="22"/>
          <w:szCs w:val="22"/>
          <w:lang w:val="cs-CZ"/>
        </w:rPr>
        <w:t>Non-neoplastické léze neprokázané v dřívějších předklinických studiích se vyskytovaly v kardiovaskulárním systému, pankreatu, endokrinních orgánech a zubech. Nejdůležitější změny zahrnovaly srdeční hypertrofii a dilataci, vedoucí k příznakům srdeční nedostatečnosti u některých zvířat.</w:t>
      </w:r>
    </w:p>
    <w:p w14:paraId="656175A5" w14:textId="77777777" w:rsidR="00D94F95" w:rsidRPr="009B1A37" w:rsidRDefault="00D94F95" w:rsidP="00BE3D48">
      <w:pPr>
        <w:pStyle w:val="EndnoteText"/>
        <w:widowControl w:val="0"/>
        <w:tabs>
          <w:tab w:val="clear" w:pos="567"/>
        </w:tabs>
        <w:rPr>
          <w:color w:val="000000"/>
        </w:rPr>
      </w:pPr>
    </w:p>
    <w:p w14:paraId="66EB35AC" w14:textId="77777777" w:rsidR="00A44EA7" w:rsidRPr="009B1A37" w:rsidRDefault="005A42AC" w:rsidP="00BE3D48">
      <w:pPr>
        <w:widowControl w:val="0"/>
        <w:spacing w:line="240" w:lineRule="auto"/>
        <w:rPr>
          <w:color w:val="000000"/>
        </w:rPr>
      </w:pPr>
      <w:r w:rsidRPr="009B1A37">
        <w:rPr>
          <w:bCs/>
          <w:color w:val="000000"/>
        </w:rPr>
        <w:t>Léčivá</w:t>
      </w:r>
      <w:r w:rsidR="00A44EA7" w:rsidRPr="009B1A37">
        <w:rPr>
          <w:bCs/>
          <w:color w:val="000000"/>
        </w:rPr>
        <w:t xml:space="preserve"> látka imatinib představuje environmentální ohrožení pro organismy v sedimentu.</w:t>
      </w:r>
    </w:p>
    <w:p w14:paraId="6876F58D" w14:textId="77777777" w:rsidR="00D94F95" w:rsidRPr="009B1A37" w:rsidRDefault="00D94F95" w:rsidP="00BE3D48">
      <w:pPr>
        <w:pStyle w:val="EndnoteText"/>
        <w:widowControl w:val="0"/>
        <w:tabs>
          <w:tab w:val="clear" w:pos="567"/>
        </w:tabs>
        <w:rPr>
          <w:color w:val="000000"/>
        </w:rPr>
      </w:pPr>
    </w:p>
    <w:p w14:paraId="36B71BE8" w14:textId="77777777" w:rsidR="00A44EA7" w:rsidRPr="009B1A37" w:rsidRDefault="00A44EA7" w:rsidP="00BE3D48">
      <w:pPr>
        <w:pStyle w:val="EndnoteText"/>
        <w:widowControl w:val="0"/>
        <w:tabs>
          <w:tab w:val="clear" w:pos="567"/>
        </w:tabs>
        <w:rPr>
          <w:color w:val="000000"/>
        </w:rPr>
      </w:pPr>
    </w:p>
    <w:p w14:paraId="29B66C86"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6.</w:t>
      </w:r>
      <w:r w:rsidRPr="009B1A37">
        <w:rPr>
          <w:b/>
          <w:bCs/>
          <w:color w:val="000000"/>
        </w:rPr>
        <w:tab/>
        <w:t>FARMACEUTICKÉ ÚDAJE</w:t>
      </w:r>
    </w:p>
    <w:p w14:paraId="566E10F8" w14:textId="77777777" w:rsidR="00D97A44" w:rsidRPr="009B1A37" w:rsidRDefault="00D97A44" w:rsidP="00BE3D48">
      <w:pPr>
        <w:pStyle w:val="EndnoteText"/>
        <w:keepNext/>
        <w:widowControl w:val="0"/>
        <w:tabs>
          <w:tab w:val="clear" w:pos="567"/>
        </w:tabs>
        <w:rPr>
          <w:color w:val="000000"/>
        </w:rPr>
      </w:pPr>
    </w:p>
    <w:p w14:paraId="578DCE16"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6.1</w:t>
      </w:r>
      <w:r w:rsidRPr="009B1A37">
        <w:rPr>
          <w:b/>
          <w:bCs/>
          <w:color w:val="000000"/>
        </w:rPr>
        <w:tab/>
        <w:t>Seznam pomocných látek</w:t>
      </w:r>
    </w:p>
    <w:p w14:paraId="76281395" w14:textId="77777777" w:rsidR="00D97A44" w:rsidRPr="009B1A37" w:rsidRDefault="00D97A44" w:rsidP="00BE3D48">
      <w:pPr>
        <w:keepNext/>
        <w:widowControl w:val="0"/>
        <w:tabs>
          <w:tab w:val="clear" w:pos="567"/>
        </w:tabs>
        <w:spacing w:line="240" w:lineRule="auto"/>
        <w:ind w:left="567" w:hanging="567"/>
        <w:rPr>
          <w:color w:val="000000"/>
        </w:rPr>
      </w:pPr>
    </w:p>
    <w:p w14:paraId="7A84230D" w14:textId="77777777" w:rsidR="00D97A44" w:rsidRPr="009B1A37" w:rsidRDefault="00D97A44" w:rsidP="00BE3D48">
      <w:pPr>
        <w:pStyle w:val="EndnoteText"/>
        <w:keepNext/>
        <w:widowControl w:val="0"/>
        <w:tabs>
          <w:tab w:val="clear" w:pos="567"/>
        </w:tabs>
        <w:rPr>
          <w:color w:val="000000"/>
        </w:rPr>
      </w:pPr>
      <w:r w:rsidRPr="009B1A37">
        <w:rPr>
          <w:color w:val="000000"/>
        </w:rPr>
        <w:t>Jádro tablety:</w:t>
      </w:r>
    </w:p>
    <w:p w14:paraId="3A41A787" w14:textId="77777777" w:rsidR="00D97A44" w:rsidRPr="009B1A37" w:rsidRDefault="00D97A44" w:rsidP="00BE3D48">
      <w:pPr>
        <w:pStyle w:val="EndnoteText"/>
        <w:keepNext/>
        <w:widowControl w:val="0"/>
        <w:tabs>
          <w:tab w:val="clear" w:pos="567"/>
        </w:tabs>
        <w:rPr>
          <w:color w:val="000000"/>
        </w:rPr>
      </w:pPr>
      <w:r w:rsidRPr="009B1A37">
        <w:rPr>
          <w:color w:val="000000"/>
        </w:rPr>
        <w:t>Mikrokrystalická celul</w:t>
      </w:r>
      <w:r w:rsidR="003B6D9C" w:rsidRPr="009B1A37">
        <w:rPr>
          <w:color w:val="000000"/>
        </w:rPr>
        <w:t>os</w:t>
      </w:r>
      <w:r w:rsidRPr="009B1A37">
        <w:rPr>
          <w:color w:val="000000"/>
        </w:rPr>
        <w:t>a</w:t>
      </w:r>
    </w:p>
    <w:p w14:paraId="03C4BEFD" w14:textId="77777777" w:rsidR="00D97A44" w:rsidRPr="009B1A37" w:rsidRDefault="00D97A44" w:rsidP="00BE3D48">
      <w:pPr>
        <w:pStyle w:val="EndnoteText"/>
        <w:keepNext/>
        <w:widowControl w:val="0"/>
        <w:tabs>
          <w:tab w:val="clear" w:pos="567"/>
        </w:tabs>
        <w:rPr>
          <w:color w:val="000000"/>
        </w:rPr>
      </w:pPr>
      <w:r w:rsidRPr="009B1A37">
        <w:rPr>
          <w:color w:val="000000"/>
        </w:rPr>
        <w:t>Krospovidon</w:t>
      </w:r>
    </w:p>
    <w:p w14:paraId="2DDF9454" w14:textId="77777777" w:rsidR="00D97A44" w:rsidRPr="009B1A37" w:rsidRDefault="00D97A44" w:rsidP="00BE3D48">
      <w:pPr>
        <w:pStyle w:val="EndnoteText"/>
        <w:keepNext/>
        <w:widowControl w:val="0"/>
        <w:tabs>
          <w:tab w:val="clear" w:pos="567"/>
        </w:tabs>
        <w:rPr>
          <w:color w:val="000000"/>
        </w:rPr>
      </w:pPr>
      <w:r w:rsidRPr="009B1A37">
        <w:rPr>
          <w:color w:val="000000"/>
        </w:rPr>
        <w:t>Hypromel</w:t>
      </w:r>
      <w:r w:rsidR="003B6D9C" w:rsidRPr="009B1A37">
        <w:rPr>
          <w:color w:val="000000"/>
        </w:rPr>
        <w:t>osa</w:t>
      </w:r>
    </w:p>
    <w:p w14:paraId="754A18A1" w14:textId="77777777" w:rsidR="00D97A44" w:rsidRPr="009B1A37" w:rsidRDefault="00D97A44" w:rsidP="00BE3D48">
      <w:pPr>
        <w:pStyle w:val="EndnoteText"/>
        <w:keepNext/>
        <w:widowControl w:val="0"/>
        <w:tabs>
          <w:tab w:val="clear" w:pos="567"/>
        </w:tabs>
        <w:rPr>
          <w:color w:val="000000"/>
        </w:rPr>
      </w:pPr>
      <w:r w:rsidRPr="009B1A37">
        <w:rPr>
          <w:color w:val="000000"/>
        </w:rPr>
        <w:t>Magnesium-stearát</w:t>
      </w:r>
    </w:p>
    <w:p w14:paraId="369FC895" w14:textId="77777777" w:rsidR="00D97A44" w:rsidRPr="009B1A37" w:rsidRDefault="00166C20" w:rsidP="00BE3D48">
      <w:pPr>
        <w:pStyle w:val="EndnoteText"/>
        <w:widowControl w:val="0"/>
        <w:tabs>
          <w:tab w:val="clear" w:pos="567"/>
        </w:tabs>
        <w:rPr>
          <w:color w:val="000000"/>
        </w:rPr>
      </w:pPr>
      <w:r w:rsidRPr="009B1A37">
        <w:rPr>
          <w:color w:val="000000"/>
        </w:rPr>
        <w:t>Koloidní b</w:t>
      </w:r>
      <w:r w:rsidR="00D97A44" w:rsidRPr="009B1A37">
        <w:rPr>
          <w:color w:val="000000"/>
        </w:rPr>
        <w:t>ezvodý oxid křemičitý</w:t>
      </w:r>
    </w:p>
    <w:p w14:paraId="2ADECBC8" w14:textId="77777777" w:rsidR="00D97A44" w:rsidRPr="009B1A37" w:rsidRDefault="00D97A44" w:rsidP="00BE3D48">
      <w:pPr>
        <w:widowControl w:val="0"/>
        <w:tabs>
          <w:tab w:val="clear" w:pos="567"/>
        </w:tabs>
        <w:spacing w:line="240" w:lineRule="auto"/>
        <w:rPr>
          <w:color w:val="000000"/>
        </w:rPr>
      </w:pPr>
    </w:p>
    <w:p w14:paraId="403C6E5B" w14:textId="77777777" w:rsidR="00D97A44" w:rsidRPr="009B1A37" w:rsidRDefault="00D97A44" w:rsidP="00BE3D48">
      <w:pPr>
        <w:pStyle w:val="EndnoteText"/>
        <w:keepNext/>
        <w:widowControl w:val="0"/>
        <w:tabs>
          <w:tab w:val="clear" w:pos="567"/>
        </w:tabs>
        <w:rPr>
          <w:color w:val="000000"/>
        </w:rPr>
      </w:pPr>
      <w:r w:rsidRPr="009B1A37">
        <w:rPr>
          <w:color w:val="000000"/>
        </w:rPr>
        <w:t>Potahová vrstva tablety:</w:t>
      </w:r>
    </w:p>
    <w:p w14:paraId="69626376" w14:textId="77777777" w:rsidR="00D97A44" w:rsidRPr="009B1A37" w:rsidRDefault="00D97A44" w:rsidP="00BE3D48">
      <w:pPr>
        <w:pStyle w:val="EndnoteText"/>
        <w:keepNext/>
        <w:widowControl w:val="0"/>
        <w:tabs>
          <w:tab w:val="clear" w:pos="567"/>
        </w:tabs>
        <w:rPr>
          <w:color w:val="000000"/>
        </w:rPr>
      </w:pPr>
      <w:r w:rsidRPr="009B1A37">
        <w:rPr>
          <w:color w:val="000000"/>
        </w:rPr>
        <w:t>Červený oxid železitý (E</w:t>
      </w:r>
      <w:r w:rsidR="00A12785" w:rsidRPr="009B1A37">
        <w:rPr>
          <w:color w:val="000000"/>
        </w:rPr>
        <w:t xml:space="preserve"> </w:t>
      </w:r>
      <w:r w:rsidRPr="009B1A37">
        <w:rPr>
          <w:color w:val="000000"/>
        </w:rPr>
        <w:t>172)</w:t>
      </w:r>
    </w:p>
    <w:p w14:paraId="7E8E8DDD" w14:textId="77777777" w:rsidR="00D97A44" w:rsidRPr="009B1A37" w:rsidRDefault="00D97A44" w:rsidP="00BE3D48">
      <w:pPr>
        <w:keepNext/>
        <w:widowControl w:val="0"/>
        <w:tabs>
          <w:tab w:val="clear" w:pos="567"/>
        </w:tabs>
        <w:spacing w:line="240" w:lineRule="auto"/>
        <w:rPr>
          <w:color w:val="000000"/>
        </w:rPr>
      </w:pPr>
      <w:r w:rsidRPr="009B1A37">
        <w:rPr>
          <w:color w:val="000000"/>
        </w:rPr>
        <w:t>Žlutý oxid železitý (E</w:t>
      </w:r>
      <w:r w:rsidR="00A12785" w:rsidRPr="009B1A37">
        <w:rPr>
          <w:color w:val="000000"/>
        </w:rPr>
        <w:t xml:space="preserve"> </w:t>
      </w:r>
      <w:r w:rsidRPr="009B1A37">
        <w:rPr>
          <w:color w:val="000000"/>
        </w:rPr>
        <w:t>172)</w:t>
      </w:r>
    </w:p>
    <w:p w14:paraId="3DE55BFC" w14:textId="77777777" w:rsidR="00D97A44" w:rsidRPr="009B1A37" w:rsidRDefault="00D97A44" w:rsidP="00BE3D48">
      <w:pPr>
        <w:keepNext/>
        <w:widowControl w:val="0"/>
        <w:tabs>
          <w:tab w:val="clear" w:pos="567"/>
        </w:tabs>
        <w:spacing w:line="240" w:lineRule="auto"/>
        <w:rPr>
          <w:color w:val="000000"/>
        </w:rPr>
      </w:pPr>
      <w:r w:rsidRPr="009B1A37">
        <w:rPr>
          <w:color w:val="000000"/>
        </w:rPr>
        <w:t>Makrogol</w:t>
      </w:r>
    </w:p>
    <w:p w14:paraId="2306A066" w14:textId="77777777" w:rsidR="00D97A44" w:rsidRPr="009B1A37" w:rsidRDefault="00D97A44" w:rsidP="00BE3D48">
      <w:pPr>
        <w:keepNext/>
        <w:widowControl w:val="0"/>
        <w:tabs>
          <w:tab w:val="clear" w:pos="567"/>
        </w:tabs>
        <w:spacing w:line="240" w:lineRule="auto"/>
        <w:rPr>
          <w:color w:val="000000"/>
        </w:rPr>
      </w:pPr>
      <w:r w:rsidRPr="009B1A37">
        <w:rPr>
          <w:color w:val="000000"/>
        </w:rPr>
        <w:t>Mastek</w:t>
      </w:r>
    </w:p>
    <w:p w14:paraId="50443854" w14:textId="77777777" w:rsidR="00D97A44" w:rsidRPr="009B1A37" w:rsidRDefault="00D97A44" w:rsidP="00BE3D48">
      <w:pPr>
        <w:widowControl w:val="0"/>
        <w:tabs>
          <w:tab w:val="clear" w:pos="567"/>
        </w:tabs>
        <w:spacing w:line="240" w:lineRule="auto"/>
        <w:rPr>
          <w:color w:val="000000"/>
        </w:rPr>
      </w:pPr>
      <w:r w:rsidRPr="009B1A37">
        <w:rPr>
          <w:color w:val="000000"/>
        </w:rPr>
        <w:t>Hypromelosa</w:t>
      </w:r>
    </w:p>
    <w:p w14:paraId="6431CF19" w14:textId="77777777" w:rsidR="00D97A44" w:rsidRPr="009B1A37" w:rsidRDefault="00D97A44" w:rsidP="00BE3D48">
      <w:pPr>
        <w:widowControl w:val="0"/>
        <w:tabs>
          <w:tab w:val="clear" w:pos="567"/>
        </w:tabs>
        <w:spacing w:line="240" w:lineRule="auto"/>
        <w:rPr>
          <w:color w:val="000000"/>
        </w:rPr>
      </w:pPr>
    </w:p>
    <w:p w14:paraId="65E2D117"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6.2</w:t>
      </w:r>
      <w:r w:rsidRPr="009B1A37">
        <w:rPr>
          <w:b/>
          <w:bCs/>
          <w:color w:val="000000"/>
        </w:rPr>
        <w:tab/>
        <w:t>Inkompatibility</w:t>
      </w:r>
    </w:p>
    <w:p w14:paraId="497C457C" w14:textId="77777777" w:rsidR="00D97A44" w:rsidRPr="009B1A37" w:rsidRDefault="00D97A44" w:rsidP="00BE3D48">
      <w:pPr>
        <w:keepNext/>
        <w:widowControl w:val="0"/>
        <w:tabs>
          <w:tab w:val="clear" w:pos="567"/>
        </w:tabs>
        <w:spacing w:line="240" w:lineRule="auto"/>
        <w:ind w:left="567" w:hanging="567"/>
        <w:rPr>
          <w:color w:val="000000"/>
        </w:rPr>
      </w:pPr>
    </w:p>
    <w:p w14:paraId="3F826FA0" w14:textId="77777777" w:rsidR="00D97A44" w:rsidRPr="009B1A37" w:rsidRDefault="00D97A44" w:rsidP="00BE3D48">
      <w:pPr>
        <w:widowControl w:val="0"/>
        <w:tabs>
          <w:tab w:val="clear" w:pos="567"/>
        </w:tabs>
        <w:spacing w:line="240" w:lineRule="auto"/>
        <w:rPr>
          <w:color w:val="000000"/>
        </w:rPr>
      </w:pPr>
      <w:r w:rsidRPr="009B1A37">
        <w:rPr>
          <w:color w:val="000000"/>
        </w:rPr>
        <w:t>Neuplatňuje se.</w:t>
      </w:r>
    </w:p>
    <w:p w14:paraId="0A013534" w14:textId="77777777" w:rsidR="00D97A44" w:rsidRPr="009B1A37" w:rsidRDefault="00D97A44" w:rsidP="00BE3D48">
      <w:pPr>
        <w:pStyle w:val="EndnoteText"/>
        <w:widowControl w:val="0"/>
        <w:tabs>
          <w:tab w:val="clear" w:pos="567"/>
        </w:tabs>
        <w:rPr>
          <w:color w:val="000000"/>
        </w:rPr>
      </w:pPr>
    </w:p>
    <w:p w14:paraId="6B62CAD4"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6.3</w:t>
      </w:r>
      <w:r w:rsidRPr="009B1A37">
        <w:rPr>
          <w:b/>
          <w:bCs/>
          <w:color w:val="000000"/>
        </w:rPr>
        <w:tab/>
        <w:t>Doba použitelnosti</w:t>
      </w:r>
    </w:p>
    <w:p w14:paraId="480C1709" w14:textId="77777777" w:rsidR="00D97A44" w:rsidRPr="009B1A37" w:rsidRDefault="00D97A44" w:rsidP="00BE3D48">
      <w:pPr>
        <w:keepNext/>
        <w:widowControl w:val="0"/>
        <w:tabs>
          <w:tab w:val="clear" w:pos="567"/>
        </w:tabs>
        <w:spacing w:line="240" w:lineRule="auto"/>
        <w:rPr>
          <w:color w:val="000000"/>
        </w:rPr>
      </w:pPr>
    </w:p>
    <w:p w14:paraId="12DC7D07" w14:textId="77777777" w:rsidR="00D97A44" w:rsidRPr="009B1A37" w:rsidRDefault="00D97A44" w:rsidP="00BE3D48">
      <w:pPr>
        <w:pStyle w:val="EndnoteText"/>
        <w:widowControl w:val="0"/>
        <w:tabs>
          <w:tab w:val="clear" w:pos="567"/>
        </w:tabs>
        <w:rPr>
          <w:color w:val="000000"/>
        </w:rPr>
      </w:pPr>
      <w:r w:rsidRPr="009B1A37">
        <w:rPr>
          <w:color w:val="000000"/>
        </w:rPr>
        <w:t>3 roky</w:t>
      </w:r>
    </w:p>
    <w:p w14:paraId="2FB53755" w14:textId="77777777" w:rsidR="00D97A44" w:rsidRPr="009B1A37" w:rsidRDefault="00D97A44" w:rsidP="00BE3D48">
      <w:pPr>
        <w:pStyle w:val="EndnoteText"/>
        <w:widowControl w:val="0"/>
        <w:tabs>
          <w:tab w:val="clear" w:pos="567"/>
        </w:tabs>
        <w:rPr>
          <w:color w:val="000000"/>
        </w:rPr>
      </w:pPr>
    </w:p>
    <w:p w14:paraId="56187DC9"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6.4</w:t>
      </w:r>
      <w:r w:rsidRPr="009B1A37">
        <w:rPr>
          <w:b/>
          <w:bCs/>
          <w:color w:val="000000"/>
        </w:rPr>
        <w:tab/>
        <w:t>Zvláštní opatření pro uchovávání</w:t>
      </w:r>
    </w:p>
    <w:p w14:paraId="049E73EC" w14:textId="77777777" w:rsidR="00D97A44" w:rsidRPr="009B1A37" w:rsidRDefault="00D97A44" w:rsidP="00BE3D48">
      <w:pPr>
        <w:keepNext/>
        <w:widowControl w:val="0"/>
        <w:tabs>
          <w:tab w:val="clear" w:pos="567"/>
        </w:tabs>
        <w:spacing w:line="240" w:lineRule="auto"/>
        <w:rPr>
          <w:color w:val="000000"/>
        </w:rPr>
      </w:pPr>
    </w:p>
    <w:p w14:paraId="4DD1C76D" w14:textId="77777777" w:rsidR="00D97A44" w:rsidRPr="009B1A37" w:rsidRDefault="00D97A44" w:rsidP="00BE3D48">
      <w:pPr>
        <w:widowControl w:val="0"/>
        <w:tabs>
          <w:tab w:val="clear" w:pos="567"/>
        </w:tabs>
        <w:spacing w:line="240" w:lineRule="auto"/>
        <w:rPr>
          <w:color w:val="000000"/>
        </w:rPr>
      </w:pPr>
      <w:r w:rsidRPr="009B1A37">
        <w:rPr>
          <w:color w:val="000000"/>
        </w:rPr>
        <w:t>Neuchovávejte při teplotě nad 30</w:t>
      </w:r>
      <w:r w:rsidR="005A42AC" w:rsidRPr="009B1A37">
        <w:rPr>
          <w:color w:val="000000"/>
        </w:rPr>
        <w:t> </w:t>
      </w:r>
      <w:r w:rsidRPr="009B1A37">
        <w:rPr>
          <w:rFonts w:ascii="Symbol" w:hAnsi="Symbol"/>
          <w:color w:val="000000"/>
        </w:rPr>
        <w:t></w:t>
      </w:r>
      <w:r w:rsidRPr="009B1A37">
        <w:rPr>
          <w:color w:val="000000"/>
        </w:rPr>
        <w:t>C.</w:t>
      </w:r>
    </w:p>
    <w:p w14:paraId="03DC7E43" w14:textId="77777777" w:rsidR="00D97A44" w:rsidRPr="009B1A37" w:rsidRDefault="00D97A44" w:rsidP="00BE3D48">
      <w:pPr>
        <w:widowControl w:val="0"/>
        <w:tabs>
          <w:tab w:val="clear" w:pos="567"/>
        </w:tabs>
        <w:spacing w:line="240" w:lineRule="auto"/>
        <w:rPr>
          <w:color w:val="000000"/>
        </w:rPr>
      </w:pPr>
    </w:p>
    <w:p w14:paraId="3CE485C4" w14:textId="77777777" w:rsidR="00D97A44" w:rsidRPr="009B1A37" w:rsidRDefault="00D97A44" w:rsidP="00BE3D48">
      <w:pPr>
        <w:widowControl w:val="0"/>
        <w:tabs>
          <w:tab w:val="clear" w:pos="567"/>
        </w:tabs>
        <w:spacing w:line="240" w:lineRule="auto"/>
        <w:rPr>
          <w:color w:val="000000"/>
        </w:rPr>
      </w:pPr>
      <w:r w:rsidRPr="009B1A37">
        <w:rPr>
          <w:color w:val="000000"/>
        </w:rPr>
        <w:t>Uchovávejte v původním obalu, aby byl přípravek chráněn před vlhkostí.</w:t>
      </w:r>
    </w:p>
    <w:p w14:paraId="25EC773D" w14:textId="77777777" w:rsidR="00D97A44" w:rsidRPr="009B1A37" w:rsidRDefault="00D97A44" w:rsidP="00BE3D48">
      <w:pPr>
        <w:widowControl w:val="0"/>
        <w:tabs>
          <w:tab w:val="clear" w:pos="567"/>
        </w:tabs>
        <w:spacing w:line="240" w:lineRule="auto"/>
        <w:rPr>
          <w:color w:val="000000"/>
        </w:rPr>
      </w:pPr>
    </w:p>
    <w:p w14:paraId="7BA71A20"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6.5</w:t>
      </w:r>
      <w:r w:rsidRPr="009B1A37">
        <w:rPr>
          <w:b/>
          <w:bCs/>
          <w:color w:val="000000"/>
        </w:rPr>
        <w:tab/>
        <w:t xml:space="preserve">Druh obalu a </w:t>
      </w:r>
      <w:r w:rsidR="0020295F" w:rsidRPr="009B1A37">
        <w:rPr>
          <w:b/>
          <w:bCs/>
          <w:color w:val="000000"/>
        </w:rPr>
        <w:t>obsah</w:t>
      </w:r>
      <w:r w:rsidRPr="009B1A37">
        <w:rPr>
          <w:b/>
          <w:bCs/>
          <w:color w:val="000000"/>
        </w:rPr>
        <w:t xml:space="preserve"> balení</w:t>
      </w:r>
    </w:p>
    <w:p w14:paraId="54A23BF4" w14:textId="77777777" w:rsidR="00050981" w:rsidRPr="009B1A37" w:rsidRDefault="00050981" w:rsidP="00BE3D48">
      <w:pPr>
        <w:pStyle w:val="EndnoteText"/>
        <w:keepNext/>
        <w:widowControl w:val="0"/>
        <w:tabs>
          <w:tab w:val="clear" w:pos="567"/>
        </w:tabs>
        <w:rPr>
          <w:color w:val="000000"/>
        </w:rPr>
      </w:pPr>
    </w:p>
    <w:p w14:paraId="6EE2E311" w14:textId="77777777" w:rsidR="00D97A44" w:rsidRPr="009B1A37" w:rsidRDefault="00050981" w:rsidP="00BE3D48">
      <w:pPr>
        <w:pStyle w:val="EndnoteText"/>
        <w:keepNext/>
        <w:widowControl w:val="0"/>
        <w:tabs>
          <w:tab w:val="clear" w:pos="567"/>
        </w:tabs>
        <w:rPr>
          <w:color w:val="000000"/>
          <w:u w:val="single"/>
        </w:rPr>
      </w:pPr>
      <w:r w:rsidRPr="009B1A37">
        <w:rPr>
          <w:color w:val="000000"/>
          <w:u w:val="single"/>
        </w:rPr>
        <w:t>Glivec 100 mg potahované tablety</w:t>
      </w:r>
    </w:p>
    <w:p w14:paraId="112E04CE" w14:textId="77777777" w:rsidR="00D97A44" w:rsidRPr="009B1A37" w:rsidRDefault="00D97A44" w:rsidP="00BE3D48">
      <w:pPr>
        <w:pStyle w:val="EndnoteText"/>
        <w:keepNext/>
        <w:widowControl w:val="0"/>
        <w:tabs>
          <w:tab w:val="clear" w:pos="567"/>
        </w:tabs>
        <w:rPr>
          <w:color w:val="000000"/>
        </w:rPr>
      </w:pPr>
      <w:r w:rsidRPr="009B1A37">
        <w:rPr>
          <w:color w:val="000000"/>
        </w:rPr>
        <w:t>PVC/</w:t>
      </w:r>
      <w:r w:rsidR="006C2D07" w:rsidRPr="009B1A37">
        <w:rPr>
          <w:color w:val="000000"/>
        </w:rPr>
        <w:t>Al</w:t>
      </w:r>
      <w:r w:rsidRPr="009B1A37">
        <w:rPr>
          <w:color w:val="000000"/>
        </w:rPr>
        <w:t xml:space="preserve"> blistry</w:t>
      </w:r>
    </w:p>
    <w:p w14:paraId="2D7B0F9B" w14:textId="77777777" w:rsidR="00D97A44" w:rsidRPr="009B1A37" w:rsidRDefault="00D97A44" w:rsidP="00BE3D48">
      <w:pPr>
        <w:pStyle w:val="EndnoteText"/>
        <w:widowControl w:val="0"/>
        <w:tabs>
          <w:tab w:val="clear" w:pos="567"/>
        </w:tabs>
        <w:rPr>
          <w:color w:val="000000"/>
        </w:rPr>
      </w:pPr>
      <w:r w:rsidRPr="009B1A37">
        <w:rPr>
          <w:color w:val="000000"/>
        </w:rPr>
        <w:t>Balení obsahuje 20, 60, 120 nebo 180 potahovaných tablet.</w:t>
      </w:r>
    </w:p>
    <w:p w14:paraId="65126CB2" w14:textId="77777777" w:rsidR="007A4522" w:rsidRPr="009B1A37" w:rsidRDefault="007A4522" w:rsidP="00BE3D48">
      <w:pPr>
        <w:pStyle w:val="EndnoteText"/>
        <w:widowControl w:val="0"/>
        <w:tabs>
          <w:tab w:val="clear" w:pos="567"/>
        </w:tabs>
        <w:rPr>
          <w:color w:val="000000"/>
        </w:rPr>
      </w:pPr>
    </w:p>
    <w:p w14:paraId="0EE0DC22" w14:textId="77777777" w:rsidR="007A4522" w:rsidRPr="009B1A37" w:rsidRDefault="007A4522" w:rsidP="00BE3D48">
      <w:pPr>
        <w:pStyle w:val="EndnoteText"/>
        <w:keepNext/>
        <w:widowControl w:val="0"/>
        <w:tabs>
          <w:tab w:val="clear" w:pos="567"/>
        </w:tabs>
        <w:rPr>
          <w:color w:val="000000"/>
        </w:rPr>
      </w:pPr>
      <w:r w:rsidRPr="009B1A37">
        <w:rPr>
          <w:color w:val="000000"/>
        </w:rPr>
        <w:t>PVDC/Al blistry</w:t>
      </w:r>
    </w:p>
    <w:p w14:paraId="6369B44E" w14:textId="77777777" w:rsidR="007A4522" w:rsidRPr="009B1A37" w:rsidRDefault="00C40642" w:rsidP="00BE3D48">
      <w:pPr>
        <w:pStyle w:val="EndnoteText"/>
        <w:widowControl w:val="0"/>
        <w:tabs>
          <w:tab w:val="clear" w:pos="567"/>
        </w:tabs>
        <w:rPr>
          <w:color w:val="000000"/>
        </w:rPr>
      </w:pPr>
      <w:r w:rsidRPr="009B1A37">
        <w:rPr>
          <w:color w:val="000000"/>
        </w:rPr>
        <w:t>Balení obsahuje 6</w:t>
      </w:r>
      <w:r w:rsidR="007A4522" w:rsidRPr="009B1A37">
        <w:rPr>
          <w:color w:val="000000"/>
        </w:rPr>
        <w:t>0, 120 nebo 180 potahovaných tablet.</w:t>
      </w:r>
    </w:p>
    <w:p w14:paraId="6936F7C3" w14:textId="77777777" w:rsidR="00050981" w:rsidRPr="009B1A37" w:rsidRDefault="00050981" w:rsidP="00BE3D48">
      <w:pPr>
        <w:pStyle w:val="EndnoteText"/>
        <w:widowControl w:val="0"/>
        <w:tabs>
          <w:tab w:val="clear" w:pos="567"/>
        </w:tabs>
        <w:rPr>
          <w:color w:val="000000"/>
        </w:rPr>
      </w:pPr>
    </w:p>
    <w:p w14:paraId="7CCBF576" w14:textId="77777777" w:rsidR="00050981" w:rsidRPr="009B1A37" w:rsidRDefault="00050981" w:rsidP="00BE3D48">
      <w:pPr>
        <w:pStyle w:val="EndnoteText"/>
        <w:keepNext/>
        <w:widowControl w:val="0"/>
        <w:tabs>
          <w:tab w:val="clear" w:pos="567"/>
        </w:tabs>
        <w:rPr>
          <w:color w:val="000000"/>
          <w:u w:val="single"/>
        </w:rPr>
      </w:pPr>
      <w:r w:rsidRPr="009B1A37">
        <w:rPr>
          <w:color w:val="000000"/>
          <w:u w:val="single"/>
        </w:rPr>
        <w:t>Glivec 400 mg potahované tablety</w:t>
      </w:r>
    </w:p>
    <w:p w14:paraId="3794B936" w14:textId="77777777" w:rsidR="00050981" w:rsidRPr="009B1A37" w:rsidRDefault="00050981" w:rsidP="00BE3D48">
      <w:pPr>
        <w:pStyle w:val="EndnoteText"/>
        <w:keepNext/>
        <w:widowControl w:val="0"/>
        <w:tabs>
          <w:tab w:val="clear" w:pos="567"/>
        </w:tabs>
        <w:rPr>
          <w:color w:val="000000"/>
        </w:rPr>
      </w:pPr>
      <w:r w:rsidRPr="009B1A37">
        <w:rPr>
          <w:color w:val="000000"/>
        </w:rPr>
        <w:t>PVDC/</w:t>
      </w:r>
      <w:r w:rsidR="006C2D07" w:rsidRPr="009B1A37">
        <w:rPr>
          <w:color w:val="000000"/>
        </w:rPr>
        <w:t>Al</w:t>
      </w:r>
      <w:r w:rsidRPr="009B1A37">
        <w:rPr>
          <w:color w:val="000000"/>
        </w:rPr>
        <w:t xml:space="preserve"> blistry</w:t>
      </w:r>
    </w:p>
    <w:p w14:paraId="5F922482" w14:textId="77777777" w:rsidR="00050981" w:rsidRPr="009B1A37" w:rsidRDefault="00050981" w:rsidP="00BE3D48">
      <w:pPr>
        <w:pStyle w:val="EndnoteText"/>
        <w:widowControl w:val="0"/>
        <w:tabs>
          <w:tab w:val="clear" w:pos="567"/>
        </w:tabs>
        <w:rPr>
          <w:color w:val="000000"/>
        </w:rPr>
      </w:pPr>
      <w:r w:rsidRPr="009B1A37">
        <w:rPr>
          <w:color w:val="000000"/>
        </w:rPr>
        <w:t>Balení obsahuje 10, 30 nebo 90 potahovaných tablet.</w:t>
      </w:r>
    </w:p>
    <w:p w14:paraId="048F6B8B" w14:textId="77777777" w:rsidR="00D97A44" w:rsidRPr="009B1A37" w:rsidRDefault="00D97A44" w:rsidP="00BE3D48">
      <w:pPr>
        <w:pStyle w:val="EndnoteText"/>
        <w:widowControl w:val="0"/>
        <w:tabs>
          <w:tab w:val="clear" w:pos="567"/>
        </w:tabs>
        <w:rPr>
          <w:color w:val="000000"/>
        </w:rPr>
      </w:pPr>
    </w:p>
    <w:p w14:paraId="0D1D5E95" w14:textId="77777777" w:rsidR="00D97A44" w:rsidRPr="009B1A37" w:rsidRDefault="00D97A44" w:rsidP="00BE3D48">
      <w:pPr>
        <w:pStyle w:val="EndnoteText"/>
        <w:widowControl w:val="0"/>
        <w:tabs>
          <w:tab w:val="clear" w:pos="567"/>
        </w:tabs>
        <w:rPr>
          <w:color w:val="000000"/>
        </w:rPr>
      </w:pPr>
      <w:r w:rsidRPr="009B1A37">
        <w:rPr>
          <w:color w:val="000000"/>
        </w:rPr>
        <w:t>Na trhu nemusí být všechny velikosti balení.</w:t>
      </w:r>
    </w:p>
    <w:p w14:paraId="3AC23E9D" w14:textId="77777777" w:rsidR="00D97A44" w:rsidRPr="009B1A37" w:rsidRDefault="00D97A44" w:rsidP="00BE3D48">
      <w:pPr>
        <w:pStyle w:val="EndnoteText"/>
        <w:widowControl w:val="0"/>
        <w:tabs>
          <w:tab w:val="clear" w:pos="567"/>
        </w:tabs>
        <w:rPr>
          <w:color w:val="000000"/>
        </w:rPr>
      </w:pPr>
    </w:p>
    <w:p w14:paraId="48E8E7A0"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6.6</w:t>
      </w:r>
      <w:r w:rsidRPr="009B1A37">
        <w:rPr>
          <w:b/>
          <w:bCs/>
          <w:color w:val="000000"/>
        </w:rPr>
        <w:tab/>
        <w:t xml:space="preserve">Zvláštní opatření pro likvidaci </w:t>
      </w:r>
    </w:p>
    <w:p w14:paraId="2A0AAFC1" w14:textId="77777777" w:rsidR="00D97A44" w:rsidRPr="009B1A37" w:rsidRDefault="00D97A44" w:rsidP="00BE3D48">
      <w:pPr>
        <w:pStyle w:val="EndnoteText"/>
        <w:keepNext/>
        <w:widowControl w:val="0"/>
        <w:tabs>
          <w:tab w:val="clear" w:pos="567"/>
        </w:tabs>
        <w:rPr>
          <w:color w:val="000000"/>
        </w:rPr>
      </w:pPr>
    </w:p>
    <w:p w14:paraId="770555A7" w14:textId="77777777" w:rsidR="00A44EA7" w:rsidRPr="009B1A37" w:rsidRDefault="00A44EA7" w:rsidP="00BE3D48">
      <w:pPr>
        <w:pStyle w:val="EndnoteText"/>
        <w:widowControl w:val="0"/>
        <w:tabs>
          <w:tab w:val="clear" w:pos="567"/>
        </w:tabs>
        <w:rPr>
          <w:noProof/>
          <w:szCs w:val="24"/>
        </w:rPr>
      </w:pPr>
      <w:r w:rsidRPr="009B1A37">
        <w:rPr>
          <w:noProof/>
          <w:szCs w:val="24"/>
        </w:rPr>
        <w:t>Veškerý nepoužitý léčivý přípravek nebo odpad musí být zlikvidován v souladu s místními požadavky.</w:t>
      </w:r>
    </w:p>
    <w:p w14:paraId="22B3E001" w14:textId="77777777" w:rsidR="00D97A44" w:rsidRPr="009B1A37" w:rsidRDefault="00D97A44" w:rsidP="00BE3D48">
      <w:pPr>
        <w:pStyle w:val="EndnoteText"/>
        <w:widowControl w:val="0"/>
        <w:tabs>
          <w:tab w:val="clear" w:pos="567"/>
        </w:tabs>
        <w:rPr>
          <w:color w:val="000000"/>
        </w:rPr>
      </w:pPr>
    </w:p>
    <w:p w14:paraId="69A55569" w14:textId="77777777" w:rsidR="00D97A44" w:rsidRPr="009B1A37" w:rsidRDefault="00D97A44" w:rsidP="00BE3D48">
      <w:pPr>
        <w:pStyle w:val="EndnoteText"/>
        <w:widowControl w:val="0"/>
        <w:tabs>
          <w:tab w:val="clear" w:pos="567"/>
        </w:tabs>
        <w:rPr>
          <w:color w:val="000000"/>
        </w:rPr>
      </w:pPr>
    </w:p>
    <w:p w14:paraId="06CA8F30"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7.</w:t>
      </w:r>
      <w:r w:rsidRPr="009B1A37">
        <w:rPr>
          <w:b/>
          <w:bCs/>
          <w:color w:val="000000"/>
        </w:rPr>
        <w:tab/>
        <w:t>DRŽITEL ROZHODNUTÍ O REGISTRACI</w:t>
      </w:r>
    </w:p>
    <w:p w14:paraId="23E3E973" w14:textId="77777777" w:rsidR="00D97A44" w:rsidRPr="009B1A37" w:rsidRDefault="00D97A44" w:rsidP="00BE3D48">
      <w:pPr>
        <w:keepNext/>
        <w:widowControl w:val="0"/>
        <w:tabs>
          <w:tab w:val="clear" w:pos="567"/>
        </w:tabs>
        <w:spacing w:line="240" w:lineRule="auto"/>
        <w:rPr>
          <w:color w:val="000000"/>
        </w:rPr>
      </w:pPr>
    </w:p>
    <w:p w14:paraId="797F9F6A" w14:textId="77777777" w:rsidR="00D97A44" w:rsidRPr="009B1A37" w:rsidRDefault="00D97A44" w:rsidP="00BE3D48">
      <w:pPr>
        <w:keepNext/>
        <w:widowControl w:val="0"/>
        <w:tabs>
          <w:tab w:val="clear" w:pos="567"/>
        </w:tabs>
        <w:spacing w:line="240" w:lineRule="auto"/>
        <w:rPr>
          <w:color w:val="000000"/>
        </w:rPr>
      </w:pPr>
      <w:r w:rsidRPr="009B1A37">
        <w:rPr>
          <w:color w:val="000000"/>
        </w:rPr>
        <w:t>Novartis Europharm Limited</w:t>
      </w:r>
    </w:p>
    <w:p w14:paraId="3013A004" w14:textId="77777777" w:rsidR="00F05B3D" w:rsidRPr="009B1A37" w:rsidRDefault="00F05B3D" w:rsidP="00BE3D48">
      <w:pPr>
        <w:keepNext/>
        <w:widowControl w:val="0"/>
        <w:spacing w:line="240" w:lineRule="auto"/>
        <w:rPr>
          <w:color w:val="000000"/>
        </w:rPr>
      </w:pPr>
      <w:r w:rsidRPr="009B1A37">
        <w:rPr>
          <w:color w:val="000000"/>
        </w:rPr>
        <w:t>Vista Building</w:t>
      </w:r>
    </w:p>
    <w:p w14:paraId="7BEE92B0" w14:textId="77777777" w:rsidR="00F05B3D" w:rsidRPr="009B1A37" w:rsidRDefault="00F05B3D" w:rsidP="00BE3D48">
      <w:pPr>
        <w:keepNext/>
        <w:widowControl w:val="0"/>
        <w:spacing w:line="240" w:lineRule="auto"/>
        <w:rPr>
          <w:color w:val="000000"/>
        </w:rPr>
      </w:pPr>
      <w:r w:rsidRPr="009B1A37">
        <w:rPr>
          <w:color w:val="000000"/>
        </w:rPr>
        <w:t>Elm Park, Merrion Road</w:t>
      </w:r>
    </w:p>
    <w:p w14:paraId="0A7E76F5" w14:textId="77777777" w:rsidR="00F05B3D" w:rsidRPr="009B1A37" w:rsidRDefault="00F05B3D" w:rsidP="00BE3D48">
      <w:pPr>
        <w:keepNext/>
        <w:widowControl w:val="0"/>
        <w:spacing w:line="240" w:lineRule="auto"/>
        <w:rPr>
          <w:color w:val="000000"/>
        </w:rPr>
      </w:pPr>
      <w:r w:rsidRPr="009B1A37">
        <w:rPr>
          <w:color w:val="000000"/>
        </w:rPr>
        <w:t>Dublin 4</w:t>
      </w:r>
    </w:p>
    <w:p w14:paraId="30A642C9" w14:textId="77777777" w:rsidR="00D97A44" w:rsidRPr="009B1A37" w:rsidRDefault="00F05B3D" w:rsidP="00BE3D48">
      <w:pPr>
        <w:widowControl w:val="0"/>
        <w:tabs>
          <w:tab w:val="clear" w:pos="567"/>
        </w:tabs>
        <w:spacing w:line="240" w:lineRule="auto"/>
        <w:rPr>
          <w:color w:val="000000"/>
        </w:rPr>
      </w:pPr>
      <w:r w:rsidRPr="009B1A37">
        <w:rPr>
          <w:color w:val="000000"/>
        </w:rPr>
        <w:t>Irsko</w:t>
      </w:r>
    </w:p>
    <w:p w14:paraId="755CF22E" w14:textId="77777777" w:rsidR="00D97A44" w:rsidRPr="009B1A37" w:rsidRDefault="00D97A44" w:rsidP="00BE3D48">
      <w:pPr>
        <w:widowControl w:val="0"/>
        <w:tabs>
          <w:tab w:val="clear" w:pos="567"/>
        </w:tabs>
        <w:spacing w:line="240" w:lineRule="auto"/>
        <w:rPr>
          <w:color w:val="000000"/>
        </w:rPr>
      </w:pPr>
    </w:p>
    <w:p w14:paraId="09C3D4C3" w14:textId="77777777" w:rsidR="00D97A44" w:rsidRPr="009B1A37" w:rsidRDefault="00D97A44" w:rsidP="00BE3D48">
      <w:pPr>
        <w:pStyle w:val="EndnoteText"/>
        <w:widowControl w:val="0"/>
        <w:tabs>
          <w:tab w:val="clear" w:pos="567"/>
        </w:tabs>
        <w:rPr>
          <w:color w:val="000000"/>
        </w:rPr>
      </w:pPr>
    </w:p>
    <w:p w14:paraId="38C5EEAB" w14:textId="77777777" w:rsidR="00D97A44" w:rsidRPr="009B1A37" w:rsidRDefault="00D97A44" w:rsidP="00BE3D48">
      <w:pPr>
        <w:pStyle w:val="BodyTextIndent"/>
        <w:keepNext/>
        <w:widowControl w:val="0"/>
        <w:rPr>
          <w:color w:val="000000"/>
        </w:rPr>
      </w:pPr>
      <w:r w:rsidRPr="009B1A37">
        <w:rPr>
          <w:color w:val="000000"/>
        </w:rPr>
        <w:t>8.</w:t>
      </w:r>
      <w:r w:rsidRPr="009B1A37">
        <w:rPr>
          <w:color w:val="000000"/>
        </w:rPr>
        <w:tab/>
        <w:t>REGISTRAČNÍ ČÍSLO(A)</w:t>
      </w:r>
    </w:p>
    <w:p w14:paraId="1C61E7F2" w14:textId="77777777" w:rsidR="00D97A44" w:rsidRPr="009B1A37" w:rsidRDefault="00D97A44" w:rsidP="00BE3D48">
      <w:pPr>
        <w:pStyle w:val="EndnoteText"/>
        <w:keepNext/>
        <w:widowControl w:val="0"/>
        <w:tabs>
          <w:tab w:val="clear" w:pos="567"/>
        </w:tabs>
        <w:rPr>
          <w:color w:val="000000"/>
        </w:rPr>
      </w:pPr>
    </w:p>
    <w:p w14:paraId="730BEFE0" w14:textId="77777777" w:rsidR="00101D98" w:rsidRPr="009B1A37" w:rsidRDefault="00101D98" w:rsidP="00BE3D48">
      <w:pPr>
        <w:pStyle w:val="EndnoteText"/>
        <w:keepNext/>
        <w:widowControl w:val="0"/>
        <w:tabs>
          <w:tab w:val="clear" w:pos="567"/>
        </w:tabs>
        <w:rPr>
          <w:color w:val="000000"/>
        </w:rPr>
      </w:pPr>
      <w:bookmarkStart w:id="2" w:name="OLE_LINK1"/>
      <w:r w:rsidRPr="009B1A37">
        <w:rPr>
          <w:color w:val="000000"/>
          <w:u w:val="single"/>
        </w:rPr>
        <w:t>Glivec 100 mg potahované tablety</w:t>
      </w:r>
    </w:p>
    <w:p w14:paraId="2BFE50B9" w14:textId="77777777" w:rsidR="00D97A44" w:rsidRPr="009B1A37" w:rsidRDefault="00D97A44" w:rsidP="00BE3D48">
      <w:pPr>
        <w:pStyle w:val="EndnoteText"/>
        <w:keepNext/>
        <w:widowControl w:val="0"/>
        <w:tabs>
          <w:tab w:val="clear" w:pos="567"/>
        </w:tabs>
        <w:rPr>
          <w:color w:val="000000"/>
        </w:rPr>
      </w:pPr>
      <w:r w:rsidRPr="009B1A37">
        <w:rPr>
          <w:color w:val="000000"/>
        </w:rPr>
        <w:t>EU/1/01/198/007</w:t>
      </w:r>
    </w:p>
    <w:p w14:paraId="566B95DC" w14:textId="77777777" w:rsidR="00D97A44" w:rsidRPr="009B1A37" w:rsidRDefault="00D97A44" w:rsidP="00BE3D48">
      <w:pPr>
        <w:pStyle w:val="EndnoteText"/>
        <w:keepNext/>
        <w:widowControl w:val="0"/>
        <w:tabs>
          <w:tab w:val="clear" w:pos="567"/>
        </w:tabs>
        <w:rPr>
          <w:color w:val="000000"/>
        </w:rPr>
      </w:pPr>
      <w:r w:rsidRPr="009B1A37">
        <w:rPr>
          <w:color w:val="000000"/>
        </w:rPr>
        <w:t>EU/1/01/198/008</w:t>
      </w:r>
    </w:p>
    <w:p w14:paraId="7860EBCA" w14:textId="77777777" w:rsidR="00D97A44" w:rsidRPr="009B1A37" w:rsidRDefault="00D97A44" w:rsidP="00BE3D48">
      <w:pPr>
        <w:pStyle w:val="EndnoteText"/>
        <w:keepNext/>
        <w:widowControl w:val="0"/>
        <w:tabs>
          <w:tab w:val="clear" w:pos="567"/>
        </w:tabs>
        <w:rPr>
          <w:color w:val="000000"/>
        </w:rPr>
      </w:pPr>
      <w:r w:rsidRPr="009B1A37">
        <w:rPr>
          <w:color w:val="000000"/>
        </w:rPr>
        <w:t>EU/1/01/198/011</w:t>
      </w:r>
    </w:p>
    <w:bookmarkEnd w:id="2"/>
    <w:p w14:paraId="3942A08A" w14:textId="77777777" w:rsidR="00D97A44" w:rsidRPr="009B1A37" w:rsidRDefault="00D97A44" w:rsidP="00BE3D48">
      <w:pPr>
        <w:pStyle w:val="EndnoteText"/>
        <w:keepNext/>
        <w:widowControl w:val="0"/>
        <w:tabs>
          <w:tab w:val="clear" w:pos="567"/>
        </w:tabs>
        <w:rPr>
          <w:color w:val="000000"/>
        </w:rPr>
      </w:pPr>
      <w:r w:rsidRPr="009B1A37">
        <w:rPr>
          <w:color w:val="000000"/>
        </w:rPr>
        <w:t>EU/1/01/198/012</w:t>
      </w:r>
    </w:p>
    <w:p w14:paraId="4C15A739" w14:textId="77777777" w:rsidR="007A4522" w:rsidRPr="009B1A37" w:rsidRDefault="007A4522" w:rsidP="00BE3D48">
      <w:pPr>
        <w:pStyle w:val="EndnoteText"/>
        <w:keepNext/>
        <w:widowControl w:val="0"/>
        <w:tabs>
          <w:tab w:val="clear" w:pos="567"/>
        </w:tabs>
        <w:rPr>
          <w:color w:val="000000"/>
          <w:lang w:val="fr-CH"/>
        </w:rPr>
      </w:pPr>
      <w:r w:rsidRPr="009B1A37">
        <w:rPr>
          <w:color w:val="000000"/>
          <w:lang w:val="fr-CH"/>
        </w:rPr>
        <w:t>EU/1/01/198/01</w:t>
      </w:r>
      <w:r w:rsidR="004A3DDA" w:rsidRPr="009B1A37">
        <w:rPr>
          <w:color w:val="000000"/>
          <w:lang w:val="fr-CH"/>
        </w:rPr>
        <w:t>4</w:t>
      </w:r>
    </w:p>
    <w:p w14:paraId="75BD0E6B" w14:textId="77777777" w:rsidR="007A4522" w:rsidRPr="009B1A37" w:rsidRDefault="007A4522" w:rsidP="00BE3D48">
      <w:pPr>
        <w:pStyle w:val="EndnoteText"/>
        <w:keepNext/>
        <w:widowControl w:val="0"/>
        <w:tabs>
          <w:tab w:val="clear" w:pos="567"/>
        </w:tabs>
        <w:rPr>
          <w:color w:val="000000"/>
          <w:lang w:val="fr-CH"/>
        </w:rPr>
      </w:pPr>
      <w:r w:rsidRPr="009B1A37">
        <w:rPr>
          <w:color w:val="000000"/>
          <w:lang w:val="fr-CH"/>
        </w:rPr>
        <w:t>EU/1/01/198/01</w:t>
      </w:r>
      <w:r w:rsidR="004A3DDA" w:rsidRPr="009B1A37">
        <w:rPr>
          <w:color w:val="000000"/>
          <w:lang w:val="fr-CH"/>
        </w:rPr>
        <w:t>5</w:t>
      </w:r>
    </w:p>
    <w:p w14:paraId="70DF2178" w14:textId="77777777" w:rsidR="00C40642" w:rsidRPr="009B1A37" w:rsidRDefault="00C40642" w:rsidP="00BE3D48">
      <w:pPr>
        <w:pStyle w:val="EndnoteText"/>
        <w:widowControl w:val="0"/>
        <w:tabs>
          <w:tab w:val="clear" w:pos="567"/>
        </w:tabs>
        <w:rPr>
          <w:color w:val="000000"/>
          <w:lang w:val="fr-CH"/>
        </w:rPr>
      </w:pPr>
      <w:r w:rsidRPr="009B1A37">
        <w:rPr>
          <w:color w:val="000000"/>
          <w:lang w:val="fr-CH"/>
        </w:rPr>
        <w:t>EU/1/01/198/01</w:t>
      </w:r>
      <w:r w:rsidR="004A3DDA" w:rsidRPr="009B1A37">
        <w:rPr>
          <w:color w:val="000000"/>
          <w:lang w:val="fr-CH"/>
        </w:rPr>
        <w:t>6</w:t>
      </w:r>
    </w:p>
    <w:p w14:paraId="3B13E983" w14:textId="77777777" w:rsidR="00101D98" w:rsidRPr="009B1A37" w:rsidRDefault="00101D98" w:rsidP="00BE3D48">
      <w:pPr>
        <w:pStyle w:val="EndnoteText"/>
        <w:widowControl w:val="0"/>
        <w:tabs>
          <w:tab w:val="clear" w:pos="567"/>
        </w:tabs>
        <w:rPr>
          <w:color w:val="000000"/>
        </w:rPr>
      </w:pPr>
    </w:p>
    <w:p w14:paraId="05F2163E" w14:textId="77777777" w:rsidR="00101D98" w:rsidRPr="009B1A37" w:rsidRDefault="00101D98" w:rsidP="00BE3D48">
      <w:pPr>
        <w:pStyle w:val="EndnoteText"/>
        <w:keepNext/>
        <w:widowControl w:val="0"/>
        <w:tabs>
          <w:tab w:val="clear" w:pos="567"/>
        </w:tabs>
        <w:rPr>
          <w:color w:val="000000"/>
        </w:rPr>
      </w:pPr>
      <w:r w:rsidRPr="009B1A37">
        <w:rPr>
          <w:color w:val="000000"/>
          <w:u w:val="single"/>
        </w:rPr>
        <w:t>Glivec 400 mg potahované tablety</w:t>
      </w:r>
    </w:p>
    <w:p w14:paraId="334BFF39" w14:textId="77777777" w:rsidR="00101D98" w:rsidRPr="009B1A37" w:rsidRDefault="00101D98" w:rsidP="00BE3D48">
      <w:pPr>
        <w:pStyle w:val="EndnoteText"/>
        <w:keepNext/>
        <w:widowControl w:val="0"/>
        <w:tabs>
          <w:tab w:val="clear" w:pos="567"/>
        </w:tabs>
        <w:rPr>
          <w:color w:val="000000"/>
        </w:rPr>
      </w:pPr>
      <w:r w:rsidRPr="009B1A37">
        <w:rPr>
          <w:color w:val="000000"/>
        </w:rPr>
        <w:t>EU/1/01/198/009</w:t>
      </w:r>
    </w:p>
    <w:p w14:paraId="058AF81D" w14:textId="77777777" w:rsidR="00101D98" w:rsidRPr="009B1A37" w:rsidRDefault="00101D98" w:rsidP="00BE3D48">
      <w:pPr>
        <w:pStyle w:val="EndnoteText"/>
        <w:keepNext/>
        <w:widowControl w:val="0"/>
        <w:tabs>
          <w:tab w:val="clear" w:pos="567"/>
        </w:tabs>
        <w:rPr>
          <w:color w:val="000000"/>
        </w:rPr>
      </w:pPr>
      <w:r w:rsidRPr="009B1A37">
        <w:rPr>
          <w:color w:val="000000"/>
        </w:rPr>
        <w:t>EU/1/01/198/010</w:t>
      </w:r>
    </w:p>
    <w:p w14:paraId="3F5D322C" w14:textId="77777777" w:rsidR="00101D98" w:rsidRPr="009B1A37" w:rsidRDefault="00101D98" w:rsidP="00BE3D48">
      <w:pPr>
        <w:pStyle w:val="EndnoteText"/>
        <w:widowControl w:val="0"/>
        <w:tabs>
          <w:tab w:val="clear" w:pos="567"/>
        </w:tabs>
        <w:rPr>
          <w:color w:val="000000"/>
        </w:rPr>
      </w:pPr>
      <w:r w:rsidRPr="009B1A37">
        <w:rPr>
          <w:color w:val="000000"/>
        </w:rPr>
        <w:t>EU/1/01/198/013</w:t>
      </w:r>
    </w:p>
    <w:p w14:paraId="755AA051" w14:textId="77777777" w:rsidR="00D97A44" w:rsidRPr="009B1A37" w:rsidRDefault="00D97A44" w:rsidP="00BE3D48">
      <w:pPr>
        <w:widowControl w:val="0"/>
        <w:tabs>
          <w:tab w:val="clear" w:pos="567"/>
        </w:tabs>
        <w:spacing w:line="240" w:lineRule="auto"/>
        <w:rPr>
          <w:color w:val="000000"/>
        </w:rPr>
      </w:pPr>
    </w:p>
    <w:p w14:paraId="30C53791" w14:textId="77777777" w:rsidR="00D97A44" w:rsidRPr="009B1A37" w:rsidRDefault="00D97A44" w:rsidP="00BE3D48">
      <w:pPr>
        <w:widowControl w:val="0"/>
        <w:tabs>
          <w:tab w:val="clear" w:pos="567"/>
        </w:tabs>
        <w:spacing w:line="240" w:lineRule="auto"/>
        <w:rPr>
          <w:color w:val="000000"/>
        </w:rPr>
      </w:pPr>
    </w:p>
    <w:p w14:paraId="18F17E22" w14:textId="77777777" w:rsidR="00D97A44" w:rsidRPr="009B1A37" w:rsidRDefault="00D97A44" w:rsidP="00BE3D48">
      <w:pPr>
        <w:keepNext/>
        <w:widowControl w:val="0"/>
        <w:tabs>
          <w:tab w:val="clear" w:pos="567"/>
        </w:tabs>
        <w:spacing w:line="240" w:lineRule="auto"/>
        <w:ind w:left="567" w:hanging="567"/>
        <w:rPr>
          <w:b/>
          <w:bCs/>
          <w:color w:val="000000"/>
        </w:rPr>
      </w:pPr>
      <w:r w:rsidRPr="009B1A37">
        <w:rPr>
          <w:b/>
          <w:bCs/>
          <w:color w:val="000000"/>
        </w:rPr>
        <w:t>9.</w:t>
      </w:r>
      <w:r w:rsidRPr="009B1A37">
        <w:rPr>
          <w:b/>
          <w:bCs/>
          <w:color w:val="000000"/>
        </w:rPr>
        <w:tab/>
        <w:t>DATUM PRVNÍ REGISTRACE/PRODLOUŽENÍ REGISTRACE</w:t>
      </w:r>
    </w:p>
    <w:p w14:paraId="0380AAA2" w14:textId="77777777" w:rsidR="00D97A44" w:rsidRPr="009B1A37" w:rsidRDefault="00D97A44" w:rsidP="00BE3D48">
      <w:pPr>
        <w:keepNext/>
        <w:widowControl w:val="0"/>
        <w:spacing w:line="240" w:lineRule="auto"/>
        <w:rPr>
          <w:color w:val="000000"/>
        </w:rPr>
      </w:pPr>
    </w:p>
    <w:p w14:paraId="7A1EB8E1" w14:textId="77777777" w:rsidR="00D97A44" w:rsidRPr="009B1A37" w:rsidRDefault="00D97A44" w:rsidP="00BE3D48">
      <w:pPr>
        <w:keepNext/>
        <w:widowControl w:val="0"/>
        <w:spacing w:line="240" w:lineRule="auto"/>
        <w:rPr>
          <w:color w:val="000000"/>
        </w:rPr>
      </w:pPr>
      <w:r w:rsidRPr="009B1A37">
        <w:rPr>
          <w:color w:val="000000"/>
        </w:rPr>
        <w:t xml:space="preserve">Datum první registrace: </w:t>
      </w:r>
      <w:r w:rsidR="00456D29" w:rsidRPr="009B1A37">
        <w:rPr>
          <w:color w:val="000000"/>
        </w:rPr>
        <w:t>7</w:t>
      </w:r>
      <w:r w:rsidRPr="009B1A37">
        <w:rPr>
          <w:color w:val="000000"/>
        </w:rPr>
        <w:t>.</w:t>
      </w:r>
      <w:r w:rsidR="00215352" w:rsidRPr="009B1A37">
        <w:rPr>
          <w:color w:val="000000"/>
        </w:rPr>
        <w:t xml:space="preserve"> listopad</w:t>
      </w:r>
      <w:r w:rsidR="002F3327" w:rsidRPr="009B1A37">
        <w:rPr>
          <w:color w:val="000000"/>
        </w:rPr>
        <w:t>u</w:t>
      </w:r>
      <w:r w:rsidR="00215352" w:rsidRPr="009B1A37">
        <w:rPr>
          <w:color w:val="000000"/>
        </w:rPr>
        <w:t xml:space="preserve"> </w:t>
      </w:r>
      <w:r w:rsidRPr="009B1A37">
        <w:rPr>
          <w:color w:val="000000"/>
        </w:rPr>
        <w:t>200</w:t>
      </w:r>
      <w:r w:rsidR="00456D29" w:rsidRPr="009B1A37">
        <w:rPr>
          <w:color w:val="000000"/>
        </w:rPr>
        <w:t>1</w:t>
      </w:r>
    </w:p>
    <w:p w14:paraId="07A77A24" w14:textId="77777777" w:rsidR="00D97A44" w:rsidRPr="009B1A37" w:rsidRDefault="00D97A44" w:rsidP="00BE3D48">
      <w:pPr>
        <w:widowControl w:val="0"/>
        <w:spacing w:line="240" w:lineRule="auto"/>
        <w:rPr>
          <w:color w:val="000000"/>
        </w:rPr>
      </w:pPr>
      <w:r w:rsidRPr="009B1A37">
        <w:rPr>
          <w:color w:val="000000"/>
        </w:rPr>
        <w:t xml:space="preserve">Datum </w:t>
      </w:r>
      <w:r w:rsidR="00215352" w:rsidRPr="009B1A37">
        <w:rPr>
          <w:color w:val="000000"/>
        </w:rPr>
        <w:t>posledního</w:t>
      </w:r>
      <w:r w:rsidRPr="009B1A37">
        <w:rPr>
          <w:color w:val="000000"/>
        </w:rPr>
        <w:t xml:space="preserve"> prodloužení</w:t>
      </w:r>
      <w:r w:rsidR="00215352" w:rsidRPr="009B1A37">
        <w:rPr>
          <w:color w:val="000000"/>
        </w:rPr>
        <w:t xml:space="preserve"> registrace</w:t>
      </w:r>
      <w:r w:rsidRPr="009B1A37">
        <w:rPr>
          <w:color w:val="000000"/>
        </w:rPr>
        <w:t>: 7.</w:t>
      </w:r>
      <w:r w:rsidR="00215352" w:rsidRPr="009B1A37">
        <w:rPr>
          <w:color w:val="000000"/>
        </w:rPr>
        <w:t xml:space="preserve"> listopad</w:t>
      </w:r>
      <w:r w:rsidR="002F3327" w:rsidRPr="009B1A37">
        <w:rPr>
          <w:color w:val="000000"/>
        </w:rPr>
        <w:t>u</w:t>
      </w:r>
      <w:r w:rsidR="00215352" w:rsidRPr="009B1A37">
        <w:rPr>
          <w:color w:val="000000"/>
        </w:rPr>
        <w:t xml:space="preserve"> </w:t>
      </w:r>
      <w:r w:rsidRPr="009B1A37">
        <w:rPr>
          <w:color w:val="000000"/>
        </w:rPr>
        <w:t>2006</w:t>
      </w:r>
    </w:p>
    <w:p w14:paraId="3F0567DB" w14:textId="77777777" w:rsidR="00D97A44" w:rsidRPr="009B1A37" w:rsidRDefault="00D97A44" w:rsidP="00BE3D48">
      <w:pPr>
        <w:widowControl w:val="0"/>
        <w:tabs>
          <w:tab w:val="clear" w:pos="567"/>
        </w:tabs>
        <w:spacing w:line="240" w:lineRule="auto"/>
        <w:rPr>
          <w:color w:val="000000"/>
        </w:rPr>
      </w:pPr>
    </w:p>
    <w:p w14:paraId="4D6E1FEA" w14:textId="77777777" w:rsidR="00D97A44" w:rsidRPr="009B1A37" w:rsidRDefault="00D97A44" w:rsidP="00BE3D48">
      <w:pPr>
        <w:widowControl w:val="0"/>
        <w:tabs>
          <w:tab w:val="clear" w:pos="567"/>
        </w:tabs>
        <w:spacing w:line="240" w:lineRule="auto"/>
        <w:rPr>
          <w:color w:val="000000"/>
        </w:rPr>
      </w:pPr>
    </w:p>
    <w:p w14:paraId="14CB284E" w14:textId="77777777" w:rsidR="00D97A44" w:rsidRPr="009B1A37" w:rsidRDefault="00D97A44" w:rsidP="00BE3D48">
      <w:pPr>
        <w:widowControl w:val="0"/>
        <w:tabs>
          <w:tab w:val="clear" w:pos="567"/>
        </w:tabs>
        <w:spacing w:line="240" w:lineRule="auto"/>
        <w:ind w:left="567" w:hanging="567"/>
        <w:rPr>
          <w:b/>
          <w:bCs/>
          <w:color w:val="000000"/>
        </w:rPr>
      </w:pPr>
      <w:r w:rsidRPr="009B1A37">
        <w:rPr>
          <w:b/>
          <w:bCs/>
          <w:color w:val="000000"/>
        </w:rPr>
        <w:t>10.</w:t>
      </w:r>
      <w:r w:rsidRPr="009B1A37">
        <w:rPr>
          <w:b/>
          <w:bCs/>
          <w:color w:val="000000"/>
        </w:rPr>
        <w:tab/>
        <w:t>DATUM REVIZE TEXTU</w:t>
      </w:r>
    </w:p>
    <w:p w14:paraId="50D5F913" w14:textId="77777777" w:rsidR="00EE0F18" w:rsidRPr="009B1A37" w:rsidRDefault="00EE0F18" w:rsidP="00BE3D48">
      <w:pPr>
        <w:widowControl w:val="0"/>
        <w:tabs>
          <w:tab w:val="clear" w:pos="567"/>
        </w:tabs>
        <w:spacing w:line="240" w:lineRule="auto"/>
        <w:ind w:left="567" w:hanging="567"/>
        <w:rPr>
          <w:color w:val="000000"/>
        </w:rPr>
      </w:pPr>
    </w:p>
    <w:p w14:paraId="3BC12558" w14:textId="77777777" w:rsidR="00EE0F18" w:rsidRPr="009B1A37" w:rsidRDefault="00EE0F18" w:rsidP="00BE3D48">
      <w:pPr>
        <w:widowControl w:val="0"/>
        <w:tabs>
          <w:tab w:val="clear" w:pos="567"/>
        </w:tabs>
        <w:spacing w:line="240" w:lineRule="auto"/>
        <w:ind w:left="567" w:hanging="567"/>
        <w:rPr>
          <w:color w:val="000000"/>
        </w:rPr>
      </w:pPr>
    </w:p>
    <w:p w14:paraId="7BC279D5" w14:textId="77777777" w:rsidR="00EE0F18" w:rsidRPr="009B1A37" w:rsidRDefault="00EE0F18" w:rsidP="00BE3D48">
      <w:pPr>
        <w:widowControl w:val="0"/>
        <w:tabs>
          <w:tab w:val="clear" w:pos="567"/>
        </w:tabs>
        <w:spacing w:line="240" w:lineRule="auto"/>
        <w:rPr>
          <w:color w:val="000000"/>
        </w:rPr>
      </w:pPr>
      <w:r w:rsidRPr="009B1A37">
        <w:rPr>
          <w:color w:val="000000"/>
        </w:rPr>
        <w:t>Podrobné informace o</w:t>
      </w:r>
      <w:r w:rsidR="00446E67" w:rsidRPr="009B1A37">
        <w:rPr>
          <w:color w:val="000000"/>
        </w:rPr>
        <w:t> </w:t>
      </w:r>
      <w:r w:rsidRPr="009B1A37">
        <w:rPr>
          <w:color w:val="000000"/>
        </w:rPr>
        <w:t xml:space="preserve">tomto </w:t>
      </w:r>
      <w:r w:rsidR="00446E67" w:rsidRPr="009B1A37">
        <w:rPr>
          <w:color w:val="000000"/>
        </w:rPr>
        <w:t xml:space="preserve">léčivém </w:t>
      </w:r>
      <w:r w:rsidRPr="009B1A37">
        <w:rPr>
          <w:color w:val="000000"/>
        </w:rPr>
        <w:t xml:space="preserve">přípravku jsou </w:t>
      </w:r>
      <w:r w:rsidR="00446E67" w:rsidRPr="009B1A37">
        <w:rPr>
          <w:color w:val="000000"/>
        </w:rPr>
        <w:t>k dispozici</w:t>
      </w:r>
      <w:r w:rsidRPr="009B1A37">
        <w:rPr>
          <w:color w:val="000000"/>
        </w:rPr>
        <w:t xml:space="preserve"> na webových stránkách Evropské agentury </w:t>
      </w:r>
      <w:r w:rsidR="00446E67" w:rsidRPr="009B1A37">
        <w:rPr>
          <w:color w:val="000000"/>
        </w:rPr>
        <w:t xml:space="preserve">pro léčivé přípravky </w:t>
      </w:r>
      <w:r w:rsidRPr="009B1A37">
        <w:rPr>
          <w:color w:val="000000"/>
        </w:rPr>
        <w:t>http://www.ema.europa.eu</w:t>
      </w:r>
    </w:p>
    <w:p w14:paraId="6EC8CA8D" w14:textId="77777777" w:rsidR="00D97A44" w:rsidRPr="009B1A37" w:rsidRDefault="00B346DE" w:rsidP="00BE3D48">
      <w:pPr>
        <w:widowControl w:val="0"/>
        <w:tabs>
          <w:tab w:val="clear" w:pos="567"/>
        </w:tabs>
        <w:spacing w:line="240" w:lineRule="auto"/>
        <w:rPr>
          <w:color w:val="000000"/>
        </w:rPr>
      </w:pPr>
      <w:r w:rsidRPr="009B1A37">
        <w:rPr>
          <w:color w:val="000000"/>
        </w:rPr>
        <w:br w:type="page"/>
      </w:r>
    </w:p>
    <w:p w14:paraId="280F6BE6" w14:textId="77777777" w:rsidR="00D97A44" w:rsidRPr="009B1A37" w:rsidRDefault="00D97A44" w:rsidP="00BE3D48">
      <w:pPr>
        <w:widowControl w:val="0"/>
        <w:spacing w:line="240" w:lineRule="auto"/>
        <w:rPr>
          <w:color w:val="000000"/>
        </w:rPr>
      </w:pPr>
    </w:p>
    <w:p w14:paraId="72AB26F3" w14:textId="77777777" w:rsidR="00D97A44" w:rsidRPr="009B1A37" w:rsidRDefault="00D97A44" w:rsidP="00BE3D48">
      <w:pPr>
        <w:widowControl w:val="0"/>
        <w:spacing w:line="240" w:lineRule="auto"/>
        <w:rPr>
          <w:color w:val="000000"/>
        </w:rPr>
      </w:pPr>
    </w:p>
    <w:p w14:paraId="2B0234A9" w14:textId="77777777" w:rsidR="00D97A44" w:rsidRPr="009B1A37" w:rsidRDefault="00D97A44" w:rsidP="00BE3D48">
      <w:pPr>
        <w:widowControl w:val="0"/>
        <w:spacing w:line="240" w:lineRule="auto"/>
        <w:rPr>
          <w:color w:val="000000"/>
        </w:rPr>
      </w:pPr>
    </w:p>
    <w:p w14:paraId="0EAAFEF4" w14:textId="77777777" w:rsidR="00D97A44" w:rsidRPr="009B1A37" w:rsidRDefault="00D97A44" w:rsidP="00BE3D48">
      <w:pPr>
        <w:widowControl w:val="0"/>
        <w:spacing w:line="240" w:lineRule="auto"/>
        <w:rPr>
          <w:color w:val="000000"/>
        </w:rPr>
      </w:pPr>
    </w:p>
    <w:p w14:paraId="51039C06" w14:textId="77777777" w:rsidR="00D97A44" w:rsidRPr="009B1A37" w:rsidRDefault="00D97A44" w:rsidP="00BE3D48">
      <w:pPr>
        <w:widowControl w:val="0"/>
        <w:spacing w:line="240" w:lineRule="auto"/>
        <w:rPr>
          <w:color w:val="000000"/>
        </w:rPr>
      </w:pPr>
    </w:p>
    <w:p w14:paraId="128573AA" w14:textId="77777777" w:rsidR="00D97A44" w:rsidRPr="009B1A37" w:rsidRDefault="00D97A44" w:rsidP="00BE3D48">
      <w:pPr>
        <w:widowControl w:val="0"/>
        <w:spacing w:line="240" w:lineRule="auto"/>
        <w:rPr>
          <w:color w:val="000000"/>
        </w:rPr>
      </w:pPr>
    </w:p>
    <w:p w14:paraId="24B3004D" w14:textId="77777777" w:rsidR="00D97A44" w:rsidRPr="009B1A37" w:rsidRDefault="00D97A44" w:rsidP="00BE3D48">
      <w:pPr>
        <w:widowControl w:val="0"/>
        <w:spacing w:line="240" w:lineRule="auto"/>
        <w:rPr>
          <w:color w:val="000000"/>
        </w:rPr>
      </w:pPr>
    </w:p>
    <w:p w14:paraId="021F3EA7" w14:textId="77777777" w:rsidR="00D97A44" w:rsidRPr="009B1A37" w:rsidRDefault="00D97A44" w:rsidP="00BE3D48">
      <w:pPr>
        <w:widowControl w:val="0"/>
        <w:spacing w:line="240" w:lineRule="auto"/>
        <w:rPr>
          <w:color w:val="000000"/>
        </w:rPr>
      </w:pPr>
    </w:p>
    <w:p w14:paraId="03B33462" w14:textId="77777777" w:rsidR="00D97A44" w:rsidRPr="009B1A37" w:rsidRDefault="00D97A44" w:rsidP="00BE3D48">
      <w:pPr>
        <w:widowControl w:val="0"/>
        <w:spacing w:line="240" w:lineRule="auto"/>
        <w:rPr>
          <w:color w:val="000000"/>
        </w:rPr>
      </w:pPr>
    </w:p>
    <w:p w14:paraId="0CED516C" w14:textId="77777777" w:rsidR="00D97A44" w:rsidRPr="009B1A37" w:rsidRDefault="00D97A44" w:rsidP="00BE3D48">
      <w:pPr>
        <w:widowControl w:val="0"/>
        <w:spacing w:line="240" w:lineRule="auto"/>
        <w:rPr>
          <w:color w:val="000000"/>
        </w:rPr>
      </w:pPr>
    </w:p>
    <w:p w14:paraId="07596117" w14:textId="77777777" w:rsidR="00D97A44" w:rsidRPr="009B1A37" w:rsidRDefault="00D97A44" w:rsidP="00BE3D48">
      <w:pPr>
        <w:widowControl w:val="0"/>
        <w:spacing w:line="240" w:lineRule="auto"/>
        <w:rPr>
          <w:color w:val="000000"/>
        </w:rPr>
      </w:pPr>
    </w:p>
    <w:p w14:paraId="0AEE50CE" w14:textId="77777777" w:rsidR="00D97A44" w:rsidRPr="009B1A37" w:rsidRDefault="00D97A44" w:rsidP="00BE3D48">
      <w:pPr>
        <w:widowControl w:val="0"/>
        <w:spacing w:line="240" w:lineRule="auto"/>
        <w:rPr>
          <w:color w:val="000000"/>
        </w:rPr>
      </w:pPr>
    </w:p>
    <w:p w14:paraId="739EAA2B" w14:textId="77777777" w:rsidR="00D97A44" w:rsidRPr="009B1A37" w:rsidRDefault="00D97A44" w:rsidP="00BE3D48">
      <w:pPr>
        <w:widowControl w:val="0"/>
        <w:spacing w:line="240" w:lineRule="auto"/>
        <w:rPr>
          <w:color w:val="000000"/>
        </w:rPr>
      </w:pPr>
    </w:p>
    <w:p w14:paraId="28F31F2C" w14:textId="77777777" w:rsidR="00D97A44" w:rsidRPr="009B1A37" w:rsidRDefault="00D97A44" w:rsidP="00BE3D48">
      <w:pPr>
        <w:widowControl w:val="0"/>
        <w:spacing w:line="240" w:lineRule="auto"/>
        <w:rPr>
          <w:color w:val="000000"/>
        </w:rPr>
      </w:pPr>
    </w:p>
    <w:p w14:paraId="11FFAEFB" w14:textId="77777777" w:rsidR="00D97A44" w:rsidRPr="009B1A37" w:rsidRDefault="00D97A44" w:rsidP="00BE3D48">
      <w:pPr>
        <w:widowControl w:val="0"/>
        <w:spacing w:line="240" w:lineRule="auto"/>
        <w:rPr>
          <w:color w:val="000000"/>
        </w:rPr>
      </w:pPr>
    </w:p>
    <w:p w14:paraId="18E89E6A" w14:textId="77777777" w:rsidR="00D97A44" w:rsidRPr="009B1A37" w:rsidRDefault="00D97A44" w:rsidP="00BE3D48">
      <w:pPr>
        <w:widowControl w:val="0"/>
        <w:spacing w:line="240" w:lineRule="auto"/>
        <w:rPr>
          <w:color w:val="000000"/>
        </w:rPr>
      </w:pPr>
    </w:p>
    <w:p w14:paraId="2F120A12" w14:textId="77777777" w:rsidR="00D97A44" w:rsidRPr="009B1A37" w:rsidRDefault="00D97A44" w:rsidP="00BE3D48">
      <w:pPr>
        <w:widowControl w:val="0"/>
        <w:spacing w:line="240" w:lineRule="auto"/>
        <w:rPr>
          <w:color w:val="000000"/>
        </w:rPr>
      </w:pPr>
    </w:p>
    <w:p w14:paraId="62192BE7" w14:textId="77777777" w:rsidR="00D97A44" w:rsidRPr="009B1A37" w:rsidRDefault="00D97A44" w:rsidP="00BE3D48">
      <w:pPr>
        <w:widowControl w:val="0"/>
        <w:spacing w:line="240" w:lineRule="auto"/>
        <w:rPr>
          <w:color w:val="000000"/>
        </w:rPr>
      </w:pPr>
    </w:p>
    <w:p w14:paraId="7AB6352D" w14:textId="77777777" w:rsidR="00D97A44" w:rsidRPr="009B1A37" w:rsidRDefault="00D97A44" w:rsidP="00BE3D48">
      <w:pPr>
        <w:widowControl w:val="0"/>
        <w:spacing w:line="240" w:lineRule="auto"/>
        <w:rPr>
          <w:color w:val="000000"/>
        </w:rPr>
      </w:pPr>
    </w:p>
    <w:p w14:paraId="3B22EDA5" w14:textId="77777777" w:rsidR="00D97A44" w:rsidRPr="009B1A37" w:rsidRDefault="00D97A44" w:rsidP="00BE3D48">
      <w:pPr>
        <w:widowControl w:val="0"/>
        <w:spacing w:line="240" w:lineRule="auto"/>
        <w:rPr>
          <w:color w:val="000000"/>
        </w:rPr>
      </w:pPr>
    </w:p>
    <w:p w14:paraId="460394CE" w14:textId="77777777" w:rsidR="00D97A44" w:rsidRPr="009B1A37" w:rsidRDefault="00D97A44" w:rsidP="00BE3D48">
      <w:pPr>
        <w:widowControl w:val="0"/>
        <w:spacing w:line="240" w:lineRule="auto"/>
        <w:rPr>
          <w:color w:val="000000"/>
        </w:rPr>
      </w:pPr>
    </w:p>
    <w:p w14:paraId="12706FB7" w14:textId="77777777" w:rsidR="00D97A44" w:rsidRPr="009B1A37" w:rsidRDefault="00D97A44" w:rsidP="00BE3D48">
      <w:pPr>
        <w:widowControl w:val="0"/>
        <w:spacing w:line="240" w:lineRule="auto"/>
        <w:rPr>
          <w:color w:val="000000"/>
        </w:rPr>
      </w:pPr>
    </w:p>
    <w:p w14:paraId="7E7A80E4" w14:textId="77777777" w:rsidR="00EB4FF7" w:rsidRPr="009B1A37" w:rsidRDefault="00EB4FF7" w:rsidP="00BE3D48">
      <w:pPr>
        <w:widowControl w:val="0"/>
        <w:spacing w:line="240" w:lineRule="auto"/>
        <w:rPr>
          <w:color w:val="000000"/>
        </w:rPr>
      </w:pPr>
    </w:p>
    <w:p w14:paraId="3CAF9A9F" w14:textId="77777777" w:rsidR="00E61A01" w:rsidRPr="009B1A37" w:rsidRDefault="00E61A01" w:rsidP="00BE3D48">
      <w:pPr>
        <w:widowControl w:val="0"/>
        <w:spacing w:line="240" w:lineRule="auto"/>
        <w:jc w:val="center"/>
        <w:rPr>
          <w:b/>
          <w:bCs/>
          <w:color w:val="000000"/>
        </w:rPr>
      </w:pPr>
      <w:r w:rsidRPr="009B1A37">
        <w:rPr>
          <w:b/>
          <w:bCs/>
          <w:color w:val="000000"/>
        </w:rPr>
        <w:t>PŘÍLOHA II</w:t>
      </w:r>
    </w:p>
    <w:p w14:paraId="37CB9FE7" w14:textId="77777777" w:rsidR="00E61A01" w:rsidRPr="009B1A37" w:rsidRDefault="00E61A01" w:rsidP="00BE3D48">
      <w:pPr>
        <w:widowControl w:val="0"/>
        <w:tabs>
          <w:tab w:val="clear" w:pos="567"/>
          <w:tab w:val="left" w:pos="7371"/>
          <w:tab w:val="left" w:pos="8505"/>
        </w:tabs>
        <w:spacing w:line="240" w:lineRule="auto"/>
        <w:ind w:right="1416"/>
        <w:rPr>
          <w:color w:val="000000"/>
        </w:rPr>
      </w:pPr>
    </w:p>
    <w:p w14:paraId="19C2281A" w14:textId="77777777" w:rsidR="00E61A01" w:rsidRPr="009B1A37" w:rsidRDefault="00E61A01" w:rsidP="00BE3D48">
      <w:pPr>
        <w:widowControl w:val="0"/>
        <w:tabs>
          <w:tab w:val="clear" w:pos="567"/>
          <w:tab w:val="left" w:pos="7371"/>
          <w:tab w:val="left" w:pos="8505"/>
        </w:tabs>
        <w:spacing w:line="240" w:lineRule="auto"/>
        <w:ind w:left="2268" w:right="1416" w:hanging="567"/>
        <w:rPr>
          <w:b/>
          <w:bCs/>
          <w:color w:val="000000"/>
        </w:rPr>
      </w:pPr>
      <w:r w:rsidRPr="009B1A37">
        <w:rPr>
          <w:b/>
          <w:bCs/>
          <w:color w:val="000000"/>
        </w:rPr>
        <w:t>A.</w:t>
      </w:r>
      <w:r w:rsidRPr="009B1A37">
        <w:rPr>
          <w:b/>
          <w:bCs/>
          <w:color w:val="000000"/>
        </w:rPr>
        <w:tab/>
        <w:t>VÝROBCE ODPOVĚDNÝ ZA PROPOUŠTĚNÍ ŠARŽÍ</w:t>
      </w:r>
    </w:p>
    <w:p w14:paraId="4889365A" w14:textId="77777777" w:rsidR="00E61A01" w:rsidRPr="009B1A37" w:rsidRDefault="00E61A01" w:rsidP="00BE3D48">
      <w:pPr>
        <w:widowControl w:val="0"/>
        <w:tabs>
          <w:tab w:val="clear" w:pos="567"/>
          <w:tab w:val="left" w:pos="7371"/>
          <w:tab w:val="left" w:pos="8505"/>
        </w:tabs>
        <w:spacing w:line="240" w:lineRule="auto"/>
        <w:ind w:right="1416"/>
        <w:rPr>
          <w:color w:val="000000"/>
        </w:rPr>
      </w:pPr>
    </w:p>
    <w:p w14:paraId="52F6EA6B" w14:textId="77777777" w:rsidR="00E61A01" w:rsidRPr="009B1A37" w:rsidRDefault="00E61A01" w:rsidP="00BE3D48">
      <w:pPr>
        <w:widowControl w:val="0"/>
        <w:tabs>
          <w:tab w:val="clear" w:pos="567"/>
          <w:tab w:val="left" w:pos="7371"/>
          <w:tab w:val="left" w:pos="8505"/>
        </w:tabs>
        <w:spacing w:line="240" w:lineRule="auto"/>
        <w:ind w:left="2268" w:right="1416" w:hanging="567"/>
        <w:rPr>
          <w:b/>
          <w:bCs/>
          <w:color w:val="000000"/>
        </w:rPr>
      </w:pPr>
      <w:r w:rsidRPr="009B1A37">
        <w:rPr>
          <w:b/>
          <w:bCs/>
          <w:color w:val="000000"/>
        </w:rPr>
        <w:t>B.</w:t>
      </w:r>
      <w:r w:rsidRPr="009B1A37">
        <w:rPr>
          <w:b/>
          <w:bCs/>
          <w:color w:val="000000"/>
        </w:rPr>
        <w:tab/>
        <w:t>PODMÍNKY NEBO OMEZENÍ VÝDEJE A POUŽITÍ</w:t>
      </w:r>
    </w:p>
    <w:p w14:paraId="658BEEE6" w14:textId="77777777" w:rsidR="00E61A01" w:rsidRPr="009B1A37" w:rsidRDefault="00E61A01" w:rsidP="00BE3D48">
      <w:pPr>
        <w:widowControl w:val="0"/>
        <w:tabs>
          <w:tab w:val="clear" w:pos="567"/>
          <w:tab w:val="left" w:pos="7371"/>
          <w:tab w:val="left" w:pos="8505"/>
        </w:tabs>
        <w:spacing w:line="240" w:lineRule="auto"/>
        <w:ind w:right="1416"/>
        <w:rPr>
          <w:bCs/>
          <w:color w:val="000000"/>
        </w:rPr>
      </w:pPr>
    </w:p>
    <w:p w14:paraId="4458DA33" w14:textId="77777777" w:rsidR="00E61A01" w:rsidRPr="009B1A37" w:rsidRDefault="00E61A01" w:rsidP="00BE3D48">
      <w:pPr>
        <w:widowControl w:val="0"/>
        <w:tabs>
          <w:tab w:val="clear" w:pos="567"/>
          <w:tab w:val="left" w:pos="7371"/>
          <w:tab w:val="left" w:pos="8505"/>
        </w:tabs>
        <w:spacing w:line="240" w:lineRule="auto"/>
        <w:ind w:left="2268" w:right="1416" w:hanging="567"/>
        <w:rPr>
          <w:b/>
          <w:bCs/>
          <w:color w:val="000000"/>
        </w:rPr>
      </w:pPr>
      <w:r w:rsidRPr="009B1A37">
        <w:rPr>
          <w:b/>
          <w:bCs/>
          <w:color w:val="000000"/>
        </w:rPr>
        <w:t>C.</w:t>
      </w:r>
      <w:r w:rsidRPr="009B1A37">
        <w:rPr>
          <w:b/>
          <w:bCs/>
          <w:color w:val="000000"/>
        </w:rPr>
        <w:tab/>
        <w:t>DALŠÍ PODMÍNKY A POŽADAVKY REGISTRACE</w:t>
      </w:r>
    </w:p>
    <w:p w14:paraId="1FB7BEE8" w14:textId="77777777" w:rsidR="00F57421" w:rsidRPr="009B1A37" w:rsidRDefault="00F57421" w:rsidP="00BE3D48">
      <w:pPr>
        <w:widowControl w:val="0"/>
        <w:tabs>
          <w:tab w:val="left" w:pos="1701"/>
        </w:tabs>
        <w:spacing w:line="240" w:lineRule="auto"/>
        <w:ind w:right="1416"/>
        <w:rPr>
          <w:noProof/>
          <w:szCs w:val="24"/>
        </w:rPr>
      </w:pPr>
    </w:p>
    <w:p w14:paraId="67237EBB" w14:textId="77777777" w:rsidR="00F57421" w:rsidRPr="009B1A37" w:rsidRDefault="00F57421" w:rsidP="00BE3D48">
      <w:pPr>
        <w:widowControl w:val="0"/>
        <w:spacing w:line="240" w:lineRule="auto"/>
        <w:ind w:left="2268" w:right="1416" w:hanging="567"/>
        <w:rPr>
          <w:b/>
          <w:szCs w:val="24"/>
        </w:rPr>
      </w:pPr>
      <w:r w:rsidRPr="009B1A37">
        <w:rPr>
          <w:b/>
          <w:noProof/>
          <w:szCs w:val="24"/>
        </w:rPr>
        <w:t>D.</w:t>
      </w:r>
      <w:r w:rsidRPr="009B1A37">
        <w:rPr>
          <w:b/>
          <w:szCs w:val="24"/>
        </w:rPr>
        <w:tab/>
      </w:r>
      <w:r w:rsidRPr="009B1A37">
        <w:rPr>
          <w:b/>
          <w:noProof/>
          <w:szCs w:val="24"/>
        </w:rPr>
        <w:t>PODMÍNKY NEBO OMEZENÍ S OHLEDEM NA BEZPEČNÉ A ÚČINNÉ POUŽÍVÁNÍ LÉČIVÉHO PŘÍPRAVKU</w:t>
      </w:r>
    </w:p>
    <w:p w14:paraId="57C1AB77" w14:textId="77777777" w:rsidR="00E61A01" w:rsidRPr="009B1A37" w:rsidRDefault="00E61A01" w:rsidP="00BE3D48">
      <w:pPr>
        <w:widowControl w:val="0"/>
        <w:tabs>
          <w:tab w:val="clear" w:pos="567"/>
          <w:tab w:val="left" w:pos="7371"/>
          <w:tab w:val="left" w:pos="8505"/>
        </w:tabs>
        <w:spacing w:line="240" w:lineRule="auto"/>
        <w:ind w:right="1416"/>
        <w:rPr>
          <w:color w:val="000000"/>
        </w:rPr>
      </w:pPr>
    </w:p>
    <w:p w14:paraId="3BDBE4C6" w14:textId="77777777" w:rsidR="00E61A01" w:rsidRPr="009B1A37" w:rsidRDefault="00E61A01" w:rsidP="00EB4FF7">
      <w:pPr>
        <w:keepNext/>
        <w:widowControl w:val="0"/>
        <w:tabs>
          <w:tab w:val="clear" w:pos="567"/>
        </w:tabs>
        <w:suppressAutoHyphens w:val="0"/>
        <w:spacing w:line="240" w:lineRule="auto"/>
        <w:ind w:right="-1"/>
        <w:rPr>
          <w:b/>
          <w:bCs/>
          <w:color w:val="000000"/>
        </w:rPr>
      </w:pPr>
      <w:r w:rsidRPr="009B1A37">
        <w:rPr>
          <w:color w:val="000000"/>
        </w:rPr>
        <w:br w:type="page"/>
      </w:r>
      <w:r w:rsidRPr="009B1A37">
        <w:rPr>
          <w:b/>
          <w:bCs/>
          <w:color w:val="000000"/>
        </w:rPr>
        <w:t>A.</w:t>
      </w:r>
      <w:r w:rsidRPr="009B1A37">
        <w:rPr>
          <w:b/>
          <w:bCs/>
          <w:color w:val="000000"/>
        </w:rPr>
        <w:tab/>
        <w:t>VÝROBCE ODPOVĚDNÝ ZA PROPOUŠTĚNÍ ŠARŽÍ</w:t>
      </w:r>
    </w:p>
    <w:p w14:paraId="7DE45306" w14:textId="77777777" w:rsidR="00E61A01" w:rsidRPr="009B1A37" w:rsidRDefault="00E61A01" w:rsidP="00EB4FF7">
      <w:pPr>
        <w:keepNext/>
        <w:widowControl w:val="0"/>
        <w:suppressAutoHyphens w:val="0"/>
        <w:spacing w:line="240" w:lineRule="auto"/>
        <w:ind w:right="1416"/>
        <w:rPr>
          <w:color w:val="000000"/>
        </w:rPr>
      </w:pPr>
    </w:p>
    <w:p w14:paraId="3B51F7E1" w14:textId="77777777" w:rsidR="00E61A01" w:rsidRPr="009B1A37" w:rsidRDefault="00E61A01" w:rsidP="00EB4FF7">
      <w:pPr>
        <w:keepNext/>
        <w:widowControl w:val="0"/>
        <w:suppressAutoHyphens w:val="0"/>
        <w:spacing w:line="240" w:lineRule="auto"/>
        <w:rPr>
          <w:color w:val="000000"/>
          <w:u w:val="single"/>
        </w:rPr>
      </w:pPr>
      <w:r w:rsidRPr="009B1A37">
        <w:rPr>
          <w:color w:val="000000"/>
          <w:u w:val="single"/>
        </w:rPr>
        <w:t>Název a adresa výrobce odpovědného za propouštění šarží</w:t>
      </w:r>
    </w:p>
    <w:p w14:paraId="529F3F64" w14:textId="77777777" w:rsidR="00E61A01" w:rsidRPr="009B1A37" w:rsidRDefault="00E61A01" w:rsidP="00EB4FF7">
      <w:pPr>
        <w:keepNext/>
        <w:widowControl w:val="0"/>
        <w:suppressAutoHyphens w:val="0"/>
        <w:spacing w:line="240" w:lineRule="auto"/>
        <w:rPr>
          <w:color w:val="000000"/>
        </w:rPr>
      </w:pPr>
    </w:p>
    <w:p w14:paraId="424FB233" w14:textId="77777777" w:rsidR="00BE3D48" w:rsidRPr="009B1A37" w:rsidRDefault="00BE3D48" w:rsidP="00BE3D48">
      <w:pPr>
        <w:widowControl w:val="0"/>
        <w:tabs>
          <w:tab w:val="left" w:pos="7513"/>
        </w:tabs>
        <w:spacing w:line="240" w:lineRule="auto"/>
        <w:rPr>
          <w:lang w:val="fr-CH"/>
        </w:rPr>
      </w:pPr>
      <w:r w:rsidRPr="009B1A37">
        <w:rPr>
          <w:lang w:val="fr-CH"/>
        </w:rPr>
        <w:t>Lek d.d, PE PROIZVODNJA LENDAVA</w:t>
      </w:r>
    </w:p>
    <w:p w14:paraId="06742453" w14:textId="77777777" w:rsidR="00BE3D48" w:rsidRPr="009B1A37" w:rsidRDefault="00BE3D48" w:rsidP="00BE3D48">
      <w:pPr>
        <w:widowControl w:val="0"/>
        <w:tabs>
          <w:tab w:val="left" w:pos="7513"/>
        </w:tabs>
        <w:spacing w:line="240" w:lineRule="auto"/>
        <w:rPr>
          <w:lang w:val="fr-CH"/>
        </w:rPr>
      </w:pPr>
      <w:r w:rsidRPr="009B1A37">
        <w:rPr>
          <w:lang w:val="fr-CH"/>
        </w:rPr>
        <w:t>Trimlini 2D</w:t>
      </w:r>
    </w:p>
    <w:p w14:paraId="30A236CE" w14:textId="77777777" w:rsidR="00BE3D48" w:rsidRPr="009B1A37" w:rsidRDefault="00BE3D48" w:rsidP="00BE3D48">
      <w:pPr>
        <w:widowControl w:val="0"/>
        <w:tabs>
          <w:tab w:val="left" w:pos="7513"/>
        </w:tabs>
        <w:spacing w:line="240" w:lineRule="auto"/>
        <w:rPr>
          <w:lang w:val="fr-CH"/>
        </w:rPr>
      </w:pPr>
      <w:r w:rsidRPr="009B1A37">
        <w:rPr>
          <w:lang w:val="fr-CH"/>
        </w:rPr>
        <w:t>Lendava, 9220</w:t>
      </w:r>
    </w:p>
    <w:p w14:paraId="5A1D4E95" w14:textId="77777777" w:rsidR="00BE3D48" w:rsidRPr="009B1A37" w:rsidRDefault="00BE3D48" w:rsidP="00BE3D48">
      <w:pPr>
        <w:widowControl w:val="0"/>
        <w:tabs>
          <w:tab w:val="left" w:pos="7513"/>
        </w:tabs>
        <w:spacing w:line="240" w:lineRule="auto"/>
        <w:rPr>
          <w:lang w:val="pt-BR"/>
        </w:rPr>
      </w:pPr>
      <w:r w:rsidRPr="009B1A37">
        <w:rPr>
          <w:lang w:val="fr-CH"/>
        </w:rPr>
        <w:t>Slovinsko</w:t>
      </w:r>
    </w:p>
    <w:p w14:paraId="315C8A7D" w14:textId="77777777" w:rsidR="00BE3D48" w:rsidRPr="009B1A37" w:rsidRDefault="00BE3D48" w:rsidP="00BE3D48">
      <w:pPr>
        <w:widowControl w:val="0"/>
        <w:tabs>
          <w:tab w:val="left" w:pos="7513"/>
        </w:tabs>
        <w:spacing w:line="240" w:lineRule="auto"/>
        <w:rPr>
          <w:lang w:val="pt-BR"/>
        </w:rPr>
      </w:pPr>
    </w:p>
    <w:p w14:paraId="4639A784" w14:textId="77777777" w:rsidR="00E61A01" w:rsidRPr="009B1A37" w:rsidRDefault="00E61A01" w:rsidP="00BE3D48">
      <w:pPr>
        <w:widowControl w:val="0"/>
        <w:tabs>
          <w:tab w:val="left" w:pos="7513"/>
        </w:tabs>
        <w:spacing w:line="240" w:lineRule="auto"/>
        <w:rPr>
          <w:color w:val="000000"/>
        </w:rPr>
      </w:pPr>
      <w:r w:rsidRPr="009B1A37">
        <w:rPr>
          <w:color w:val="000000"/>
        </w:rPr>
        <w:t>Novartis Pharma GmbH</w:t>
      </w:r>
    </w:p>
    <w:p w14:paraId="2CDC3F15" w14:textId="77777777" w:rsidR="00E61A01" w:rsidRPr="009B1A37" w:rsidRDefault="00E61A01" w:rsidP="00BE3D48">
      <w:pPr>
        <w:widowControl w:val="0"/>
        <w:tabs>
          <w:tab w:val="left" w:pos="7513"/>
        </w:tabs>
        <w:spacing w:line="240" w:lineRule="auto"/>
        <w:rPr>
          <w:color w:val="000000"/>
        </w:rPr>
      </w:pPr>
      <w:r w:rsidRPr="009B1A37">
        <w:rPr>
          <w:color w:val="000000"/>
        </w:rPr>
        <w:t>Roonstrasse 25</w:t>
      </w:r>
    </w:p>
    <w:p w14:paraId="186CD116" w14:textId="77777777" w:rsidR="00E61A01" w:rsidRPr="009B1A37" w:rsidRDefault="00E61A01" w:rsidP="00BE3D48">
      <w:pPr>
        <w:widowControl w:val="0"/>
        <w:tabs>
          <w:tab w:val="left" w:pos="7513"/>
        </w:tabs>
        <w:spacing w:line="240" w:lineRule="auto"/>
        <w:rPr>
          <w:color w:val="000000"/>
        </w:rPr>
      </w:pPr>
      <w:r w:rsidRPr="009B1A37">
        <w:rPr>
          <w:color w:val="000000"/>
        </w:rPr>
        <w:t>D-90429 Norimberk</w:t>
      </w:r>
    </w:p>
    <w:p w14:paraId="219E0545" w14:textId="77777777" w:rsidR="00E61A01" w:rsidRPr="009B1A37" w:rsidRDefault="00E61A01" w:rsidP="00BE3D48">
      <w:pPr>
        <w:widowControl w:val="0"/>
        <w:spacing w:line="240" w:lineRule="auto"/>
        <w:rPr>
          <w:color w:val="000000"/>
        </w:rPr>
      </w:pPr>
      <w:r w:rsidRPr="009B1A37">
        <w:rPr>
          <w:color w:val="000000"/>
        </w:rPr>
        <w:t>Německo</w:t>
      </w:r>
    </w:p>
    <w:p w14:paraId="463CFE75" w14:textId="12AF93A9" w:rsidR="00E61A01" w:rsidRDefault="00E61A01" w:rsidP="00BE3D48">
      <w:pPr>
        <w:widowControl w:val="0"/>
        <w:spacing w:line="240" w:lineRule="auto"/>
        <w:rPr>
          <w:color w:val="000000"/>
        </w:rPr>
      </w:pPr>
    </w:p>
    <w:p w14:paraId="7663EE0D" w14:textId="77777777" w:rsidR="00E247AA" w:rsidRPr="00E247AA" w:rsidRDefault="00E247AA" w:rsidP="00E247AA">
      <w:pPr>
        <w:widowControl w:val="0"/>
        <w:spacing w:line="240" w:lineRule="auto"/>
        <w:rPr>
          <w:color w:val="000000"/>
        </w:rPr>
      </w:pPr>
      <w:r w:rsidRPr="00E247AA">
        <w:rPr>
          <w:color w:val="000000"/>
        </w:rPr>
        <w:t>Sandoz S.R.L.</w:t>
      </w:r>
    </w:p>
    <w:p w14:paraId="72B05A29" w14:textId="77777777" w:rsidR="00E247AA" w:rsidRPr="00E247AA" w:rsidRDefault="00E247AA" w:rsidP="00E247AA">
      <w:pPr>
        <w:widowControl w:val="0"/>
        <w:spacing w:line="240" w:lineRule="auto"/>
        <w:rPr>
          <w:color w:val="000000"/>
        </w:rPr>
      </w:pPr>
      <w:r w:rsidRPr="00E247AA">
        <w:rPr>
          <w:color w:val="000000"/>
        </w:rPr>
        <w:t>Str. Livezeni nr. 7A</w:t>
      </w:r>
    </w:p>
    <w:p w14:paraId="727FD765" w14:textId="77777777" w:rsidR="00E247AA" w:rsidRPr="00E247AA" w:rsidRDefault="00E247AA" w:rsidP="00E247AA">
      <w:pPr>
        <w:widowControl w:val="0"/>
        <w:spacing w:line="240" w:lineRule="auto"/>
        <w:rPr>
          <w:color w:val="000000"/>
        </w:rPr>
      </w:pPr>
      <w:r w:rsidRPr="00E247AA">
        <w:rPr>
          <w:color w:val="000000"/>
        </w:rPr>
        <w:t>540472, Targu Mures</w:t>
      </w:r>
    </w:p>
    <w:p w14:paraId="72DE033D" w14:textId="70717A0E" w:rsidR="00E247AA" w:rsidRDefault="00E247AA" w:rsidP="00E247AA">
      <w:pPr>
        <w:widowControl w:val="0"/>
        <w:spacing w:line="240" w:lineRule="auto"/>
        <w:rPr>
          <w:color w:val="000000"/>
        </w:rPr>
      </w:pPr>
      <w:r w:rsidRPr="00E247AA">
        <w:rPr>
          <w:color w:val="000000"/>
        </w:rPr>
        <w:t>Rumunsko</w:t>
      </w:r>
    </w:p>
    <w:p w14:paraId="4C64582F" w14:textId="77777777" w:rsidR="00E247AA" w:rsidRPr="009B1A37" w:rsidRDefault="00E247AA" w:rsidP="00E247AA">
      <w:pPr>
        <w:widowControl w:val="0"/>
        <w:spacing w:line="240" w:lineRule="auto"/>
        <w:rPr>
          <w:color w:val="000000"/>
        </w:rPr>
      </w:pPr>
    </w:p>
    <w:p w14:paraId="2CFAB8E7" w14:textId="77777777" w:rsidR="00BE3D48" w:rsidRPr="009B1A37" w:rsidRDefault="00BE3D48" w:rsidP="00BE3D48">
      <w:pPr>
        <w:widowControl w:val="0"/>
        <w:spacing w:line="240" w:lineRule="auto"/>
        <w:rPr>
          <w:color w:val="000000"/>
        </w:rPr>
      </w:pPr>
      <w:r w:rsidRPr="009B1A37">
        <w:t>V příbalové informaci k léčivému přípravku musí být uveden název a adresa výrobce odpovědného za propouštění dané šarže.</w:t>
      </w:r>
    </w:p>
    <w:p w14:paraId="29944D10" w14:textId="77777777" w:rsidR="00BE3D48" w:rsidRPr="009B1A37" w:rsidRDefault="00BE3D48" w:rsidP="00BE3D48">
      <w:pPr>
        <w:widowControl w:val="0"/>
        <w:spacing w:line="240" w:lineRule="auto"/>
        <w:rPr>
          <w:color w:val="000000"/>
        </w:rPr>
      </w:pPr>
    </w:p>
    <w:p w14:paraId="395D1BCE" w14:textId="77777777" w:rsidR="00E61A01" w:rsidRPr="009B1A37" w:rsidRDefault="00E61A01" w:rsidP="00BE3D48">
      <w:pPr>
        <w:widowControl w:val="0"/>
        <w:spacing w:line="240" w:lineRule="auto"/>
        <w:rPr>
          <w:color w:val="000000"/>
        </w:rPr>
      </w:pPr>
    </w:p>
    <w:p w14:paraId="44008221" w14:textId="77777777" w:rsidR="00E61A01" w:rsidRPr="009B1A37" w:rsidRDefault="00E61A01" w:rsidP="00EB4FF7">
      <w:pPr>
        <w:keepNext/>
        <w:widowControl w:val="0"/>
        <w:suppressAutoHyphens w:val="0"/>
        <w:spacing w:line="240" w:lineRule="auto"/>
        <w:rPr>
          <w:b/>
          <w:bCs/>
          <w:color w:val="000000"/>
        </w:rPr>
      </w:pPr>
      <w:r w:rsidRPr="009B1A37">
        <w:rPr>
          <w:b/>
          <w:bCs/>
          <w:color w:val="000000"/>
        </w:rPr>
        <w:t>B.</w:t>
      </w:r>
      <w:r w:rsidRPr="009B1A37">
        <w:rPr>
          <w:b/>
          <w:bCs/>
          <w:color w:val="000000"/>
        </w:rPr>
        <w:tab/>
        <w:t>PODMÍNKY NEBO OMEZENÍ VÝDEJE A POUŽITÍ</w:t>
      </w:r>
    </w:p>
    <w:p w14:paraId="628D1316" w14:textId="77777777" w:rsidR="00E61A01" w:rsidRPr="009B1A37" w:rsidRDefault="00E61A01" w:rsidP="00EB4FF7">
      <w:pPr>
        <w:keepNext/>
        <w:widowControl w:val="0"/>
        <w:suppressAutoHyphens w:val="0"/>
        <w:spacing w:line="240" w:lineRule="auto"/>
        <w:rPr>
          <w:color w:val="000000"/>
        </w:rPr>
      </w:pPr>
    </w:p>
    <w:p w14:paraId="592230CC" w14:textId="77777777" w:rsidR="00E61A01" w:rsidRPr="009B1A37" w:rsidRDefault="00E61A01" w:rsidP="00BE3D48">
      <w:pPr>
        <w:widowControl w:val="0"/>
        <w:spacing w:line="240" w:lineRule="auto"/>
        <w:rPr>
          <w:color w:val="000000"/>
        </w:rPr>
      </w:pPr>
      <w:r w:rsidRPr="009B1A37">
        <w:rPr>
          <w:color w:val="000000"/>
        </w:rPr>
        <w:t>Výdej léčivého přípravku je vázán na lékařský předpis s omezením (viz Příloha I: Souhrn údajů o přípravku, bod 4.2).</w:t>
      </w:r>
    </w:p>
    <w:p w14:paraId="0FB6DAFA" w14:textId="77777777" w:rsidR="00E61A01" w:rsidRPr="009B1A37" w:rsidRDefault="00E61A01" w:rsidP="00BE3D48">
      <w:pPr>
        <w:widowControl w:val="0"/>
        <w:spacing w:line="240" w:lineRule="auto"/>
        <w:rPr>
          <w:color w:val="000000"/>
        </w:rPr>
      </w:pPr>
    </w:p>
    <w:p w14:paraId="74FB6CA1" w14:textId="77777777" w:rsidR="00E61A01" w:rsidRPr="009B1A37" w:rsidRDefault="00E61A01" w:rsidP="00BE3D48">
      <w:pPr>
        <w:widowControl w:val="0"/>
        <w:spacing w:line="240" w:lineRule="auto"/>
        <w:rPr>
          <w:color w:val="000000"/>
        </w:rPr>
      </w:pPr>
    </w:p>
    <w:p w14:paraId="6C834516" w14:textId="77777777" w:rsidR="00E61A01" w:rsidRPr="009B1A37" w:rsidRDefault="00E61A01" w:rsidP="00EB4FF7">
      <w:pPr>
        <w:keepNext/>
        <w:widowControl w:val="0"/>
        <w:tabs>
          <w:tab w:val="clear" w:pos="567"/>
          <w:tab w:val="left" w:pos="7371"/>
          <w:tab w:val="left" w:pos="8505"/>
        </w:tabs>
        <w:spacing w:line="240" w:lineRule="auto"/>
        <w:ind w:left="567" w:right="1416" w:hanging="567"/>
        <w:rPr>
          <w:b/>
          <w:bCs/>
          <w:color w:val="000000"/>
        </w:rPr>
      </w:pPr>
      <w:r w:rsidRPr="009B1A37">
        <w:rPr>
          <w:b/>
          <w:bCs/>
          <w:color w:val="000000"/>
        </w:rPr>
        <w:t>C.</w:t>
      </w:r>
      <w:r w:rsidRPr="009B1A37">
        <w:rPr>
          <w:b/>
          <w:bCs/>
          <w:color w:val="000000"/>
        </w:rPr>
        <w:tab/>
        <w:t>DALŠÍ PODMÍNKY A POŽADAVKY REGISTRACE</w:t>
      </w:r>
    </w:p>
    <w:p w14:paraId="02FE4CB7" w14:textId="77777777" w:rsidR="00F57421" w:rsidRPr="009B1A37" w:rsidRDefault="00F57421" w:rsidP="00EB4FF7">
      <w:pPr>
        <w:keepNext/>
        <w:widowControl w:val="0"/>
        <w:tabs>
          <w:tab w:val="clear" w:pos="567"/>
          <w:tab w:val="left" w:pos="7371"/>
          <w:tab w:val="left" w:pos="8505"/>
        </w:tabs>
        <w:spacing w:line="240" w:lineRule="auto"/>
        <w:ind w:left="567" w:right="1416" w:hanging="567"/>
        <w:rPr>
          <w:bCs/>
          <w:color w:val="000000"/>
        </w:rPr>
      </w:pPr>
    </w:p>
    <w:p w14:paraId="70D1B55C" w14:textId="77777777" w:rsidR="00F57421" w:rsidRPr="009B1A37" w:rsidRDefault="00F57421" w:rsidP="00EB4FF7">
      <w:pPr>
        <w:keepNext/>
        <w:widowControl w:val="0"/>
        <w:numPr>
          <w:ilvl w:val="0"/>
          <w:numId w:val="24"/>
        </w:numPr>
        <w:suppressLineNumbers/>
        <w:suppressAutoHyphens w:val="0"/>
        <w:spacing w:line="240" w:lineRule="auto"/>
        <w:ind w:right="-1" w:hanging="720"/>
        <w:rPr>
          <w:b/>
          <w:szCs w:val="24"/>
        </w:rPr>
      </w:pPr>
      <w:r w:rsidRPr="009B1A37">
        <w:rPr>
          <w:b/>
          <w:noProof/>
          <w:szCs w:val="24"/>
        </w:rPr>
        <w:t>Pravidelně aktualizované zprávy o bezpečnosti</w:t>
      </w:r>
    </w:p>
    <w:p w14:paraId="3827830F" w14:textId="77777777" w:rsidR="00F57421" w:rsidRPr="009B1A37" w:rsidRDefault="005F0CB9" w:rsidP="00BE3D48">
      <w:pPr>
        <w:widowControl w:val="0"/>
        <w:spacing w:line="240" w:lineRule="auto"/>
        <w:ind w:right="-1"/>
        <w:rPr>
          <w:szCs w:val="24"/>
        </w:rPr>
      </w:pPr>
      <w:r w:rsidRPr="009B1A37">
        <w:rPr>
          <w:szCs w:val="24"/>
        </w:rPr>
        <w:t>Požadavky pro předkládání</w:t>
      </w:r>
      <w:r w:rsidR="00F57421" w:rsidRPr="009B1A37">
        <w:rPr>
          <w:szCs w:val="24"/>
        </w:rPr>
        <w:t xml:space="preserve"> pravidelně aktualizovan</w:t>
      </w:r>
      <w:r w:rsidRPr="009B1A37">
        <w:rPr>
          <w:szCs w:val="24"/>
        </w:rPr>
        <w:t>ých</w:t>
      </w:r>
      <w:r w:rsidR="00F57421" w:rsidRPr="009B1A37">
        <w:rPr>
          <w:szCs w:val="24"/>
        </w:rPr>
        <w:t xml:space="preserve"> zpráv o bezpečnosti pro tento léčivý přípravek </w:t>
      </w:r>
      <w:r w:rsidRPr="009B1A37">
        <w:rPr>
          <w:szCs w:val="24"/>
        </w:rPr>
        <w:t>jsou uvedeny</w:t>
      </w:r>
      <w:r w:rsidR="00F57421" w:rsidRPr="009B1A37">
        <w:rPr>
          <w:szCs w:val="24"/>
        </w:rPr>
        <w:t xml:space="preserve"> v seznamu referenčních dat Unie (seznam EURD) stanoveném v čl. 107c odst. 7 směrnice 2001/83/ES</w:t>
      </w:r>
      <w:r w:rsidRPr="009B1A37">
        <w:rPr>
          <w:szCs w:val="24"/>
        </w:rPr>
        <w:t xml:space="preserve"> a jakékoli následné změny jsou</w:t>
      </w:r>
      <w:r w:rsidR="00F57421" w:rsidRPr="009B1A37">
        <w:rPr>
          <w:szCs w:val="24"/>
        </w:rPr>
        <w:t xml:space="preserve"> zveřejněn</w:t>
      </w:r>
      <w:r w:rsidRPr="009B1A37">
        <w:rPr>
          <w:szCs w:val="24"/>
        </w:rPr>
        <w:t>y</w:t>
      </w:r>
      <w:r w:rsidR="00F57421" w:rsidRPr="009B1A37">
        <w:rPr>
          <w:szCs w:val="24"/>
        </w:rPr>
        <w:t xml:space="preserve"> na evropském webovém portálu pro léčivé přípravky.</w:t>
      </w:r>
    </w:p>
    <w:p w14:paraId="5EDBB1EF" w14:textId="77777777" w:rsidR="00F57421" w:rsidRPr="009B1A37" w:rsidRDefault="00F57421" w:rsidP="00BE3D48">
      <w:pPr>
        <w:widowControl w:val="0"/>
        <w:spacing w:line="240" w:lineRule="auto"/>
        <w:ind w:right="-1"/>
        <w:rPr>
          <w:szCs w:val="24"/>
        </w:rPr>
      </w:pPr>
    </w:p>
    <w:p w14:paraId="2D4615B6" w14:textId="77777777" w:rsidR="00E61A01" w:rsidRPr="009B1A37" w:rsidRDefault="00E61A01" w:rsidP="00BE3D48">
      <w:pPr>
        <w:widowControl w:val="0"/>
        <w:spacing w:line="240" w:lineRule="auto"/>
        <w:ind w:right="-1"/>
        <w:rPr>
          <w:color w:val="000000"/>
        </w:rPr>
      </w:pPr>
    </w:p>
    <w:p w14:paraId="74BBB291" w14:textId="77777777" w:rsidR="00E61A01" w:rsidRPr="009B1A37" w:rsidRDefault="00F57421" w:rsidP="00BE3D48">
      <w:pPr>
        <w:keepNext/>
        <w:widowControl w:val="0"/>
        <w:suppressAutoHyphens w:val="0"/>
        <w:spacing w:line="240" w:lineRule="auto"/>
        <w:ind w:left="567" w:right="567" w:hanging="567"/>
        <w:rPr>
          <w:noProof/>
          <w:color w:val="000000"/>
        </w:rPr>
      </w:pPr>
      <w:r w:rsidRPr="009B1A37">
        <w:rPr>
          <w:b/>
          <w:noProof/>
          <w:szCs w:val="24"/>
        </w:rPr>
        <w:t>D.</w:t>
      </w:r>
      <w:r w:rsidRPr="009B1A37">
        <w:rPr>
          <w:b/>
          <w:szCs w:val="24"/>
        </w:rPr>
        <w:tab/>
      </w:r>
      <w:r w:rsidR="00E61A01" w:rsidRPr="009B1A37">
        <w:rPr>
          <w:b/>
          <w:noProof/>
          <w:color w:val="000000"/>
        </w:rPr>
        <w:t>PODMÍNKY NEBO OMEZENÍ S OHLEDEM NA BEZPEČNÉ A ÚČINNÉ POUŽÍVÁNÍ LÉČIVÉHO PŘÍPRAVKU</w:t>
      </w:r>
    </w:p>
    <w:p w14:paraId="5FBE6181" w14:textId="77777777" w:rsidR="00E61A01" w:rsidRPr="009B1A37" w:rsidRDefault="00E61A01" w:rsidP="00BE3D48">
      <w:pPr>
        <w:keepNext/>
        <w:widowControl w:val="0"/>
        <w:tabs>
          <w:tab w:val="clear" w:pos="567"/>
        </w:tabs>
        <w:suppressAutoHyphens w:val="0"/>
        <w:spacing w:line="240" w:lineRule="auto"/>
        <w:ind w:right="567"/>
        <w:rPr>
          <w:noProof/>
          <w:color w:val="000000"/>
        </w:rPr>
      </w:pPr>
    </w:p>
    <w:p w14:paraId="25AF8362" w14:textId="77777777" w:rsidR="00F57421" w:rsidRPr="009B1A37" w:rsidRDefault="00F57421" w:rsidP="00BE3D48">
      <w:pPr>
        <w:keepNext/>
        <w:widowControl w:val="0"/>
        <w:numPr>
          <w:ilvl w:val="0"/>
          <w:numId w:val="24"/>
        </w:numPr>
        <w:suppressLineNumbers/>
        <w:suppressAutoHyphens w:val="0"/>
        <w:spacing w:line="240" w:lineRule="auto"/>
        <w:ind w:right="-1" w:hanging="720"/>
        <w:rPr>
          <w:i/>
          <w:szCs w:val="24"/>
        </w:rPr>
      </w:pPr>
      <w:r w:rsidRPr="009B1A37">
        <w:rPr>
          <w:b/>
          <w:szCs w:val="24"/>
        </w:rPr>
        <w:t>Plán řízení rizik</w:t>
      </w:r>
      <w:r w:rsidRPr="009B1A37">
        <w:rPr>
          <w:b/>
          <w:noProof/>
          <w:szCs w:val="24"/>
        </w:rPr>
        <w:t xml:space="preserve"> (RMP)</w:t>
      </w:r>
    </w:p>
    <w:p w14:paraId="59500132" w14:textId="77777777" w:rsidR="00F57421" w:rsidRPr="009B1A37" w:rsidRDefault="00F57421" w:rsidP="00BE3D48">
      <w:pPr>
        <w:widowControl w:val="0"/>
        <w:spacing w:line="240" w:lineRule="auto"/>
        <w:ind w:right="-1"/>
        <w:rPr>
          <w:noProof/>
          <w:szCs w:val="24"/>
        </w:rPr>
      </w:pPr>
      <w:r w:rsidRPr="009B1A37">
        <w:rPr>
          <w:noProof/>
          <w:szCs w:val="24"/>
        </w:rPr>
        <w:t>Držitel rozhodnutí o registraci uskuteční požadované činnosti a intervence v oblasti farmakovigilance podrobně popsané ve schváleném RMP uvedeném v modulu 1.8.2 registrace a ve veškerých schválených následných aktualizacích RMP.</w:t>
      </w:r>
    </w:p>
    <w:p w14:paraId="6D4AB6A6" w14:textId="77777777" w:rsidR="00F57421" w:rsidRPr="009B1A37" w:rsidRDefault="00F57421" w:rsidP="00BE3D48">
      <w:pPr>
        <w:widowControl w:val="0"/>
        <w:spacing w:line="240" w:lineRule="auto"/>
        <w:rPr>
          <w:i/>
          <w:noProof/>
          <w:szCs w:val="24"/>
        </w:rPr>
      </w:pPr>
    </w:p>
    <w:p w14:paraId="664DF630" w14:textId="77777777" w:rsidR="00F57421" w:rsidRPr="009B1A37" w:rsidRDefault="00F57421" w:rsidP="00EB4FF7">
      <w:pPr>
        <w:keepNext/>
        <w:widowControl w:val="0"/>
        <w:suppressAutoHyphens w:val="0"/>
        <w:spacing w:line="240" w:lineRule="auto"/>
        <w:rPr>
          <w:noProof/>
          <w:szCs w:val="24"/>
        </w:rPr>
      </w:pPr>
      <w:r w:rsidRPr="009B1A37">
        <w:rPr>
          <w:noProof/>
          <w:szCs w:val="24"/>
        </w:rPr>
        <w:t>Aktualizovaný RMP je třeba předložit:</w:t>
      </w:r>
    </w:p>
    <w:p w14:paraId="57EA8141" w14:textId="77777777" w:rsidR="00F57421" w:rsidRPr="009B1A37" w:rsidRDefault="00F57421" w:rsidP="00EB4FF7">
      <w:pPr>
        <w:keepNext/>
        <w:widowControl w:val="0"/>
        <w:numPr>
          <w:ilvl w:val="0"/>
          <w:numId w:val="25"/>
        </w:numPr>
        <w:tabs>
          <w:tab w:val="clear" w:pos="567"/>
          <w:tab w:val="clear" w:pos="720"/>
        </w:tabs>
        <w:suppressAutoHyphens w:val="0"/>
        <w:spacing w:line="240" w:lineRule="auto"/>
        <w:ind w:left="567" w:hanging="567"/>
        <w:rPr>
          <w:noProof/>
          <w:szCs w:val="24"/>
        </w:rPr>
      </w:pPr>
      <w:r w:rsidRPr="009B1A37">
        <w:rPr>
          <w:noProof/>
          <w:szCs w:val="24"/>
        </w:rPr>
        <w:t>na žádost Evropské agentury pro léčivé přípravky,</w:t>
      </w:r>
    </w:p>
    <w:p w14:paraId="5A6D7114" w14:textId="77777777" w:rsidR="00F57421" w:rsidRPr="009B1A37" w:rsidRDefault="00F57421" w:rsidP="00BE3D48">
      <w:pPr>
        <w:widowControl w:val="0"/>
        <w:numPr>
          <w:ilvl w:val="0"/>
          <w:numId w:val="25"/>
        </w:numPr>
        <w:tabs>
          <w:tab w:val="clear" w:pos="567"/>
          <w:tab w:val="clear" w:pos="720"/>
        </w:tabs>
        <w:suppressAutoHyphens w:val="0"/>
        <w:spacing w:line="240" w:lineRule="auto"/>
        <w:ind w:left="567" w:right="-1" w:hanging="567"/>
        <w:rPr>
          <w:noProof/>
          <w:szCs w:val="24"/>
        </w:rPr>
      </w:pPr>
      <w:r w:rsidRPr="009B1A37">
        <w:rPr>
          <w:noProof/>
          <w:szCs w:val="24"/>
        </w:rPr>
        <w:t>při každé změně systému řízení rizik, zejména v důsledku obdržení nových informací, které mohou vést k významným změnám poměru přínosů a rizik, nebo z důvodu dosažení význačného milníku (v rámci farmakovigilance nebo minimalizace rizik).</w:t>
      </w:r>
    </w:p>
    <w:p w14:paraId="3397FDA2" w14:textId="77777777" w:rsidR="00576FCD" w:rsidRPr="009B1A37" w:rsidRDefault="00576FCD" w:rsidP="00EB4FF7">
      <w:pPr>
        <w:widowControl w:val="0"/>
        <w:suppressAutoHyphens w:val="0"/>
        <w:spacing w:line="240" w:lineRule="auto"/>
        <w:rPr>
          <w:i/>
          <w:noProof/>
          <w:szCs w:val="24"/>
        </w:rPr>
      </w:pPr>
    </w:p>
    <w:p w14:paraId="68EA02DF" w14:textId="77777777" w:rsidR="00576FCD" w:rsidRPr="009B1A37" w:rsidRDefault="00576FCD" w:rsidP="00EB4FF7">
      <w:pPr>
        <w:keepNext/>
        <w:widowControl w:val="0"/>
        <w:numPr>
          <w:ilvl w:val="0"/>
          <w:numId w:val="24"/>
        </w:numPr>
        <w:suppressAutoHyphens w:val="0"/>
        <w:spacing w:line="240" w:lineRule="auto"/>
        <w:ind w:hanging="720"/>
        <w:rPr>
          <w:b/>
          <w:szCs w:val="24"/>
        </w:rPr>
      </w:pPr>
      <w:r w:rsidRPr="009B1A37">
        <w:rPr>
          <w:b/>
          <w:noProof/>
          <w:szCs w:val="24"/>
        </w:rPr>
        <w:t>Povinnost uskutečnit poregistrační opatření</w:t>
      </w:r>
    </w:p>
    <w:p w14:paraId="747D08BD" w14:textId="77777777" w:rsidR="00576FCD" w:rsidRPr="009B1A37" w:rsidRDefault="00576FCD" w:rsidP="00EB4FF7">
      <w:pPr>
        <w:keepNext/>
        <w:widowControl w:val="0"/>
        <w:spacing w:line="240" w:lineRule="auto"/>
        <w:rPr>
          <w:szCs w:val="24"/>
        </w:rPr>
      </w:pPr>
    </w:p>
    <w:p w14:paraId="7BC531CB" w14:textId="77777777" w:rsidR="00576FCD" w:rsidRPr="009B1A37" w:rsidRDefault="00576FCD" w:rsidP="00EB4FF7">
      <w:pPr>
        <w:keepNext/>
        <w:widowControl w:val="0"/>
        <w:spacing w:line="240" w:lineRule="auto"/>
        <w:rPr>
          <w:color w:val="000000" w:themeColor="text1"/>
          <w:szCs w:val="24"/>
        </w:rPr>
      </w:pPr>
      <w:r w:rsidRPr="009B1A37">
        <w:rPr>
          <w:szCs w:val="24"/>
        </w:rPr>
        <w:t xml:space="preserve">Držitel rozhodnutí o registraci uskuteční v daném termínu níže uvedená </w:t>
      </w:r>
      <w:r w:rsidRPr="009B1A37">
        <w:rPr>
          <w:color w:val="000000" w:themeColor="text1"/>
          <w:szCs w:val="24"/>
        </w:rPr>
        <w:t>opatření:</w:t>
      </w:r>
    </w:p>
    <w:p w14:paraId="571431C1" w14:textId="77777777" w:rsidR="00576FCD" w:rsidRPr="009B1A37" w:rsidRDefault="00576FCD" w:rsidP="00EB4FF7">
      <w:pPr>
        <w:keepNext/>
        <w:widowControl w:val="0"/>
        <w:spacing w:line="240" w:lineRule="auto"/>
        <w:rPr>
          <w:szCs w:val="24"/>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80"/>
        <w:gridCol w:w="1998"/>
      </w:tblGrid>
      <w:tr w:rsidR="00576FCD" w:rsidRPr="009B1A37" w14:paraId="5C0186C5" w14:textId="77777777" w:rsidTr="00EB4FF7">
        <w:trPr>
          <w:cantSplit/>
        </w:trPr>
        <w:tc>
          <w:tcPr>
            <w:tcW w:w="3875" w:type="pct"/>
          </w:tcPr>
          <w:p w14:paraId="3CC5A071" w14:textId="77777777" w:rsidR="00576FCD" w:rsidRPr="009B1A37" w:rsidRDefault="00576FCD" w:rsidP="00EB4FF7">
            <w:pPr>
              <w:keepNext/>
              <w:widowControl w:val="0"/>
              <w:spacing w:line="240" w:lineRule="auto"/>
              <w:rPr>
                <w:b/>
                <w:szCs w:val="24"/>
              </w:rPr>
            </w:pPr>
            <w:r w:rsidRPr="009B1A37">
              <w:rPr>
                <w:b/>
                <w:noProof/>
                <w:szCs w:val="24"/>
              </w:rPr>
              <w:t>Popis</w:t>
            </w:r>
          </w:p>
        </w:tc>
        <w:tc>
          <w:tcPr>
            <w:tcW w:w="1125" w:type="pct"/>
          </w:tcPr>
          <w:p w14:paraId="04A8D50A" w14:textId="77777777" w:rsidR="00576FCD" w:rsidRPr="009B1A37" w:rsidRDefault="00576FCD" w:rsidP="00EB4FF7">
            <w:pPr>
              <w:keepNext/>
              <w:widowControl w:val="0"/>
              <w:spacing w:line="240" w:lineRule="auto"/>
              <w:rPr>
                <w:b/>
                <w:szCs w:val="24"/>
              </w:rPr>
            </w:pPr>
            <w:r w:rsidRPr="009B1A37">
              <w:rPr>
                <w:b/>
                <w:noProof/>
                <w:szCs w:val="24"/>
              </w:rPr>
              <w:t>Termín splnění</w:t>
            </w:r>
          </w:p>
        </w:tc>
      </w:tr>
      <w:tr w:rsidR="00576FCD" w:rsidRPr="009B1A37" w14:paraId="75EF3C0D" w14:textId="77777777" w:rsidTr="00EB4FF7">
        <w:trPr>
          <w:cantSplit/>
        </w:trPr>
        <w:tc>
          <w:tcPr>
            <w:tcW w:w="3875" w:type="pct"/>
          </w:tcPr>
          <w:p w14:paraId="419C1EDD" w14:textId="77777777" w:rsidR="00576FCD" w:rsidRPr="009B1A37" w:rsidRDefault="006C6295" w:rsidP="00BE3D48">
            <w:pPr>
              <w:widowControl w:val="0"/>
              <w:suppressLineNumbers/>
              <w:spacing w:line="240" w:lineRule="auto"/>
              <w:ind w:right="-1"/>
              <w:rPr>
                <w:i/>
                <w:szCs w:val="24"/>
              </w:rPr>
            </w:pPr>
            <w:r w:rsidRPr="009B1A37">
              <w:t>Vést</w:t>
            </w:r>
            <w:r w:rsidR="00576FCD" w:rsidRPr="009B1A37">
              <w:t xml:space="preserve"> observační registr sběr</w:t>
            </w:r>
            <w:r w:rsidRPr="009B1A37">
              <w:t>u</w:t>
            </w:r>
            <w:r w:rsidR="00576FCD" w:rsidRPr="009B1A37">
              <w:t xml:space="preserve"> dat o účinnosti a bezpečnosti u nově diagnostikovaných pediatrických pacientů s Ph+ akutní lymfoblastickou leuk</w:t>
            </w:r>
            <w:r w:rsidR="001173AC" w:rsidRPr="009B1A37">
              <w:t>e</w:t>
            </w:r>
            <w:r w:rsidR="00576FCD" w:rsidRPr="009B1A37">
              <w:t>mií (ALL) léčených chemoterapií + imatinibem ± HSCT. Podání finálního reportu o studii.</w:t>
            </w:r>
          </w:p>
        </w:tc>
        <w:tc>
          <w:tcPr>
            <w:tcW w:w="1125" w:type="pct"/>
          </w:tcPr>
          <w:p w14:paraId="1D58E253" w14:textId="1D10CE09" w:rsidR="00576FCD" w:rsidRPr="009B1A37" w:rsidRDefault="004F3800" w:rsidP="004F3800">
            <w:pPr>
              <w:widowControl w:val="0"/>
              <w:suppressLineNumbers/>
              <w:spacing w:line="240" w:lineRule="auto"/>
              <w:ind w:right="-1"/>
              <w:rPr>
                <w:szCs w:val="24"/>
              </w:rPr>
            </w:pPr>
            <w:r>
              <w:t>2</w:t>
            </w:r>
            <w:r w:rsidR="00310402" w:rsidRPr="009B1A37">
              <w:t>3/06/202</w:t>
            </w:r>
            <w:r w:rsidR="00A45FB0">
              <w:t>3</w:t>
            </w:r>
          </w:p>
        </w:tc>
      </w:tr>
    </w:tbl>
    <w:p w14:paraId="75DFBDDF" w14:textId="77777777" w:rsidR="00E61A01" w:rsidRPr="009B1A37" w:rsidRDefault="00E61A01" w:rsidP="00BE3D48">
      <w:pPr>
        <w:widowControl w:val="0"/>
        <w:spacing w:line="240" w:lineRule="auto"/>
        <w:ind w:right="-1"/>
        <w:rPr>
          <w:color w:val="000000"/>
        </w:rPr>
      </w:pPr>
      <w:r w:rsidRPr="009B1A37">
        <w:rPr>
          <w:color w:val="000000"/>
        </w:rPr>
        <w:br w:type="page"/>
      </w:r>
    </w:p>
    <w:p w14:paraId="23841DA8" w14:textId="77777777" w:rsidR="00E61A01" w:rsidRPr="009B1A37" w:rsidRDefault="00E61A01" w:rsidP="00BE3D48">
      <w:pPr>
        <w:widowControl w:val="0"/>
        <w:tabs>
          <w:tab w:val="clear" w:pos="567"/>
        </w:tabs>
        <w:spacing w:line="240" w:lineRule="auto"/>
        <w:rPr>
          <w:color w:val="000000"/>
        </w:rPr>
      </w:pPr>
    </w:p>
    <w:p w14:paraId="1E72836F" w14:textId="77777777" w:rsidR="00E61A01" w:rsidRPr="009B1A37" w:rsidRDefault="00E61A01" w:rsidP="00BE3D48">
      <w:pPr>
        <w:widowControl w:val="0"/>
        <w:tabs>
          <w:tab w:val="clear" w:pos="567"/>
        </w:tabs>
        <w:spacing w:line="240" w:lineRule="auto"/>
        <w:rPr>
          <w:color w:val="000000"/>
        </w:rPr>
      </w:pPr>
    </w:p>
    <w:p w14:paraId="2A290527" w14:textId="77777777" w:rsidR="00E61A01" w:rsidRPr="009B1A37" w:rsidRDefault="00E61A01" w:rsidP="00BE3D48">
      <w:pPr>
        <w:widowControl w:val="0"/>
        <w:tabs>
          <w:tab w:val="clear" w:pos="567"/>
        </w:tabs>
        <w:spacing w:line="240" w:lineRule="auto"/>
        <w:rPr>
          <w:color w:val="000000"/>
        </w:rPr>
      </w:pPr>
    </w:p>
    <w:p w14:paraId="02B77C1E" w14:textId="77777777" w:rsidR="00E61A01" w:rsidRPr="009B1A37" w:rsidRDefault="00E61A01" w:rsidP="00BE3D48">
      <w:pPr>
        <w:widowControl w:val="0"/>
        <w:tabs>
          <w:tab w:val="clear" w:pos="567"/>
        </w:tabs>
        <w:spacing w:line="240" w:lineRule="auto"/>
        <w:rPr>
          <w:color w:val="000000"/>
        </w:rPr>
      </w:pPr>
    </w:p>
    <w:p w14:paraId="5421414C" w14:textId="77777777" w:rsidR="00E61A01" w:rsidRPr="009B1A37" w:rsidRDefault="00E61A01" w:rsidP="00BE3D48">
      <w:pPr>
        <w:widowControl w:val="0"/>
        <w:tabs>
          <w:tab w:val="clear" w:pos="567"/>
        </w:tabs>
        <w:spacing w:line="240" w:lineRule="auto"/>
        <w:rPr>
          <w:color w:val="000000"/>
        </w:rPr>
      </w:pPr>
    </w:p>
    <w:p w14:paraId="1AD2D582" w14:textId="77777777" w:rsidR="00E61A01" w:rsidRPr="009B1A37" w:rsidRDefault="00E61A01" w:rsidP="00BE3D48">
      <w:pPr>
        <w:widowControl w:val="0"/>
        <w:tabs>
          <w:tab w:val="clear" w:pos="567"/>
        </w:tabs>
        <w:spacing w:line="240" w:lineRule="auto"/>
        <w:rPr>
          <w:color w:val="000000"/>
        </w:rPr>
      </w:pPr>
    </w:p>
    <w:p w14:paraId="25559EFD" w14:textId="77777777" w:rsidR="00E61A01" w:rsidRPr="009B1A37" w:rsidRDefault="00E61A01" w:rsidP="00BE3D48">
      <w:pPr>
        <w:widowControl w:val="0"/>
        <w:tabs>
          <w:tab w:val="clear" w:pos="567"/>
        </w:tabs>
        <w:spacing w:line="240" w:lineRule="auto"/>
        <w:rPr>
          <w:color w:val="000000"/>
        </w:rPr>
      </w:pPr>
    </w:p>
    <w:p w14:paraId="60C123AE" w14:textId="77777777" w:rsidR="00E61A01" w:rsidRPr="009B1A37" w:rsidRDefault="00E61A01" w:rsidP="00BE3D48">
      <w:pPr>
        <w:widowControl w:val="0"/>
        <w:tabs>
          <w:tab w:val="clear" w:pos="567"/>
        </w:tabs>
        <w:spacing w:line="240" w:lineRule="auto"/>
        <w:rPr>
          <w:color w:val="000000"/>
        </w:rPr>
      </w:pPr>
    </w:p>
    <w:p w14:paraId="6C82A6E5" w14:textId="77777777" w:rsidR="00E61A01" w:rsidRPr="009B1A37" w:rsidRDefault="00E61A01" w:rsidP="00BE3D48">
      <w:pPr>
        <w:widowControl w:val="0"/>
        <w:tabs>
          <w:tab w:val="clear" w:pos="567"/>
        </w:tabs>
        <w:spacing w:line="240" w:lineRule="auto"/>
        <w:rPr>
          <w:color w:val="000000"/>
        </w:rPr>
      </w:pPr>
    </w:p>
    <w:p w14:paraId="6B49937A" w14:textId="77777777" w:rsidR="00E61A01" w:rsidRPr="009B1A37" w:rsidRDefault="00E61A01" w:rsidP="00BE3D48">
      <w:pPr>
        <w:widowControl w:val="0"/>
        <w:tabs>
          <w:tab w:val="clear" w:pos="567"/>
        </w:tabs>
        <w:spacing w:line="240" w:lineRule="auto"/>
        <w:rPr>
          <w:color w:val="000000"/>
        </w:rPr>
      </w:pPr>
    </w:p>
    <w:p w14:paraId="00ABABEE" w14:textId="77777777" w:rsidR="00E61A01" w:rsidRPr="009B1A37" w:rsidRDefault="00E61A01" w:rsidP="00BE3D48">
      <w:pPr>
        <w:widowControl w:val="0"/>
        <w:tabs>
          <w:tab w:val="clear" w:pos="567"/>
        </w:tabs>
        <w:spacing w:line="240" w:lineRule="auto"/>
        <w:rPr>
          <w:color w:val="000000"/>
        </w:rPr>
      </w:pPr>
    </w:p>
    <w:p w14:paraId="54EF7FA2" w14:textId="77777777" w:rsidR="00E61A01" w:rsidRPr="009B1A37" w:rsidRDefault="00E61A01" w:rsidP="00BE3D48">
      <w:pPr>
        <w:widowControl w:val="0"/>
        <w:tabs>
          <w:tab w:val="clear" w:pos="567"/>
        </w:tabs>
        <w:spacing w:line="240" w:lineRule="auto"/>
        <w:rPr>
          <w:color w:val="000000"/>
        </w:rPr>
      </w:pPr>
    </w:p>
    <w:p w14:paraId="03005035" w14:textId="77777777" w:rsidR="00E61A01" w:rsidRPr="009B1A37" w:rsidRDefault="00E61A01" w:rsidP="00BE3D48">
      <w:pPr>
        <w:widowControl w:val="0"/>
        <w:tabs>
          <w:tab w:val="clear" w:pos="567"/>
        </w:tabs>
        <w:spacing w:line="240" w:lineRule="auto"/>
        <w:rPr>
          <w:color w:val="000000"/>
        </w:rPr>
      </w:pPr>
    </w:p>
    <w:p w14:paraId="3E11C4D7" w14:textId="77777777" w:rsidR="00E61A01" w:rsidRPr="009B1A37" w:rsidRDefault="00E61A01" w:rsidP="00BE3D48">
      <w:pPr>
        <w:widowControl w:val="0"/>
        <w:tabs>
          <w:tab w:val="clear" w:pos="567"/>
        </w:tabs>
        <w:spacing w:line="240" w:lineRule="auto"/>
        <w:rPr>
          <w:color w:val="000000"/>
        </w:rPr>
      </w:pPr>
    </w:p>
    <w:p w14:paraId="4AB93FCD" w14:textId="77777777" w:rsidR="00E61A01" w:rsidRPr="009B1A37" w:rsidRDefault="00E61A01" w:rsidP="00BE3D48">
      <w:pPr>
        <w:widowControl w:val="0"/>
        <w:tabs>
          <w:tab w:val="clear" w:pos="567"/>
        </w:tabs>
        <w:spacing w:line="240" w:lineRule="auto"/>
        <w:rPr>
          <w:color w:val="000000"/>
        </w:rPr>
      </w:pPr>
    </w:p>
    <w:p w14:paraId="3FD18832" w14:textId="77777777" w:rsidR="00E61A01" w:rsidRPr="009B1A37" w:rsidRDefault="00E61A01" w:rsidP="00BE3D48">
      <w:pPr>
        <w:widowControl w:val="0"/>
        <w:tabs>
          <w:tab w:val="clear" w:pos="567"/>
        </w:tabs>
        <w:spacing w:line="240" w:lineRule="auto"/>
        <w:rPr>
          <w:color w:val="000000"/>
        </w:rPr>
      </w:pPr>
    </w:p>
    <w:p w14:paraId="6462AF24" w14:textId="77777777" w:rsidR="00E61A01" w:rsidRPr="009B1A37" w:rsidRDefault="00E61A01" w:rsidP="00BE3D48">
      <w:pPr>
        <w:widowControl w:val="0"/>
        <w:tabs>
          <w:tab w:val="clear" w:pos="567"/>
        </w:tabs>
        <w:spacing w:line="240" w:lineRule="auto"/>
        <w:rPr>
          <w:color w:val="000000"/>
        </w:rPr>
      </w:pPr>
    </w:p>
    <w:p w14:paraId="38E5F522" w14:textId="77777777" w:rsidR="00E61A01" w:rsidRPr="009B1A37" w:rsidRDefault="00E61A01" w:rsidP="00BE3D48">
      <w:pPr>
        <w:widowControl w:val="0"/>
        <w:tabs>
          <w:tab w:val="clear" w:pos="567"/>
        </w:tabs>
        <w:spacing w:line="240" w:lineRule="auto"/>
        <w:rPr>
          <w:color w:val="000000"/>
        </w:rPr>
      </w:pPr>
    </w:p>
    <w:p w14:paraId="68F9F942" w14:textId="77777777" w:rsidR="00E61A01" w:rsidRPr="009B1A37" w:rsidRDefault="00E61A01" w:rsidP="00BE3D48">
      <w:pPr>
        <w:widowControl w:val="0"/>
        <w:tabs>
          <w:tab w:val="clear" w:pos="567"/>
        </w:tabs>
        <w:spacing w:line="240" w:lineRule="auto"/>
        <w:rPr>
          <w:color w:val="000000"/>
        </w:rPr>
      </w:pPr>
    </w:p>
    <w:p w14:paraId="58DC45FF" w14:textId="77777777" w:rsidR="00E61A01" w:rsidRPr="009B1A37" w:rsidRDefault="00E61A01" w:rsidP="00BE3D48">
      <w:pPr>
        <w:widowControl w:val="0"/>
        <w:tabs>
          <w:tab w:val="clear" w:pos="567"/>
        </w:tabs>
        <w:spacing w:line="240" w:lineRule="auto"/>
        <w:rPr>
          <w:color w:val="000000"/>
        </w:rPr>
      </w:pPr>
    </w:p>
    <w:p w14:paraId="15762C7E" w14:textId="77777777" w:rsidR="00E61A01" w:rsidRPr="009B1A37" w:rsidRDefault="00E61A01" w:rsidP="00BE3D48">
      <w:pPr>
        <w:widowControl w:val="0"/>
        <w:tabs>
          <w:tab w:val="clear" w:pos="567"/>
        </w:tabs>
        <w:spacing w:line="240" w:lineRule="auto"/>
        <w:rPr>
          <w:color w:val="000000"/>
        </w:rPr>
      </w:pPr>
    </w:p>
    <w:p w14:paraId="7195A3FB" w14:textId="77777777" w:rsidR="00E61A01" w:rsidRPr="009B1A37" w:rsidRDefault="00E61A01" w:rsidP="00BE3D48">
      <w:pPr>
        <w:widowControl w:val="0"/>
        <w:tabs>
          <w:tab w:val="clear" w:pos="567"/>
        </w:tabs>
        <w:spacing w:line="240" w:lineRule="auto"/>
        <w:rPr>
          <w:color w:val="000000"/>
        </w:rPr>
      </w:pPr>
    </w:p>
    <w:p w14:paraId="14C0B598" w14:textId="77777777" w:rsidR="00EB4FF7" w:rsidRPr="009B1A37" w:rsidRDefault="00EB4FF7" w:rsidP="00BE3D48">
      <w:pPr>
        <w:widowControl w:val="0"/>
        <w:tabs>
          <w:tab w:val="clear" w:pos="567"/>
        </w:tabs>
        <w:spacing w:line="240" w:lineRule="auto"/>
        <w:rPr>
          <w:color w:val="000000"/>
        </w:rPr>
      </w:pPr>
    </w:p>
    <w:p w14:paraId="400340CA" w14:textId="77777777" w:rsidR="00E61A01" w:rsidRPr="009B1A37" w:rsidRDefault="00E61A01" w:rsidP="00BE3D48">
      <w:pPr>
        <w:widowControl w:val="0"/>
        <w:tabs>
          <w:tab w:val="clear" w:pos="567"/>
        </w:tabs>
        <w:spacing w:line="240" w:lineRule="auto"/>
        <w:jc w:val="center"/>
        <w:rPr>
          <w:b/>
          <w:bCs/>
          <w:color w:val="000000"/>
        </w:rPr>
      </w:pPr>
      <w:r w:rsidRPr="009B1A37">
        <w:rPr>
          <w:b/>
          <w:bCs/>
          <w:color w:val="000000"/>
        </w:rPr>
        <w:t xml:space="preserve">PŘÍLOHA </w:t>
      </w:r>
      <w:smartTag w:uri="urn:schemas-microsoft-com:office:smarttags" w:element="stockticker">
        <w:r w:rsidRPr="009B1A37">
          <w:rPr>
            <w:b/>
            <w:bCs/>
            <w:color w:val="000000"/>
          </w:rPr>
          <w:t>III</w:t>
        </w:r>
      </w:smartTag>
    </w:p>
    <w:p w14:paraId="57D9648A" w14:textId="77777777" w:rsidR="00E61A01" w:rsidRPr="009B1A37" w:rsidRDefault="00E61A01" w:rsidP="00BE3D48">
      <w:pPr>
        <w:widowControl w:val="0"/>
        <w:tabs>
          <w:tab w:val="clear" w:pos="567"/>
        </w:tabs>
        <w:spacing w:line="240" w:lineRule="auto"/>
        <w:jc w:val="center"/>
        <w:rPr>
          <w:color w:val="000000"/>
        </w:rPr>
      </w:pPr>
    </w:p>
    <w:p w14:paraId="49F2F632" w14:textId="77777777" w:rsidR="00E61A01" w:rsidRPr="009B1A37" w:rsidRDefault="00E61A01" w:rsidP="00BE3D48">
      <w:pPr>
        <w:widowControl w:val="0"/>
        <w:tabs>
          <w:tab w:val="clear" w:pos="567"/>
        </w:tabs>
        <w:spacing w:line="240" w:lineRule="auto"/>
        <w:jc w:val="center"/>
        <w:rPr>
          <w:b/>
          <w:bCs/>
          <w:color w:val="000000"/>
        </w:rPr>
      </w:pPr>
      <w:r w:rsidRPr="009B1A37">
        <w:rPr>
          <w:b/>
          <w:bCs/>
          <w:color w:val="000000"/>
        </w:rPr>
        <w:t>OZNAČENÍ NA OBALU A PŘÍBALOVÁ INFORMACE</w:t>
      </w:r>
    </w:p>
    <w:p w14:paraId="08DBC3DE" w14:textId="77777777" w:rsidR="00E61A01" w:rsidRPr="009B1A37" w:rsidRDefault="00E61A01" w:rsidP="00BE3D48">
      <w:pPr>
        <w:widowControl w:val="0"/>
        <w:tabs>
          <w:tab w:val="clear" w:pos="567"/>
        </w:tabs>
        <w:spacing w:line="240" w:lineRule="auto"/>
      </w:pPr>
      <w:r w:rsidRPr="009B1A37">
        <w:br w:type="page"/>
      </w:r>
    </w:p>
    <w:p w14:paraId="71F5DE1B" w14:textId="77777777" w:rsidR="00E61A01" w:rsidRPr="009B1A37" w:rsidRDefault="00E61A01" w:rsidP="00BE3D48">
      <w:pPr>
        <w:widowControl w:val="0"/>
        <w:tabs>
          <w:tab w:val="clear" w:pos="567"/>
        </w:tabs>
        <w:spacing w:line="240" w:lineRule="auto"/>
        <w:rPr>
          <w:color w:val="000000"/>
        </w:rPr>
      </w:pPr>
    </w:p>
    <w:p w14:paraId="0056B670" w14:textId="77777777" w:rsidR="00E61A01" w:rsidRPr="009B1A37" w:rsidRDefault="00E61A01" w:rsidP="00BE3D48">
      <w:pPr>
        <w:widowControl w:val="0"/>
        <w:tabs>
          <w:tab w:val="clear" w:pos="567"/>
        </w:tabs>
        <w:spacing w:line="240" w:lineRule="auto"/>
        <w:rPr>
          <w:color w:val="000000"/>
        </w:rPr>
      </w:pPr>
    </w:p>
    <w:p w14:paraId="19A18749" w14:textId="77777777" w:rsidR="00E61A01" w:rsidRPr="009B1A37" w:rsidRDefault="00E61A01" w:rsidP="00BE3D48">
      <w:pPr>
        <w:widowControl w:val="0"/>
        <w:tabs>
          <w:tab w:val="clear" w:pos="567"/>
        </w:tabs>
        <w:spacing w:line="240" w:lineRule="auto"/>
        <w:rPr>
          <w:color w:val="000000"/>
        </w:rPr>
      </w:pPr>
    </w:p>
    <w:p w14:paraId="64CFAF85" w14:textId="77777777" w:rsidR="00E61A01" w:rsidRPr="009B1A37" w:rsidRDefault="00E61A01" w:rsidP="00BE3D48">
      <w:pPr>
        <w:widowControl w:val="0"/>
        <w:tabs>
          <w:tab w:val="clear" w:pos="567"/>
        </w:tabs>
        <w:spacing w:line="240" w:lineRule="auto"/>
        <w:rPr>
          <w:color w:val="000000"/>
        </w:rPr>
      </w:pPr>
    </w:p>
    <w:p w14:paraId="0E8D6BC6" w14:textId="77777777" w:rsidR="00E61A01" w:rsidRPr="009B1A37" w:rsidRDefault="00E61A01" w:rsidP="00BE3D48">
      <w:pPr>
        <w:widowControl w:val="0"/>
        <w:tabs>
          <w:tab w:val="clear" w:pos="567"/>
        </w:tabs>
        <w:spacing w:line="240" w:lineRule="auto"/>
        <w:rPr>
          <w:color w:val="000000"/>
        </w:rPr>
      </w:pPr>
    </w:p>
    <w:p w14:paraId="626C4A8B" w14:textId="77777777" w:rsidR="00E61A01" w:rsidRPr="009B1A37" w:rsidRDefault="00E61A01" w:rsidP="00BE3D48">
      <w:pPr>
        <w:widowControl w:val="0"/>
        <w:tabs>
          <w:tab w:val="clear" w:pos="567"/>
        </w:tabs>
        <w:spacing w:line="240" w:lineRule="auto"/>
        <w:rPr>
          <w:color w:val="000000"/>
        </w:rPr>
      </w:pPr>
    </w:p>
    <w:p w14:paraId="6F749880" w14:textId="77777777" w:rsidR="00E61A01" w:rsidRPr="009B1A37" w:rsidRDefault="00E61A01" w:rsidP="00BE3D48">
      <w:pPr>
        <w:widowControl w:val="0"/>
        <w:tabs>
          <w:tab w:val="clear" w:pos="567"/>
        </w:tabs>
        <w:spacing w:line="240" w:lineRule="auto"/>
        <w:rPr>
          <w:color w:val="000000"/>
        </w:rPr>
      </w:pPr>
    </w:p>
    <w:p w14:paraId="670B56D1" w14:textId="77777777" w:rsidR="00E61A01" w:rsidRPr="009B1A37" w:rsidRDefault="00E61A01" w:rsidP="00BE3D48">
      <w:pPr>
        <w:widowControl w:val="0"/>
        <w:tabs>
          <w:tab w:val="clear" w:pos="567"/>
        </w:tabs>
        <w:spacing w:line="240" w:lineRule="auto"/>
        <w:rPr>
          <w:color w:val="000000"/>
        </w:rPr>
      </w:pPr>
    </w:p>
    <w:p w14:paraId="390E748E" w14:textId="77777777" w:rsidR="00E61A01" w:rsidRPr="009B1A37" w:rsidRDefault="00E61A01" w:rsidP="00BE3D48">
      <w:pPr>
        <w:widowControl w:val="0"/>
        <w:tabs>
          <w:tab w:val="clear" w:pos="567"/>
        </w:tabs>
        <w:spacing w:line="240" w:lineRule="auto"/>
        <w:rPr>
          <w:color w:val="000000"/>
        </w:rPr>
      </w:pPr>
    </w:p>
    <w:p w14:paraId="7A9A4340" w14:textId="77777777" w:rsidR="00E61A01" w:rsidRPr="009B1A37" w:rsidRDefault="00E61A01" w:rsidP="00BE3D48">
      <w:pPr>
        <w:widowControl w:val="0"/>
        <w:tabs>
          <w:tab w:val="clear" w:pos="567"/>
        </w:tabs>
        <w:spacing w:line="240" w:lineRule="auto"/>
        <w:rPr>
          <w:color w:val="000000"/>
        </w:rPr>
      </w:pPr>
    </w:p>
    <w:p w14:paraId="0B12DC06" w14:textId="77777777" w:rsidR="00E61A01" w:rsidRPr="009B1A37" w:rsidRDefault="00E61A01" w:rsidP="00BE3D48">
      <w:pPr>
        <w:widowControl w:val="0"/>
        <w:tabs>
          <w:tab w:val="clear" w:pos="567"/>
        </w:tabs>
        <w:spacing w:line="240" w:lineRule="auto"/>
        <w:rPr>
          <w:color w:val="000000"/>
        </w:rPr>
      </w:pPr>
    </w:p>
    <w:p w14:paraId="6D8F89B3" w14:textId="77777777" w:rsidR="00E61A01" w:rsidRPr="009B1A37" w:rsidRDefault="00E61A01" w:rsidP="00BE3D48">
      <w:pPr>
        <w:widowControl w:val="0"/>
        <w:tabs>
          <w:tab w:val="clear" w:pos="567"/>
        </w:tabs>
        <w:spacing w:line="240" w:lineRule="auto"/>
        <w:rPr>
          <w:color w:val="000000"/>
        </w:rPr>
      </w:pPr>
    </w:p>
    <w:p w14:paraId="36A288B8" w14:textId="77777777" w:rsidR="00E61A01" w:rsidRPr="009B1A37" w:rsidRDefault="00E61A01" w:rsidP="00BE3D48">
      <w:pPr>
        <w:widowControl w:val="0"/>
        <w:tabs>
          <w:tab w:val="clear" w:pos="567"/>
        </w:tabs>
        <w:spacing w:line="240" w:lineRule="auto"/>
        <w:rPr>
          <w:color w:val="000000"/>
        </w:rPr>
      </w:pPr>
    </w:p>
    <w:p w14:paraId="1463DBE1" w14:textId="77777777" w:rsidR="00E61A01" w:rsidRPr="009B1A37" w:rsidRDefault="00E61A01" w:rsidP="00BE3D48">
      <w:pPr>
        <w:widowControl w:val="0"/>
        <w:tabs>
          <w:tab w:val="clear" w:pos="567"/>
        </w:tabs>
        <w:spacing w:line="240" w:lineRule="auto"/>
        <w:rPr>
          <w:color w:val="000000"/>
        </w:rPr>
      </w:pPr>
    </w:p>
    <w:p w14:paraId="55F702D4" w14:textId="77777777" w:rsidR="00E61A01" w:rsidRPr="009B1A37" w:rsidRDefault="00E61A01" w:rsidP="00BE3D48">
      <w:pPr>
        <w:widowControl w:val="0"/>
        <w:tabs>
          <w:tab w:val="clear" w:pos="567"/>
        </w:tabs>
        <w:spacing w:line="240" w:lineRule="auto"/>
        <w:rPr>
          <w:color w:val="000000"/>
        </w:rPr>
      </w:pPr>
    </w:p>
    <w:p w14:paraId="003472C9" w14:textId="77777777" w:rsidR="00E61A01" w:rsidRPr="009B1A37" w:rsidRDefault="00E61A01" w:rsidP="00BE3D48">
      <w:pPr>
        <w:widowControl w:val="0"/>
        <w:tabs>
          <w:tab w:val="clear" w:pos="567"/>
        </w:tabs>
        <w:spacing w:line="240" w:lineRule="auto"/>
        <w:rPr>
          <w:color w:val="000000"/>
        </w:rPr>
      </w:pPr>
    </w:p>
    <w:p w14:paraId="77242E7B" w14:textId="77777777" w:rsidR="00E61A01" w:rsidRPr="009B1A37" w:rsidRDefault="00E61A01" w:rsidP="00BE3D48">
      <w:pPr>
        <w:widowControl w:val="0"/>
        <w:tabs>
          <w:tab w:val="clear" w:pos="567"/>
        </w:tabs>
        <w:spacing w:line="240" w:lineRule="auto"/>
        <w:rPr>
          <w:color w:val="000000"/>
        </w:rPr>
      </w:pPr>
    </w:p>
    <w:p w14:paraId="42181DFF" w14:textId="77777777" w:rsidR="00E61A01" w:rsidRPr="009B1A37" w:rsidRDefault="00E61A01" w:rsidP="00BE3D48">
      <w:pPr>
        <w:widowControl w:val="0"/>
        <w:tabs>
          <w:tab w:val="clear" w:pos="567"/>
        </w:tabs>
        <w:spacing w:line="240" w:lineRule="auto"/>
        <w:rPr>
          <w:color w:val="000000"/>
        </w:rPr>
      </w:pPr>
    </w:p>
    <w:p w14:paraId="3243847F" w14:textId="77777777" w:rsidR="00E61A01" w:rsidRPr="009B1A37" w:rsidRDefault="00E61A01" w:rsidP="00BE3D48">
      <w:pPr>
        <w:widowControl w:val="0"/>
        <w:tabs>
          <w:tab w:val="clear" w:pos="567"/>
        </w:tabs>
        <w:spacing w:line="240" w:lineRule="auto"/>
        <w:rPr>
          <w:color w:val="000000"/>
        </w:rPr>
      </w:pPr>
    </w:p>
    <w:p w14:paraId="633ED334" w14:textId="77777777" w:rsidR="00E61A01" w:rsidRPr="009B1A37" w:rsidRDefault="00E61A01" w:rsidP="00BE3D48">
      <w:pPr>
        <w:widowControl w:val="0"/>
        <w:tabs>
          <w:tab w:val="clear" w:pos="567"/>
        </w:tabs>
        <w:spacing w:line="240" w:lineRule="auto"/>
        <w:rPr>
          <w:color w:val="000000"/>
        </w:rPr>
      </w:pPr>
    </w:p>
    <w:p w14:paraId="7C394E46" w14:textId="77777777" w:rsidR="00E61A01" w:rsidRPr="009B1A37" w:rsidRDefault="00E61A01" w:rsidP="00BE3D48">
      <w:pPr>
        <w:widowControl w:val="0"/>
        <w:tabs>
          <w:tab w:val="clear" w:pos="567"/>
        </w:tabs>
        <w:spacing w:line="240" w:lineRule="auto"/>
        <w:rPr>
          <w:color w:val="000000"/>
        </w:rPr>
      </w:pPr>
    </w:p>
    <w:p w14:paraId="3D7CD235" w14:textId="77777777" w:rsidR="00E61A01" w:rsidRPr="009B1A37" w:rsidRDefault="00E61A01" w:rsidP="00BE3D48">
      <w:pPr>
        <w:widowControl w:val="0"/>
        <w:tabs>
          <w:tab w:val="clear" w:pos="567"/>
        </w:tabs>
        <w:spacing w:line="240" w:lineRule="auto"/>
        <w:rPr>
          <w:color w:val="000000"/>
        </w:rPr>
      </w:pPr>
    </w:p>
    <w:p w14:paraId="789921FA" w14:textId="77777777" w:rsidR="00EB4FF7" w:rsidRPr="009B1A37" w:rsidRDefault="00EB4FF7" w:rsidP="00BE3D48">
      <w:pPr>
        <w:widowControl w:val="0"/>
        <w:tabs>
          <w:tab w:val="clear" w:pos="567"/>
        </w:tabs>
        <w:spacing w:line="240" w:lineRule="auto"/>
        <w:rPr>
          <w:color w:val="000000"/>
        </w:rPr>
      </w:pPr>
    </w:p>
    <w:p w14:paraId="25B97526" w14:textId="77777777" w:rsidR="00E61A01" w:rsidRPr="009B1A37" w:rsidRDefault="00E61A01" w:rsidP="00BE3D48">
      <w:pPr>
        <w:widowControl w:val="0"/>
        <w:tabs>
          <w:tab w:val="clear" w:pos="567"/>
        </w:tabs>
        <w:spacing w:line="240" w:lineRule="auto"/>
        <w:jc w:val="center"/>
        <w:rPr>
          <w:b/>
          <w:bCs/>
          <w:color w:val="000000"/>
        </w:rPr>
      </w:pPr>
      <w:r w:rsidRPr="009B1A37">
        <w:rPr>
          <w:b/>
          <w:bCs/>
          <w:color w:val="000000"/>
        </w:rPr>
        <w:t>A. OZNAČENÍ NA OBALU</w:t>
      </w:r>
    </w:p>
    <w:p w14:paraId="56CFFA0F" w14:textId="77777777" w:rsidR="00E61A01" w:rsidRPr="009B1A37" w:rsidRDefault="00E61A01" w:rsidP="00BE3D48">
      <w:pPr>
        <w:widowControl w:val="0"/>
        <w:tabs>
          <w:tab w:val="clear" w:pos="567"/>
        </w:tabs>
        <w:spacing w:line="240" w:lineRule="auto"/>
        <w:rPr>
          <w:color w:val="000000"/>
        </w:rPr>
      </w:pPr>
      <w:r w:rsidRPr="009B1A37">
        <w:rPr>
          <w:b/>
          <w:bCs/>
          <w:color w:val="000000"/>
        </w:rPr>
        <w:br w:type="page"/>
      </w:r>
    </w:p>
    <w:p w14:paraId="556A4C63" w14:textId="77777777" w:rsidR="00EB4FF7" w:rsidRPr="009B1A37" w:rsidRDefault="00EB4FF7" w:rsidP="00EB4FF7">
      <w:pPr>
        <w:widowControl w:val="0"/>
        <w:tabs>
          <w:tab w:val="clear" w:pos="567"/>
        </w:tabs>
        <w:snapToGrid w:val="0"/>
        <w:spacing w:line="240" w:lineRule="auto"/>
        <w:rPr>
          <w:bCs/>
          <w:color w:val="000000"/>
        </w:rPr>
      </w:pPr>
    </w:p>
    <w:p w14:paraId="6A015312"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s>
        <w:snapToGrid w:val="0"/>
        <w:spacing w:line="240" w:lineRule="auto"/>
        <w:rPr>
          <w:b/>
          <w:bCs/>
          <w:color w:val="000000"/>
        </w:rPr>
      </w:pPr>
      <w:r w:rsidRPr="009B1A37">
        <w:rPr>
          <w:b/>
          <w:bCs/>
          <w:color w:val="000000"/>
        </w:rPr>
        <w:t>ÚDAJE UVÁDĚNÉ NA VNĚJŠÍM OBALU</w:t>
      </w:r>
    </w:p>
    <w:p w14:paraId="4FDCC2F6"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rPr>
      </w:pPr>
    </w:p>
    <w:p w14:paraId="63304702"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spacing w:line="240" w:lineRule="auto"/>
        <w:rPr>
          <w:b/>
          <w:bCs/>
          <w:color w:val="000000"/>
        </w:rPr>
      </w:pPr>
      <w:r w:rsidRPr="009B1A37">
        <w:rPr>
          <w:b/>
          <w:bCs/>
          <w:color w:val="000000"/>
        </w:rPr>
        <w:t>PAPÍROVÁ KRABIČKA</w:t>
      </w:r>
    </w:p>
    <w:p w14:paraId="4E210A4B" w14:textId="77777777" w:rsidR="00E61A01" w:rsidRPr="009B1A37" w:rsidRDefault="00E61A01" w:rsidP="00BE3D48">
      <w:pPr>
        <w:widowControl w:val="0"/>
        <w:tabs>
          <w:tab w:val="clear" w:pos="567"/>
        </w:tabs>
        <w:spacing w:line="240" w:lineRule="auto"/>
      </w:pPr>
    </w:p>
    <w:p w14:paraId="6494AEAB" w14:textId="77777777" w:rsidR="00E61A01" w:rsidRPr="009B1A37" w:rsidRDefault="00E61A01" w:rsidP="00BE3D48">
      <w:pPr>
        <w:widowControl w:val="0"/>
        <w:tabs>
          <w:tab w:val="clear" w:pos="567"/>
        </w:tabs>
        <w:spacing w:line="240" w:lineRule="auto"/>
        <w:rPr>
          <w:color w:val="000000"/>
        </w:rPr>
      </w:pPr>
    </w:p>
    <w:p w14:paraId="36FDC4A4"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1.</w:t>
      </w:r>
      <w:r w:rsidRPr="009B1A37">
        <w:rPr>
          <w:b/>
          <w:bCs/>
          <w:color w:val="000000"/>
        </w:rPr>
        <w:tab/>
        <w:t>NÁZEV LÉČIVÉHO PŘÍPRAVKU</w:t>
      </w:r>
    </w:p>
    <w:p w14:paraId="406D9E58" w14:textId="77777777" w:rsidR="00E61A01" w:rsidRPr="009B1A37" w:rsidRDefault="00E61A01" w:rsidP="00BE3D48">
      <w:pPr>
        <w:widowControl w:val="0"/>
        <w:tabs>
          <w:tab w:val="clear" w:pos="567"/>
        </w:tabs>
        <w:spacing w:line="240" w:lineRule="auto"/>
      </w:pPr>
    </w:p>
    <w:p w14:paraId="48607CD8" w14:textId="77777777" w:rsidR="00E61A01" w:rsidRPr="009B1A37" w:rsidRDefault="00E61A01" w:rsidP="00BE3D48">
      <w:pPr>
        <w:widowControl w:val="0"/>
        <w:tabs>
          <w:tab w:val="clear" w:pos="567"/>
        </w:tabs>
        <w:spacing w:line="240" w:lineRule="auto"/>
        <w:rPr>
          <w:color w:val="000000"/>
        </w:rPr>
      </w:pPr>
      <w:r w:rsidRPr="009B1A37">
        <w:rPr>
          <w:color w:val="000000"/>
        </w:rPr>
        <w:t>Glivec 100 mg tvrdé tobolky</w:t>
      </w:r>
    </w:p>
    <w:p w14:paraId="38A2535E" w14:textId="77777777" w:rsidR="00E61A01" w:rsidRPr="009B1A37" w:rsidRDefault="00AC5D70" w:rsidP="00BE3D48">
      <w:pPr>
        <w:widowControl w:val="0"/>
        <w:tabs>
          <w:tab w:val="clear" w:pos="567"/>
        </w:tabs>
        <w:spacing w:line="240" w:lineRule="auto"/>
        <w:rPr>
          <w:color w:val="000000"/>
        </w:rPr>
      </w:pPr>
      <w:r w:rsidRPr="009B1A37">
        <w:rPr>
          <w:color w:val="000000"/>
        </w:rPr>
        <w:t>i</w:t>
      </w:r>
      <w:r w:rsidR="00E61A01" w:rsidRPr="009B1A37">
        <w:rPr>
          <w:color w:val="000000"/>
        </w:rPr>
        <w:t>matinibum</w:t>
      </w:r>
    </w:p>
    <w:p w14:paraId="46652260" w14:textId="77777777" w:rsidR="00E61A01" w:rsidRPr="009B1A37" w:rsidRDefault="00E61A01" w:rsidP="00BE3D48">
      <w:pPr>
        <w:widowControl w:val="0"/>
        <w:tabs>
          <w:tab w:val="clear" w:pos="567"/>
        </w:tabs>
        <w:spacing w:line="240" w:lineRule="auto"/>
        <w:rPr>
          <w:color w:val="000000"/>
        </w:rPr>
      </w:pPr>
    </w:p>
    <w:p w14:paraId="30E4A5ED" w14:textId="77777777" w:rsidR="00E61A01" w:rsidRPr="009B1A37" w:rsidRDefault="00E61A01" w:rsidP="00BE3D48">
      <w:pPr>
        <w:widowControl w:val="0"/>
        <w:tabs>
          <w:tab w:val="clear" w:pos="567"/>
        </w:tabs>
        <w:spacing w:line="240" w:lineRule="auto"/>
        <w:rPr>
          <w:color w:val="000000"/>
        </w:rPr>
      </w:pPr>
    </w:p>
    <w:p w14:paraId="4EBE41E6"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2.</w:t>
      </w:r>
      <w:r w:rsidRPr="009B1A37">
        <w:rPr>
          <w:b/>
          <w:bCs/>
          <w:color w:val="000000"/>
        </w:rPr>
        <w:tab/>
        <w:t>OBSAH LÉČIVÉ LÁTKY/LÉČIVÝCH LÁTEK</w:t>
      </w:r>
    </w:p>
    <w:p w14:paraId="73F2F55C" w14:textId="77777777" w:rsidR="00E61A01" w:rsidRPr="009B1A37" w:rsidRDefault="00E61A01" w:rsidP="00BE3D48">
      <w:pPr>
        <w:widowControl w:val="0"/>
        <w:tabs>
          <w:tab w:val="clear" w:pos="567"/>
        </w:tabs>
        <w:spacing w:line="240" w:lineRule="auto"/>
      </w:pPr>
    </w:p>
    <w:p w14:paraId="4ABBBE56" w14:textId="77777777" w:rsidR="00E61A01" w:rsidRPr="009B1A37" w:rsidRDefault="00E61A01" w:rsidP="00BE3D48">
      <w:pPr>
        <w:pStyle w:val="Text"/>
        <w:widowControl w:val="0"/>
        <w:spacing w:before="0"/>
        <w:jc w:val="left"/>
        <w:rPr>
          <w:color w:val="000000"/>
          <w:sz w:val="22"/>
          <w:szCs w:val="22"/>
          <w:lang w:val="cs-CZ"/>
        </w:rPr>
      </w:pPr>
      <w:r w:rsidRPr="009B1A37">
        <w:rPr>
          <w:color w:val="000000"/>
          <w:sz w:val="22"/>
          <w:szCs w:val="22"/>
          <w:lang w:val="cs-CZ"/>
        </w:rPr>
        <w:t>Jedna tobolka obsahuje imatinibu</w:t>
      </w:r>
      <w:r w:rsidR="001F30D2" w:rsidRPr="009B1A37">
        <w:rPr>
          <w:color w:val="000000"/>
          <w:sz w:val="22"/>
          <w:szCs w:val="22"/>
          <w:lang w:val="cs-CZ"/>
        </w:rPr>
        <w:t>m 100 mg</w:t>
      </w:r>
      <w:r w:rsidRPr="009B1A37">
        <w:rPr>
          <w:color w:val="000000"/>
          <w:sz w:val="22"/>
          <w:szCs w:val="22"/>
          <w:lang w:val="cs-CZ"/>
        </w:rPr>
        <w:t xml:space="preserve"> (jako </w:t>
      </w:r>
      <w:r w:rsidR="001F30D2" w:rsidRPr="009B1A37">
        <w:rPr>
          <w:color w:val="000000"/>
          <w:sz w:val="22"/>
          <w:szCs w:val="22"/>
          <w:lang w:val="cs-CZ"/>
        </w:rPr>
        <w:t>imatinibi mesilas</w:t>
      </w:r>
      <w:r w:rsidRPr="009B1A37">
        <w:rPr>
          <w:color w:val="000000"/>
          <w:sz w:val="22"/>
          <w:szCs w:val="22"/>
          <w:lang w:val="cs-CZ"/>
        </w:rPr>
        <w:t>).</w:t>
      </w:r>
    </w:p>
    <w:p w14:paraId="1F81C315" w14:textId="77777777" w:rsidR="00E61A01" w:rsidRPr="009B1A37" w:rsidRDefault="00E61A01" w:rsidP="00BE3D48">
      <w:pPr>
        <w:widowControl w:val="0"/>
        <w:tabs>
          <w:tab w:val="clear" w:pos="567"/>
        </w:tabs>
        <w:spacing w:line="240" w:lineRule="auto"/>
        <w:rPr>
          <w:color w:val="000000"/>
        </w:rPr>
      </w:pPr>
    </w:p>
    <w:p w14:paraId="5025CE4D" w14:textId="77777777" w:rsidR="00E61A01" w:rsidRPr="009B1A37" w:rsidRDefault="00E61A01" w:rsidP="00BE3D48">
      <w:pPr>
        <w:widowControl w:val="0"/>
        <w:tabs>
          <w:tab w:val="clear" w:pos="567"/>
        </w:tabs>
        <w:spacing w:line="240" w:lineRule="auto"/>
        <w:rPr>
          <w:color w:val="000000"/>
        </w:rPr>
      </w:pPr>
    </w:p>
    <w:p w14:paraId="5568395C"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3.</w:t>
      </w:r>
      <w:r w:rsidRPr="009B1A37">
        <w:rPr>
          <w:b/>
          <w:bCs/>
          <w:color w:val="000000"/>
        </w:rPr>
        <w:tab/>
        <w:t>SEZNAM POMOCNÝCH LÁTEK</w:t>
      </w:r>
    </w:p>
    <w:p w14:paraId="1A6D7303" w14:textId="77777777" w:rsidR="00E61A01" w:rsidRPr="009B1A37" w:rsidRDefault="00E61A01" w:rsidP="00BE3D48">
      <w:pPr>
        <w:widowControl w:val="0"/>
        <w:tabs>
          <w:tab w:val="clear" w:pos="567"/>
        </w:tabs>
        <w:spacing w:line="240" w:lineRule="auto"/>
      </w:pPr>
    </w:p>
    <w:p w14:paraId="73E205D7" w14:textId="77777777" w:rsidR="00E61A01" w:rsidRPr="009B1A37" w:rsidRDefault="00E61A01" w:rsidP="00BE3D48">
      <w:pPr>
        <w:widowControl w:val="0"/>
        <w:tabs>
          <w:tab w:val="clear" w:pos="567"/>
        </w:tabs>
        <w:spacing w:line="240" w:lineRule="auto"/>
        <w:rPr>
          <w:color w:val="000000"/>
        </w:rPr>
      </w:pPr>
    </w:p>
    <w:p w14:paraId="4106FB72"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4.</w:t>
      </w:r>
      <w:r w:rsidRPr="009B1A37">
        <w:rPr>
          <w:b/>
          <w:bCs/>
          <w:color w:val="000000"/>
        </w:rPr>
        <w:tab/>
        <w:t xml:space="preserve">LÉKOVÁ FORMA A </w:t>
      </w:r>
      <w:r w:rsidR="00B00096" w:rsidRPr="009B1A37">
        <w:rPr>
          <w:b/>
          <w:bCs/>
          <w:color w:val="000000"/>
        </w:rPr>
        <w:t>OBSAH</w:t>
      </w:r>
      <w:r w:rsidRPr="009B1A37">
        <w:rPr>
          <w:b/>
          <w:bCs/>
          <w:color w:val="000000"/>
        </w:rPr>
        <w:t xml:space="preserve"> BALENÍ</w:t>
      </w:r>
    </w:p>
    <w:p w14:paraId="43E92572" w14:textId="77777777" w:rsidR="00E61A01" w:rsidRPr="009B1A37" w:rsidRDefault="00E61A01" w:rsidP="00BE3D48">
      <w:pPr>
        <w:widowControl w:val="0"/>
        <w:tabs>
          <w:tab w:val="clear" w:pos="567"/>
        </w:tabs>
        <w:spacing w:line="240" w:lineRule="auto"/>
      </w:pPr>
    </w:p>
    <w:p w14:paraId="624E68DE" w14:textId="77777777" w:rsidR="00E61A01" w:rsidRPr="009B1A37" w:rsidRDefault="00E61A01" w:rsidP="00BE3D48">
      <w:pPr>
        <w:pStyle w:val="EndnoteText"/>
        <w:widowControl w:val="0"/>
        <w:rPr>
          <w:color w:val="000000"/>
        </w:rPr>
      </w:pPr>
      <w:r w:rsidRPr="009B1A37">
        <w:rPr>
          <w:color w:val="000000"/>
        </w:rPr>
        <w:t>24 tvrdých tobolek</w:t>
      </w:r>
    </w:p>
    <w:p w14:paraId="751A0069" w14:textId="77777777" w:rsidR="00E61A01" w:rsidRPr="009B1A37" w:rsidRDefault="00E61A01" w:rsidP="00BE3D48">
      <w:pPr>
        <w:widowControl w:val="0"/>
        <w:tabs>
          <w:tab w:val="clear" w:pos="567"/>
        </w:tabs>
        <w:spacing w:line="240" w:lineRule="auto"/>
        <w:rPr>
          <w:color w:val="000000"/>
          <w:shd w:val="clear" w:color="auto" w:fill="D9D9D9"/>
        </w:rPr>
      </w:pPr>
      <w:r w:rsidRPr="009B1A37">
        <w:rPr>
          <w:color w:val="000000"/>
          <w:shd w:val="clear" w:color="auto" w:fill="D9D9D9"/>
        </w:rPr>
        <w:t>48 tvrdých tobolek</w:t>
      </w:r>
    </w:p>
    <w:p w14:paraId="018EAE57" w14:textId="77777777" w:rsidR="00E61A01" w:rsidRPr="009B1A37" w:rsidRDefault="00E61A01" w:rsidP="00BE3D48">
      <w:pPr>
        <w:widowControl w:val="0"/>
        <w:tabs>
          <w:tab w:val="clear" w:pos="567"/>
        </w:tabs>
        <w:spacing w:line="240" w:lineRule="auto"/>
        <w:rPr>
          <w:color w:val="000000"/>
          <w:shd w:val="clear" w:color="auto" w:fill="D9D9D9"/>
        </w:rPr>
      </w:pPr>
      <w:r w:rsidRPr="009B1A37">
        <w:rPr>
          <w:color w:val="000000"/>
          <w:shd w:val="clear" w:color="auto" w:fill="D9D9D9"/>
        </w:rPr>
        <w:t>96 tvrdých tobolek</w:t>
      </w:r>
    </w:p>
    <w:p w14:paraId="59C2EC30" w14:textId="77777777" w:rsidR="00E61A01" w:rsidRPr="009B1A37" w:rsidRDefault="00E61A01" w:rsidP="00BE3D48">
      <w:pPr>
        <w:widowControl w:val="0"/>
        <w:tabs>
          <w:tab w:val="clear" w:pos="567"/>
        </w:tabs>
        <w:spacing w:line="240" w:lineRule="auto"/>
        <w:rPr>
          <w:color w:val="000000"/>
          <w:shd w:val="clear" w:color="auto" w:fill="D9D9D9"/>
        </w:rPr>
      </w:pPr>
      <w:r w:rsidRPr="009B1A37">
        <w:rPr>
          <w:color w:val="000000"/>
          <w:shd w:val="clear" w:color="auto" w:fill="D9D9D9"/>
        </w:rPr>
        <w:t>120 tvrdých tobolek</w:t>
      </w:r>
    </w:p>
    <w:p w14:paraId="25EBCA34" w14:textId="77777777" w:rsidR="00E61A01" w:rsidRPr="009B1A37" w:rsidRDefault="00E61A01" w:rsidP="00BE3D48">
      <w:pPr>
        <w:widowControl w:val="0"/>
        <w:tabs>
          <w:tab w:val="clear" w:pos="567"/>
        </w:tabs>
        <w:spacing w:line="240" w:lineRule="auto"/>
        <w:rPr>
          <w:color w:val="000000"/>
          <w:shd w:val="clear" w:color="auto" w:fill="D9D9D9"/>
        </w:rPr>
      </w:pPr>
      <w:r w:rsidRPr="009B1A37">
        <w:rPr>
          <w:color w:val="000000"/>
          <w:shd w:val="clear" w:color="auto" w:fill="D9D9D9"/>
        </w:rPr>
        <w:t>180 tvrdých tobolek</w:t>
      </w:r>
    </w:p>
    <w:p w14:paraId="61B8E6E2" w14:textId="77777777" w:rsidR="00E61A01" w:rsidRPr="009B1A37" w:rsidRDefault="00E61A01" w:rsidP="00BE3D48">
      <w:pPr>
        <w:widowControl w:val="0"/>
        <w:tabs>
          <w:tab w:val="clear" w:pos="567"/>
        </w:tabs>
        <w:spacing w:line="240" w:lineRule="auto"/>
        <w:rPr>
          <w:color w:val="000000"/>
        </w:rPr>
      </w:pPr>
    </w:p>
    <w:p w14:paraId="0D7E5C93" w14:textId="77777777" w:rsidR="00E61A01" w:rsidRPr="009B1A37" w:rsidRDefault="00E61A01" w:rsidP="00BE3D48">
      <w:pPr>
        <w:widowControl w:val="0"/>
        <w:tabs>
          <w:tab w:val="clear" w:pos="567"/>
        </w:tabs>
        <w:spacing w:line="240" w:lineRule="auto"/>
        <w:rPr>
          <w:color w:val="000000"/>
        </w:rPr>
      </w:pPr>
    </w:p>
    <w:p w14:paraId="43B2192B"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5.</w:t>
      </w:r>
      <w:r w:rsidRPr="009B1A37">
        <w:rPr>
          <w:b/>
          <w:bCs/>
          <w:color w:val="000000"/>
        </w:rPr>
        <w:tab/>
        <w:t>ZPŮSOB A CESTA/CESTY PODÁNÍ</w:t>
      </w:r>
    </w:p>
    <w:p w14:paraId="227C4F14" w14:textId="77777777" w:rsidR="00E61A01" w:rsidRPr="009B1A37" w:rsidRDefault="00E61A01" w:rsidP="00BE3D48">
      <w:pPr>
        <w:pStyle w:val="EndnoteText"/>
        <w:widowControl w:val="0"/>
        <w:tabs>
          <w:tab w:val="clear" w:pos="567"/>
        </w:tabs>
      </w:pPr>
    </w:p>
    <w:p w14:paraId="15F27E8C" w14:textId="77777777" w:rsidR="00E61A01" w:rsidRPr="009B1A37" w:rsidRDefault="00E61A01" w:rsidP="00BE3D48">
      <w:pPr>
        <w:pStyle w:val="EndnoteText"/>
        <w:widowControl w:val="0"/>
        <w:tabs>
          <w:tab w:val="clear" w:pos="567"/>
        </w:tabs>
        <w:rPr>
          <w:color w:val="000000"/>
        </w:rPr>
      </w:pPr>
      <w:r w:rsidRPr="009B1A37">
        <w:rPr>
          <w:color w:val="000000"/>
        </w:rPr>
        <w:t>Perorální podání. Před použitím si přečtěte příbalovou informaci.</w:t>
      </w:r>
    </w:p>
    <w:p w14:paraId="12ED70E4" w14:textId="77777777" w:rsidR="00E61A01" w:rsidRPr="009B1A37" w:rsidRDefault="00E61A01" w:rsidP="00BE3D48">
      <w:pPr>
        <w:widowControl w:val="0"/>
        <w:tabs>
          <w:tab w:val="clear" w:pos="567"/>
        </w:tabs>
        <w:spacing w:line="240" w:lineRule="auto"/>
        <w:rPr>
          <w:color w:val="000000"/>
        </w:rPr>
      </w:pPr>
    </w:p>
    <w:p w14:paraId="3A109EDD" w14:textId="77777777" w:rsidR="00E61A01" w:rsidRPr="009B1A37" w:rsidRDefault="00E61A01" w:rsidP="00BE3D48">
      <w:pPr>
        <w:widowControl w:val="0"/>
        <w:tabs>
          <w:tab w:val="clear" w:pos="567"/>
        </w:tabs>
        <w:spacing w:line="240" w:lineRule="auto"/>
        <w:rPr>
          <w:color w:val="000000"/>
        </w:rPr>
      </w:pPr>
    </w:p>
    <w:p w14:paraId="2AAB5B6E"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6.</w:t>
      </w:r>
      <w:r w:rsidRPr="009B1A37">
        <w:rPr>
          <w:b/>
          <w:bCs/>
          <w:color w:val="000000"/>
        </w:rPr>
        <w:tab/>
        <w:t xml:space="preserve">ZVLÁŠTNÍ UPOZORNĚNÍ, ŽE LÉČIVÝ PŘÍPRAVEK MUSÍ BÝT UCHOVÁVÁN MIMO </w:t>
      </w:r>
      <w:r w:rsidR="00B00096" w:rsidRPr="009B1A37">
        <w:rPr>
          <w:b/>
          <w:bCs/>
          <w:color w:val="000000"/>
        </w:rPr>
        <w:t xml:space="preserve">DOHLED A </w:t>
      </w:r>
      <w:r w:rsidRPr="009B1A37">
        <w:rPr>
          <w:b/>
          <w:bCs/>
          <w:color w:val="000000"/>
        </w:rPr>
        <w:t>D</w:t>
      </w:r>
      <w:r w:rsidR="0020295F" w:rsidRPr="009B1A37">
        <w:rPr>
          <w:b/>
          <w:bCs/>
          <w:color w:val="000000"/>
        </w:rPr>
        <w:t>OSAH</w:t>
      </w:r>
      <w:r w:rsidRPr="009B1A37">
        <w:rPr>
          <w:b/>
          <w:bCs/>
          <w:color w:val="000000"/>
        </w:rPr>
        <w:t xml:space="preserve"> DĚTÍ</w:t>
      </w:r>
    </w:p>
    <w:p w14:paraId="0ADF47F5" w14:textId="77777777" w:rsidR="00E61A01" w:rsidRPr="009B1A37" w:rsidRDefault="00E61A01" w:rsidP="00BE3D48">
      <w:pPr>
        <w:widowControl w:val="0"/>
        <w:tabs>
          <w:tab w:val="clear" w:pos="567"/>
        </w:tabs>
        <w:spacing w:line="240" w:lineRule="auto"/>
      </w:pPr>
    </w:p>
    <w:p w14:paraId="32D82FF0" w14:textId="77777777" w:rsidR="00E61A01" w:rsidRPr="009B1A37" w:rsidRDefault="00E61A01" w:rsidP="00BE3D48">
      <w:pPr>
        <w:widowControl w:val="0"/>
        <w:tabs>
          <w:tab w:val="clear" w:pos="567"/>
        </w:tabs>
        <w:spacing w:line="240" w:lineRule="auto"/>
        <w:rPr>
          <w:color w:val="000000"/>
        </w:rPr>
      </w:pPr>
      <w:r w:rsidRPr="009B1A37">
        <w:rPr>
          <w:color w:val="000000"/>
        </w:rPr>
        <w:t xml:space="preserve">Uchovávejte mimo </w:t>
      </w:r>
      <w:r w:rsidR="00B00096" w:rsidRPr="009B1A37">
        <w:rPr>
          <w:color w:val="000000"/>
        </w:rPr>
        <w:t xml:space="preserve">dohled a </w:t>
      </w:r>
      <w:r w:rsidRPr="009B1A37">
        <w:rPr>
          <w:color w:val="000000"/>
        </w:rPr>
        <w:t>dosah dětí.</w:t>
      </w:r>
    </w:p>
    <w:p w14:paraId="2AB3CAED" w14:textId="77777777" w:rsidR="00E61A01" w:rsidRPr="009B1A37" w:rsidRDefault="00E61A01" w:rsidP="00BE3D48">
      <w:pPr>
        <w:widowControl w:val="0"/>
        <w:tabs>
          <w:tab w:val="clear" w:pos="567"/>
        </w:tabs>
        <w:spacing w:line="240" w:lineRule="auto"/>
        <w:rPr>
          <w:color w:val="000000"/>
        </w:rPr>
      </w:pPr>
    </w:p>
    <w:p w14:paraId="4E7CBD8A" w14:textId="77777777" w:rsidR="00E61A01" w:rsidRPr="009B1A37" w:rsidRDefault="00E61A01" w:rsidP="00BE3D48">
      <w:pPr>
        <w:widowControl w:val="0"/>
        <w:tabs>
          <w:tab w:val="clear" w:pos="567"/>
        </w:tabs>
        <w:spacing w:line="240" w:lineRule="auto"/>
        <w:rPr>
          <w:color w:val="000000"/>
        </w:rPr>
      </w:pPr>
    </w:p>
    <w:p w14:paraId="22803000"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7.</w:t>
      </w:r>
      <w:r w:rsidRPr="009B1A37">
        <w:rPr>
          <w:b/>
          <w:bCs/>
          <w:color w:val="000000"/>
        </w:rPr>
        <w:tab/>
        <w:t>DALŠÍ ZVLÁŠTNÍ UPOZORNĚNÍ, POKUD JE POTŘEBNÉ</w:t>
      </w:r>
    </w:p>
    <w:p w14:paraId="2ABE33D0" w14:textId="77777777" w:rsidR="00E61A01" w:rsidRPr="009B1A37" w:rsidRDefault="00E61A01" w:rsidP="00BE3D48">
      <w:pPr>
        <w:widowControl w:val="0"/>
        <w:tabs>
          <w:tab w:val="clear" w:pos="567"/>
        </w:tabs>
        <w:spacing w:line="240" w:lineRule="auto"/>
      </w:pPr>
    </w:p>
    <w:p w14:paraId="5DD674CC" w14:textId="77777777" w:rsidR="00E61A01" w:rsidRPr="009B1A37" w:rsidRDefault="00E61A01" w:rsidP="00BE3D48">
      <w:pPr>
        <w:pStyle w:val="EndnoteText"/>
        <w:widowControl w:val="0"/>
        <w:tabs>
          <w:tab w:val="clear" w:pos="567"/>
        </w:tabs>
        <w:rPr>
          <w:color w:val="000000"/>
        </w:rPr>
      </w:pPr>
      <w:r w:rsidRPr="009B1A37">
        <w:rPr>
          <w:color w:val="000000"/>
        </w:rPr>
        <w:t>Užívejte pouze podle doporučení lékaře.</w:t>
      </w:r>
    </w:p>
    <w:p w14:paraId="074BA5D5" w14:textId="77777777" w:rsidR="00E61A01" w:rsidRPr="009B1A37" w:rsidRDefault="00E61A01" w:rsidP="00BE3D48">
      <w:pPr>
        <w:widowControl w:val="0"/>
        <w:tabs>
          <w:tab w:val="clear" w:pos="567"/>
        </w:tabs>
        <w:spacing w:line="240" w:lineRule="auto"/>
        <w:rPr>
          <w:color w:val="000000"/>
        </w:rPr>
      </w:pPr>
    </w:p>
    <w:p w14:paraId="7C25892F" w14:textId="77777777" w:rsidR="00E61A01" w:rsidRPr="009B1A37" w:rsidRDefault="00E61A01" w:rsidP="00BE3D48">
      <w:pPr>
        <w:widowControl w:val="0"/>
        <w:tabs>
          <w:tab w:val="clear" w:pos="567"/>
        </w:tabs>
        <w:spacing w:line="240" w:lineRule="auto"/>
        <w:rPr>
          <w:color w:val="000000"/>
        </w:rPr>
      </w:pPr>
    </w:p>
    <w:p w14:paraId="470CC1BE"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8.</w:t>
      </w:r>
      <w:r w:rsidRPr="009B1A37">
        <w:rPr>
          <w:b/>
          <w:bCs/>
          <w:color w:val="000000"/>
        </w:rPr>
        <w:tab/>
        <w:t>POUŽITELNOST</w:t>
      </w:r>
    </w:p>
    <w:p w14:paraId="4F715EA1" w14:textId="77777777" w:rsidR="00E61A01" w:rsidRPr="009B1A37" w:rsidRDefault="00E61A01" w:rsidP="00BE3D48">
      <w:pPr>
        <w:widowControl w:val="0"/>
        <w:tabs>
          <w:tab w:val="clear" w:pos="567"/>
        </w:tabs>
        <w:spacing w:line="240" w:lineRule="auto"/>
      </w:pPr>
    </w:p>
    <w:p w14:paraId="4B4820B4" w14:textId="77777777" w:rsidR="00E61A01" w:rsidRPr="009B1A37" w:rsidRDefault="00E61A01" w:rsidP="00BE3D48">
      <w:pPr>
        <w:pStyle w:val="EndnoteText"/>
        <w:widowControl w:val="0"/>
        <w:tabs>
          <w:tab w:val="clear" w:pos="567"/>
        </w:tabs>
        <w:rPr>
          <w:color w:val="000000"/>
        </w:rPr>
      </w:pPr>
      <w:r w:rsidRPr="009B1A37">
        <w:rPr>
          <w:color w:val="000000"/>
        </w:rPr>
        <w:t>EXP</w:t>
      </w:r>
    </w:p>
    <w:p w14:paraId="291B678B" w14:textId="77777777" w:rsidR="00E61A01" w:rsidRPr="009B1A37" w:rsidRDefault="00E61A01" w:rsidP="00BE3D48">
      <w:pPr>
        <w:widowControl w:val="0"/>
        <w:tabs>
          <w:tab w:val="clear" w:pos="567"/>
        </w:tabs>
        <w:spacing w:line="240" w:lineRule="auto"/>
        <w:rPr>
          <w:color w:val="000000"/>
        </w:rPr>
      </w:pPr>
    </w:p>
    <w:p w14:paraId="1B600448" w14:textId="77777777" w:rsidR="00E61A01" w:rsidRPr="009B1A37" w:rsidRDefault="00E61A01" w:rsidP="00BE3D48">
      <w:pPr>
        <w:widowControl w:val="0"/>
        <w:tabs>
          <w:tab w:val="clear" w:pos="567"/>
        </w:tabs>
        <w:spacing w:line="240" w:lineRule="auto"/>
        <w:rPr>
          <w:color w:val="000000"/>
        </w:rPr>
      </w:pPr>
    </w:p>
    <w:p w14:paraId="4D910E41" w14:textId="77777777" w:rsidR="00E61A01" w:rsidRPr="009B1A37" w:rsidRDefault="00E61A01" w:rsidP="00BE3D48">
      <w:pPr>
        <w:keepNext/>
        <w:keepLines/>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9.</w:t>
      </w:r>
      <w:r w:rsidRPr="009B1A37">
        <w:rPr>
          <w:b/>
          <w:bCs/>
          <w:color w:val="000000"/>
        </w:rPr>
        <w:tab/>
        <w:t>ZVLÁŠTNÍ PODMÍNKY PRO UCHOVÁVÁNÍ</w:t>
      </w:r>
    </w:p>
    <w:p w14:paraId="50DCB41F" w14:textId="77777777" w:rsidR="00E61A01" w:rsidRPr="009B1A37" w:rsidRDefault="00E61A01" w:rsidP="00BE3D48">
      <w:pPr>
        <w:keepNext/>
        <w:keepLines/>
        <w:widowControl w:val="0"/>
        <w:tabs>
          <w:tab w:val="clear" w:pos="567"/>
        </w:tabs>
        <w:spacing w:line="240" w:lineRule="auto"/>
      </w:pPr>
    </w:p>
    <w:p w14:paraId="3DF6E14E" w14:textId="77777777" w:rsidR="00E61A01" w:rsidRPr="009B1A37" w:rsidRDefault="00E61A01" w:rsidP="00BE3D48">
      <w:pPr>
        <w:pStyle w:val="Text"/>
        <w:keepNext/>
        <w:keepLines/>
        <w:widowControl w:val="0"/>
        <w:spacing w:before="0"/>
        <w:jc w:val="left"/>
        <w:rPr>
          <w:color w:val="000000"/>
          <w:sz w:val="22"/>
          <w:szCs w:val="22"/>
          <w:lang w:val="cs-CZ"/>
        </w:rPr>
      </w:pPr>
      <w:r w:rsidRPr="009B1A37">
        <w:rPr>
          <w:color w:val="000000"/>
          <w:sz w:val="22"/>
          <w:szCs w:val="22"/>
          <w:lang w:val="cs-CZ"/>
        </w:rPr>
        <w:t>Neuchovávejte při teplotě nad 30</w:t>
      </w:r>
      <w:r w:rsidR="00D55176" w:rsidRPr="009B1A37">
        <w:rPr>
          <w:color w:val="000000"/>
          <w:sz w:val="22"/>
          <w:szCs w:val="22"/>
          <w:lang w:val="cs-CZ"/>
        </w:rPr>
        <w:t> </w:t>
      </w:r>
      <w:r w:rsidRPr="009B1A37">
        <w:rPr>
          <w:rFonts w:ascii="Symbol" w:hAnsi="Symbol"/>
          <w:color w:val="000000"/>
          <w:sz w:val="22"/>
          <w:szCs w:val="22"/>
          <w:lang w:val="cs-CZ"/>
        </w:rPr>
        <w:t></w:t>
      </w:r>
      <w:r w:rsidRPr="009B1A37">
        <w:rPr>
          <w:color w:val="000000"/>
          <w:sz w:val="22"/>
          <w:szCs w:val="22"/>
          <w:lang w:val="cs-CZ"/>
        </w:rPr>
        <w:t>C. Uchovávejte v původním obalu, aby byl přípravek chráněn před vlhkostí.</w:t>
      </w:r>
    </w:p>
    <w:p w14:paraId="432E3139" w14:textId="77777777" w:rsidR="00E61A01" w:rsidRPr="009B1A37" w:rsidRDefault="00E61A01" w:rsidP="00BE3D48">
      <w:pPr>
        <w:widowControl w:val="0"/>
        <w:tabs>
          <w:tab w:val="clear" w:pos="567"/>
        </w:tabs>
        <w:spacing w:line="240" w:lineRule="auto"/>
        <w:rPr>
          <w:color w:val="000000"/>
        </w:rPr>
      </w:pPr>
    </w:p>
    <w:p w14:paraId="5E2320E9" w14:textId="77777777" w:rsidR="00E61A01" w:rsidRPr="009B1A37" w:rsidRDefault="00E61A01" w:rsidP="00BE3D48">
      <w:pPr>
        <w:widowControl w:val="0"/>
        <w:tabs>
          <w:tab w:val="clear" w:pos="567"/>
        </w:tabs>
        <w:spacing w:line="240" w:lineRule="auto"/>
        <w:rPr>
          <w:color w:val="000000"/>
        </w:rPr>
      </w:pPr>
    </w:p>
    <w:p w14:paraId="04B2763F"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10.</w:t>
      </w:r>
      <w:r w:rsidRPr="009B1A37">
        <w:rPr>
          <w:b/>
          <w:bCs/>
          <w:color w:val="000000"/>
        </w:rPr>
        <w:tab/>
        <w:t>ZVLÁŠTNÍ OPATŘENÍ PRO LIKVIDACI NEPOUŽITÝCH LÉČIVÝCH PŘÍPRAVKŮ NEBO ODPADU Z </w:t>
      </w:r>
      <w:r w:rsidR="00B00096" w:rsidRPr="009B1A37">
        <w:rPr>
          <w:b/>
          <w:bCs/>
          <w:color w:val="000000"/>
        </w:rPr>
        <w:t>NICH</w:t>
      </w:r>
      <w:r w:rsidRPr="009B1A37">
        <w:rPr>
          <w:b/>
          <w:bCs/>
          <w:color w:val="000000"/>
        </w:rPr>
        <w:t>, POKUD JE TO VHODNÉ</w:t>
      </w:r>
    </w:p>
    <w:p w14:paraId="4D6EFC11" w14:textId="77777777" w:rsidR="00E61A01" w:rsidRPr="009B1A37" w:rsidRDefault="00E61A01" w:rsidP="00BE3D48">
      <w:pPr>
        <w:widowControl w:val="0"/>
        <w:tabs>
          <w:tab w:val="clear" w:pos="567"/>
        </w:tabs>
        <w:spacing w:line="240" w:lineRule="auto"/>
      </w:pPr>
    </w:p>
    <w:p w14:paraId="35C90652" w14:textId="77777777" w:rsidR="00E61A01" w:rsidRPr="009B1A37" w:rsidRDefault="00E61A01" w:rsidP="00BE3D48">
      <w:pPr>
        <w:widowControl w:val="0"/>
        <w:tabs>
          <w:tab w:val="clear" w:pos="567"/>
        </w:tabs>
        <w:spacing w:line="240" w:lineRule="auto"/>
        <w:rPr>
          <w:color w:val="000000"/>
        </w:rPr>
      </w:pPr>
    </w:p>
    <w:p w14:paraId="7C045213"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11.</w:t>
      </w:r>
      <w:r w:rsidRPr="009B1A37">
        <w:rPr>
          <w:b/>
          <w:bCs/>
          <w:color w:val="000000"/>
        </w:rPr>
        <w:tab/>
        <w:t>NÁZEV A ADRESA DRŽITELE ROZHODNUTÍ O REGISTRACI</w:t>
      </w:r>
    </w:p>
    <w:p w14:paraId="4CCD9E62" w14:textId="77777777" w:rsidR="00E61A01" w:rsidRPr="009B1A37" w:rsidRDefault="00E61A01" w:rsidP="00BE3D48">
      <w:pPr>
        <w:widowControl w:val="0"/>
        <w:tabs>
          <w:tab w:val="clear" w:pos="567"/>
        </w:tabs>
        <w:spacing w:line="240" w:lineRule="auto"/>
      </w:pPr>
    </w:p>
    <w:p w14:paraId="0741FCA2" w14:textId="77777777" w:rsidR="00E61A01" w:rsidRPr="009B1A37" w:rsidRDefault="00E61A01" w:rsidP="00BE3D48">
      <w:pPr>
        <w:pStyle w:val="EndnoteText"/>
        <w:widowControl w:val="0"/>
        <w:tabs>
          <w:tab w:val="clear" w:pos="567"/>
        </w:tabs>
        <w:rPr>
          <w:color w:val="000000"/>
        </w:rPr>
      </w:pPr>
      <w:r w:rsidRPr="009B1A37">
        <w:rPr>
          <w:color w:val="000000"/>
        </w:rPr>
        <w:t>Novartis Europharm Limited</w:t>
      </w:r>
    </w:p>
    <w:p w14:paraId="09857CF7" w14:textId="77777777" w:rsidR="00F05B3D" w:rsidRPr="009B1A37" w:rsidRDefault="00F05B3D" w:rsidP="00BE3D48">
      <w:pPr>
        <w:keepNext/>
        <w:widowControl w:val="0"/>
        <w:spacing w:line="240" w:lineRule="auto"/>
        <w:rPr>
          <w:color w:val="000000"/>
        </w:rPr>
      </w:pPr>
      <w:r w:rsidRPr="009B1A37">
        <w:rPr>
          <w:color w:val="000000"/>
        </w:rPr>
        <w:t>Vista Building</w:t>
      </w:r>
    </w:p>
    <w:p w14:paraId="6117C65A" w14:textId="77777777" w:rsidR="00F05B3D" w:rsidRPr="009B1A37" w:rsidRDefault="00F05B3D" w:rsidP="00BE3D48">
      <w:pPr>
        <w:keepNext/>
        <w:widowControl w:val="0"/>
        <w:spacing w:line="240" w:lineRule="auto"/>
        <w:rPr>
          <w:color w:val="000000"/>
        </w:rPr>
      </w:pPr>
      <w:r w:rsidRPr="009B1A37">
        <w:rPr>
          <w:color w:val="000000"/>
        </w:rPr>
        <w:t>Elm Park, Merrion Road</w:t>
      </w:r>
    </w:p>
    <w:p w14:paraId="6821547E" w14:textId="77777777" w:rsidR="00F05B3D" w:rsidRPr="009B1A37" w:rsidRDefault="00F05B3D" w:rsidP="00BE3D48">
      <w:pPr>
        <w:keepNext/>
        <w:widowControl w:val="0"/>
        <w:spacing w:line="240" w:lineRule="auto"/>
        <w:rPr>
          <w:color w:val="000000"/>
        </w:rPr>
      </w:pPr>
      <w:r w:rsidRPr="009B1A37">
        <w:rPr>
          <w:color w:val="000000"/>
        </w:rPr>
        <w:t>Dublin 4</w:t>
      </w:r>
    </w:p>
    <w:p w14:paraId="61B351E5" w14:textId="77777777" w:rsidR="00E61A01" w:rsidRPr="009B1A37" w:rsidRDefault="00F05B3D" w:rsidP="00BE3D48">
      <w:pPr>
        <w:widowControl w:val="0"/>
        <w:spacing w:line="240" w:lineRule="auto"/>
        <w:rPr>
          <w:color w:val="000000"/>
        </w:rPr>
      </w:pPr>
      <w:r w:rsidRPr="009B1A37">
        <w:rPr>
          <w:color w:val="000000"/>
        </w:rPr>
        <w:t>Irsko</w:t>
      </w:r>
    </w:p>
    <w:p w14:paraId="37599C27" w14:textId="77777777" w:rsidR="00E61A01" w:rsidRPr="009B1A37" w:rsidRDefault="00E61A01" w:rsidP="00BE3D48">
      <w:pPr>
        <w:widowControl w:val="0"/>
        <w:tabs>
          <w:tab w:val="clear" w:pos="567"/>
        </w:tabs>
        <w:spacing w:line="240" w:lineRule="auto"/>
        <w:rPr>
          <w:color w:val="000000"/>
        </w:rPr>
      </w:pPr>
    </w:p>
    <w:p w14:paraId="03C85578" w14:textId="77777777" w:rsidR="00E61A01" w:rsidRPr="009B1A37" w:rsidRDefault="00E61A01" w:rsidP="00BE3D48">
      <w:pPr>
        <w:widowControl w:val="0"/>
        <w:tabs>
          <w:tab w:val="clear" w:pos="567"/>
        </w:tabs>
        <w:spacing w:line="240" w:lineRule="auto"/>
        <w:rPr>
          <w:color w:val="000000"/>
        </w:rPr>
      </w:pPr>
    </w:p>
    <w:p w14:paraId="37839324"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12.</w:t>
      </w:r>
      <w:r w:rsidRPr="009B1A37">
        <w:rPr>
          <w:b/>
          <w:bCs/>
          <w:color w:val="000000"/>
        </w:rPr>
        <w:tab/>
        <w:t>REGISTRAČNÍ ČÍSLO</w:t>
      </w:r>
      <w:r w:rsidR="00B00096" w:rsidRPr="009B1A37">
        <w:rPr>
          <w:b/>
          <w:bCs/>
          <w:color w:val="000000"/>
        </w:rPr>
        <w:t>/ČÍSLA</w:t>
      </w:r>
    </w:p>
    <w:p w14:paraId="4DB0AEE8" w14:textId="77777777" w:rsidR="00E61A01" w:rsidRPr="009B1A37" w:rsidRDefault="00E61A01" w:rsidP="00BE3D48">
      <w:pPr>
        <w:widowControl w:val="0"/>
        <w:tabs>
          <w:tab w:val="clear" w:pos="567"/>
        </w:tabs>
        <w:spacing w:line="240" w:lineRule="auto"/>
      </w:pPr>
    </w:p>
    <w:p w14:paraId="0E32EA87" w14:textId="77777777" w:rsidR="00E61A01" w:rsidRPr="009B1A37" w:rsidRDefault="00E61A01" w:rsidP="00BE3D48">
      <w:pPr>
        <w:pStyle w:val="EndnoteText"/>
        <w:widowControl w:val="0"/>
        <w:tabs>
          <w:tab w:val="clear" w:pos="567"/>
          <w:tab w:val="left" w:pos="2268"/>
        </w:tabs>
        <w:rPr>
          <w:color w:val="000000"/>
          <w:shd w:val="clear" w:color="auto" w:fill="D9D9D9"/>
        </w:rPr>
      </w:pPr>
      <w:r w:rsidRPr="009B1A37">
        <w:rPr>
          <w:color w:val="000000"/>
        </w:rPr>
        <w:t>EU/1/01/198/002</w:t>
      </w:r>
      <w:r w:rsidRPr="009B1A37">
        <w:rPr>
          <w:color w:val="000000"/>
        </w:rPr>
        <w:tab/>
      </w:r>
      <w:r w:rsidRPr="009B1A37">
        <w:rPr>
          <w:color w:val="000000"/>
          <w:shd w:val="clear" w:color="auto" w:fill="D9D9D9"/>
        </w:rPr>
        <w:t>24 tobolek</w:t>
      </w:r>
    </w:p>
    <w:p w14:paraId="525BF444" w14:textId="77777777" w:rsidR="00E61A01" w:rsidRPr="009B1A37" w:rsidRDefault="00E61A01" w:rsidP="00BE3D48">
      <w:pPr>
        <w:widowControl w:val="0"/>
        <w:tabs>
          <w:tab w:val="clear" w:pos="567"/>
          <w:tab w:val="left" w:pos="2268"/>
        </w:tabs>
        <w:spacing w:line="240" w:lineRule="auto"/>
        <w:rPr>
          <w:color w:val="000000"/>
          <w:shd w:val="clear" w:color="auto" w:fill="D9D9D9"/>
        </w:rPr>
      </w:pPr>
      <w:r w:rsidRPr="009B1A37">
        <w:rPr>
          <w:color w:val="000000"/>
          <w:shd w:val="clear" w:color="auto" w:fill="D9D9D9"/>
        </w:rPr>
        <w:t>EU/1/01/198/003</w:t>
      </w:r>
      <w:r w:rsidRPr="009B1A37">
        <w:rPr>
          <w:color w:val="000000"/>
          <w:shd w:val="clear" w:color="auto" w:fill="D9D9D9"/>
        </w:rPr>
        <w:tab/>
        <w:t>48 tobolek</w:t>
      </w:r>
    </w:p>
    <w:p w14:paraId="2CB6A986" w14:textId="77777777" w:rsidR="00E61A01" w:rsidRPr="009B1A37" w:rsidRDefault="00E61A01" w:rsidP="00BE3D48">
      <w:pPr>
        <w:widowControl w:val="0"/>
        <w:tabs>
          <w:tab w:val="clear" w:pos="567"/>
          <w:tab w:val="left" w:pos="2268"/>
        </w:tabs>
        <w:spacing w:line="240" w:lineRule="auto"/>
        <w:rPr>
          <w:color w:val="000000"/>
          <w:shd w:val="clear" w:color="auto" w:fill="D9D9D9"/>
        </w:rPr>
      </w:pPr>
      <w:r w:rsidRPr="009B1A37">
        <w:rPr>
          <w:color w:val="000000"/>
          <w:shd w:val="clear" w:color="auto" w:fill="D9D9D9"/>
        </w:rPr>
        <w:t>EU/1/01/198/004</w:t>
      </w:r>
      <w:r w:rsidRPr="009B1A37">
        <w:rPr>
          <w:color w:val="000000"/>
          <w:shd w:val="clear" w:color="auto" w:fill="D9D9D9"/>
        </w:rPr>
        <w:tab/>
        <w:t>96 tobolek</w:t>
      </w:r>
    </w:p>
    <w:p w14:paraId="769244D4" w14:textId="77777777" w:rsidR="00E61A01" w:rsidRPr="009B1A37" w:rsidRDefault="00E61A01" w:rsidP="00BE3D48">
      <w:pPr>
        <w:widowControl w:val="0"/>
        <w:tabs>
          <w:tab w:val="clear" w:pos="567"/>
          <w:tab w:val="left" w:pos="2268"/>
        </w:tabs>
        <w:spacing w:line="240" w:lineRule="auto"/>
        <w:rPr>
          <w:color w:val="000000"/>
          <w:shd w:val="clear" w:color="auto" w:fill="D9D9D9"/>
        </w:rPr>
      </w:pPr>
      <w:r w:rsidRPr="009B1A37">
        <w:rPr>
          <w:color w:val="000000"/>
          <w:shd w:val="clear" w:color="auto" w:fill="D9D9D9"/>
        </w:rPr>
        <w:t>EU/1/01/198/005</w:t>
      </w:r>
      <w:r w:rsidRPr="009B1A37">
        <w:rPr>
          <w:color w:val="000000"/>
          <w:shd w:val="clear" w:color="auto" w:fill="D9D9D9"/>
        </w:rPr>
        <w:tab/>
        <w:t>120 tobolek</w:t>
      </w:r>
    </w:p>
    <w:p w14:paraId="64678056" w14:textId="77777777" w:rsidR="00E61A01" w:rsidRPr="009B1A37" w:rsidRDefault="00E61A01" w:rsidP="00BE3D48">
      <w:pPr>
        <w:widowControl w:val="0"/>
        <w:tabs>
          <w:tab w:val="clear" w:pos="567"/>
          <w:tab w:val="left" w:pos="2268"/>
        </w:tabs>
        <w:spacing w:line="240" w:lineRule="auto"/>
        <w:rPr>
          <w:color w:val="000000"/>
          <w:shd w:val="clear" w:color="auto" w:fill="D9D9D9"/>
        </w:rPr>
      </w:pPr>
      <w:r w:rsidRPr="009B1A37">
        <w:rPr>
          <w:color w:val="000000"/>
          <w:shd w:val="clear" w:color="auto" w:fill="D9D9D9"/>
        </w:rPr>
        <w:t>EU/1/01/198/006</w:t>
      </w:r>
      <w:r w:rsidRPr="009B1A37">
        <w:rPr>
          <w:color w:val="000000"/>
          <w:shd w:val="clear" w:color="auto" w:fill="D9D9D9"/>
        </w:rPr>
        <w:tab/>
        <w:t>180 tobolek</w:t>
      </w:r>
    </w:p>
    <w:p w14:paraId="71B33EE0" w14:textId="77777777" w:rsidR="00E61A01" w:rsidRPr="009B1A37" w:rsidRDefault="00E61A01" w:rsidP="00BE3D48">
      <w:pPr>
        <w:widowControl w:val="0"/>
        <w:tabs>
          <w:tab w:val="clear" w:pos="567"/>
        </w:tabs>
        <w:spacing w:line="240" w:lineRule="auto"/>
        <w:rPr>
          <w:color w:val="000000"/>
        </w:rPr>
      </w:pPr>
    </w:p>
    <w:p w14:paraId="04801D33" w14:textId="77777777" w:rsidR="00E61A01" w:rsidRPr="009B1A37" w:rsidRDefault="00E61A01" w:rsidP="00BE3D48">
      <w:pPr>
        <w:widowControl w:val="0"/>
        <w:tabs>
          <w:tab w:val="clear" w:pos="567"/>
        </w:tabs>
        <w:spacing w:line="240" w:lineRule="auto"/>
        <w:rPr>
          <w:color w:val="000000"/>
        </w:rPr>
      </w:pPr>
    </w:p>
    <w:p w14:paraId="41ECF0E3"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13.</w:t>
      </w:r>
      <w:r w:rsidRPr="009B1A37">
        <w:rPr>
          <w:b/>
          <w:bCs/>
          <w:color w:val="000000"/>
        </w:rPr>
        <w:tab/>
        <w:t>ČÍSLO ŠARŽE</w:t>
      </w:r>
    </w:p>
    <w:p w14:paraId="39E2199E" w14:textId="77777777" w:rsidR="00E61A01" w:rsidRPr="009B1A37" w:rsidRDefault="00E61A01" w:rsidP="00BE3D48">
      <w:pPr>
        <w:widowControl w:val="0"/>
        <w:tabs>
          <w:tab w:val="clear" w:pos="567"/>
        </w:tabs>
        <w:spacing w:line="240" w:lineRule="auto"/>
      </w:pPr>
    </w:p>
    <w:p w14:paraId="31FDA47B" w14:textId="77777777" w:rsidR="00E61A01" w:rsidRPr="009B1A37" w:rsidRDefault="00E61A01" w:rsidP="00BE3D48">
      <w:pPr>
        <w:widowControl w:val="0"/>
        <w:tabs>
          <w:tab w:val="clear" w:pos="567"/>
        </w:tabs>
        <w:spacing w:line="240" w:lineRule="auto"/>
        <w:rPr>
          <w:color w:val="000000"/>
        </w:rPr>
      </w:pPr>
      <w:r w:rsidRPr="009B1A37">
        <w:rPr>
          <w:color w:val="000000"/>
        </w:rPr>
        <w:t>č.š.:</w:t>
      </w:r>
    </w:p>
    <w:p w14:paraId="6A9BD39B" w14:textId="77777777" w:rsidR="00E61A01" w:rsidRPr="009B1A37" w:rsidRDefault="00E61A01" w:rsidP="00BE3D48">
      <w:pPr>
        <w:widowControl w:val="0"/>
        <w:tabs>
          <w:tab w:val="clear" w:pos="567"/>
        </w:tabs>
        <w:spacing w:line="240" w:lineRule="auto"/>
        <w:rPr>
          <w:color w:val="000000"/>
        </w:rPr>
      </w:pPr>
    </w:p>
    <w:p w14:paraId="7711C1BD" w14:textId="77777777" w:rsidR="00E61A01" w:rsidRPr="009B1A37" w:rsidRDefault="00E61A01" w:rsidP="00BE3D48">
      <w:pPr>
        <w:widowControl w:val="0"/>
        <w:tabs>
          <w:tab w:val="clear" w:pos="567"/>
        </w:tabs>
        <w:spacing w:line="240" w:lineRule="auto"/>
        <w:rPr>
          <w:color w:val="000000"/>
        </w:rPr>
      </w:pPr>
    </w:p>
    <w:p w14:paraId="7F426718"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14.</w:t>
      </w:r>
      <w:r w:rsidRPr="009B1A37">
        <w:rPr>
          <w:b/>
          <w:bCs/>
          <w:color w:val="000000"/>
        </w:rPr>
        <w:tab/>
        <w:t>KLASIFIKACE PRO VÝDEJ</w:t>
      </w:r>
    </w:p>
    <w:p w14:paraId="3179F23D" w14:textId="77777777" w:rsidR="00E61A01" w:rsidRPr="009B1A37" w:rsidRDefault="00E61A01" w:rsidP="00BE3D48">
      <w:pPr>
        <w:widowControl w:val="0"/>
        <w:tabs>
          <w:tab w:val="clear" w:pos="567"/>
        </w:tabs>
        <w:spacing w:line="240" w:lineRule="auto"/>
        <w:rPr>
          <w:color w:val="000000"/>
        </w:rPr>
      </w:pPr>
    </w:p>
    <w:p w14:paraId="2E4EE501" w14:textId="77777777" w:rsidR="00E61A01" w:rsidRPr="009B1A37" w:rsidRDefault="00E61A01" w:rsidP="00BE3D48">
      <w:pPr>
        <w:widowControl w:val="0"/>
        <w:tabs>
          <w:tab w:val="clear" w:pos="567"/>
        </w:tabs>
        <w:spacing w:line="240" w:lineRule="auto"/>
        <w:rPr>
          <w:color w:val="000000"/>
        </w:rPr>
      </w:pPr>
    </w:p>
    <w:p w14:paraId="23B41ED9"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15.</w:t>
      </w:r>
      <w:r w:rsidRPr="009B1A37">
        <w:rPr>
          <w:b/>
          <w:bCs/>
          <w:color w:val="000000"/>
        </w:rPr>
        <w:tab/>
        <w:t>NÁVOD K POUŽITÍ</w:t>
      </w:r>
    </w:p>
    <w:p w14:paraId="5010293F" w14:textId="77777777" w:rsidR="00E61A01" w:rsidRPr="009B1A37" w:rsidRDefault="00E61A01" w:rsidP="00BE3D48">
      <w:pPr>
        <w:widowControl w:val="0"/>
        <w:tabs>
          <w:tab w:val="clear" w:pos="567"/>
        </w:tabs>
        <w:spacing w:line="240" w:lineRule="auto"/>
      </w:pPr>
    </w:p>
    <w:p w14:paraId="170B3B7E" w14:textId="77777777" w:rsidR="00E61A01" w:rsidRPr="009B1A37" w:rsidRDefault="00E61A01" w:rsidP="00BE3D48">
      <w:pPr>
        <w:widowControl w:val="0"/>
        <w:tabs>
          <w:tab w:val="clear" w:pos="567"/>
        </w:tabs>
        <w:spacing w:line="240" w:lineRule="auto"/>
        <w:rPr>
          <w:color w:val="000000"/>
        </w:rPr>
      </w:pPr>
    </w:p>
    <w:p w14:paraId="24F60FF1"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16.</w:t>
      </w:r>
      <w:r w:rsidRPr="009B1A37">
        <w:rPr>
          <w:b/>
          <w:bCs/>
          <w:color w:val="000000"/>
        </w:rPr>
        <w:tab/>
        <w:t>INFORMACE V BRAILLOVĚ PÍSMU</w:t>
      </w:r>
    </w:p>
    <w:p w14:paraId="0ECE48C0" w14:textId="77777777" w:rsidR="00E61A01" w:rsidRPr="009B1A37" w:rsidRDefault="00E61A01" w:rsidP="00BE3D48">
      <w:pPr>
        <w:widowControl w:val="0"/>
        <w:tabs>
          <w:tab w:val="clear" w:pos="567"/>
        </w:tabs>
        <w:spacing w:line="240" w:lineRule="auto"/>
      </w:pPr>
    </w:p>
    <w:p w14:paraId="1AC9AA12" w14:textId="77777777" w:rsidR="00E61A01" w:rsidRPr="009B1A37" w:rsidRDefault="00E61A01" w:rsidP="00BE3D48">
      <w:pPr>
        <w:widowControl w:val="0"/>
        <w:tabs>
          <w:tab w:val="clear" w:pos="567"/>
        </w:tabs>
        <w:spacing w:line="240" w:lineRule="auto"/>
        <w:rPr>
          <w:color w:val="000000"/>
        </w:rPr>
      </w:pPr>
      <w:r w:rsidRPr="009B1A37">
        <w:rPr>
          <w:color w:val="000000"/>
        </w:rPr>
        <w:t>Glivec 100 mg</w:t>
      </w:r>
    </w:p>
    <w:p w14:paraId="458E307B" w14:textId="77777777" w:rsidR="00AC5D70" w:rsidRPr="009B1A37" w:rsidRDefault="00AC5D70" w:rsidP="00BE3D48">
      <w:pPr>
        <w:widowControl w:val="0"/>
        <w:tabs>
          <w:tab w:val="clear" w:pos="567"/>
        </w:tabs>
        <w:spacing w:line="240" w:lineRule="auto"/>
        <w:rPr>
          <w:color w:val="000000"/>
        </w:rPr>
      </w:pPr>
    </w:p>
    <w:p w14:paraId="7AE6C482" w14:textId="77777777" w:rsidR="00E61A01" w:rsidRPr="009B1A37" w:rsidRDefault="00E61A01" w:rsidP="00BE3D48">
      <w:pPr>
        <w:widowControl w:val="0"/>
        <w:tabs>
          <w:tab w:val="clear" w:pos="567"/>
        </w:tabs>
        <w:spacing w:line="240" w:lineRule="auto"/>
        <w:rPr>
          <w:color w:val="000000"/>
        </w:rPr>
      </w:pPr>
    </w:p>
    <w:p w14:paraId="020DA9AA" w14:textId="77777777" w:rsidR="00E43DCA" w:rsidRPr="009B1A37" w:rsidRDefault="00E43DCA" w:rsidP="00BE3D48">
      <w:pPr>
        <w:widowControl w:val="0"/>
        <w:pBdr>
          <w:top w:val="single" w:sz="4" w:space="0" w:color="auto"/>
          <w:left w:val="single" w:sz="4" w:space="4" w:color="auto"/>
          <w:bottom w:val="single" w:sz="4" w:space="1" w:color="auto"/>
          <w:right w:val="single" w:sz="4" w:space="4" w:color="auto"/>
        </w:pBdr>
        <w:tabs>
          <w:tab w:val="clear" w:pos="567"/>
        </w:tabs>
        <w:spacing w:line="240" w:lineRule="auto"/>
        <w:outlineLvl w:val="0"/>
        <w:rPr>
          <w:noProof/>
        </w:rPr>
      </w:pPr>
      <w:r w:rsidRPr="009B1A37">
        <w:rPr>
          <w:b/>
          <w:noProof/>
        </w:rPr>
        <w:t>17.</w:t>
      </w:r>
      <w:r w:rsidRPr="009B1A37">
        <w:rPr>
          <w:b/>
          <w:noProof/>
        </w:rPr>
        <w:tab/>
        <w:t>JEDINEČNÝ IDENTIFIKÁTOR – 2D ČÁROVÝ KÓD</w:t>
      </w:r>
    </w:p>
    <w:p w14:paraId="61328ABD" w14:textId="77777777" w:rsidR="00E43DCA" w:rsidRPr="009B1A37" w:rsidRDefault="00E43DCA" w:rsidP="00BE3D48">
      <w:pPr>
        <w:keepNext/>
        <w:widowControl w:val="0"/>
        <w:tabs>
          <w:tab w:val="clear" w:pos="567"/>
        </w:tabs>
        <w:spacing w:line="240" w:lineRule="auto"/>
        <w:rPr>
          <w:noProof/>
        </w:rPr>
      </w:pPr>
    </w:p>
    <w:p w14:paraId="6B016667" w14:textId="77777777" w:rsidR="00E43DCA" w:rsidRPr="009B1A37" w:rsidRDefault="00E43DCA" w:rsidP="00BE3D48">
      <w:pPr>
        <w:widowControl w:val="0"/>
        <w:tabs>
          <w:tab w:val="clear" w:pos="567"/>
        </w:tabs>
        <w:spacing w:line="240" w:lineRule="auto"/>
        <w:rPr>
          <w:noProof/>
          <w:shd w:val="pct15" w:color="auto" w:fill="auto"/>
        </w:rPr>
      </w:pPr>
      <w:r w:rsidRPr="009B1A37">
        <w:rPr>
          <w:noProof/>
          <w:shd w:val="pct15" w:color="auto" w:fill="auto"/>
        </w:rPr>
        <w:t>2D čárový kód s jedinečným identifikátorem.</w:t>
      </w:r>
    </w:p>
    <w:p w14:paraId="2FC263EC" w14:textId="77777777" w:rsidR="00E43DCA" w:rsidRPr="009B1A37" w:rsidRDefault="00E43DCA" w:rsidP="00BE3D48">
      <w:pPr>
        <w:widowControl w:val="0"/>
        <w:tabs>
          <w:tab w:val="clear" w:pos="567"/>
        </w:tabs>
        <w:spacing w:line="240" w:lineRule="auto"/>
        <w:rPr>
          <w:noProof/>
          <w:shd w:val="pct15" w:color="auto" w:fill="auto"/>
        </w:rPr>
      </w:pPr>
    </w:p>
    <w:p w14:paraId="4F801ACB" w14:textId="77777777" w:rsidR="00E43DCA" w:rsidRPr="009B1A37" w:rsidRDefault="00E43DCA" w:rsidP="00BE3D48">
      <w:pPr>
        <w:widowControl w:val="0"/>
        <w:tabs>
          <w:tab w:val="clear" w:pos="567"/>
        </w:tabs>
        <w:spacing w:line="240" w:lineRule="auto"/>
        <w:rPr>
          <w:noProof/>
          <w:u w:val="single"/>
        </w:rPr>
      </w:pPr>
    </w:p>
    <w:p w14:paraId="0090B138" w14:textId="77777777" w:rsidR="00E43DCA" w:rsidRPr="009B1A37" w:rsidRDefault="00E43DCA" w:rsidP="00BE3D4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9B1A37">
        <w:rPr>
          <w:b/>
          <w:noProof/>
        </w:rPr>
        <w:t>18.</w:t>
      </w:r>
      <w:r w:rsidRPr="009B1A37">
        <w:rPr>
          <w:b/>
          <w:noProof/>
        </w:rPr>
        <w:tab/>
        <w:t>JEDINEČNÝ IDENTIFIKÁTOR – DATA ČITELNÁ OKEM</w:t>
      </w:r>
    </w:p>
    <w:p w14:paraId="49EB7228" w14:textId="77777777" w:rsidR="00E43DCA" w:rsidRPr="009B1A37" w:rsidRDefault="00E43DCA" w:rsidP="00BE3D48">
      <w:pPr>
        <w:keepNext/>
        <w:widowControl w:val="0"/>
        <w:tabs>
          <w:tab w:val="clear" w:pos="567"/>
        </w:tabs>
        <w:spacing w:line="240" w:lineRule="auto"/>
        <w:rPr>
          <w:noProof/>
          <w:u w:val="single"/>
        </w:rPr>
      </w:pPr>
    </w:p>
    <w:p w14:paraId="688746F1" w14:textId="77777777" w:rsidR="00E43DCA" w:rsidRPr="009B1A37" w:rsidRDefault="00E43DCA" w:rsidP="00BE3D48">
      <w:pPr>
        <w:keepNext/>
        <w:widowControl w:val="0"/>
        <w:tabs>
          <w:tab w:val="clear" w:pos="567"/>
        </w:tabs>
        <w:spacing w:line="240" w:lineRule="auto"/>
        <w:rPr>
          <w:noProof/>
        </w:rPr>
      </w:pPr>
      <w:r w:rsidRPr="009B1A37">
        <w:rPr>
          <w:noProof/>
        </w:rPr>
        <w:t>PC:</w:t>
      </w:r>
    </w:p>
    <w:p w14:paraId="28B96BC3" w14:textId="77777777" w:rsidR="00E43DCA" w:rsidRPr="009B1A37" w:rsidRDefault="00E43DCA" w:rsidP="00BE3D48">
      <w:pPr>
        <w:keepNext/>
        <w:widowControl w:val="0"/>
        <w:tabs>
          <w:tab w:val="clear" w:pos="567"/>
        </w:tabs>
        <w:spacing w:line="240" w:lineRule="auto"/>
        <w:rPr>
          <w:noProof/>
        </w:rPr>
      </w:pPr>
      <w:r w:rsidRPr="009B1A37">
        <w:rPr>
          <w:noProof/>
        </w:rPr>
        <w:t>SN:</w:t>
      </w:r>
    </w:p>
    <w:p w14:paraId="6C67D401" w14:textId="77777777" w:rsidR="00E43DCA" w:rsidRPr="009B1A37" w:rsidRDefault="00E43DCA" w:rsidP="00BE3D48">
      <w:pPr>
        <w:widowControl w:val="0"/>
        <w:tabs>
          <w:tab w:val="clear" w:pos="567"/>
        </w:tabs>
        <w:spacing w:line="240" w:lineRule="auto"/>
        <w:rPr>
          <w:noProof/>
        </w:rPr>
      </w:pPr>
      <w:r w:rsidRPr="009B1A37">
        <w:rPr>
          <w:noProof/>
        </w:rPr>
        <w:t>NN:</w:t>
      </w:r>
    </w:p>
    <w:p w14:paraId="663D2518" w14:textId="77777777" w:rsidR="00E61A01" w:rsidRPr="009B1A37" w:rsidRDefault="00E61A01" w:rsidP="00BE3D48">
      <w:pPr>
        <w:widowControl w:val="0"/>
        <w:tabs>
          <w:tab w:val="clear" w:pos="567"/>
        </w:tabs>
        <w:spacing w:line="240" w:lineRule="auto"/>
        <w:rPr>
          <w:color w:val="000000"/>
        </w:rPr>
      </w:pPr>
      <w:r w:rsidRPr="009B1A37">
        <w:rPr>
          <w:color w:val="000000"/>
        </w:rPr>
        <w:br w:type="page"/>
      </w:r>
    </w:p>
    <w:p w14:paraId="52C4F7F0" w14:textId="77777777" w:rsidR="00EB4FF7" w:rsidRPr="009B1A37" w:rsidRDefault="00EB4FF7" w:rsidP="00EB4FF7">
      <w:pPr>
        <w:widowControl w:val="0"/>
        <w:tabs>
          <w:tab w:val="clear" w:pos="567"/>
        </w:tabs>
        <w:snapToGrid w:val="0"/>
        <w:spacing w:line="240" w:lineRule="auto"/>
        <w:rPr>
          <w:bCs/>
          <w:color w:val="000000"/>
        </w:rPr>
      </w:pPr>
    </w:p>
    <w:p w14:paraId="69689371"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s>
        <w:snapToGrid w:val="0"/>
        <w:spacing w:line="240" w:lineRule="auto"/>
        <w:rPr>
          <w:b/>
          <w:bCs/>
          <w:color w:val="000000"/>
        </w:rPr>
      </w:pPr>
      <w:r w:rsidRPr="009B1A37">
        <w:rPr>
          <w:b/>
          <w:bCs/>
          <w:color w:val="000000"/>
        </w:rPr>
        <w:t>MINIMÁLNÍ ÚDAJE UVÁDĚNÉ NA BLISTRECH NEBO STRIPECH</w:t>
      </w:r>
    </w:p>
    <w:p w14:paraId="6BED4D69"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rPr>
      </w:pPr>
    </w:p>
    <w:p w14:paraId="09BF9C8D"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bCs/>
          <w:color w:val="000000"/>
        </w:rPr>
      </w:pPr>
      <w:r w:rsidRPr="009B1A37">
        <w:rPr>
          <w:b/>
          <w:bCs/>
          <w:color w:val="000000"/>
        </w:rPr>
        <w:t>BLISTRY</w:t>
      </w:r>
    </w:p>
    <w:p w14:paraId="16E573D0" w14:textId="77777777" w:rsidR="00E61A01" w:rsidRPr="009B1A37" w:rsidRDefault="00E61A01" w:rsidP="00BE3D48">
      <w:pPr>
        <w:widowControl w:val="0"/>
        <w:tabs>
          <w:tab w:val="clear" w:pos="567"/>
        </w:tabs>
        <w:spacing w:line="240" w:lineRule="auto"/>
      </w:pPr>
    </w:p>
    <w:p w14:paraId="7B98BAF1" w14:textId="77777777" w:rsidR="00E61A01" w:rsidRPr="009B1A37" w:rsidRDefault="00E61A01" w:rsidP="00BE3D48">
      <w:pPr>
        <w:widowControl w:val="0"/>
        <w:tabs>
          <w:tab w:val="clear" w:pos="567"/>
        </w:tabs>
        <w:spacing w:line="240" w:lineRule="auto"/>
        <w:rPr>
          <w:color w:val="000000"/>
        </w:rPr>
      </w:pPr>
    </w:p>
    <w:p w14:paraId="2D489B39"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1.</w:t>
      </w:r>
      <w:r w:rsidRPr="009B1A37">
        <w:rPr>
          <w:b/>
          <w:bCs/>
          <w:color w:val="000000"/>
        </w:rPr>
        <w:tab/>
        <w:t>NÁZEV LÉČIVÉHO PŘÍPRAVKU</w:t>
      </w:r>
    </w:p>
    <w:p w14:paraId="5577B44B" w14:textId="77777777" w:rsidR="00E61A01" w:rsidRPr="009B1A37" w:rsidRDefault="00E61A01" w:rsidP="00BE3D48">
      <w:pPr>
        <w:widowControl w:val="0"/>
        <w:tabs>
          <w:tab w:val="clear" w:pos="567"/>
        </w:tabs>
        <w:spacing w:line="240" w:lineRule="auto"/>
        <w:ind w:left="567" w:hanging="567"/>
      </w:pPr>
    </w:p>
    <w:p w14:paraId="6C4C923C" w14:textId="77777777" w:rsidR="00E61A01" w:rsidRPr="009B1A37" w:rsidRDefault="00E61A01" w:rsidP="00BE3D48">
      <w:pPr>
        <w:widowControl w:val="0"/>
        <w:tabs>
          <w:tab w:val="clear" w:pos="567"/>
        </w:tabs>
        <w:spacing w:line="240" w:lineRule="auto"/>
        <w:rPr>
          <w:color w:val="000000"/>
        </w:rPr>
      </w:pPr>
      <w:r w:rsidRPr="009B1A37">
        <w:rPr>
          <w:color w:val="000000"/>
        </w:rPr>
        <w:t>Glivec 100 mg tobolky</w:t>
      </w:r>
    </w:p>
    <w:p w14:paraId="509304B4" w14:textId="77777777" w:rsidR="00E61A01" w:rsidRPr="009B1A37" w:rsidRDefault="00AC5D70" w:rsidP="00BE3D48">
      <w:pPr>
        <w:widowControl w:val="0"/>
        <w:tabs>
          <w:tab w:val="clear" w:pos="567"/>
        </w:tabs>
        <w:spacing w:line="240" w:lineRule="auto"/>
        <w:rPr>
          <w:color w:val="000000"/>
        </w:rPr>
      </w:pPr>
      <w:r w:rsidRPr="009B1A37">
        <w:rPr>
          <w:color w:val="000000"/>
        </w:rPr>
        <w:t>i</w:t>
      </w:r>
      <w:r w:rsidR="00E61A01" w:rsidRPr="009B1A37">
        <w:rPr>
          <w:color w:val="000000"/>
        </w:rPr>
        <w:t>matinibum</w:t>
      </w:r>
    </w:p>
    <w:p w14:paraId="33283F70" w14:textId="77777777" w:rsidR="00E61A01" w:rsidRPr="009B1A37" w:rsidRDefault="00E61A01" w:rsidP="00BE3D48">
      <w:pPr>
        <w:widowControl w:val="0"/>
        <w:tabs>
          <w:tab w:val="clear" w:pos="567"/>
        </w:tabs>
        <w:spacing w:line="240" w:lineRule="auto"/>
        <w:rPr>
          <w:color w:val="000000"/>
        </w:rPr>
      </w:pPr>
    </w:p>
    <w:p w14:paraId="2A16818F" w14:textId="77777777" w:rsidR="00E61A01" w:rsidRPr="009B1A37" w:rsidRDefault="00E61A01" w:rsidP="00BE3D48">
      <w:pPr>
        <w:widowControl w:val="0"/>
        <w:tabs>
          <w:tab w:val="clear" w:pos="567"/>
        </w:tabs>
        <w:spacing w:line="240" w:lineRule="auto"/>
        <w:rPr>
          <w:color w:val="000000"/>
        </w:rPr>
      </w:pPr>
    </w:p>
    <w:p w14:paraId="3C750492"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2.</w:t>
      </w:r>
      <w:r w:rsidRPr="009B1A37">
        <w:rPr>
          <w:b/>
          <w:bCs/>
          <w:color w:val="000000"/>
        </w:rPr>
        <w:tab/>
        <w:t>NÁZEV DRŽITELE ROZHODNUTÍ O REGISTRACI</w:t>
      </w:r>
    </w:p>
    <w:p w14:paraId="703D22AA" w14:textId="77777777" w:rsidR="00E61A01" w:rsidRPr="009B1A37" w:rsidRDefault="00E61A01" w:rsidP="00BE3D48">
      <w:pPr>
        <w:widowControl w:val="0"/>
        <w:tabs>
          <w:tab w:val="clear" w:pos="567"/>
        </w:tabs>
        <w:spacing w:line="240" w:lineRule="auto"/>
      </w:pPr>
    </w:p>
    <w:p w14:paraId="7467B47D" w14:textId="77777777" w:rsidR="00E61A01" w:rsidRPr="009B1A37" w:rsidRDefault="00E61A01" w:rsidP="00BE3D48">
      <w:pPr>
        <w:widowControl w:val="0"/>
        <w:tabs>
          <w:tab w:val="clear" w:pos="567"/>
        </w:tabs>
        <w:spacing w:line="240" w:lineRule="auto"/>
        <w:rPr>
          <w:color w:val="000000"/>
        </w:rPr>
      </w:pPr>
      <w:r w:rsidRPr="009B1A37">
        <w:rPr>
          <w:color w:val="000000"/>
        </w:rPr>
        <w:t>Novartis Europharm Limited</w:t>
      </w:r>
    </w:p>
    <w:p w14:paraId="49840C6E" w14:textId="77777777" w:rsidR="00E61A01" w:rsidRPr="009B1A37" w:rsidRDefault="00E61A01" w:rsidP="00BE3D48">
      <w:pPr>
        <w:widowControl w:val="0"/>
        <w:tabs>
          <w:tab w:val="clear" w:pos="567"/>
        </w:tabs>
        <w:spacing w:line="240" w:lineRule="auto"/>
        <w:rPr>
          <w:color w:val="000000"/>
        </w:rPr>
      </w:pPr>
    </w:p>
    <w:p w14:paraId="69DDBCE3" w14:textId="77777777" w:rsidR="00E61A01" w:rsidRPr="009B1A37" w:rsidRDefault="00E61A01" w:rsidP="00BE3D48">
      <w:pPr>
        <w:widowControl w:val="0"/>
        <w:tabs>
          <w:tab w:val="clear" w:pos="567"/>
        </w:tabs>
        <w:spacing w:line="240" w:lineRule="auto"/>
        <w:rPr>
          <w:color w:val="000000"/>
        </w:rPr>
      </w:pPr>
    </w:p>
    <w:p w14:paraId="7AA44400"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3.</w:t>
      </w:r>
      <w:r w:rsidRPr="009B1A37">
        <w:rPr>
          <w:b/>
          <w:bCs/>
          <w:color w:val="000000"/>
        </w:rPr>
        <w:tab/>
        <w:t>POUŽITELNOST</w:t>
      </w:r>
    </w:p>
    <w:p w14:paraId="0AD1B7A7" w14:textId="77777777" w:rsidR="00E61A01" w:rsidRPr="009B1A37" w:rsidRDefault="00E61A01" w:rsidP="00BE3D48">
      <w:pPr>
        <w:widowControl w:val="0"/>
        <w:tabs>
          <w:tab w:val="clear" w:pos="567"/>
        </w:tabs>
        <w:spacing w:line="240" w:lineRule="auto"/>
      </w:pPr>
    </w:p>
    <w:p w14:paraId="2A7F3AB1" w14:textId="77777777" w:rsidR="00E61A01" w:rsidRPr="009B1A37" w:rsidRDefault="00E61A01" w:rsidP="00BE3D48">
      <w:pPr>
        <w:pStyle w:val="EndnoteText"/>
        <w:widowControl w:val="0"/>
        <w:tabs>
          <w:tab w:val="clear" w:pos="567"/>
        </w:tabs>
        <w:rPr>
          <w:color w:val="000000"/>
        </w:rPr>
      </w:pPr>
      <w:r w:rsidRPr="009B1A37">
        <w:rPr>
          <w:color w:val="000000"/>
        </w:rPr>
        <w:t>EXP</w:t>
      </w:r>
    </w:p>
    <w:p w14:paraId="6DFB548A" w14:textId="77777777" w:rsidR="00E61A01" w:rsidRPr="009B1A37" w:rsidRDefault="00E61A01" w:rsidP="00BE3D48">
      <w:pPr>
        <w:widowControl w:val="0"/>
        <w:tabs>
          <w:tab w:val="clear" w:pos="567"/>
        </w:tabs>
        <w:spacing w:line="240" w:lineRule="auto"/>
        <w:rPr>
          <w:color w:val="000000"/>
        </w:rPr>
      </w:pPr>
    </w:p>
    <w:p w14:paraId="5DE733D5" w14:textId="77777777" w:rsidR="00E61A01" w:rsidRPr="009B1A37" w:rsidRDefault="00E61A01" w:rsidP="00BE3D48">
      <w:pPr>
        <w:widowControl w:val="0"/>
        <w:tabs>
          <w:tab w:val="clear" w:pos="567"/>
        </w:tabs>
        <w:spacing w:line="240" w:lineRule="auto"/>
        <w:rPr>
          <w:color w:val="000000"/>
        </w:rPr>
      </w:pPr>
    </w:p>
    <w:p w14:paraId="09BC5C68"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4.</w:t>
      </w:r>
      <w:r w:rsidRPr="009B1A37">
        <w:rPr>
          <w:b/>
          <w:bCs/>
          <w:color w:val="000000"/>
        </w:rPr>
        <w:tab/>
        <w:t>ČÍSLO ŠARŽE</w:t>
      </w:r>
    </w:p>
    <w:p w14:paraId="1A31B615" w14:textId="77777777" w:rsidR="00E61A01" w:rsidRPr="009B1A37" w:rsidRDefault="00E61A01" w:rsidP="00BE3D48">
      <w:pPr>
        <w:widowControl w:val="0"/>
        <w:tabs>
          <w:tab w:val="clear" w:pos="567"/>
        </w:tabs>
        <w:spacing w:line="240" w:lineRule="auto"/>
      </w:pPr>
    </w:p>
    <w:p w14:paraId="0023153B" w14:textId="77777777" w:rsidR="00E61A01" w:rsidRPr="009B1A37" w:rsidRDefault="00E61A01" w:rsidP="00BE3D48">
      <w:pPr>
        <w:widowControl w:val="0"/>
        <w:tabs>
          <w:tab w:val="clear" w:pos="567"/>
        </w:tabs>
        <w:spacing w:line="240" w:lineRule="auto"/>
        <w:rPr>
          <w:color w:val="000000"/>
        </w:rPr>
      </w:pPr>
      <w:r w:rsidRPr="009B1A37">
        <w:rPr>
          <w:color w:val="000000"/>
        </w:rPr>
        <w:t>Lot</w:t>
      </w:r>
    </w:p>
    <w:p w14:paraId="5CF2247D" w14:textId="77777777" w:rsidR="00E61A01" w:rsidRPr="009B1A37" w:rsidRDefault="00E61A01" w:rsidP="00BE3D48">
      <w:pPr>
        <w:widowControl w:val="0"/>
        <w:tabs>
          <w:tab w:val="clear" w:pos="567"/>
        </w:tabs>
        <w:spacing w:line="240" w:lineRule="auto"/>
        <w:rPr>
          <w:color w:val="000000"/>
        </w:rPr>
      </w:pPr>
    </w:p>
    <w:p w14:paraId="506EC81F" w14:textId="77777777" w:rsidR="00E61A01" w:rsidRPr="009B1A37" w:rsidRDefault="00E61A01" w:rsidP="00BE3D48">
      <w:pPr>
        <w:widowControl w:val="0"/>
        <w:tabs>
          <w:tab w:val="clear" w:pos="567"/>
        </w:tabs>
        <w:spacing w:line="240" w:lineRule="auto"/>
        <w:rPr>
          <w:color w:val="000000"/>
        </w:rPr>
      </w:pPr>
    </w:p>
    <w:p w14:paraId="45002707"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142"/>
        </w:tabs>
        <w:snapToGrid w:val="0"/>
        <w:spacing w:line="240" w:lineRule="auto"/>
      </w:pPr>
      <w:r w:rsidRPr="009B1A37">
        <w:rPr>
          <w:b/>
        </w:rPr>
        <w:t>5.</w:t>
      </w:r>
      <w:r w:rsidRPr="009B1A37">
        <w:rPr>
          <w:b/>
        </w:rPr>
        <w:tab/>
        <w:t>JINÉ</w:t>
      </w:r>
    </w:p>
    <w:p w14:paraId="31E6023F" w14:textId="77777777" w:rsidR="00E61A01" w:rsidRPr="009B1A37" w:rsidRDefault="00E61A01" w:rsidP="00BE3D48">
      <w:pPr>
        <w:widowControl w:val="0"/>
        <w:tabs>
          <w:tab w:val="clear" w:pos="567"/>
        </w:tabs>
        <w:spacing w:line="240" w:lineRule="auto"/>
        <w:rPr>
          <w:color w:val="000000"/>
        </w:rPr>
      </w:pPr>
    </w:p>
    <w:p w14:paraId="5FF10865" w14:textId="77777777" w:rsidR="00E61A01" w:rsidRPr="009B1A37" w:rsidRDefault="00E61A01" w:rsidP="00BE3D48">
      <w:pPr>
        <w:widowControl w:val="0"/>
        <w:tabs>
          <w:tab w:val="clear" w:pos="567"/>
        </w:tabs>
        <w:spacing w:line="240" w:lineRule="auto"/>
        <w:rPr>
          <w:color w:val="000000"/>
        </w:rPr>
      </w:pPr>
      <w:r w:rsidRPr="009B1A37">
        <w:rPr>
          <w:color w:val="000000"/>
        </w:rPr>
        <w:br w:type="page"/>
      </w:r>
    </w:p>
    <w:p w14:paraId="3CDBFEE8" w14:textId="77777777" w:rsidR="00EB4FF7" w:rsidRPr="009B1A37" w:rsidRDefault="00EB4FF7" w:rsidP="00EB4FF7">
      <w:pPr>
        <w:widowControl w:val="0"/>
        <w:tabs>
          <w:tab w:val="clear" w:pos="567"/>
        </w:tabs>
        <w:snapToGrid w:val="0"/>
        <w:spacing w:line="240" w:lineRule="auto"/>
        <w:rPr>
          <w:bCs/>
          <w:color w:val="000000"/>
        </w:rPr>
      </w:pPr>
    </w:p>
    <w:p w14:paraId="5ECED98E"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s>
        <w:snapToGrid w:val="0"/>
        <w:spacing w:line="240" w:lineRule="auto"/>
        <w:rPr>
          <w:b/>
          <w:bCs/>
          <w:color w:val="000000"/>
        </w:rPr>
      </w:pPr>
      <w:r w:rsidRPr="009B1A37">
        <w:rPr>
          <w:b/>
          <w:bCs/>
          <w:color w:val="000000"/>
        </w:rPr>
        <w:t>ÚDAJE UVÁDĚNÉ NA VNĚJŠÍM OBALU</w:t>
      </w:r>
    </w:p>
    <w:p w14:paraId="407CFD2B"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rPr>
      </w:pPr>
    </w:p>
    <w:p w14:paraId="160939A2"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spacing w:line="240" w:lineRule="auto"/>
        <w:rPr>
          <w:b/>
          <w:bCs/>
          <w:color w:val="000000"/>
        </w:rPr>
      </w:pPr>
      <w:r w:rsidRPr="009B1A37">
        <w:rPr>
          <w:b/>
          <w:bCs/>
          <w:color w:val="000000"/>
        </w:rPr>
        <w:t>PAPÍROVÁ KRABIČKA</w:t>
      </w:r>
    </w:p>
    <w:p w14:paraId="7AF4BB9D" w14:textId="77777777" w:rsidR="00E61A01" w:rsidRPr="009B1A37" w:rsidRDefault="00E61A01" w:rsidP="00BE3D48">
      <w:pPr>
        <w:widowControl w:val="0"/>
        <w:tabs>
          <w:tab w:val="clear" w:pos="567"/>
        </w:tabs>
        <w:spacing w:line="240" w:lineRule="auto"/>
      </w:pPr>
    </w:p>
    <w:p w14:paraId="19CE65FB" w14:textId="77777777" w:rsidR="00E61A01" w:rsidRPr="009B1A37" w:rsidRDefault="00E61A01" w:rsidP="00BE3D48">
      <w:pPr>
        <w:widowControl w:val="0"/>
        <w:tabs>
          <w:tab w:val="clear" w:pos="567"/>
        </w:tabs>
        <w:spacing w:line="240" w:lineRule="auto"/>
        <w:rPr>
          <w:color w:val="000000"/>
        </w:rPr>
      </w:pPr>
    </w:p>
    <w:p w14:paraId="1E2B100C"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1.</w:t>
      </w:r>
      <w:r w:rsidRPr="009B1A37">
        <w:rPr>
          <w:b/>
          <w:bCs/>
          <w:color w:val="000000"/>
        </w:rPr>
        <w:tab/>
        <w:t>NÁZEV LÉČIVÉHO PŘÍPRAVKU</w:t>
      </w:r>
    </w:p>
    <w:p w14:paraId="7513693C" w14:textId="77777777" w:rsidR="00E61A01" w:rsidRPr="009B1A37" w:rsidRDefault="00E61A01" w:rsidP="00BE3D48">
      <w:pPr>
        <w:widowControl w:val="0"/>
        <w:tabs>
          <w:tab w:val="clear" w:pos="567"/>
        </w:tabs>
        <w:spacing w:line="240" w:lineRule="auto"/>
      </w:pPr>
    </w:p>
    <w:p w14:paraId="04B90A94" w14:textId="77777777" w:rsidR="00E61A01" w:rsidRPr="009B1A37" w:rsidRDefault="00E61A01" w:rsidP="00BE3D48">
      <w:pPr>
        <w:widowControl w:val="0"/>
        <w:tabs>
          <w:tab w:val="clear" w:pos="567"/>
        </w:tabs>
        <w:spacing w:line="240" w:lineRule="auto"/>
        <w:rPr>
          <w:color w:val="000000"/>
        </w:rPr>
      </w:pPr>
      <w:r w:rsidRPr="009B1A37">
        <w:rPr>
          <w:color w:val="000000"/>
        </w:rPr>
        <w:t>Glivec 100 mg potahované tablety</w:t>
      </w:r>
    </w:p>
    <w:p w14:paraId="49D772E8" w14:textId="77777777" w:rsidR="00E61A01" w:rsidRPr="009B1A37" w:rsidRDefault="00AC5D70" w:rsidP="00BE3D48">
      <w:pPr>
        <w:widowControl w:val="0"/>
        <w:tabs>
          <w:tab w:val="clear" w:pos="567"/>
        </w:tabs>
        <w:spacing w:line="240" w:lineRule="auto"/>
        <w:rPr>
          <w:color w:val="000000"/>
        </w:rPr>
      </w:pPr>
      <w:r w:rsidRPr="009B1A37">
        <w:rPr>
          <w:color w:val="000000"/>
        </w:rPr>
        <w:t>i</w:t>
      </w:r>
      <w:r w:rsidR="00E61A01" w:rsidRPr="009B1A37">
        <w:rPr>
          <w:color w:val="000000"/>
        </w:rPr>
        <w:t>matinibum</w:t>
      </w:r>
    </w:p>
    <w:p w14:paraId="69600F63" w14:textId="77777777" w:rsidR="00E61A01" w:rsidRPr="009B1A37" w:rsidRDefault="00E61A01" w:rsidP="00BE3D48">
      <w:pPr>
        <w:widowControl w:val="0"/>
        <w:tabs>
          <w:tab w:val="clear" w:pos="567"/>
        </w:tabs>
        <w:spacing w:line="240" w:lineRule="auto"/>
        <w:rPr>
          <w:color w:val="000000"/>
        </w:rPr>
      </w:pPr>
    </w:p>
    <w:p w14:paraId="253B3264" w14:textId="77777777" w:rsidR="00E61A01" w:rsidRPr="009B1A37" w:rsidRDefault="00E61A01" w:rsidP="00BE3D48">
      <w:pPr>
        <w:widowControl w:val="0"/>
        <w:tabs>
          <w:tab w:val="clear" w:pos="567"/>
        </w:tabs>
        <w:spacing w:line="240" w:lineRule="auto"/>
        <w:rPr>
          <w:color w:val="000000"/>
        </w:rPr>
      </w:pPr>
    </w:p>
    <w:p w14:paraId="6B08EF9B"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2.</w:t>
      </w:r>
      <w:r w:rsidRPr="009B1A37">
        <w:rPr>
          <w:b/>
          <w:bCs/>
          <w:color w:val="000000"/>
        </w:rPr>
        <w:tab/>
        <w:t>OBSAH LÉČIVÉ LÁTKY/LÉČIVÝCH LÁTEK</w:t>
      </w:r>
    </w:p>
    <w:p w14:paraId="50DCFFE0" w14:textId="77777777" w:rsidR="00E61A01" w:rsidRPr="009B1A37" w:rsidRDefault="00E61A01" w:rsidP="00BE3D48">
      <w:pPr>
        <w:widowControl w:val="0"/>
        <w:tabs>
          <w:tab w:val="clear" w:pos="567"/>
        </w:tabs>
        <w:spacing w:line="240" w:lineRule="auto"/>
      </w:pPr>
    </w:p>
    <w:p w14:paraId="495103E0" w14:textId="77777777" w:rsidR="00E61A01" w:rsidRPr="009B1A37" w:rsidRDefault="00E61A01" w:rsidP="00BE3D48">
      <w:pPr>
        <w:pStyle w:val="Text"/>
        <w:widowControl w:val="0"/>
        <w:spacing w:before="0"/>
        <w:jc w:val="left"/>
        <w:rPr>
          <w:color w:val="000000"/>
          <w:sz w:val="22"/>
          <w:szCs w:val="22"/>
          <w:lang w:val="cs-CZ"/>
        </w:rPr>
      </w:pPr>
      <w:r w:rsidRPr="009B1A37">
        <w:rPr>
          <w:color w:val="000000"/>
          <w:sz w:val="22"/>
          <w:szCs w:val="22"/>
          <w:lang w:val="cs-CZ"/>
        </w:rPr>
        <w:t xml:space="preserve">Jedna potahovaná tableta obsahuje </w:t>
      </w:r>
      <w:r w:rsidR="00D55176" w:rsidRPr="009B1A37">
        <w:rPr>
          <w:color w:val="000000"/>
          <w:sz w:val="22"/>
          <w:szCs w:val="22"/>
          <w:lang w:val="cs-CZ"/>
        </w:rPr>
        <w:t>imatinibum 100 mg</w:t>
      </w:r>
      <w:r w:rsidRPr="009B1A37">
        <w:rPr>
          <w:color w:val="000000"/>
          <w:sz w:val="22"/>
          <w:szCs w:val="22"/>
          <w:lang w:val="cs-CZ"/>
        </w:rPr>
        <w:t xml:space="preserve"> (jako </w:t>
      </w:r>
      <w:r w:rsidR="00D55176" w:rsidRPr="009B1A37">
        <w:rPr>
          <w:color w:val="000000"/>
          <w:sz w:val="22"/>
          <w:szCs w:val="22"/>
          <w:lang w:val="cs-CZ"/>
        </w:rPr>
        <w:t>imatinibi mesilas</w:t>
      </w:r>
      <w:r w:rsidRPr="009B1A37">
        <w:rPr>
          <w:color w:val="000000"/>
          <w:sz w:val="22"/>
          <w:szCs w:val="22"/>
          <w:lang w:val="cs-CZ"/>
        </w:rPr>
        <w:t>).</w:t>
      </w:r>
    </w:p>
    <w:p w14:paraId="440E7780" w14:textId="77777777" w:rsidR="00E61A01" w:rsidRPr="009B1A37" w:rsidRDefault="00E61A01" w:rsidP="00BE3D48">
      <w:pPr>
        <w:widowControl w:val="0"/>
        <w:tabs>
          <w:tab w:val="clear" w:pos="567"/>
        </w:tabs>
        <w:spacing w:line="240" w:lineRule="auto"/>
        <w:rPr>
          <w:color w:val="000000"/>
        </w:rPr>
      </w:pPr>
    </w:p>
    <w:p w14:paraId="7A0B3C25" w14:textId="77777777" w:rsidR="00E61A01" w:rsidRPr="009B1A37" w:rsidRDefault="00E61A01" w:rsidP="00BE3D48">
      <w:pPr>
        <w:widowControl w:val="0"/>
        <w:tabs>
          <w:tab w:val="clear" w:pos="567"/>
        </w:tabs>
        <w:spacing w:line="240" w:lineRule="auto"/>
        <w:rPr>
          <w:color w:val="000000"/>
        </w:rPr>
      </w:pPr>
    </w:p>
    <w:p w14:paraId="1C0F3EB2"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3.</w:t>
      </w:r>
      <w:r w:rsidRPr="009B1A37">
        <w:rPr>
          <w:b/>
          <w:bCs/>
          <w:color w:val="000000"/>
        </w:rPr>
        <w:tab/>
        <w:t>SEZNAM POMOCNÝCH LÁTEK</w:t>
      </w:r>
    </w:p>
    <w:p w14:paraId="0FE4F1D5" w14:textId="77777777" w:rsidR="00E61A01" w:rsidRPr="009B1A37" w:rsidRDefault="00E61A01" w:rsidP="00BE3D48">
      <w:pPr>
        <w:widowControl w:val="0"/>
        <w:tabs>
          <w:tab w:val="clear" w:pos="567"/>
        </w:tabs>
        <w:spacing w:line="240" w:lineRule="auto"/>
      </w:pPr>
    </w:p>
    <w:p w14:paraId="5D1E3093" w14:textId="77777777" w:rsidR="00E61A01" w:rsidRPr="009B1A37" w:rsidRDefault="00E61A01" w:rsidP="00BE3D48">
      <w:pPr>
        <w:widowControl w:val="0"/>
        <w:tabs>
          <w:tab w:val="clear" w:pos="567"/>
        </w:tabs>
        <w:spacing w:line="240" w:lineRule="auto"/>
        <w:rPr>
          <w:color w:val="000000"/>
        </w:rPr>
      </w:pPr>
    </w:p>
    <w:p w14:paraId="6A3A5A15"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4.</w:t>
      </w:r>
      <w:r w:rsidRPr="009B1A37">
        <w:rPr>
          <w:b/>
          <w:bCs/>
          <w:color w:val="000000"/>
        </w:rPr>
        <w:tab/>
        <w:t xml:space="preserve">LÉKOVÁ FORMA A </w:t>
      </w:r>
      <w:r w:rsidR="00B00096" w:rsidRPr="009B1A37">
        <w:rPr>
          <w:b/>
          <w:bCs/>
          <w:color w:val="000000"/>
        </w:rPr>
        <w:t>OBSAH</w:t>
      </w:r>
      <w:r w:rsidRPr="009B1A37">
        <w:rPr>
          <w:b/>
          <w:bCs/>
          <w:color w:val="000000"/>
        </w:rPr>
        <w:t xml:space="preserve"> BALENÍ</w:t>
      </w:r>
    </w:p>
    <w:p w14:paraId="5B9EB9EF" w14:textId="77777777" w:rsidR="00E61A01" w:rsidRPr="009B1A37" w:rsidRDefault="00E61A01" w:rsidP="00BE3D48">
      <w:pPr>
        <w:widowControl w:val="0"/>
        <w:tabs>
          <w:tab w:val="clear" w:pos="567"/>
        </w:tabs>
        <w:spacing w:line="240" w:lineRule="auto"/>
      </w:pPr>
    </w:p>
    <w:p w14:paraId="734FEBA6" w14:textId="77777777" w:rsidR="00E61A01" w:rsidRPr="009B1A37" w:rsidRDefault="00E61A01" w:rsidP="00BE3D48">
      <w:pPr>
        <w:pStyle w:val="EndnoteText"/>
        <w:widowControl w:val="0"/>
        <w:rPr>
          <w:color w:val="000000"/>
        </w:rPr>
      </w:pPr>
      <w:r w:rsidRPr="009B1A37">
        <w:rPr>
          <w:color w:val="000000"/>
        </w:rPr>
        <w:t>20 potahovaných tablet</w:t>
      </w:r>
    </w:p>
    <w:p w14:paraId="5C1039BC" w14:textId="77777777" w:rsidR="00E61A01" w:rsidRPr="009B1A37" w:rsidRDefault="00E61A01" w:rsidP="00BE3D48">
      <w:pPr>
        <w:widowControl w:val="0"/>
        <w:tabs>
          <w:tab w:val="clear" w:pos="567"/>
        </w:tabs>
        <w:spacing w:line="240" w:lineRule="auto"/>
        <w:rPr>
          <w:color w:val="000000"/>
          <w:shd w:val="clear" w:color="auto" w:fill="D9D9D9"/>
        </w:rPr>
      </w:pPr>
      <w:r w:rsidRPr="009B1A37">
        <w:rPr>
          <w:color w:val="000000"/>
          <w:shd w:val="clear" w:color="auto" w:fill="D9D9D9"/>
        </w:rPr>
        <w:t>60 potahovaných tablet</w:t>
      </w:r>
    </w:p>
    <w:p w14:paraId="7583DA01" w14:textId="77777777" w:rsidR="00E61A01" w:rsidRPr="009B1A37" w:rsidRDefault="00E61A01" w:rsidP="00BE3D48">
      <w:pPr>
        <w:widowControl w:val="0"/>
        <w:tabs>
          <w:tab w:val="clear" w:pos="567"/>
        </w:tabs>
        <w:spacing w:line="240" w:lineRule="auto"/>
        <w:rPr>
          <w:color w:val="000000"/>
          <w:shd w:val="clear" w:color="auto" w:fill="D9D9D9"/>
        </w:rPr>
      </w:pPr>
      <w:r w:rsidRPr="009B1A37">
        <w:rPr>
          <w:color w:val="000000"/>
          <w:shd w:val="clear" w:color="auto" w:fill="D9D9D9"/>
        </w:rPr>
        <w:t>120 potahovaných tablet</w:t>
      </w:r>
    </w:p>
    <w:p w14:paraId="5E4F4A1A" w14:textId="77777777" w:rsidR="00E61A01" w:rsidRPr="009B1A37" w:rsidRDefault="00E61A01" w:rsidP="00BE3D48">
      <w:pPr>
        <w:widowControl w:val="0"/>
        <w:tabs>
          <w:tab w:val="clear" w:pos="567"/>
        </w:tabs>
        <w:spacing w:line="240" w:lineRule="auto"/>
        <w:rPr>
          <w:color w:val="000000"/>
          <w:shd w:val="clear" w:color="auto" w:fill="D9D9D9"/>
        </w:rPr>
      </w:pPr>
      <w:r w:rsidRPr="009B1A37">
        <w:rPr>
          <w:color w:val="000000"/>
          <w:shd w:val="clear" w:color="auto" w:fill="D9D9D9"/>
        </w:rPr>
        <w:t>180 potahovaných tablet</w:t>
      </w:r>
    </w:p>
    <w:p w14:paraId="22DABD76" w14:textId="77777777" w:rsidR="00E61A01" w:rsidRPr="009B1A37" w:rsidRDefault="00E61A01" w:rsidP="00BE3D48">
      <w:pPr>
        <w:widowControl w:val="0"/>
        <w:tabs>
          <w:tab w:val="clear" w:pos="567"/>
        </w:tabs>
        <w:spacing w:line="240" w:lineRule="auto"/>
        <w:rPr>
          <w:color w:val="000000"/>
        </w:rPr>
      </w:pPr>
    </w:p>
    <w:p w14:paraId="3CA30E91" w14:textId="77777777" w:rsidR="00E61A01" w:rsidRPr="009B1A37" w:rsidRDefault="00E61A01" w:rsidP="00BE3D48">
      <w:pPr>
        <w:widowControl w:val="0"/>
        <w:tabs>
          <w:tab w:val="clear" w:pos="567"/>
        </w:tabs>
        <w:spacing w:line="240" w:lineRule="auto"/>
        <w:rPr>
          <w:color w:val="000000"/>
        </w:rPr>
      </w:pPr>
    </w:p>
    <w:p w14:paraId="56729B14"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5.</w:t>
      </w:r>
      <w:r w:rsidRPr="009B1A37">
        <w:rPr>
          <w:b/>
          <w:bCs/>
          <w:color w:val="000000"/>
        </w:rPr>
        <w:tab/>
        <w:t>ZPŮSOB A CESTA/CESTY PODÁNÍ</w:t>
      </w:r>
    </w:p>
    <w:p w14:paraId="05B43645" w14:textId="77777777" w:rsidR="00E61A01" w:rsidRPr="009B1A37" w:rsidRDefault="00E61A01" w:rsidP="00BE3D48">
      <w:pPr>
        <w:pStyle w:val="EndnoteText"/>
        <w:widowControl w:val="0"/>
        <w:tabs>
          <w:tab w:val="clear" w:pos="567"/>
        </w:tabs>
      </w:pPr>
    </w:p>
    <w:p w14:paraId="6D92AD09" w14:textId="77777777" w:rsidR="00E61A01" w:rsidRPr="009B1A37" w:rsidRDefault="00E61A01" w:rsidP="00BE3D48">
      <w:pPr>
        <w:pStyle w:val="EndnoteText"/>
        <w:widowControl w:val="0"/>
        <w:tabs>
          <w:tab w:val="clear" w:pos="567"/>
        </w:tabs>
        <w:rPr>
          <w:color w:val="000000"/>
        </w:rPr>
      </w:pPr>
      <w:r w:rsidRPr="009B1A37">
        <w:rPr>
          <w:color w:val="000000"/>
        </w:rPr>
        <w:t>Perorální podání. Před použitím si přečtěte příbalovou informaci.</w:t>
      </w:r>
    </w:p>
    <w:p w14:paraId="2F052669" w14:textId="77777777" w:rsidR="00E61A01" w:rsidRPr="009B1A37" w:rsidRDefault="00E61A01" w:rsidP="00BE3D48">
      <w:pPr>
        <w:widowControl w:val="0"/>
        <w:tabs>
          <w:tab w:val="clear" w:pos="567"/>
        </w:tabs>
        <w:spacing w:line="240" w:lineRule="auto"/>
        <w:rPr>
          <w:color w:val="000000"/>
        </w:rPr>
      </w:pPr>
    </w:p>
    <w:p w14:paraId="739F5299" w14:textId="77777777" w:rsidR="00E61A01" w:rsidRPr="009B1A37" w:rsidRDefault="00E61A01" w:rsidP="00BE3D48">
      <w:pPr>
        <w:widowControl w:val="0"/>
        <w:tabs>
          <w:tab w:val="clear" w:pos="567"/>
        </w:tabs>
        <w:spacing w:line="240" w:lineRule="auto"/>
        <w:rPr>
          <w:color w:val="000000"/>
        </w:rPr>
      </w:pPr>
    </w:p>
    <w:p w14:paraId="4230AA39"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6.</w:t>
      </w:r>
      <w:r w:rsidRPr="009B1A37">
        <w:rPr>
          <w:b/>
          <w:bCs/>
          <w:color w:val="000000"/>
        </w:rPr>
        <w:tab/>
        <w:t xml:space="preserve">ZVLÁŠTNÍ UPOZORNĚNÍ, ŽE LÉČIVÝ PŘÍPRAVEK MUSÍ BÝT UCHOVÁVÁN MIMO </w:t>
      </w:r>
      <w:r w:rsidR="00B00096" w:rsidRPr="009B1A37">
        <w:rPr>
          <w:b/>
          <w:bCs/>
          <w:color w:val="000000"/>
        </w:rPr>
        <w:t xml:space="preserve">DOHLED A </w:t>
      </w:r>
      <w:r w:rsidRPr="009B1A37">
        <w:rPr>
          <w:b/>
          <w:bCs/>
          <w:color w:val="000000"/>
        </w:rPr>
        <w:t>DOSAH DĚTÍ</w:t>
      </w:r>
    </w:p>
    <w:p w14:paraId="5FFF233F" w14:textId="77777777" w:rsidR="00E61A01" w:rsidRPr="009B1A37" w:rsidRDefault="00E61A01" w:rsidP="00BE3D48">
      <w:pPr>
        <w:widowControl w:val="0"/>
        <w:tabs>
          <w:tab w:val="clear" w:pos="567"/>
        </w:tabs>
        <w:spacing w:line="240" w:lineRule="auto"/>
      </w:pPr>
    </w:p>
    <w:p w14:paraId="59F82038" w14:textId="77777777" w:rsidR="00E61A01" w:rsidRPr="009B1A37" w:rsidRDefault="00E61A01" w:rsidP="00BE3D48">
      <w:pPr>
        <w:widowControl w:val="0"/>
        <w:tabs>
          <w:tab w:val="clear" w:pos="567"/>
        </w:tabs>
        <w:spacing w:line="240" w:lineRule="auto"/>
        <w:rPr>
          <w:color w:val="000000"/>
        </w:rPr>
      </w:pPr>
      <w:r w:rsidRPr="009B1A37">
        <w:rPr>
          <w:color w:val="000000"/>
        </w:rPr>
        <w:t xml:space="preserve">Uchovávejte mimo </w:t>
      </w:r>
      <w:r w:rsidR="00B00096" w:rsidRPr="009B1A37">
        <w:rPr>
          <w:color w:val="000000"/>
        </w:rPr>
        <w:t xml:space="preserve">dohled a </w:t>
      </w:r>
      <w:r w:rsidRPr="009B1A37">
        <w:rPr>
          <w:color w:val="000000"/>
        </w:rPr>
        <w:t>dosah dětí.</w:t>
      </w:r>
    </w:p>
    <w:p w14:paraId="1EF8F99C" w14:textId="77777777" w:rsidR="00E61A01" w:rsidRPr="009B1A37" w:rsidRDefault="00E61A01" w:rsidP="00BE3D48">
      <w:pPr>
        <w:widowControl w:val="0"/>
        <w:tabs>
          <w:tab w:val="clear" w:pos="567"/>
        </w:tabs>
        <w:spacing w:line="240" w:lineRule="auto"/>
        <w:rPr>
          <w:color w:val="000000"/>
        </w:rPr>
      </w:pPr>
    </w:p>
    <w:p w14:paraId="508C9369" w14:textId="77777777" w:rsidR="00E61A01" w:rsidRPr="009B1A37" w:rsidRDefault="00E61A01" w:rsidP="00BE3D48">
      <w:pPr>
        <w:widowControl w:val="0"/>
        <w:tabs>
          <w:tab w:val="clear" w:pos="567"/>
        </w:tabs>
        <w:spacing w:line="240" w:lineRule="auto"/>
        <w:rPr>
          <w:color w:val="000000"/>
        </w:rPr>
      </w:pPr>
    </w:p>
    <w:p w14:paraId="3C0016C2"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7.</w:t>
      </w:r>
      <w:r w:rsidRPr="009B1A37">
        <w:rPr>
          <w:b/>
          <w:bCs/>
          <w:color w:val="000000"/>
        </w:rPr>
        <w:tab/>
        <w:t>DALŠÍ ZVLÁŠTNÍ UPOZORNĚNÍ, POKUD JE POTŘEBNÉ</w:t>
      </w:r>
    </w:p>
    <w:p w14:paraId="6A75F4BA" w14:textId="77777777" w:rsidR="00E61A01" w:rsidRPr="009B1A37" w:rsidRDefault="00E61A01" w:rsidP="00BE3D48">
      <w:pPr>
        <w:widowControl w:val="0"/>
        <w:tabs>
          <w:tab w:val="clear" w:pos="567"/>
        </w:tabs>
        <w:spacing w:line="240" w:lineRule="auto"/>
      </w:pPr>
    </w:p>
    <w:p w14:paraId="4A3A851F" w14:textId="77777777" w:rsidR="00E61A01" w:rsidRPr="009B1A37" w:rsidRDefault="00E61A01" w:rsidP="00BE3D48">
      <w:pPr>
        <w:pStyle w:val="EndnoteText"/>
        <w:widowControl w:val="0"/>
        <w:tabs>
          <w:tab w:val="clear" w:pos="567"/>
        </w:tabs>
        <w:rPr>
          <w:color w:val="000000"/>
        </w:rPr>
      </w:pPr>
      <w:r w:rsidRPr="009B1A37">
        <w:rPr>
          <w:color w:val="000000"/>
        </w:rPr>
        <w:t>Užívejte pouze podle doporučení lékaře.</w:t>
      </w:r>
    </w:p>
    <w:p w14:paraId="4211D246" w14:textId="77777777" w:rsidR="00E61A01" w:rsidRPr="009B1A37" w:rsidRDefault="00E61A01" w:rsidP="00BE3D48">
      <w:pPr>
        <w:widowControl w:val="0"/>
        <w:tabs>
          <w:tab w:val="clear" w:pos="567"/>
        </w:tabs>
        <w:spacing w:line="240" w:lineRule="auto"/>
        <w:rPr>
          <w:color w:val="000000"/>
        </w:rPr>
      </w:pPr>
    </w:p>
    <w:p w14:paraId="40BCA35E" w14:textId="77777777" w:rsidR="00E61A01" w:rsidRPr="009B1A37" w:rsidRDefault="00E61A01" w:rsidP="00BE3D48">
      <w:pPr>
        <w:widowControl w:val="0"/>
        <w:tabs>
          <w:tab w:val="clear" w:pos="567"/>
        </w:tabs>
        <w:spacing w:line="240" w:lineRule="auto"/>
        <w:rPr>
          <w:color w:val="000000"/>
        </w:rPr>
      </w:pPr>
    </w:p>
    <w:p w14:paraId="1FD4221F"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8.</w:t>
      </w:r>
      <w:r w:rsidRPr="009B1A37">
        <w:rPr>
          <w:b/>
          <w:bCs/>
          <w:color w:val="000000"/>
        </w:rPr>
        <w:tab/>
        <w:t>POUŽITELNOST</w:t>
      </w:r>
    </w:p>
    <w:p w14:paraId="282DB1FD" w14:textId="77777777" w:rsidR="00E61A01" w:rsidRPr="009B1A37" w:rsidRDefault="00E61A01" w:rsidP="00BE3D48">
      <w:pPr>
        <w:widowControl w:val="0"/>
        <w:tabs>
          <w:tab w:val="clear" w:pos="567"/>
        </w:tabs>
        <w:spacing w:line="240" w:lineRule="auto"/>
      </w:pPr>
    </w:p>
    <w:p w14:paraId="7C120F9F" w14:textId="77777777" w:rsidR="00E61A01" w:rsidRPr="009B1A37" w:rsidRDefault="00E61A01" w:rsidP="00BE3D48">
      <w:pPr>
        <w:pStyle w:val="EndnoteText"/>
        <w:widowControl w:val="0"/>
        <w:tabs>
          <w:tab w:val="clear" w:pos="567"/>
        </w:tabs>
        <w:rPr>
          <w:color w:val="000000"/>
        </w:rPr>
      </w:pPr>
      <w:r w:rsidRPr="009B1A37">
        <w:rPr>
          <w:color w:val="000000"/>
        </w:rPr>
        <w:t>EXP</w:t>
      </w:r>
    </w:p>
    <w:p w14:paraId="5BEE495C" w14:textId="77777777" w:rsidR="00E61A01" w:rsidRPr="009B1A37" w:rsidRDefault="00E61A01" w:rsidP="00BE3D48">
      <w:pPr>
        <w:widowControl w:val="0"/>
        <w:tabs>
          <w:tab w:val="clear" w:pos="567"/>
        </w:tabs>
        <w:spacing w:line="240" w:lineRule="auto"/>
        <w:rPr>
          <w:color w:val="000000"/>
        </w:rPr>
      </w:pPr>
    </w:p>
    <w:p w14:paraId="5F813F56" w14:textId="77777777" w:rsidR="00E61A01" w:rsidRPr="009B1A37" w:rsidRDefault="00E61A01" w:rsidP="00BE3D48">
      <w:pPr>
        <w:widowControl w:val="0"/>
        <w:tabs>
          <w:tab w:val="clear" w:pos="567"/>
        </w:tabs>
        <w:spacing w:line="240" w:lineRule="auto"/>
        <w:rPr>
          <w:color w:val="000000"/>
        </w:rPr>
      </w:pPr>
    </w:p>
    <w:p w14:paraId="7C67BC2D" w14:textId="77777777" w:rsidR="00E61A01" w:rsidRPr="009B1A37" w:rsidRDefault="00E61A01" w:rsidP="00BE3D48">
      <w:pPr>
        <w:keepNext/>
        <w:keepLines/>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9.</w:t>
      </w:r>
      <w:r w:rsidRPr="009B1A37">
        <w:rPr>
          <w:b/>
          <w:bCs/>
          <w:color w:val="000000"/>
        </w:rPr>
        <w:tab/>
        <w:t>ZVLÁŠTNÍ PODMÍNKY PRO UCHOVÁVÁNÍ</w:t>
      </w:r>
    </w:p>
    <w:p w14:paraId="32AB06CE" w14:textId="77777777" w:rsidR="00E61A01" w:rsidRPr="009B1A37" w:rsidRDefault="00E61A01" w:rsidP="00BE3D48">
      <w:pPr>
        <w:keepNext/>
        <w:keepLines/>
        <w:widowControl w:val="0"/>
        <w:tabs>
          <w:tab w:val="clear" w:pos="567"/>
        </w:tabs>
        <w:spacing w:line="240" w:lineRule="auto"/>
      </w:pPr>
    </w:p>
    <w:p w14:paraId="6630DB6F" w14:textId="77777777" w:rsidR="00E61A01" w:rsidRPr="009B1A37" w:rsidRDefault="00E61A01" w:rsidP="00BE3D48">
      <w:pPr>
        <w:pStyle w:val="Text"/>
        <w:keepNext/>
        <w:keepLines/>
        <w:widowControl w:val="0"/>
        <w:spacing w:before="0"/>
        <w:jc w:val="left"/>
        <w:rPr>
          <w:color w:val="000000"/>
          <w:sz w:val="22"/>
          <w:szCs w:val="22"/>
          <w:lang w:val="cs-CZ"/>
        </w:rPr>
      </w:pPr>
      <w:r w:rsidRPr="009B1A37">
        <w:rPr>
          <w:color w:val="000000"/>
          <w:sz w:val="22"/>
          <w:szCs w:val="22"/>
          <w:lang w:val="cs-CZ"/>
        </w:rPr>
        <w:t>Neuchovávejte při teplotě nad 30</w:t>
      </w:r>
      <w:r w:rsidR="00242082" w:rsidRPr="009B1A37">
        <w:rPr>
          <w:color w:val="000000"/>
          <w:sz w:val="22"/>
          <w:szCs w:val="22"/>
          <w:lang w:val="cs-CZ"/>
        </w:rPr>
        <w:t> </w:t>
      </w:r>
      <w:r w:rsidRPr="009B1A37">
        <w:rPr>
          <w:rFonts w:ascii="Symbol" w:hAnsi="Symbol"/>
          <w:color w:val="000000"/>
          <w:sz w:val="22"/>
          <w:szCs w:val="22"/>
          <w:lang w:val="cs-CZ"/>
        </w:rPr>
        <w:t></w:t>
      </w:r>
      <w:r w:rsidRPr="009B1A37">
        <w:rPr>
          <w:color w:val="000000"/>
          <w:sz w:val="22"/>
          <w:szCs w:val="22"/>
          <w:lang w:val="cs-CZ"/>
        </w:rPr>
        <w:t>C. Uchovávejte v původním obalu, aby byl přípravek chráněn před vlhkostí.</w:t>
      </w:r>
    </w:p>
    <w:p w14:paraId="7B5F1FEA" w14:textId="77777777" w:rsidR="00E61A01" w:rsidRPr="009B1A37" w:rsidRDefault="00E61A01" w:rsidP="00BE3D48">
      <w:pPr>
        <w:widowControl w:val="0"/>
        <w:tabs>
          <w:tab w:val="clear" w:pos="567"/>
        </w:tabs>
        <w:spacing w:line="240" w:lineRule="auto"/>
        <w:rPr>
          <w:color w:val="000000"/>
        </w:rPr>
      </w:pPr>
    </w:p>
    <w:p w14:paraId="0B58581C" w14:textId="77777777" w:rsidR="00E61A01" w:rsidRPr="009B1A37" w:rsidRDefault="00E61A01" w:rsidP="00BE3D48">
      <w:pPr>
        <w:widowControl w:val="0"/>
        <w:tabs>
          <w:tab w:val="clear" w:pos="567"/>
        </w:tabs>
        <w:spacing w:line="240" w:lineRule="auto"/>
        <w:rPr>
          <w:color w:val="000000"/>
        </w:rPr>
      </w:pPr>
    </w:p>
    <w:p w14:paraId="5738E6A3"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10.</w:t>
      </w:r>
      <w:r w:rsidRPr="009B1A37">
        <w:rPr>
          <w:b/>
          <w:bCs/>
          <w:color w:val="000000"/>
        </w:rPr>
        <w:tab/>
        <w:t>ZVLÁŠTNÍ OPATŘENÍ PRO LIKVIDACI NEPOUŽITÝCH LÉČIVÝCH PŘÍPRAVKŮ NEBO ODPADU Z </w:t>
      </w:r>
      <w:r w:rsidR="00B00096" w:rsidRPr="009B1A37">
        <w:rPr>
          <w:b/>
          <w:bCs/>
          <w:color w:val="000000"/>
        </w:rPr>
        <w:t>NICH</w:t>
      </w:r>
      <w:r w:rsidRPr="009B1A37">
        <w:rPr>
          <w:b/>
          <w:bCs/>
          <w:color w:val="000000"/>
        </w:rPr>
        <w:t>, POKUD JE TO VHODNÉ</w:t>
      </w:r>
    </w:p>
    <w:p w14:paraId="3CF4EB75" w14:textId="77777777" w:rsidR="00E61A01" w:rsidRPr="009B1A37" w:rsidRDefault="00E61A01" w:rsidP="00BE3D48">
      <w:pPr>
        <w:widowControl w:val="0"/>
        <w:tabs>
          <w:tab w:val="clear" w:pos="567"/>
        </w:tabs>
        <w:spacing w:line="240" w:lineRule="auto"/>
      </w:pPr>
    </w:p>
    <w:p w14:paraId="1AF9C518" w14:textId="77777777" w:rsidR="00E61A01" w:rsidRPr="009B1A37" w:rsidRDefault="00E61A01" w:rsidP="00BE3D48">
      <w:pPr>
        <w:widowControl w:val="0"/>
        <w:tabs>
          <w:tab w:val="clear" w:pos="567"/>
        </w:tabs>
        <w:spacing w:line="240" w:lineRule="auto"/>
        <w:rPr>
          <w:color w:val="000000"/>
        </w:rPr>
      </w:pPr>
    </w:p>
    <w:p w14:paraId="7B0AD82C"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11.</w:t>
      </w:r>
      <w:r w:rsidRPr="009B1A37">
        <w:rPr>
          <w:b/>
          <w:bCs/>
          <w:color w:val="000000"/>
        </w:rPr>
        <w:tab/>
        <w:t>NÁZEV A ADRESA DRŽITELE ROZHODNUTÍ O REGISTRACI</w:t>
      </w:r>
    </w:p>
    <w:p w14:paraId="6A140180" w14:textId="77777777" w:rsidR="00E61A01" w:rsidRPr="009B1A37" w:rsidRDefault="00E61A01" w:rsidP="00BE3D48">
      <w:pPr>
        <w:widowControl w:val="0"/>
        <w:tabs>
          <w:tab w:val="clear" w:pos="567"/>
        </w:tabs>
        <w:spacing w:line="240" w:lineRule="auto"/>
      </w:pPr>
    </w:p>
    <w:p w14:paraId="1C8A6C89" w14:textId="77777777" w:rsidR="00E61A01" w:rsidRPr="009B1A37" w:rsidRDefault="00E61A01" w:rsidP="00BE3D48">
      <w:pPr>
        <w:pStyle w:val="EndnoteText"/>
        <w:widowControl w:val="0"/>
        <w:tabs>
          <w:tab w:val="clear" w:pos="567"/>
        </w:tabs>
        <w:rPr>
          <w:color w:val="000000"/>
        </w:rPr>
      </w:pPr>
      <w:r w:rsidRPr="009B1A37">
        <w:rPr>
          <w:color w:val="000000"/>
        </w:rPr>
        <w:t>Novartis Europharm Limited</w:t>
      </w:r>
    </w:p>
    <w:p w14:paraId="05727FDE" w14:textId="77777777" w:rsidR="00F05B3D" w:rsidRPr="009B1A37" w:rsidRDefault="00F05B3D" w:rsidP="00BE3D48">
      <w:pPr>
        <w:keepNext/>
        <w:widowControl w:val="0"/>
        <w:spacing w:line="240" w:lineRule="auto"/>
        <w:rPr>
          <w:color w:val="000000"/>
        </w:rPr>
      </w:pPr>
      <w:r w:rsidRPr="009B1A37">
        <w:rPr>
          <w:color w:val="000000"/>
        </w:rPr>
        <w:t>Vista Building</w:t>
      </w:r>
    </w:p>
    <w:p w14:paraId="14A00EB0" w14:textId="77777777" w:rsidR="00F05B3D" w:rsidRPr="009B1A37" w:rsidRDefault="00F05B3D" w:rsidP="00BE3D48">
      <w:pPr>
        <w:keepNext/>
        <w:widowControl w:val="0"/>
        <w:spacing w:line="240" w:lineRule="auto"/>
        <w:rPr>
          <w:color w:val="000000"/>
        </w:rPr>
      </w:pPr>
      <w:r w:rsidRPr="009B1A37">
        <w:rPr>
          <w:color w:val="000000"/>
        </w:rPr>
        <w:t>Elm Park, Merrion Road</w:t>
      </w:r>
    </w:p>
    <w:p w14:paraId="5B6041C3" w14:textId="77777777" w:rsidR="00F05B3D" w:rsidRPr="009B1A37" w:rsidRDefault="00F05B3D" w:rsidP="00BE3D48">
      <w:pPr>
        <w:keepNext/>
        <w:widowControl w:val="0"/>
        <w:spacing w:line="240" w:lineRule="auto"/>
        <w:rPr>
          <w:color w:val="000000"/>
        </w:rPr>
      </w:pPr>
      <w:r w:rsidRPr="009B1A37">
        <w:rPr>
          <w:color w:val="000000"/>
        </w:rPr>
        <w:t>Dublin 4</w:t>
      </w:r>
    </w:p>
    <w:p w14:paraId="16C7CF27" w14:textId="77777777" w:rsidR="00E61A01" w:rsidRPr="009B1A37" w:rsidRDefault="00F05B3D" w:rsidP="00BE3D48">
      <w:pPr>
        <w:widowControl w:val="0"/>
        <w:spacing w:line="240" w:lineRule="auto"/>
        <w:rPr>
          <w:color w:val="000000"/>
        </w:rPr>
      </w:pPr>
      <w:r w:rsidRPr="009B1A37">
        <w:rPr>
          <w:color w:val="000000"/>
        </w:rPr>
        <w:t>Irsko</w:t>
      </w:r>
    </w:p>
    <w:p w14:paraId="0A62C192" w14:textId="77777777" w:rsidR="00E61A01" w:rsidRPr="009B1A37" w:rsidRDefault="00E61A01" w:rsidP="00BE3D48">
      <w:pPr>
        <w:widowControl w:val="0"/>
        <w:tabs>
          <w:tab w:val="clear" w:pos="567"/>
        </w:tabs>
        <w:spacing w:line="240" w:lineRule="auto"/>
        <w:rPr>
          <w:color w:val="000000"/>
        </w:rPr>
      </w:pPr>
    </w:p>
    <w:p w14:paraId="09A8AC93" w14:textId="77777777" w:rsidR="00E61A01" w:rsidRPr="009B1A37" w:rsidRDefault="00E61A01" w:rsidP="00BE3D48">
      <w:pPr>
        <w:widowControl w:val="0"/>
        <w:tabs>
          <w:tab w:val="clear" w:pos="567"/>
        </w:tabs>
        <w:spacing w:line="240" w:lineRule="auto"/>
        <w:rPr>
          <w:color w:val="000000"/>
        </w:rPr>
      </w:pPr>
    </w:p>
    <w:p w14:paraId="26F12F2A"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12.</w:t>
      </w:r>
      <w:r w:rsidRPr="009B1A37">
        <w:rPr>
          <w:b/>
          <w:bCs/>
          <w:color w:val="000000"/>
        </w:rPr>
        <w:tab/>
        <w:t>REGISTRAČNÍ ČÍSLO</w:t>
      </w:r>
      <w:r w:rsidR="00B00096" w:rsidRPr="009B1A37">
        <w:rPr>
          <w:b/>
          <w:bCs/>
          <w:color w:val="000000"/>
        </w:rPr>
        <w:t>/ČÍSLA</w:t>
      </w:r>
    </w:p>
    <w:p w14:paraId="0DAB14BC" w14:textId="77777777" w:rsidR="00E61A01" w:rsidRPr="009B1A37" w:rsidRDefault="00E61A01" w:rsidP="00BE3D48">
      <w:pPr>
        <w:widowControl w:val="0"/>
        <w:tabs>
          <w:tab w:val="clear" w:pos="567"/>
        </w:tabs>
        <w:spacing w:line="240" w:lineRule="auto"/>
      </w:pPr>
    </w:p>
    <w:p w14:paraId="774725CB" w14:textId="77777777" w:rsidR="00E61A01" w:rsidRPr="009B1A37" w:rsidRDefault="00E61A01" w:rsidP="00BE3D48">
      <w:pPr>
        <w:pStyle w:val="EndnoteText"/>
        <w:widowControl w:val="0"/>
        <w:tabs>
          <w:tab w:val="clear" w:pos="567"/>
          <w:tab w:val="left" w:pos="2268"/>
        </w:tabs>
        <w:rPr>
          <w:color w:val="000000"/>
          <w:shd w:val="clear" w:color="auto" w:fill="D9D9D9"/>
        </w:rPr>
      </w:pPr>
      <w:r w:rsidRPr="009B1A37">
        <w:rPr>
          <w:color w:val="000000"/>
        </w:rPr>
        <w:t>EU/1/01/198/007</w:t>
      </w:r>
      <w:r w:rsidRPr="009B1A37">
        <w:rPr>
          <w:color w:val="000000"/>
        </w:rPr>
        <w:tab/>
      </w:r>
      <w:r w:rsidRPr="009B1A37">
        <w:rPr>
          <w:color w:val="000000"/>
          <w:shd w:val="clear" w:color="auto" w:fill="D9D9D9"/>
        </w:rPr>
        <w:t>20 tablet</w:t>
      </w:r>
      <w:r w:rsidR="007A4522" w:rsidRPr="009B1A37">
        <w:rPr>
          <w:color w:val="000000"/>
          <w:shd w:val="clear" w:color="auto" w:fill="D9D9D9"/>
        </w:rPr>
        <w:t xml:space="preserve"> </w:t>
      </w:r>
      <w:r w:rsidR="007A4522" w:rsidRPr="009B1A37">
        <w:rPr>
          <w:color w:val="000000"/>
          <w:shd w:val="pct15" w:color="auto" w:fill="auto"/>
        </w:rPr>
        <w:t>(PVC/Al blistry)</w:t>
      </w:r>
    </w:p>
    <w:p w14:paraId="7F81D11B" w14:textId="77777777" w:rsidR="00E61A01" w:rsidRPr="009B1A37" w:rsidRDefault="00E61A01" w:rsidP="00BE3D48">
      <w:pPr>
        <w:widowControl w:val="0"/>
        <w:tabs>
          <w:tab w:val="clear" w:pos="567"/>
          <w:tab w:val="left" w:pos="2268"/>
        </w:tabs>
        <w:spacing w:line="240" w:lineRule="auto"/>
        <w:rPr>
          <w:color w:val="000000"/>
          <w:shd w:val="clear" w:color="auto" w:fill="D9D9D9"/>
        </w:rPr>
      </w:pPr>
      <w:r w:rsidRPr="009B1A37">
        <w:rPr>
          <w:color w:val="000000"/>
          <w:shd w:val="clear" w:color="auto" w:fill="D9D9D9"/>
        </w:rPr>
        <w:t>EU/1/01/198/008</w:t>
      </w:r>
      <w:r w:rsidRPr="009B1A37">
        <w:rPr>
          <w:color w:val="000000"/>
          <w:shd w:val="clear" w:color="auto" w:fill="D9D9D9"/>
        </w:rPr>
        <w:tab/>
        <w:t>60 tablet</w:t>
      </w:r>
      <w:r w:rsidR="007A4522" w:rsidRPr="009B1A37">
        <w:rPr>
          <w:color w:val="000000"/>
          <w:shd w:val="clear" w:color="auto" w:fill="D9D9D9"/>
        </w:rPr>
        <w:t xml:space="preserve"> </w:t>
      </w:r>
      <w:r w:rsidR="007A4522" w:rsidRPr="009B1A37">
        <w:rPr>
          <w:color w:val="000000"/>
          <w:shd w:val="pct15" w:color="auto" w:fill="auto"/>
        </w:rPr>
        <w:t>(PVC/Al blistry)</w:t>
      </w:r>
    </w:p>
    <w:p w14:paraId="323FFC75" w14:textId="77777777" w:rsidR="00E61A01" w:rsidRPr="009B1A37" w:rsidRDefault="00E61A01" w:rsidP="00BE3D48">
      <w:pPr>
        <w:widowControl w:val="0"/>
        <w:tabs>
          <w:tab w:val="clear" w:pos="567"/>
          <w:tab w:val="left" w:pos="2268"/>
        </w:tabs>
        <w:spacing w:line="240" w:lineRule="auto"/>
        <w:rPr>
          <w:color w:val="000000"/>
          <w:shd w:val="clear" w:color="auto" w:fill="D9D9D9"/>
        </w:rPr>
      </w:pPr>
      <w:r w:rsidRPr="009B1A37">
        <w:rPr>
          <w:color w:val="000000"/>
          <w:shd w:val="clear" w:color="auto" w:fill="D9D9D9"/>
        </w:rPr>
        <w:t>EU/1/01/198/011</w:t>
      </w:r>
      <w:r w:rsidRPr="009B1A37">
        <w:rPr>
          <w:color w:val="000000"/>
          <w:shd w:val="clear" w:color="auto" w:fill="D9D9D9"/>
        </w:rPr>
        <w:tab/>
        <w:t>120 tablet</w:t>
      </w:r>
      <w:r w:rsidR="007A4522" w:rsidRPr="009B1A37">
        <w:rPr>
          <w:color w:val="000000"/>
          <w:shd w:val="clear" w:color="auto" w:fill="D9D9D9"/>
        </w:rPr>
        <w:t xml:space="preserve"> </w:t>
      </w:r>
      <w:r w:rsidR="007A4522" w:rsidRPr="009B1A37">
        <w:rPr>
          <w:color w:val="000000"/>
          <w:shd w:val="pct15" w:color="auto" w:fill="auto"/>
        </w:rPr>
        <w:t>(PVC/Al blistry)</w:t>
      </w:r>
    </w:p>
    <w:p w14:paraId="5BC4F3E3" w14:textId="77777777" w:rsidR="00E61A01" w:rsidRPr="009B1A37" w:rsidRDefault="00E61A01" w:rsidP="00BE3D48">
      <w:pPr>
        <w:widowControl w:val="0"/>
        <w:tabs>
          <w:tab w:val="clear" w:pos="567"/>
          <w:tab w:val="left" w:pos="2268"/>
        </w:tabs>
        <w:spacing w:line="240" w:lineRule="auto"/>
        <w:rPr>
          <w:color w:val="000000"/>
          <w:shd w:val="clear" w:color="auto" w:fill="D9D9D9"/>
        </w:rPr>
      </w:pPr>
      <w:r w:rsidRPr="009B1A37">
        <w:rPr>
          <w:color w:val="000000"/>
          <w:shd w:val="clear" w:color="auto" w:fill="D9D9D9"/>
        </w:rPr>
        <w:t>EU/1/01/198/012</w:t>
      </w:r>
      <w:r w:rsidRPr="009B1A37">
        <w:rPr>
          <w:color w:val="000000"/>
          <w:shd w:val="clear" w:color="auto" w:fill="D9D9D9"/>
        </w:rPr>
        <w:tab/>
        <w:t>180 tablet</w:t>
      </w:r>
      <w:r w:rsidR="007A4522" w:rsidRPr="009B1A37">
        <w:rPr>
          <w:color w:val="000000"/>
          <w:shd w:val="clear" w:color="auto" w:fill="D9D9D9"/>
        </w:rPr>
        <w:t xml:space="preserve"> </w:t>
      </w:r>
      <w:r w:rsidR="007A4522" w:rsidRPr="009B1A37">
        <w:rPr>
          <w:color w:val="000000"/>
          <w:shd w:val="pct15" w:color="auto" w:fill="auto"/>
        </w:rPr>
        <w:t>(PVC/Al blistry)</w:t>
      </w:r>
    </w:p>
    <w:p w14:paraId="2DCD2E12" w14:textId="77777777" w:rsidR="007A4522" w:rsidRPr="009B1A37" w:rsidRDefault="007A4522" w:rsidP="00BE3D48">
      <w:pPr>
        <w:widowControl w:val="0"/>
        <w:tabs>
          <w:tab w:val="clear" w:pos="567"/>
        </w:tabs>
        <w:spacing w:line="240" w:lineRule="auto"/>
        <w:ind w:left="2268" w:hanging="2268"/>
        <w:rPr>
          <w:color w:val="000000"/>
          <w:shd w:val="clear" w:color="auto" w:fill="D9D9D9"/>
        </w:rPr>
      </w:pPr>
      <w:r w:rsidRPr="009B1A37">
        <w:rPr>
          <w:color w:val="000000"/>
          <w:shd w:val="clear" w:color="auto" w:fill="D9D9D9"/>
        </w:rPr>
        <w:t>EU/1/01/198/01</w:t>
      </w:r>
      <w:r w:rsidR="004A3DDA" w:rsidRPr="009B1A37">
        <w:rPr>
          <w:color w:val="000000"/>
          <w:shd w:val="clear" w:color="auto" w:fill="D9D9D9"/>
        </w:rPr>
        <w:t>4</w:t>
      </w:r>
      <w:r w:rsidRPr="009B1A37">
        <w:rPr>
          <w:color w:val="000000"/>
          <w:shd w:val="clear" w:color="auto" w:fill="D9D9D9"/>
        </w:rPr>
        <w:tab/>
      </w:r>
      <w:r w:rsidR="004A3DDA" w:rsidRPr="009B1A37">
        <w:rPr>
          <w:color w:val="000000"/>
          <w:shd w:val="clear" w:color="auto" w:fill="D9D9D9"/>
        </w:rPr>
        <w:t>6</w:t>
      </w:r>
      <w:r w:rsidRPr="009B1A37">
        <w:rPr>
          <w:color w:val="000000"/>
          <w:shd w:val="clear" w:color="auto" w:fill="D9D9D9"/>
        </w:rPr>
        <w:t xml:space="preserve">0 tablet </w:t>
      </w:r>
      <w:r w:rsidRPr="009B1A37">
        <w:rPr>
          <w:color w:val="000000"/>
          <w:shd w:val="pct15" w:color="auto" w:fill="auto"/>
        </w:rPr>
        <w:t>(PVDC/Al blistry)</w:t>
      </w:r>
    </w:p>
    <w:p w14:paraId="336D43E1" w14:textId="77777777" w:rsidR="007A4522" w:rsidRPr="009B1A37" w:rsidRDefault="007A4522" w:rsidP="00BE3D48">
      <w:pPr>
        <w:widowControl w:val="0"/>
        <w:tabs>
          <w:tab w:val="clear" w:pos="567"/>
        </w:tabs>
        <w:spacing w:line="240" w:lineRule="auto"/>
        <w:ind w:left="2268" w:hanging="2268"/>
        <w:rPr>
          <w:color w:val="000000"/>
          <w:shd w:val="clear" w:color="auto" w:fill="D9D9D9"/>
        </w:rPr>
      </w:pPr>
      <w:r w:rsidRPr="009B1A37">
        <w:rPr>
          <w:color w:val="000000"/>
          <w:shd w:val="clear" w:color="auto" w:fill="D9D9D9"/>
        </w:rPr>
        <w:t>EU/1/01/198/01</w:t>
      </w:r>
      <w:r w:rsidR="004A3DDA" w:rsidRPr="009B1A37">
        <w:rPr>
          <w:color w:val="000000"/>
          <w:shd w:val="clear" w:color="auto" w:fill="D9D9D9"/>
        </w:rPr>
        <w:t>5</w:t>
      </w:r>
      <w:r w:rsidRPr="009B1A37">
        <w:rPr>
          <w:color w:val="000000"/>
          <w:shd w:val="clear" w:color="auto" w:fill="D9D9D9"/>
        </w:rPr>
        <w:tab/>
        <w:t>1</w:t>
      </w:r>
      <w:r w:rsidR="004A3DDA" w:rsidRPr="009B1A37">
        <w:rPr>
          <w:color w:val="000000"/>
          <w:shd w:val="clear" w:color="auto" w:fill="D9D9D9"/>
        </w:rPr>
        <w:t>2</w:t>
      </w:r>
      <w:r w:rsidRPr="009B1A37">
        <w:rPr>
          <w:color w:val="000000"/>
          <w:shd w:val="clear" w:color="auto" w:fill="D9D9D9"/>
        </w:rPr>
        <w:t xml:space="preserve">0 tablet </w:t>
      </w:r>
      <w:r w:rsidRPr="009B1A37">
        <w:rPr>
          <w:color w:val="000000"/>
          <w:shd w:val="pct15" w:color="auto" w:fill="auto"/>
        </w:rPr>
        <w:t>(PVDC/Al blistry)</w:t>
      </w:r>
    </w:p>
    <w:p w14:paraId="01D1D254" w14:textId="77777777" w:rsidR="00C40642" w:rsidRPr="009B1A37" w:rsidRDefault="00C40642" w:rsidP="00BE3D48">
      <w:pPr>
        <w:widowControl w:val="0"/>
        <w:tabs>
          <w:tab w:val="clear" w:pos="567"/>
          <w:tab w:val="left" w:pos="2268"/>
        </w:tabs>
        <w:spacing w:line="240" w:lineRule="auto"/>
        <w:rPr>
          <w:color w:val="000000"/>
          <w:shd w:val="clear" w:color="auto" w:fill="D9D9D9"/>
        </w:rPr>
      </w:pPr>
      <w:r w:rsidRPr="009B1A37">
        <w:rPr>
          <w:color w:val="000000"/>
          <w:shd w:val="clear" w:color="auto" w:fill="D9D9D9"/>
        </w:rPr>
        <w:t>EU/1/01/198/01</w:t>
      </w:r>
      <w:r w:rsidR="004A3DDA" w:rsidRPr="009B1A37">
        <w:rPr>
          <w:color w:val="000000"/>
          <w:shd w:val="clear" w:color="auto" w:fill="D9D9D9"/>
        </w:rPr>
        <w:t>6</w:t>
      </w:r>
      <w:r w:rsidRPr="009B1A37">
        <w:rPr>
          <w:color w:val="000000"/>
          <w:shd w:val="clear" w:color="auto" w:fill="D9D9D9"/>
        </w:rPr>
        <w:tab/>
      </w:r>
      <w:r w:rsidR="004A3DDA" w:rsidRPr="009B1A37">
        <w:rPr>
          <w:color w:val="000000"/>
          <w:shd w:val="clear" w:color="auto" w:fill="D9D9D9"/>
        </w:rPr>
        <w:t>18</w:t>
      </w:r>
      <w:r w:rsidRPr="009B1A37">
        <w:rPr>
          <w:color w:val="000000"/>
          <w:shd w:val="clear" w:color="auto" w:fill="D9D9D9"/>
        </w:rPr>
        <w:t xml:space="preserve">0 tablet </w:t>
      </w:r>
      <w:r w:rsidRPr="009B1A37">
        <w:rPr>
          <w:color w:val="000000"/>
          <w:shd w:val="pct15" w:color="auto" w:fill="auto"/>
        </w:rPr>
        <w:t>(PVDC/Al blistry)</w:t>
      </w:r>
    </w:p>
    <w:p w14:paraId="697E8DD8" w14:textId="77777777" w:rsidR="00E61A01" w:rsidRPr="009B1A37" w:rsidRDefault="00E61A01" w:rsidP="00BE3D48">
      <w:pPr>
        <w:widowControl w:val="0"/>
        <w:tabs>
          <w:tab w:val="clear" w:pos="567"/>
        </w:tabs>
        <w:spacing w:line="240" w:lineRule="auto"/>
        <w:rPr>
          <w:color w:val="000000"/>
        </w:rPr>
      </w:pPr>
    </w:p>
    <w:p w14:paraId="3714938E" w14:textId="77777777" w:rsidR="00E61A01" w:rsidRPr="009B1A37" w:rsidRDefault="00E61A01" w:rsidP="00BE3D48">
      <w:pPr>
        <w:widowControl w:val="0"/>
        <w:tabs>
          <w:tab w:val="clear" w:pos="567"/>
        </w:tabs>
        <w:spacing w:line="240" w:lineRule="auto"/>
        <w:rPr>
          <w:color w:val="000000"/>
        </w:rPr>
      </w:pPr>
    </w:p>
    <w:p w14:paraId="2B6D7146"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13.</w:t>
      </w:r>
      <w:r w:rsidRPr="009B1A37">
        <w:rPr>
          <w:b/>
          <w:bCs/>
          <w:color w:val="000000"/>
        </w:rPr>
        <w:tab/>
        <w:t>ČÍSLO ŠARŽE</w:t>
      </w:r>
    </w:p>
    <w:p w14:paraId="209F573C" w14:textId="77777777" w:rsidR="00E61A01" w:rsidRPr="009B1A37" w:rsidRDefault="00E61A01" w:rsidP="00BE3D48">
      <w:pPr>
        <w:widowControl w:val="0"/>
        <w:tabs>
          <w:tab w:val="clear" w:pos="567"/>
        </w:tabs>
        <w:spacing w:line="240" w:lineRule="auto"/>
      </w:pPr>
    </w:p>
    <w:p w14:paraId="1BE2533E" w14:textId="77777777" w:rsidR="00E61A01" w:rsidRPr="009B1A37" w:rsidRDefault="00E61A01" w:rsidP="00BE3D48">
      <w:pPr>
        <w:widowControl w:val="0"/>
        <w:tabs>
          <w:tab w:val="clear" w:pos="567"/>
        </w:tabs>
        <w:spacing w:line="240" w:lineRule="auto"/>
        <w:rPr>
          <w:color w:val="000000"/>
        </w:rPr>
      </w:pPr>
      <w:r w:rsidRPr="009B1A37">
        <w:rPr>
          <w:color w:val="000000"/>
        </w:rPr>
        <w:t>č.š.:</w:t>
      </w:r>
    </w:p>
    <w:p w14:paraId="54A03F13" w14:textId="77777777" w:rsidR="00E61A01" w:rsidRPr="009B1A37" w:rsidRDefault="00E61A01" w:rsidP="00BE3D48">
      <w:pPr>
        <w:widowControl w:val="0"/>
        <w:tabs>
          <w:tab w:val="clear" w:pos="567"/>
        </w:tabs>
        <w:spacing w:line="240" w:lineRule="auto"/>
        <w:rPr>
          <w:color w:val="000000"/>
        </w:rPr>
      </w:pPr>
    </w:p>
    <w:p w14:paraId="22A095AB" w14:textId="77777777" w:rsidR="00E61A01" w:rsidRPr="009B1A37" w:rsidRDefault="00E61A01" w:rsidP="00BE3D48">
      <w:pPr>
        <w:widowControl w:val="0"/>
        <w:tabs>
          <w:tab w:val="clear" w:pos="567"/>
        </w:tabs>
        <w:spacing w:line="240" w:lineRule="auto"/>
        <w:rPr>
          <w:color w:val="000000"/>
        </w:rPr>
      </w:pPr>
    </w:p>
    <w:p w14:paraId="059A8BD4"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14.</w:t>
      </w:r>
      <w:r w:rsidRPr="009B1A37">
        <w:rPr>
          <w:b/>
          <w:bCs/>
          <w:color w:val="000000"/>
        </w:rPr>
        <w:tab/>
        <w:t>KLASIFIKACE PRO VÝDEJ</w:t>
      </w:r>
    </w:p>
    <w:p w14:paraId="14F2FB2A" w14:textId="77777777" w:rsidR="00E61A01" w:rsidRPr="009B1A37" w:rsidRDefault="00E61A01" w:rsidP="00BE3D48">
      <w:pPr>
        <w:widowControl w:val="0"/>
        <w:tabs>
          <w:tab w:val="clear" w:pos="567"/>
        </w:tabs>
        <w:spacing w:line="240" w:lineRule="auto"/>
        <w:rPr>
          <w:color w:val="000000"/>
        </w:rPr>
      </w:pPr>
    </w:p>
    <w:p w14:paraId="489A481C" w14:textId="77777777" w:rsidR="00E61A01" w:rsidRPr="009B1A37" w:rsidRDefault="00E61A01" w:rsidP="00BE3D48">
      <w:pPr>
        <w:widowControl w:val="0"/>
        <w:tabs>
          <w:tab w:val="clear" w:pos="567"/>
        </w:tabs>
        <w:spacing w:line="240" w:lineRule="auto"/>
        <w:rPr>
          <w:color w:val="000000"/>
        </w:rPr>
      </w:pPr>
    </w:p>
    <w:p w14:paraId="61CD2972"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15.</w:t>
      </w:r>
      <w:r w:rsidRPr="009B1A37">
        <w:rPr>
          <w:b/>
          <w:bCs/>
          <w:color w:val="000000"/>
        </w:rPr>
        <w:tab/>
        <w:t>NÁVOD K POUŽITÍ</w:t>
      </w:r>
    </w:p>
    <w:p w14:paraId="16BBDB00" w14:textId="77777777" w:rsidR="00E61A01" w:rsidRPr="009B1A37" w:rsidRDefault="00E61A01" w:rsidP="00BE3D48">
      <w:pPr>
        <w:widowControl w:val="0"/>
        <w:tabs>
          <w:tab w:val="clear" w:pos="567"/>
        </w:tabs>
        <w:spacing w:line="240" w:lineRule="auto"/>
      </w:pPr>
    </w:p>
    <w:p w14:paraId="3FCD47A5" w14:textId="77777777" w:rsidR="00E61A01" w:rsidRPr="009B1A37" w:rsidRDefault="00E61A01" w:rsidP="00BE3D48">
      <w:pPr>
        <w:widowControl w:val="0"/>
        <w:tabs>
          <w:tab w:val="clear" w:pos="567"/>
        </w:tabs>
        <w:spacing w:line="240" w:lineRule="auto"/>
        <w:rPr>
          <w:color w:val="000000"/>
        </w:rPr>
      </w:pPr>
    </w:p>
    <w:p w14:paraId="41426B12"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16.</w:t>
      </w:r>
      <w:r w:rsidRPr="009B1A37">
        <w:rPr>
          <w:b/>
          <w:bCs/>
          <w:color w:val="000000"/>
        </w:rPr>
        <w:tab/>
        <w:t>INFORMACE V BRAILLOVĚ PÍSMU</w:t>
      </w:r>
    </w:p>
    <w:p w14:paraId="2C125B1F" w14:textId="77777777" w:rsidR="00E61A01" w:rsidRPr="009B1A37" w:rsidRDefault="00E61A01" w:rsidP="00BE3D48">
      <w:pPr>
        <w:widowControl w:val="0"/>
        <w:tabs>
          <w:tab w:val="clear" w:pos="567"/>
        </w:tabs>
        <w:spacing w:line="240" w:lineRule="auto"/>
      </w:pPr>
    </w:p>
    <w:p w14:paraId="573E75F9" w14:textId="77777777" w:rsidR="00E61A01" w:rsidRPr="009B1A37" w:rsidRDefault="00E61A01" w:rsidP="00BE3D48">
      <w:pPr>
        <w:widowControl w:val="0"/>
        <w:tabs>
          <w:tab w:val="clear" w:pos="567"/>
        </w:tabs>
        <w:spacing w:line="240" w:lineRule="auto"/>
        <w:rPr>
          <w:color w:val="000000"/>
        </w:rPr>
      </w:pPr>
      <w:r w:rsidRPr="009B1A37">
        <w:rPr>
          <w:color w:val="000000"/>
        </w:rPr>
        <w:t>Glivec 100 mg</w:t>
      </w:r>
    </w:p>
    <w:p w14:paraId="1240B6C3" w14:textId="77777777" w:rsidR="00AC5D70" w:rsidRPr="009B1A37" w:rsidRDefault="00AC5D70" w:rsidP="00BE3D48">
      <w:pPr>
        <w:widowControl w:val="0"/>
        <w:tabs>
          <w:tab w:val="clear" w:pos="567"/>
        </w:tabs>
        <w:spacing w:line="240" w:lineRule="auto"/>
        <w:rPr>
          <w:color w:val="000000"/>
        </w:rPr>
      </w:pPr>
    </w:p>
    <w:p w14:paraId="57B0207E" w14:textId="77777777" w:rsidR="0045223D" w:rsidRPr="009B1A37" w:rsidRDefault="0045223D" w:rsidP="00BE3D48">
      <w:pPr>
        <w:widowControl w:val="0"/>
        <w:tabs>
          <w:tab w:val="clear" w:pos="567"/>
        </w:tabs>
        <w:spacing w:line="240" w:lineRule="auto"/>
        <w:rPr>
          <w:color w:val="000000"/>
        </w:rPr>
      </w:pPr>
    </w:p>
    <w:p w14:paraId="1ADB70D2" w14:textId="77777777" w:rsidR="0045223D" w:rsidRPr="009B1A37" w:rsidRDefault="0045223D" w:rsidP="00BE3D48">
      <w:pPr>
        <w:widowControl w:val="0"/>
        <w:pBdr>
          <w:top w:val="single" w:sz="4" w:space="0" w:color="auto"/>
          <w:left w:val="single" w:sz="4" w:space="4" w:color="auto"/>
          <w:bottom w:val="single" w:sz="4" w:space="1" w:color="auto"/>
          <w:right w:val="single" w:sz="4" w:space="4" w:color="auto"/>
        </w:pBdr>
        <w:tabs>
          <w:tab w:val="clear" w:pos="567"/>
        </w:tabs>
        <w:spacing w:line="240" w:lineRule="auto"/>
        <w:outlineLvl w:val="0"/>
        <w:rPr>
          <w:noProof/>
        </w:rPr>
      </w:pPr>
      <w:r w:rsidRPr="009B1A37">
        <w:rPr>
          <w:b/>
          <w:noProof/>
        </w:rPr>
        <w:t>17.</w:t>
      </w:r>
      <w:r w:rsidRPr="009B1A37">
        <w:rPr>
          <w:b/>
          <w:noProof/>
        </w:rPr>
        <w:tab/>
        <w:t>JEDINEČNÝ IDENTIFIKÁTOR – 2D ČÁROVÝ KÓD</w:t>
      </w:r>
    </w:p>
    <w:p w14:paraId="6F83E31B" w14:textId="77777777" w:rsidR="0045223D" w:rsidRPr="009B1A37" w:rsidRDefault="0045223D" w:rsidP="00BE3D48">
      <w:pPr>
        <w:keepNext/>
        <w:widowControl w:val="0"/>
        <w:tabs>
          <w:tab w:val="clear" w:pos="567"/>
        </w:tabs>
        <w:spacing w:line="240" w:lineRule="auto"/>
        <w:rPr>
          <w:noProof/>
        </w:rPr>
      </w:pPr>
    </w:p>
    <w:p w14:paraId="31AC7334" w14:textId="77777777" w:rsidR="0045223D" w:rsidRPr="009B1A37" w:rsidRDefault="0045223D" w:rsidP="00BE3D48">
      <w:pPr>
        <w:widowControl w:val="0"/>
        <w:tabs>
          <w:tab w:val="clear" w:pos="567"/>
        </w:tabs>
        <w:spacing w:line="240" w:lineRule="auto"/>
        <w:rPr>
          <w:noProof/>
          <w:shd w:val="pct15" w:color="auto" w:fill="auto"/>
        </w:rPr>
      </w:pPr>
      <w:r w:rsidRPr="009B1A37">
        <w:rPr>
          <w:noProof/>
          <w:shd w:val="pct15" w:color="auto" w:fill="auto"/>
        </w:rPr>
        <w:t>2D čárový kód s jedinečným identifikátorem.</w:t>
      </w:r>
    </w:p>
    <w:p w14:paraId="3FCC570D" w14:textId="77777777" w:rsidR="0045223D" w:rsidRPr="009B1A37" w:rsidRDefault="0045223D" w:rsidP="00BE3D48">
      <w:pPr>
        <w:widowControl w:val="0"/>
        <w:tabs>
          <w:tab w:val="clear" w:pos="567"/>
        </w:tabs>
        <w:spacing w:line="240" w:lineRule="auto"/>
        <w:rPr>
          <w:noProof/>
          <w:shd w:val="pct15" w:color="auto" w:fill="auto"/>
        </w:rPr>
      </w:pPr>
    </w:p>
    <w:p w14:paraId="1D345A4D" w14:textId="77777777" w:rsidR="0045223D" w:rsidRPr="009B1A37" w:rsidRDefault="0045223D" w:rsidP="00BE3D48">
      <w:pPr>
        <w:widowControl w:val="0"/>
        <w:tabs>
          <w:tab w:val="clear" w:pos="567"/>
        </w:tabs>
        <w:spacing w:line="240" w:lineRule="auto"/>
        <w:rPr>
          <w:noProof/>
          <w:u w:val="single"/>
        </w:rPr>
      </w:pPr>
    </w:p>
    <w:p w14:paraId="7C7907DF" w14:textId="77777777" w:rsidR="0045223D" w:rsidRPr="009B1A37" w:rsidRDefault="0045223D" w:rsidP="00BE3D48">
      <w:pPr>
        <w:keepLines/>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9B1A37">
        <w:rPr>
          <w:b/>
          <w:noProof/>
        </w:rPr>
        <w:t>18.</w:t>
      </w:r>
      <w:r w:rsidRPr="009B1A37">
        <w:rPr>
          <w:b/>
          <w:noProof/>
        </w:rPr>
        <w:tab/>
        <w:t>JEDINEČNÝ IDENTIFIKÁTOR – DATA ČITELNÁ OKEM</w:t>
      </w:r>
    </w:p>
    <w:p w14:paraId="4A2FF64A" w14:textId="77777777" w:rsidR="0045223D" w:rsidRPr="009B1A37" w:rsidRDefault="0045223D" w:rsidP="00BE3D48">
      <w:pPr>
        <w:keepLines/>
        <w:widowControl w:val="0"/>
        <w:tabs>
          <w:tab w:val="clear" w:pos="567"/>
        </w:tabs>
        <w:spacing w:line="240" w:lineRule="auto"/>
        <w:rPr>
          <w:noProof/>
          <w:u w:val="single"/>
        </w:rPr>
      </w:pPr>
    </w:p>
    <w:p w14:paraId="2D084D86" w14:textId="77777777" w:rsidR="0045223D" w:rsidRPr="009B1A37" w:rsidRDefault="0045223D" w:rsidP="00BE3D48">
      <w:pPr>
        <w:keepLines/>
        <w:widowControl w:val="0"/>
        <w:tabs>
          <w:tab w:val="clear" w:pos="567"/>
        </w:tabs>
        <w:spacing w:line="240" w:lineRule="auto"/>
        <w:rPr>
          <w:noProof/>
        </w:rPr>
      </w:pPr>
      <w:r w:rsidRPr="009B1A37">
        <w:rPr>
          <w:noProof/>
        </w:rPr>
        <w:t>PC:</w:t>
      </w:r>
    </w:p>
    <w:p w14:paraId="3292E2F3" w14:textId="77777777" w:rsidR="0045223D" w:rsidRPr="009B1A37" w:rsidRDefault="0045223D" w:rsidP="00BE3D48">
      <w:pPr>
        <w:keepLines/>
        <w:widowControl w:val="0"/>
        <w:tabs>
          <w:tab w:val="clear" w:pos="567"/>
        </w:tabs>
        <w:spacing w:line="240" w:lineRule="auto"/>
        <w:rPr>
          <w:noProof/>
        </w:rPr>
      </w:pPr>
      <w:r w:rsidRPr="009B1A37">
        <w:rPr>
          <w:noProof/>
        </w:rPr>
        <w:t>SN:</w:t>
      </w:r>
    </w:p>
    <w:p w14:paraId="481952E1" w14:textId="77777777" w:rsidR="0045223D" w:rsidRPr="009B1A37" w:rsidRDefault="0045223D" w:rsidP="00BE3D48">
      <w:pPr>
        <w:keepLines/>
        <w:widowControl w:val="0"/>
        <w:tabs>
          <w:tab w:val="clear" w:pos="567"/>
        </w:tabs>
        <w:spacing w:line="240" w:lineRule="auto"/>
        <w:rPr>
          <w:noProof/>
        </w:rPr>
      </w:pPr>
      <w:r w:rsidRPr="009B1A37">
        <w:rPr>
          <w:noProof/>
        </w:rPr>
        <w:t>NN:</w:t>
      </w:r>
    </w:p>
    <w:p w14:paraId="0E8D49F9" w14:textId="77777777" w:rsidR="00E61A01" w:rsidRPr="009B1A37" w:rsidRDefault="00E61A01" w:rsidP="00BE3D48">
      <w:pPr>
        <w:widowControl w:val="0"/>
        <w:tabs>
          <w:tab w:val="clear" w:pos="567"/>
        </w:tabs>
        <w:spacing w:line="240" w:lineRule="auto"/>
        <w:rPr>
          <w:color w:val="000000"/>
        </w:rPr>
      </w:pPr>
      <w:r w:rsidRPr="009B1A37">
        <w:rPr>
          <w:color w:val="000000"/>
        </w:rPr>
        <w:br w:type="page"/>
      </w:r>
    </w:p>
    <w:p w14:paraId="5D5B8CD4" w14:textId="77777777" w:rsidR="00EB4FF7" w:rsidRPr="009B1A37" w:rsidRDefault="00EB4FF7" w:rsidP="00EB4FF7">
      <w:pPr>
        <w:widowControl w:val="0"/>
        <w:tabs>
          <w:tab w:val="clear" w:pos="567"/>
        </w:tabs>
        <w:snapToGrid w:val="0"/>
        <w:spacing w:line="240" w:lineRule="auto"/>
        <w:rPr>
          <w:bCs/>
          <w:color w:val="000000"/>
        </w:rPr>
      </w:pPr>
    </w:p>
    <w:p w14:paraId="1C3683C6"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s>
        <w:snapToGrid w:val="0"/>
        <w:spacing w:line="240" w:lineRule="auto"/>
        <w:rPr>
          <w:b/>
          <w:bCs/>
          <w:color w:val="000000"/>
        </w:rPr>
      </w:pPr>
      <w:r w:rsidRPr="009B1A37">
        <w:rPr>
          <w:b/>
          <w:bCs/>
          <w:color w:val="000000"/>
        </w:rPr>
        <w:t>MINIMÁLNÍ ÚDAJE UVÁDĚNÉ NA BLISTRECH NEBO STRIPECH</w:t>
      </w:r>
    </w:p>
    <w:p w14:paraId="726A05D7"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rPr>
      </w:pPr>
    </w:p>
    <w:p w14:paraId="686EEACF"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bCs/>
          <w:color w:val="000000"/>
        </w:rPr>
      </w:pPr>
      <w:r w:rsidRPr="009B1A37">
        <w:rPr>
          <w:b/>
          <w:bCs/>
          <w:color w:val="000000"/>
        </w:rPr>
        <w:t>BLISTRY</w:t>
      </w:r>
    </w:p>
    <w:p w14:paraId="02330203" w14:textId="77777777" w:rsidR="00E61A01" w:rsidRPr="009B1A37" w:rsidRDefault="00E61A01" w:rsidP="00BE3D48">
      <w:pPr>
        <w:widowControl w:val="0"/>
        <w:tabs>
          <w:tab w:val="clear" w:pos="567"/>
        </w:tabs>
        <w:spacing w:line="240" w:lineRule="auto"/>
      </w:pPr>
    </w:p>
    <w:p w14:paraId="79E0D566" w14:textId="77777777" w:rsidR="00E61A01" w:rsidRPr="009B1A37" w:rsidRDefault="00E61A01" w:rsidP="00BE3D48">
      <w:pPr>
        <w:widowControl w:val="0"/>
        <w:tabs>
          <w:tab w:val="clear" w:pos="567"/>
        </w:tabs>
        <w:spacing w:line="240" w:lineRule="auto"/>
        <w:rPr>
          <w:color w:val="000000"/>
        </w:rPr>
      </w:pPr>
    </w:p>
    <w:p w14:paraId="41679F9F"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1.</w:t>
      </w:r>
      <w:r w:rsidRPr="009B1A37">
        <w:rPr>
          <w:b/>
          <w:bCs/>
          <w:color w:val="000000"/>
        </w:rPr>
        <w:tab/>
        <w:t>NÁZEV LÉČIVÉHO PŘÍPRAVKU</w:t>
      </w:r>
    </w:p>
    <w:p w14:paraId="3F636104" w14:textId="77777777" w:rsidR="00E61A01" w:rsidRPr="009B1A37" w:rsidRDefault="00E61A01" w:rsidP="00BE3D48">
      <w:pPr>
        <w:widowControl w:val="0"/>
        <w:tabs>
          <w:tab w:val="clear" w:pos="567"/>
        </w:tabs>
        <w:spacing w:line="240" w:lineRule="auto"/>
        <w:ind w:left="567" w:hanging="567"/>
      </w:pPr>
    </w:p>
    <w:p w14:paraId="628DB084" w14:textId="77777777" w:rsidR="00E61A01" w:rsidRPr="009B1A37" w:rsidRDefault="00E61A01" w:rsidP="00BE3D48">
      <w:pPr>
        <w:widowControl w:val="0"/>
        <w:tabs>
          <w:tab w:val="clear" w:pos="567"/>
        </w:tabs>
        <w:spacing w:line="240" w:lineRule="auto"/>
        <w:rPr>
          <w:color w:val="000000"/>
        </w:rPr>
      </w:pPr>
      <w:r w:rsidRPr="009B1A37">
        <w:rPr>
          <w:color w:val="000000"/>
        </w:rPr>
        <w:t>Glivec 100 mg tablety</w:t>
      </w:r>
    </w:p>
    <w:p w14:paraId="70B99E87" w14:textId="77777777" w:rsidR="00E61A01" w:rsidRPr="009B1A37" w:rsidRDefault="00AC5D70" w:rsidP="00BE3D48">
      <w:pPr>
        <w:widowControl w:val="0"/>
        <w:tabs>
          <w:tab w:val="clear" w:pos="567"/>
        </w:tabs>
        <w:spacing w:line="240" w:lineRule="auto"/>
        <w:rPr>
          <w:color w:val="000000"/>
        </w:rPr>
      </w:pPr>
      <w:r w:rsidRPr="009B1A37">
        <w:rPr>
          <w:color w:val="000000"/>
        </w:rPr>
        <w:t>i</w:t>
      </w:r>
      <w:r w:rsidR="00E61A01" w:rsidRPr="009B1A37">
        <w:rPr>
          <w:color w:val="000000"/>
        </w:rPr>
        <w:t>matinibum</w:t>
      </w:r>
    </w:p>
    <w:p w14:paraId="1C03946F" w14:textId="77777777" w:rsidR="00E61A01" w:rsidRPr="009B1A37" w:rsidRDefault="00E61A01" w:rsidP="00BE3D48">
      <w:pPr>
        <w:widowControl w:val="0"/>
        <w:tabs>
          <w:tab w:val="clear" w:pos="567"/>
        </w:tabs>
        <w:spacing w:line="240" w:lineRule="auto"/>
        <w:rPr>
          <w:color w:val="000000"/>
        </w:rPr>
      </w:pPr>
    </w:p>
    <w:p w14:paraId="506235AC" w14:textId="77777777" w:rsidR="00E61A01" w:rsidRPr="009B1A37" w:rsidRDefault="00E61A01" w:rsidP="00BE3D48">
      <w:pPr>
        <w:widowControl w:val="0"/>
        <w:tabs>
          <w:tab w:val="clear" w:pos="567"/>
        </w:tabs>
        <w:spacing w:line="240" w:lineRule="auto"/>
        <w:rPr>
          <w:color w:val="000000"/>
        </w:rPr>
      </w:pPr>
    </w:p>
    <w:p w14:paraId="62B1EF09"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2.</w:t>
      </w:r>
      <w:r w:rsidRPr="009B1A37">
        <w:rPr>
          <w:b/>
          <w:bCs/>
          <w:color w:val="000000"/>
        </w:rPr>
        <w:tab/>
        <w:t>NÁZEV DRŽITELE ROZHODNUTÍ O REGISTRACI</w:t>
      </w:r>
    </w:p>
    <w:p w14:paraId="5F2C0728" w14:textId="77777777" w:rsidR="00E61A01" w:rsidRPr="009B1A37" w:rsidRDefault="00E61A01" w:rsidP="00BE3D48">
      <w:pPr>
        <w:widowControl w:val="0"/>
        <w:tabs>
          <w:tab w:val="clear" w:pos="567"/>
        </w:tabs>
        <w:spacing w:line="240" w:lineRule="auto"/>
      </w:pPr>
    </w:p>
    <w:p w14:paraId="371B7009" w14:textId="77777777" w:rsidR="00E61A01" w:rsidRPr="009B1A37" w:rsidRDefault="00E61A01" w:rsidP="00BE3D48">
      <w:pPr>
        <w:widowControl w:val="0"/>
        <w:tabs>
          <w:tab w:val="clear" w:pos="567"/>
        </w:tabs>
        <w:spacing w:line="240" w:lineRule="auto"/>
        <w:rPr>
          <w:color w:val="000000"/>
        </w:rPr>
      </w:pPr>
      <w:r w:rsidRPr="009B1A37">
        <w:rPr>
          <w:color w:val="000000"/>
        </w:rPr>
        <w:t>Novartis Europharm Limited</w:t>
      </w:r>
    </w:p>
    <w:p w14:paraId="32A5CF54" w14:textId="77777777" w:rsidR="00E61A01" w:rsidRPr="009B1A37" w:rsidRDefault="00E61A01" w:rsidP="00BE3D48">
      <w:pPr>
        <w:widowControl w:val="0"/>
        <w:tabs>
          <w:tab w:val="clear" w:pos="567"/>
        </w:tabs>
        <w:spacing w:line="240" w:lineRule="auto"/>
        <w:rPr>
          <w:color w:val="000000"/>
        </w:rPr>
      </w:pPr>
    </w:p>
    <w:p w14:paraId="1E0F9CFD" w14:textId="77777777" w:rsidR="00E61A01" w:rsidRPr="009B1A37" w:rsidRDefault="00E61A01" w:rsidP="00BE3D48">
      <w:pPr>
        <w:widowControl w:val="0"/>
        <w:tabs>
          <w:tab w:val="clear" w:pos="567"/>
        </w:tabs>
        <w:spacing w:line="240" w:lineRule="auto"/>
        <w:rPr>
          <w:color w:val="000000"/>
        </w:rPr>
      </w:pPr>
    </w:p>
    <w:p w14:paraId="580656B9"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3.</w:t>
      </w:r>
      <w:r w:rsidRPr="009B1A37">
        <w:rPr>
          <w:b/>
          <w:bCs/>
          <w:color w:val="000000"/>
        </w:rPr>
        <w:tab/>
        <w:t>POUŽITELNOST</w:t>
      </w:r>
    </w:p>
    <w:p w14:paraId="0639D59F" w14:textId="77777777" w:rsidR="00E61A01" w:rsidRPr="009B1A37" w:rsidRDefault="00E61A01" w:rsidP="00BE3D48">
      <w:pPr>
        <w:widowControl w:val="0"/>
        <w:tabs>
          <w:tab w:val="clear" w:pos="567"/>
        </w:tabs>
        <w:spacing w:line="240" w:lineRule="auto"/>
      </w:pPr>
    </w:p>
    <w:p w14:paraId="73C4E324" w14:textId="77777777" w:rsidR="00E61A01" w:rsidRPr="009B1A37" w:rsidRDefault="00E61A01" w:rsidP="00BE3D48">
      <w:pPr>
        <w:pStyle w:val="EndnoteText"/>
        <w:widowControl w:val="0"/>
        <w:tabs>
          <w:tab w:val="clear" w:pos="567"/>
        </w:tabs>
        <w:rPr>
          <w:color w:val="000000"/>
        </w:rPr>
      </w:pPr>
      <w:r w:rsidRPr="009B1A37">
        <w:rPr>
          <w:color w:val="000000"/>
        </w:rPr>
        <w:t>EXP</w:t>
      </w:r>
    </w:p>
    <w:p w14:paraId="634AC6A0" w14:textId="77777777" w:rsidR="00E61A01" w:rsidRPr="009B1A37" w:rsidRDefault="00E61A01" w:rsidP="00BE3D48">
      <w:pPr>
        <w:widowControl w:val="0"/>
        <w:tabs>
          <w:tab w:val="clear" w:pos="567"/>
        </w:tabs>
        <w:spacing w:line="240" w:lineRule="auto"/>
        <w:rPr>
          <w:color w:val="000000"/>
        </w:rPr>
      </w:pPr>
    </w:p>
    <w:p w14:paraId="46B2CD5A" w14:textId="77777777" w:rsidR="00E61A01" w:rsidRPr="009B1A37" w:rsidRDefault="00E61A01" w:rsidP="00BE3D48">
      <w:pPr>
        <w:widowControl w:val="0"/>
        <w:tabs>
          <w:tab w:val="clear" w:pos="567"/>
        </w:tabs>
        <w:spacing w:line="240" w:lineRule="auto"/>
        <w:rPr>
          <w:color w:val="000000"/>
        </w:rPr>
      </w:pPr>
    </w:p>
    <w:p w14:paraId="547CDEBE"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4.</w:t>
      </w:r>
      <w:r w:rsidRPr="009B1A37">
        <w:rPr>
          <w:b/>
          <w:bCs/>
          <w:color w:val="000000"/>
        </w:rPr>
        <w:tab/>
        <w:t>ČÍSLO ŠARŽE</w:t>
      </w:r>
    </w:p>
    <w:p w14:paraId="557A1230" w14:textId="77777777" w:rsidR="00E61A01" w:rsidRPr="009B1A37" w:rsidRDefault="00E61A01" w:rsidP="00BE3D48">
      <w:pPr>
        <w:widowControl w:val="0"/>
        <w:tabs>
          <w:tab w:val="clear" w:pos="567"/>
        </w:tabs>
        <w:spacing w:line="240" w:lineRule="auto"/>
      </w:pPr>
    </w:p>
    <w:p w14:paraId="47189C3F" w14:textId="77777777" w:rsidR="00E61A01" w:rsidRPr="009B1A37" w:rsidRDefault="00E61A01" w:rsidP="00BE3D48">
      <w:pPr>
        <w:widowControl w:val="0"/>
        <w:tabs>
          <w:tab w:val="clear" w:pos="567"/>
        </w:tabs>
        <w:spacing w:line="240" w:lineRule="auto"/>
        <w:rPr>
          <w:color w:val="000000"/>
        </w:rPr>
      </w:pPr>
      <w:r w:rsidRPr="009B1A37">
        <w:rPr>
          <w:color w:val="000000"/>
        </w:rPr>
        <w:t>Lot</w:t>
      </w:r>
    </w:p>
    <w:p w14:paraId="162EEA71" w14:textId="77777777" w:rsidR="00E61A01" w:rsidRPr="009B1A37" w:rsidRDefault="00E61A01" w:rsidP="00BE3D48">
      <w:pPr>
        <w:widowControl w:val="0"/>
        <w:tabs>
          <w:tab w:val="clear" w:pos="567"/>
        </w:tabs>
        <w:spacing w:line="240" w:lineRule="auto"/>
        <w:rPr>
          <w:color w:val="000000"/>
        </w:rPr>
      </w:pPr>
    </w:p>
    <w:p w14:paraId="20E4A474" w14:textId="77777777" w:rsidR="00E61A01" w:rsidRPr="009B1A37" w:rsidRDefault="00E61A01" w:rsidP="00BE3D48">
      <w:pPr>
        <w:widowControl w:val="0"/>
        <w:tabs>
          <w:tab w:val="clear" w:pos="567"/>
        </w:tabs>
        <w:spacing w:line="240" w:lineRule="auto"/>
        <w:rPr>
          <w:color w:val="000000"/>
        </w:rPr>
      </w:pPr>
    </w:p>
    <w:p w14:paraId="7E85C0D7"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142"/>
        </w:tabs>
        <w:snapToGrid w:val="0"/>
        <w:spacing w:line="240" w:lineRule="auto"/>
      </w:pPr>
      <w:r w:rsidRPr="009B1A37">
        <w:rPr>
          <w:b/>
        </w:rPr>
        <w:t>5.</w:t>
      </w:r>
      <w:r w:rsidRPr="009B1A37">
        <w:rPr>
          <w:b/>
        </w:rPr>
        <w:tab/>
        <w:t>JINÉ</w:t>
      </w:r>
    </w:p>
    <w:p w14:paraId="6C43FBFA" w14:textId="77777777" w:rsidR="00E61A01" w:rsidRPr="009B1A37" w:rsidRDefault="00E61A01" w:rsidP="00BE3D48">
      <w:pPr>
        <w:widowControl w:val="0"/>
        <w:tabs>
          <w:tab w:val="clear" w:pos="567"/>
        </w:tabs>
        <w:spacing w:line="240" w:lineRule="auto"/>
        <w:rPr>
          <w:color w:val="000000"/>
        </w:rPr>
      </w:pPr>
    </w:p>
    <w:p w14:paraId="07269A0A" w14:textId="77777777" w:rsidR="00E61A01" w:rsidRPr="009B1A37" w:rsidRDefault="00E61A01" w:rsidP="00BE3D48">
      <w:pPr>
        <w:widowControl w:val="0"/>
        <w:tabs>
          <w:tab w:val="clear" w:pos="567"/>
        </w:tabs>
        <w:spacing w:line="240" w:lineRule="auto"/>
        <w:rPr>
          <w:color w:val="000000"/>
        </w:rPr>
      </w:pPr>
      <w:r w:rsidRPr="009B1A37">
        <w:rPr>
          <w:color w:val="000000"/>
        </w:rPr>
        <w:br w:type="page"/>
      </w:r>
    </w:p>
    <w:p w14:paraId="6EF01A9E" w14:textId="77777777" w:rsidR="00EB4FF7" w:rsidRPr="009B1A37" w:rsidRDefault="00EB4FF7" w:rsidP="00EB4FF7">
      <w:pPr>
        <w:widowControl w:val="0"/>
        <w:tabs>
          <w:tab w:val="clear" w:pos="567"/>
        </w:tabs>
        <w:snapToGrid w:val="0"/>
        <w:spacing w:line="240" w:lineRule="auto"/>
        <w:rPr>
          <w:bCs/>
          <w:color w:val="000000"/>
        </w:rPr>
      </w:pPr>
    </w:p>
    <w:p w14:paraId="0C3A06F4"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s>
        <w:snapToGrid w:val="0"/>
        <w:spacing w:line="240" w:lineRule="auto"/>
        <w:rPr>
          <w:b/>
          <w:bCs/>
          <w:color w:val="000000"/>
        </w:rPr>
      </w:pPr>
      <w:r w:rsidRPr="009B1A37">
        <w:rPr>
          <w:b/>
          <w:bCs/>
          <w:color w:val="000000"/>
        </w:rPr>
        <w:t>ÚDAJE UVÁDĚNÉ NA VNĚJŠÍM OBALU</w:t>
      </w:r>
    </w:p>
    <w:p w14:paraId="29297351"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rPr>
      </w:pPr>
    </w:p>
    <w:p w14:paraId="3639B881"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spacing w:line="240" w:lineRule="auto"/>
        <w:rPr>
          <w:b/>
          <w:bCs/>
          <w:color w:val="000000"/>
        </w:rPr>
      </w:pPr>
      <w:r w:rsidRPr="009B1A37">
        <w:rPr>
          <w:b/>
          <w:bCs/>
          <w:color w:val="000000"/>
        </w:rPr>
        <w:t>PAPÍROVÁ KRABIČKA</w:t>
      </w:r>
    </w:p>
    <w:p w14:paraId="5F67EAAD" w14:textId="77777777" w:rsidR="00E61A01" w:rsidRPr="009B1A37" w:rsidRDefault="00E61A01" w:rsidP="00BE3D48">
      <w:pPr>
        <w:widowControl w:val="0"/>
        <w:tabs>
          <w:tab w:val="clear" w:pos="567"/>
        </w:tabs>
        <w:spacing w:line="240" w:lineRule="auto"/>
      </w:pPr>
    </w:p>
    <w:p w14:paraId="30A2E96E" w14:textId="77777777" w:rsidR="00E61A01" w:rsidRPr="009B1A37" w:rsidRDefault="00E61A01" w:rsidP="00BE3D48">
      <w:pPr>
        <w:widowControl w:val="0"/>
        <w:tabs>
          <w:tab w:val="clear" w:pos="567"/>
        </w:tabs>
        <w:spacing w:line="240" w:lineRule="auto"/>
        <w:rPr>
          <w:color w:val="000000"/>
        </w:rPr>
      </w:pPr>
    </w:p>
    <w:p w14:paraId="74E20117"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1.</w:t>
      </w:r>
      <w:r w:rsidRPr="009B1A37">
        <w:rPr>
          <w:b/>
          <w:bCs/>
          <w:color w:val="000000"/>
        </w:rPr>
        <w:tab/>
        <w:t>NÁZEV LÉČIVÉHO PŘÍPRAVKU</w:t>
      </w:r>
    </w:p>
    <w:p w14:paraId="1D50D149" w14:textId="77777777" w:rsidR="00E61A01" w:rsidRPr="009B1A37" w:rsidRDefault="00E61A01" w:rsidP="00BE3D48">
      <w:pPr>
        <w:widowControl w:val="0"/>
        <w:tabs>
          <w:tab w:val="clear" w:pos="567"/>
        </w:tabs>
        <w:spacing w:line="240" w:lineRule="auto"/>
      </w:pPr>
    </w:p>
    <w:p w14:paraId="40798FCC" w14:textId="77777777" w:rsidR="00E61A01" w:rsidRPr="009B1A37" w:rsidRDefault="00E61A01" w:rsidP="00BE3D48">
      <w:pPr>
        <w:widowControl w:val="0"/>
        <w:tabs>
          <w:tab w:val="clear" w:pos="567"/>
        </w:tabs>
        <w:spacing w:line="240" w:lineRule="auto"/>
        <w:rPr>
          <w:color w:val="000000"/>
        </w:rPr>
      </w:pPr>
      <w:r w:rsidRPr="009B1A37">
        <w:rPr>
          <w:color w:val="000000"/>
        </w:rPr>
        <w:t>Glivec 400 mg potahované tablety</w:t>
      </w:r>
    </w:p>
    <w:p w14:paraId="128E5A62" w14:textId="77777777" w:rsidR="00E61A01" w:rsidRPr="009B1A37" w:rsidRDefault="00AC5D70" w:rsidP="00BE3D48">
      <w:pPr>
        <w:widowControl w:val="0"/>
        <w:tabs>
          <w:tab w:val="clear" w:pos="567"/>
        </w:tabs>
        <w:spacing w:line="240" w:lineRule="auto"/>
        <w:rPr>
          <w:color w:val="000000"/>
        </w:rPr>
      </w:pPr>
      <w:r w:rsidRPr="009B1A37">
        <w:rPr>
          <w:color w:val="000000"/>
        </w:rPr>
        <w:t>i</w:t>
      </w:r>
      <w:r w:rsidR="00E61A01" w:rsidRPr="009B1A37">
        <w:rPr>
          <w:color w:val="000000"/>
        </w:rPr>
        <w:t>matinibum</w:t>
      </w:r>
    </w:p>
    <w:p w14:paraId="7A2E09D6" w14:textId="77777777" w:rsidR="00E61A01" w:rsidRPr="009B1A37" w:rsidRDefault="00E61A01" w:rsidP="00BE3D48">
      <w:pPr>
        <w:widowControl w:val="0"/>
        <w:tabs>
          <w:tab w:val="clear" w:pos="567"/>
        </w:tabs>
        <w:spacing w:line="240" w:lineRule="auto"/>
        <w:rPr>
          <w:color w:val="000000"/>
        </w:rPr>
      </w:pPr>
    </w:p>
    <w:p w14:paraId="533C4556" w14:textId="77777777" w:rsidR="00E61A01" w:rsidRPr="009B1A37" w:rsidRDefault="00E61A01" w:rsidP="00BE3D48">
      <w:pPr>
        <w:widowControl w:val="0"/>
        <w:tabs>
          <w:tab w:val="clear" w:pos="567"/>
        </w:tabs>
        <w:spacing w:line="240" w:lineRule="auto"/>
        <w:rPr>
          <w:color w:val="000000"/>
        </w:rPr>
      </w:pPr>
    </w:p>
    <w:p w14:paraId="4A3CD1FA"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2.</w:t>
      </w:r>
      <w:r w:rsidRPr="009B1A37">
        <w:rPr>
          <w:b/>
          <w:bCs/>
          <w:color w:val="000000"/>
        </w:rPr>
        <w:tab/>
        <w:t>OBSAH LÉČIVÉ LÁTKY/LÉČIVÝCH LÁTEK</w:t>
      </w:r>
    </w:p>
    <w:p w14:paraId="1A504694" w14:textId="77777777" w:rsidR="00E61A01" w:rsidRPr="009B1A37" w:rsidRDefault="00E61A01" w:rsidP="00BE3D48">
      <w:pPr>
        <w:widowControl w:val="0"/>
        <w:tabs>
          <w:tab w:val="clear" w:pos="567"/>
        </w:tabs>
        <w:spacing w:line="240" w:lineRule="auto"/>
      </w:pPr>
    </w:p>
    <w:p w14:paraId="14B05EAE" w14:textId="77777777" w:rsidR="00242082" w:rsidRPr="009B1A37" w:rsidRDefault="00E61A01" w:rsidP="00BE3D48">
      <w:pPr>
        <w:pStyle w:val="Text"/>
        <w:widowControl w:val="0"/>
        <w:spacing w:before="0"/>
        <w:jc w:val="left"/>
        <w:rPr>
          <w:color w:val="000000"/>
          <w:sz w:val="22"/>
          <w:szCs w:val="22"/>
          <w:lang w:val="cs-CZ"/>
        </w:rPr>
      </w:pPr>
      <w:r w:rsidRPr="009B1A37">
        <w:rPr>
          <w:color w:val="000000"/>
          <w:sz w:val="22"/>
          <w:szCs w:val="22"/>
          <w:lang w:val="cs-CZ"/>
        </w:rPr>
        <w:t xml:space="preserve">Jedna potahovaná tableta obsahuje </w:t>
      </w:r>
      <w:r w:rsidR="00242082" w:rsidRPr="009B1A37">
        <w:rPr>
          <w:color w:val="000000"/>
          <w:sz w:val="22"/>
          <w:szCs w:val="22"/>
          <w:lang w:val="cs-CZ"/>
        </w:rPr>
        <w:t>imatinibum 400 mg (jako imatinibi mesilas).</w:t>
      </w:r>
    </w:p>
    <w:p w14:paraId="4D2CF48E" w14:textId="77777777" w:rsidR="00E61A01" w:rsidRPr="009B1A37" w:rsidRDefault="00E61A01" w:rsidP="00BE3D48">
      <w:pPr>
        <w:widowControl w:val="0"/>
        <w:tabs>
          <w:tab w:val="clear" w:pos="567"/>
        </w:tabs>
        <w:spacing w:line="240" w:lineRule="auto"/>
        <w:rPr>
          <w:color w:val="000000"/>
        </w:rPr>
      </w:pPr>
    </w:p>
    <w:p w14:paraId="50AEC008" w14:textId="77777777" w:rsidR="00E61A01" w:rsidRPr="009B1A37" w:rsidRDefault="00E61A01" w:rsidP="00BE3D48">
      <w:pPr>
        <w:widowControl w:val="0"/>
        <w:tabs>
          <w:tab w:val="clear" w:pos="567"/>
        </w:tabs>
        <w:spacing w:line="240" w:lineRule="auto"/>
        <w:rPr>
          <w:color w:val="000000"/>
        </w:rPr>
      </w:pPr>
    </w:p>
    <w:p w14:paraId="5B09C194"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3.</w:t>
      </w:r>
      <w:r w:rsidRPr="009B1A37">
        <w:rPr>
          <w:b/>
          <w:bCs/>
          <w:color w:val="000000"/>
        </w:rPr>
        <w:tab/>
        <w:t>SEZNAM POMOCNÝCH LÁTEK</w:t>
      </w:r>
    </w:p>
    <w:p w14:paraId="20544055" w14:textId="77777777" w:rsidR="00E61A01" w:rsidRPr="009B1A37" w:rsidRDefault="00E61A01" w:rsidP="00BE3D48">
      <w:pPr>
        <w:widowControl w:val="0"/>
        <w:tabs>
          <w:tab w:val="clear" w:pos="567"/>
        </w:tabs>
        <w:spacing w:line="240" w:lineRule="auto"/>
      </w:pPr>
    </w:p>
    <w:p w14:paraId="5B34B021" w14:textId="77777777" w:rsidR="00E61A01" w:rsidRPr="009B1A37" w:rsidRDefault="00E61A01" w:rsidP="00BE3D48">
      <w:pPr>
        <w:widowControl w:val="0"/>
        <w:tabs>
          <w:tab w:val="clear" w:pos="567"/>
        </w:tabs>
        <w:spacing w:line="240" w:lineRule="auto"/>
        <w:rPr>
          <w:color w:val="000000"/>
        </w:rPr>
      </w:pPr>
    </w:p>
    <w:p w14:paraId="0F55C51F"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4.</w:t>
      </w:r>
      <w:r w:rsidRPr="009B1A37">
        <w:rPr>
          <w:b/>
          <w:bCs/>
          <w:color w:val="000000"/>
        </w:rPr>
        <w:tab/>
        <w:t xml:space="preserve">LÉKOVÁ FORMA A </w:t>
      </w:r>
      <w:r w:rsidR="00B00096" w:rsidRPr="009B1A37">
        <w:rPr>
          <w:b/>
          <w:bCs/>
          <w:color w:val="000000"/>
        </w:rPr>
        <w:t>OBSAH</w:t>
      </w:r>
      <w:r w:rsidRPr="009B1A37">
        <w:rPr>
          <w:b/>
          <w:bCs/>
          <w:color w:val="000000"/>
        </w:rPr>
        <w:t xml:space="preserve"> BALENÍ</w:t>
      </w:r>
    </w:p>
    <w:p w14:paraId="6877F5A6" w14:textId="77777777" w:rsidR="00E61A01" w:rsidRPr="009B1A37" w:rsidRDefault="00E61A01" w:rsidP="00BE3D48">
      <w:pPr>
        <w:widowControl w:val="0"/>
        <w:tabs>
          <w:tab w:val="clear" w:pos="567"/>
        </w:tabs>
        <w:spacing w:line="240" w:lineRule="auto"/>
      </w:pPr>
    </w:p>
    <w:p w14:paraId="5D17D4C5" w14:textId="77777777" w:rsidR="00E61A01" w:rsidRPr="009B1A37" w:rsidRDefault="00E61A01" w:rsidP="00BE3D48">
      <w:pPr>
        <w:pStyle w:val="EndnoteText"/>
        <w:widowControl w:val="0"/>
        <w:rPr>
          <w:color w:val="000000"/>
        </w:rPr>
      </w:pPr>
      <w:r w:rsidRPr="009B1A37">
        <w:rPr>
          <w:color w:val="000000"/>
        </w:rPr>
        <w:t>10 potahovaných tablet</w:t>
      </w:r>
    </w:p>
    <w:p w14:paraId="764A5FE1" w14:textId="77777777" w:rsidR="00E61A01" w:rsidRPr="009B1A37" w:rsidRDefault="00E61A01" w:rsidP="00BE3D48">
      <w:pPr>
        <w:widowControl w:val="0"/>
        <w:tabs>
          <w:tab w:val="clear" w:pos="567"/>
        </w:tabs>
        <w:spacing w:line="240" w:lineRule="auto"/>
        <w:rPr>
          <w:color w:val="000000"/>
          <w:shd w:val="clear" w:color="auto" w:fill="D9D9D9"/>
        </w:rPr>
      </w:pPr>
      <w:r w:rsidRPr="009B1A37">
        <w:rPr>
          <w:color w:val="000000"/>
          <w:shd w:val="clear" w:color="auto" w:fill="D9D9D9"/>
        </w:rPr>
        <w:t>30 potahovaných tablet</w:t>
      </w:r>
    </w:p>
    <w:p w14:paraId="1E4D4489" w14:textId="77777777" w:rsidR="00E61A01" w:rsidRPr="009B1A37" w:rsidRDefault="00E61A01" w:rsidP="00BE3D48">
      <w:pPr>
        <w:widowControl w:val="0"/>
        <w:tabs>
          <w:tab w:val="clear" w:pos="567"/>
        </w:tabs>
        <w:spacing w:line="240" w:lineRule="auto"/>
        <w:rPr>
          <w:color w:val="000000"/>
          <w:shd w:val="clear" w:color="auto" w:fill="D9D9D9"/>
        </w:rPr>
      </w:pPr>
      <w:r w:rsidRPr="009B1A37">
        <w:rPr>
          <w:color w:val="000000"/>
          <w:shd w:val="clear" w:color="auto" w:fill="D9D9D9"/>
        </w:rPr>
        <w:t>90 potahovaných tablet</w:t>
      </w:r>
    </w:p>
    <w:p w14:paraId="154AF0BF" w14:textId="77777777" w:rsidR="00E61A01" w:rsidRPr="009B1A37" w:rsidRDefault="00E61A01" w:rsidP="00BE3D48">
      <w:pPr>
        <w:widowControl w:val="0"/>
        <w:tabs>
          <w:tab w:val="clear" w:pos="567"/>
        </w:tabs>
        <w:spacing w:line="240" w:lineRule="auto"/>
        <w:rPr>
          <w:color w:val="000000"/>
        </w:rPr>
      </w:pPr>
    </w:p>
    <w:p w14:paraId="770292F8" w14:textId="77777777" w:rsidR="00E61A01" w:rsidRPr="009B1A37" w:rsidRDefault="00E61A01" w:rsidP="00BE3D48">
      <w:pPr>
        <w:widowControl w:val="0"/>
        <w:tabs>
          <w:tab w:val="clear" w:pos="567"/>
        </w:tabs>
        <w:spacing w:line="240" w:lineRule="auto"/>
        <w:rPr>
          <w:color w:val="000000"/>
        </w:rPr>
      </w:pPr>
    </w:p>
    <w:p w14:paraId="38CD2E27"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5.</w:t>
      </w:r>
      <w:r w:rsidRPr="009B1A37">
        <w:rPr>
          <w:b/>
          <w:bCs/>
          <w:color w:val="000000"/>
        </w:rPr>
        <w:tab/>
        <w:t>ZPŮSOB A CESTA/CESTY PODÁNÍ</w:t>
      </w:r>
    </w:p>
    <w:p w14:paraId="327063F6" w14:textId="77777777" w:rsidR="00E61A01" w:rsidRPr="009B1A37" w:rsidRDefault="00E61A01" w:rsidP="00BE3D48">
      <w:pPr>
        <w:pStyle w:val="EndnoteText"/>
        <w:widowControl w:val="0"/>
        <w:tabs>
          <w:tab w:val="clear" w:pos="567"/>
        </w:tabs>
      </w:pPr>
    </w:p>
    <w:p w14:paraId="1CB7AD62" w14:textId="77777777" w:rsidR="00E61A01" w:rsidRPr="009B1A37" w:rsidRDefault="00E61A01" w:rsidP="00BE3D48">
      <w:pPr>
        <w:pStyle w:val="EndnoteText"/>
        <w:widowControl w:val="0"/>
        <w:tabs>
          <w:tab w:val="clear" w:pos="567"/>
        </w:tabs>
        <w:rPr>
          <w:color w:val="000000"/>
        </w:rPr>
      </w:pPr>
      <w:r w:rsidRPr="009B1A37">
        <w:rPr>
          <w:color w:val="000000"/>
        </w:rPr>
        <w:t>Perorální podání. Před použitím si přečtěte příbalovou informaci.</w:t>
      </w:r>
    </w:p>
    <w:p w14:paraId="4D835A59" w14:textId="77777777" w:rsidR="00E61A01" w:rsidRPr="009B1A37" w:rsidRDefault="00E61A01" w:rsidP="00BE3D48">
      <w:pPr>
        <w:widowControl w:val="0"/>
        <w:tabs>
          <w:tab w:val="clear" w:pos="567"/>
        </w:tabs>
        <w:spacing w:line="240" w:lineRule="auto"/>
        <w:rPr>
          <w:color w:val="000000"/>
        </w:rPr>
      </w:pPr>
    </w:p>
    <w:p w14:paraId="432DE8B1" w14:textId="77777777" w:rsidR="00E61A01" w:rsidRPr="009B1A37" w:rsidRDefault="00E61A01" w:rsidP="00BE3D48">
      <w:pPr>
        <w:widowControl w:val="0"/>
        <w:tabs>
          <w:tab w:val="clear" w:pos="567"/>
        </w:tabs>
        <w:spacing w:line="240" w:lineRule="auto"/>
        <w:rPr>
          <w:color w:val="000000"/>
        </w:rPr>
      </w:pPr>
    </w:p>
    <w:p w14:paraId="53449867"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6.</w:t>
      </w:r>
      <w:r w:rsidRPr="009B1A37">
        <w:rPr>
          <w:b/>
          <w:bCs/>
          <w:color w:val="000000"/>
        </w:rPr>
        <w:tab/>
        <w:t xml:space="preserve">ZVLÁŠTNÍ UPOZORNĚNÍ, ŽE LÉČIVÝ PŘÍPRAVEK MUSÍ BÝT UCHOVÁVÁN MIMO </w:t>
      </w:r>
      <w:r w:rsidR="00B00096" w:rsidRPr="009B1A37">
        <w:rPr>
          <w:b/>
          <w:bCs/>
          <w:color w:val="000000"/>
        </w:rPr>
        <w:t>DOHLED</w:t>
      </w:r>
      <w:r w:rsidRPr="009B1A37">
        <w:rPr>
          <w:b/>
          <w:bCs/>
          <w:color w:val="000000"/>
        </w:rPr>
        <w:t xml:space="preserve"> A DO</w:t>
      </w:r>
      <w:r w:rsidR="00B00096" w:rsidRPr="009B1A37">
        <w:rPr>
          <w:b/>
          <w:bCs/>
          <w:color w:val="000000"/>
        </w:rPr>
        <w:t>SAH</w:t>
      </w:r>
      <w:r w:rsidRPr="009B1A37">
        <w:rPr>
          <w:b/>
          <w:bCs/>
          <w:color w:val="000000"/>
        </w:rPr>
        <w:t xml:space="preserve"> DĚTÍ</w:t>
      </w:r>
    </w:p>
    <w:p w14:paraId="099799E9" w14:textId="77777777" w:rsidR="00E61A01" w:rsidRPr="009B1A37" w:rsidRDefault="00E61A01" w:rsidP="00BE3D48">
      <w:pPr>
        <w:widowControl w:val="0"/>
        <w:tabs>
          <w:tab w:val="clear" w:pos="567"/>
        </w:tabs>
        <w:spacing w:line="240" w:lineRule="auto"/>
      </w:pPr>
    </w:p>
    <w:p w14:paraId="17F8481A" w14:textId="77777777" w:rsidR="00E61A01" w:rsidRPr="009B1A37" w:rsidRDefault="00E61A01" w:rsidP="00BE3D48">
      <w:pPr>
        <w:widowControl w:val="0"/>
        <w:tabs>
          <w:tab w:val="clear" w:pos="567"/>
        </w:tabs>
        <w:spacing w:line="240" w:lineRule="auto"/>
        <w:rPr>
          <w:color w:val="000000"/>
        </w:rPr>
      </w:pPr>
      <w:r w:rsidRPr="009B1A37">
        <w:rPr>
          <w:color w:val="000000"/>
        </w:rPr>
        <w:t xml:space="preserve">Uchovávejte mimo </w:t>
      </w:r>
      <w:r w:rsidR="00B00096" w:rsidRPr="009B1A37">
        <w:rPr>
          <w:color w:val="000000"/>
        </w:rPr>
        <w:t xml:space="preserve">dohled a </w:t>
      </w:r>
      <w:r w:rsidRPr="009B1A37">
        <w:rPr>
          <w:color w:val="000000"/>
        </w:rPr>
        <w:t>dosah dětí.</w:t>
      </w:r>
    </w:p>
    <w:p w14:paraId="2AF2D9B9" w14:textId="77777777" w:rsidR="00E61A01" w:rsidRPr="009B1A37" w:rsidRDefault="00E61A01" w:rsidP="00BE3D48">
      <w:pPr>
        <w:widowControl w:val="0"/>
        <w:tabs>
          <w:tab w:val="clear" w:pos="567"/>
        </w:tabs>
        <w:spacing w:line="240" w:lineRule="auto"/>
        <w:rPr>
          <w:color w:val="000000"/>
        </w:rPr>
      </w:pPr>
    </w:p>
    <w:p w14:paraId="41976499" w14:textId="77777777" w:rsidR="00E61A01" w:rsidRPr="009B1A37" w:rsidRDefault="00E61A01" w:rsidP="00BE3D48">
      <w:pPr>
        <w:widowControl w:val="0"/>
        <w:tabs>
          <w:tab w:val="clear" w:pos="567"/>
        </w:tabs>
        <w:spacing w:line="240" w:lineRule="auto"/>
        <w:rPr>
          <w:color w:val="000000"/>
        </w:rPr>
      </w:pPr>
    </w:p>
    <w:p w14:paraId="67FB2BFA"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7.</w:t>
      </w:r>
      <w:r w:rsidRPr="009B1A37">
        <w:rPr>
          <w:b/>
          <w:bCs/>
          <w:color w:val="000000"/>
        </w:rPr>
        <w:tab/>
        <w:t>DALŠÍ ZVLÁŠTNÍ UPOZORNĚNÍ, POKUD JE POTŘEBNÉ</w:t>
      </w:r>
    </w:p>
    <w:p w14:paraId="29D31354" w14:textId="77777777" w:rsidR="00E61A01" w:rsidRPr="009B1A37" w:rsidRDefault="00E61A01" w:rsidP="00BE3D48">
      <w:pPr>
        <w:widowControl w:val="0"/>
        <w:tabs>
          <w:tab w:val="clear" w:pos="567"/>
        </w:tabs>
        <w:spacing w:line="240" w:lineRule="auto"/>
      </w:pPr>
    </w:p>
    <w:p w14:paraId="21993A82" w14:textId="77777777" w:rsidR="00E61A01" w:rsidRPr="009B1A37" w:rsidRDefault="00E61A01" w:rsidP="00BE3D48">
      <w:pPr>
        <w:pStyle w:val="EndnoteText"/>
        <w:widowControl w:val="0"/>
        <w:tabs>
          <w:tab w:val="clear" w:pos="567"/>
        </w:tabs>
        <w:rPr>
          <w:color w:val="000000"/>
        </w:rPr>
      </w:pPr>
      <w:r w:rsidRPr="009B1A37">
        <w:rPr>
          <w:color w:val="000000"/>
        </w:rPr>
        <w:t>Užívejte pouze podle doporučení lékaře.</w:t>
      </w:r>
    </w:p>
    <w:p w14:paraId="0E666186" w14:textId="77777777" w:rsidR="00E61A01" w:rsidRPr="009B1A37" w:rsidRDefault="00E61A01" w:rsidP="00BE3D48">
      <w:pPr>
        <w:widowControl w:val="0"/>
        <w:tabs>
          <w:tab w:val="clear" w:pos="567"/>
        </w:tabs>
        <w:spacing w:line="240" w:lineRule="auto"/>
        <w:rPr>
          <w:color w:val="000000"/>
        </w:rPr>
      </w:pPr>
    </w:p>
    <w:p w14:paraId="08B8126C" w14:textId="77777777" w:rsidR="00E61A01" w:rsidRPr="009B1A37" w:rsidRDefault="00E61A01" w:rsidP="00BE3D48">
      <w:pPr>
        <w:widowControl w:val="0"/>
        <w:tabs>
          <w:tab w:val="clear" w:pos="567"/>
        </w:tabs>
        <w:spacing w:line="240" w:lineRule="auto"/>
        <w:rPr>
          <w:color w:val="000000"/>
        </w:rPr>
      </w:pPr>
    </w:p>
    <w:p w14:paraId="18A76A51"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8.</w:t>
      </w:r>
      <w:r w:rsidRPr="009B1A37">
        <w:rPr>
          <w:b/>
          <w:bCs/>
          <w:color w:val="000000"/>
        </w:rPr>
        <w:tab/>
        <w:t>POUŽITELNOST</w:t>
      </w:r>
    </w:p>
    <w:p w14:paraId="69A657ED" w14:textId="77777777" w:rsidR="00E61A01" w:rsidRPr="009B1A37" w:rsidRDefault="00E61A01" w:rsidP="00BE3D48">
      <w:pPr>
        <w:widowControl w:val="0"/>
        <w:tabs>
          <w:tab w:val="clear" w:pos="567"/>
        </w:tabs>
        <w:spacing w:line="240" w:lineRule="auto"/>
      </w:pPr>
    </w:p>
    <w:p w14:paraId="2D880946" w14:textId="77777777" w:rsidR="00E61A01" w:rsidRPr="009B1A37" w:rsidRDefault="00E61A01" w:rsidP="00BE3D48">
      <w:pPr>
        <w:pStyle w:val="EndnoteText"/>
        <w:widowControl w:val="0"/>
        <w:tabs>
          <w:tab w:val="clear" w:pos="567"/>
        </w:tabs>
        <w:rPr>
          <w:color w:val="000000"/>
        </w:rPr>
      </w:pPr>
      <w:r w:rsidRPr="009B1A37">
        <w:rPr>
          <w:color w:val="000000"/>
        </w:rPr>
        <w:t>EXP</w:t>
      </w:r>
    </w:p>
    <w:p w14:paraId="56D884AA" w14:textId="77777777" w:rsidR="00E61A01" w:rsidRPr="009B1A37" w:rsidRDefault="00E61A01" w:rsidP="00BE3D48">
      <w:pPr>
        <w:widowControl w:val="0"/>
        <w:tabs>
          <w:tab w:val="clear" w:pos="567"/>
        </w:tabs>
        <w:spacing w:line="240" w:lineRule="auto"/>
        <w:rPr>
          <w:color w:val="000000"/>
        </w:rPr>
      </w:pPr>
    </w:p>
    <w:p w14:paraId="4B665D7A" w14:textId="77777777" w:rsidR="00E61A01" w:rsidRPr="009B1A37" w:rsidRDefault="00E61A01" w:rsidP="00BE3D48">
      <w:pPr>
        <w:widowControl w:val="0"/>
        <w:tabs>
          <w:tab w:val="clear" w:pos="567"/>
        </w:tabs>
        <w:spacing w:line="240" w:lineRule="auto"/>
        <w:rPr>
          <w:color w:val="000000"/>
        </w:rPr>
      </w:pPr>
    </w:p>
    <w:p w14:paraId="311CE47E" w14:textId="77777777" w:rsidR="00E61A01" w:rsidRPr="009B1A37" w:rsidRDefault="00E61A01" w:rsidP="00BE3D48">
      <w:pPr>
        <w:keepNext/>
        <w:keepLines/>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9.</w:t>
      </w:r>
      <w:r w:rsidRPr="009B1A37">
        <w:rPr>
          <w:b/>
          <w:bCs/>
          <w:color w:val="000000"/>
        </w:rPr>
        <w:tab/>
        <w:t>ZVLÁŠTNÍ PODMÍNKY PRO UCHOVÁVÁNÍ</w:t>
      </w:r>
    </w:p>
    <w:p w14:paraId="3C768114" w14:textId="77777777" w:rsidR="00E61A01" w:rsidRPr="009B1A37" w:rsidRDefault="00E61A01" w:rsidP="00BE3D48">
      <w:pPr>
        <w:keepNext/>
        <w:keepLines/>
        <w:widowControl w:val="0"/>
        <w:tabs>
          <w:tab w:val="clear" w:pos="567"/>
        </w:tabs>
        <w:spacing w:line="240" w:lineRule="auto"/>
      </w:pPr>
    </w:p>
    <w:p w14:paraId="2942A4CC" w14:textId="77777777" w:rsidR="00E61A01" w:rsidRPr="009B1A37" w:rsidRDefault="00E61A01" w:rsidP="00BE3D48">
      <w:pPr>
        <w:pStyle w:val="Text"/>
        <w:keepNext/>
        <w:keepLines/>
        <w:widowControl w:val="0"/>
        <w:spacing w:before="0"/>
        <w:jc w:val="left"/>
        <w:rPr>
          <w:color w:val="000000"/>
          <w:sz w:val="22"/>
          <w:szCs w:val="22"/>
          <w:lang w:val="cs-CZ"/>
        </w:rPr>
      </w:pPr>
      <w:r w:rsidRPr="009B1A37">
        <w:rPr>
          <w:color w:val="000000"/>
          <w:sz w:val="22"/>
          <w:szCs w:val="22"/>
          <w:lang w:val="cs-CZ"/>
        </w:rPr>
        <w:t>Neuchovávejte při teplotě nad 30</w:t>
      </w:r>
      <w:r w:rsidR="00242082" w:rsidRPr="009B1A37">
        <w:rPr>
          <w:color w:val="000000"/>
          <w:sz w:val="22"/>
          <w:szCs w:val="22"/>
          <w:lang w:val="cs-CZ"/>
        </w:rPr>
        <w:t> </w:t>
      </w:r>
      <w:r w:rsidRPr="009B1A37">
        <w:rPr>
          <w:rFonts w:ascii="Symbol" w:hAnsi="Symbol"/>
          <w:color w:val="000000"/>
          <w:sz w:val="22"/>
          <w:szCs w:val="22"/>
          <w:lang w:val="cs-CZ"/>
        </w:rPr>
        <w:t></w:t>
      </w:r>
      <w:r w:rsidRPr="009B1A37">
        <w:rPr>
          <w:color w:val="000000"/>
          <w:sz w:val="22"/>
          <w:szCs w:val="22"/>
          <w:lang w:val="cs-CZ"/>
        </w:rPr>
        <w:t>C. Uchovávejte v původním obalu, aby byl přípravek chráněn před vlhkostí.</w:t>
      </w:r>
    </w:p>
    <w:p w14:paraId="7CB8F95A" w14:textId="77777777" w:rsidR="00E61A01" w:rsidRPr="009B1A37" w:rsidRDefault="00E61A01" w:rsidP="00BE3D48">
      <w:pPr>
        <w:widowControl w:val="0"/>
        <w:tabs>
          <w:tab w:val="clear" w:pos="567"/>
        </w:tabs>
        <w:spacing w:line="240" w:lineRule="auto"/>
        <w:rPr>
          <w:color w:val="000000"/>
        </w:rPr>
      </w:pPr>
    </w:p>
    <w:p w14:paraId="5F42EA54" w14:textId="77777777" w:rsidR="00E61A01" w:rsidRPr="009B1A37" w:rsidRDefault="00E61A01" w:rsidP="00BE3D48">
      <w:pPr>
        <w:widowControl w:val="0"/>
        <w:tabs>
          <w:tab w:val="clear" w:pos="567"/>
        </w:tabs>
        <w:spacing w:line="240" w:lineRule="auto"/>
        <w:rPr>
          <w:color w:val="000000"/>
        </w:rPr>
      </w:pPr>
    </w:p>
    <w:p w14:paraId="25248371" w14:textId="77777777" w:rsidR="00E61A01" w:rsidRPr="009B1A37" w:rsidRDefault="00E61A01" w:rsidP="00BE3D48">
      <w:pPr>
        <w:keepNext/>
        <w:keepLines/>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10.</w:t>
      </w:r>
      <w:r w:rsidRPr="009B1A37">
        <w:rPr>
          <w:b/>
          <w:bCs/>
          <w:color w:val="000000"/>
        </w:rPr>
        <w:tab/>
        <w:t>ZVLÁŠTNÍ OPATŘENÍ PRO LIKVIDACI NEPOUŽITÝCH LÉČIVÝCH PŘÍPRAVKŮ NEBO ODPADU Z </w:t>
      </w:r>
      <w:r w:rsidR="00B00096" w:rsidRPr="009B1A37">
        <w:rPr>
          <w:b/>
          <w:bCs/>
          <w:color w:val="000000"/>
        </w:rPr>
        <w:t>NICH</w:t>
      </w:r>
      <w:r w:rsidRPr="009B1A37">
        <w:rPr>
          <w:b/>
          <w:bCs/>
          <w:color w:val="000000"/>
        </w:rPr>
        <w:t>, POKUD JE TO VHODNÉ</w:t>
      </w:r>
    </w:p>
    <w:p w14:paraId="04D34140" w14:textId="77777777" w:rsidR="00E61A01" w:rsidRPr="009B1A37" w:rsidRDefault="00E61A01" w:rsidP="00BE3D48">
      <w:pPr>
        <w:keepNext/>
        <w:keepLines/>
        <w:widowControl w:val="0"/>
        <w:tabs>
          <w:tab w:val="clear" w:pos="567"/>
        </w:tabs>
        <w:spacing w:line="240" w:lineRule="auto"/>
      </w:pPr>
    </w:p>
    <w:p w14:paraId="377AD465" w14:textId="77777777" w:rsidR="00E61A01" w:rsidRPr="009B1A37" w:rsidRDefault="00E61A01" w:rsidP="00BE3D48">
      <w:pPr>
        <w:widowControl w:val="0"/>
        <w:tabs>
          <w:tab w:val="clear" w:pos="567"/>
        </w:tabs>
        <w:spacing w:line="240" w:lineRule="auto"/>
        <w:rPr>
          <w:color w:val="000000"/>
        </w:rPr>
      </w:pPr>
    </w:p>
    <w:p w14:paraId="7E32FD9B"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11.</w:t>
      </w:r>
      <w:r w:rsidRPr="009B1A37">
        <w:rPr>
          <w:b/>
          <w:bCs/>
          <w:color w:val="000000"/>
        </w:rPr>
        <w:tab/>
        <w:t>NÁZEV A ADRESA DRŽITELE ROZHODNUTÍ O REGISTRACI</w:t>
      </w:r>
    </w:p>
    <w:p w14:paraId="05381820" w14:textId="77777777" w:rsidR="00E61A01" w:rsidRPr="009B1A37" w:rsidRDefault="00E61A01" w:rsidP="00BE3D48">
      <w:pPr>
        <w:widowControl w:val="0"/>
        <w:tabs>
          <w:tab w:val="clear" w:pos="567"/>
        </w:tabs>
        <w:spacing w:line="240" w:lineRule="auto"/>
      </w:pPr>
    </w:p>
    <w:p w14:paraId="54023DFE" w14:textId="77777777" w:rsidR="00E61A01" w:rsidRPr="009B1A37" w:rsidRDefault="00E61A01" w:rsidP="00BE3D48">
      <w:pPr>
        <w:pStyle w:val="EndnoteText"/>
        <w:widowControl w:val="0"/>
        <w:tabs>
          <w:tab w:val="clear" w:pos="567"/>
        </w:tabs>
        <w:rPr>
          <w:color w:val="000000"/>
        </w:rPr>
      </w:pPr>
      <w:r w:rsidRPr="009B1A37">
        <w:rPr>
          <w:color w:val="000000"/>
        </w:rPr>
        <w:t>Novartis Europharm Limited</w:t>
      </w:r>
    </w:p>
    <w:p w14:paraId="75112637" w14:textId="77777777" w:rsidR="00F05B3D" w:rsidRPr="009B1A37" w:rsidRDefault="00F05B3D" w:rsidP="00BE3D48">
      <w:pPr>
        <w:keepNext/>
        <w:widowControl w:val="0"/>
        <w:spacing w:line="240" w:lineRule="auto"/>
        <w:rPr>
          <w:color w:val="000000"/>
        </w:rPr>
      </w:pPr>
      <w:r w:rsidRPr="009B1A37">
        <w:rPr>
          <w:color w:val="000000"/>
        </w:rPr>
        <w:t>Vista Building</w:t>
      </w:r>
    </w:p>
    <w:p w14:paraId="2DF4103B" w14:textId="77777777" w:rsidR="00F05B3D" w:rsidRPr="009B1A37" w:rsidRDefault="00F05B3D" w:rsidP="00BE3D48">
      <w:pPr>
        <w:keepNext/>
        <w:widowControl w:val="0"/>
        <w:spacing w:line="240" w:lineRule="auto"/>
        <w:rPr>
          <w:color w:val="000000"/>
        </w:rPr>
      </w:pPr>
      <w:r w:rsidRPr="009B1A37">
        <w:rPr>
          <w:color w:val="000000"/>
        </w:rPr>
        <w:t>Elm Park, Merrion Road</w:t>
      </w:r>
    </w:p>
    <w:p w14:paraId="071F71D7" w14:textId="77777777" w:rsidR="00F05B3D" w:rsidRPr="009B1A37" w:rsidRDefault="00F05B3D" w:rsidP="00BE3D48">
      <w:pPr>
        <w:keepNext/>
        <w:widowControl w:val="0"/>
        <w:spacing w:line="240" w:lineRule="auto"/>
        <w:rPr>
          <w:color w:val="000000"/>
        </w:rPr>
      </w:pPr>
      <w:r w:rsidRPr="009B1A37">
        <w:rPr>
          <w:color w:val="000000"/>
        </w:rPr>
        <w:t>Dublin 4</w:t>
      </w:r>
    </w:p>
    <w:p w14:paraId="5C5F06BE" w14:textId="77777777" w:rsidR="00E61A01" w:rsidRPr="009B1A37" w:rsidRDefault="00F05B3D" w:rsidP="00BE3D48">
      <w:pPr>
        <w:widowControl w:val="0"/>
        <w:spacing w:line="240" w:lineRule="auto"/>
        <w:rPr>
          <w:color w:val="000000"/>
        </w:rPr>
      </w:pPr>
      <w:r w:rsidRPr="009B1A37">
        <w:rPr>
          <w:color w:val="000000"/>
        </w:rPr>
        <w:t>Irsko</w:t>
      </w:r>
    </w:p>
    <w:p w14:paraId="4492855C" w14:textId="77777777" w:rsidR="00E61A01" w:rsidRPr="009B1A37" w:rsidRDefault="00E61A01" w:rsidP="00BE3D48">
      <w:pPr>
        <w:widowControl w:val="0"/>
        <w:tabs>
          <w:tab w:val="clear" w:pos="567"/>
        </w:tabs>
        <w:spacing w:line="240" w:lineRule="auto"/>
        <w:rPr>
          <w:color w:val="000000"/>
        </w:rPr>
      </w:pPr>
    </w:p>
    <w:p w14:paraId="4412E833" w14:textId="77777777" w:rsidR="00E61A01" w:rsidRPr="009B1A37" w:rsidRDefault="00E61A01" w:rsidP="00BE3D48">
      <w:pPr>
        <w:widowControl w:val="0"/>
        <w:tabs>
          <w:tab w:val="clear" w:pos="567"/>
        </w:tabs>
        <w:spacing w:line="240" w:lineRule="auto"/>
        <w:rPr>
          <w:color w:val="000000"/>
        </w:rPr>
      </w:pPr>
    </w:p>
    <w:p w14:paraId="2462B4D6"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12.</w:t>
      </w:r>
      <w:r w:rsidRPr="009B1A37">
        <w:rPr>
          <w:b/>
          <w:bCs/>
          <w:color w:val="000000"/>
        </w:rPr>
        <w:tab/>
        <w:t>REGISTRAČNÍ ČÍSLO</w:t>
      </w:r>
      <w:r w:rsidR="00B00096" w:rsidRPr="009B1A37">
        <w:rPr>
          <w:b/>
          <w:bCs/>
          <w:color w:val="000000"/>
        </w:rPr>
        <w:t>/ČÍSLA</w:t>
      </w:r>
    </w:p>
    <w:p w14:paraId="79C03414" w14:textId="77777777" w:rsidR="00E61A01" w:rsidRPr="009B1A37" w:rsidRDefault="00E61A01" w:rsidP="00BE3D48">
      <w:pPr>
        <w:widowControl w:val="0"/>
        <w:tabs>
          <w:tab w:val="clear" w:pos="567"/>
        </w:tabs>
        <w:spacing w:line="240" w:lineRule="auto"/>
      </w:pPr>
    </w:p>
    <w:p w14:paraId="5D9AE843" w14:textId="77777777" w:rsidR="00E61A01" w:rsidRPr="009B1A37" w:rsidRDefault="00E61A01" w:rsidP="00BE3D48">
      <w:pPr>
        <w:pStyle w:val="EndnoteText"/>
        <w:widowControl w:val="0"/>
        <w:tabs>
          <w:tab w:val="clear" w:pos="567"/>
          <w:tab w:val="left" w:pos="2268"/>
        </w:tabs>
        <w:rPr>
          <w:color w:val="000000"/>
          <w:shd w:val="clear" w:color="auto" w:fill="D9D9D9"/>
        </w:rPr>
      </w:pPr>
      <w:r w:rsidRPr="009B1A37">
        <w:rPr>
          <w:color w:val="000000"/>
        </w:rPr>
        <w:t>EU/1/01/198/009</w:t>
      </w:r>
      <w:r w:rsidRPr="009B1A37">
        <w:rPr>
          <w:color w:val="000000"/>
        </w:rPr>
        <w:tab/>
      </w:r>
      <w:r w:rsidRPr="009B1A37">
        <w:rPr>
          <w:color w:val="000000"/>
          <w:shd w:val="clear" w:color="auto" w:fill="D9D9D9"/>
        </w:rPr>
        <w:t>10 tablet</w:t>
      </w:r>
    </w:p>
    <w:p w14:paraId="1ACD3C11" w14:textId="77777777" w:rsidR="00E61A01" w:rsidRPr="009B1A37" w:rsidRDefault="00E61A01" w:rsidP="00BE3D48">
      <w:pPr>
        <w:widowControl w:val="0"/>
        <w:tabs>
          <w:tab w:val="clear" w:pos="567"/>
          <w:tab w:val="left" w:pos="2268"/>
        </w:tabs>
        <w:spacing w:line="240" w:lineRule="auto"/>
        <w:rPr>
          <w:color w:val="000000"/>
          <w:shd w:val="clear" w:color="auto" w:fill="D9D9D9"/>
        </w:rPr>
      </w:pPr>
      <w:r w:rsidRPr="009B1A37">
        <w:rPr>
          <w:color w:val="000000"/>
          <w:shd w:val="clear" w:color="auto" w:fill="D9D9D9"/>
        </w:rPr>
        <w:t>EU/1/01/198/010</w:t>
      </w:r>
      <w:r w:rsidRPr="009B1A37">
        <w:rPr>
          <w:color w:val="000000"/>
          <w:shd w:val="clear" w:color="auto" w:fill="D9D9D9"/>
        </w:rPr>
        <w:tab/>
        <w:t>30 tablet</w:t>
      </w:r>
    </w:p>
    <w:p w14:paraId="4E8616F7" w14:textId="77777777" w:rsidR="00E61A01" w:rsidRPr="009B1A37" w:rsidRDefault="00E61A01" w:rsidP="00BE3D48">
      <w:pPr>
        <w:widowControl w:val="0"/>
        <w:tabs>
          <w:tab w:val="clear" w:pos="567"/>
          <w:tab w:val="left" w:pos="2268"/>
        </w:tabs>
        <w:spacing w:line="240" w:lineRule="auto"/>
        <w:rPr>
          <w:color w:val="000000"/>
          <w:shd w:val="clear" w:color="auto" w:fill="D9D9D9"/>
        </w:rPr>
      </w:pPr>
      <w:r w:rsidRPr="009B1A37">
        <w:rPr>
          <w:color w:val="000000"/>
          <w:shd w:val="clear" w:color="auto" w:fill="D9D9D9"/>
        </w:rPr>
        <w:t>EU/1/01/198/013</w:t>
      </w:r>
      <w:r w:rsidRPr="009B1A37">
        <w:rPr>
          <w:color w:val="000000"/>
          <w:shd w:val="clear" w:color="auto" w:fill="D9D9D9"/>
        </w:rPr>
        <w:tab/>
        <w:t>90 tablet</w:t>
      </w:r>
    </w:p>
    <w:p w14:paraId="092BE3D1" w14:textId="77777777" w:rsidR="00E61A01" w:rsidRPr="009B1A37" w:rsidRDefault="00E61A01" w:rsidP="00BE3D48">
      <w:pPr>
        <w:widowControl w:val="0"/>
        <w:tabs>
          <w:tab w:val="clear" w:pos="567"/>
        </w:tabs>
        <w:spacing w:line="240" w:lineRule="auto"/>
        <w:rPr>
          <w:color w:val="000000"/>
        </w:rPr>
      </w:pPr>
    </w:p>
    <w:p w14:paraId="73CF737B" w14:textId="77777777" w:rsidR="00E61A01" w:rsidRPr="009B1A37" w:rsidRDefault="00E61A01" w:rsidP="00BE3D48">
      <w:pPr>
        <w:widowControl w:val="0"/>
        <w:tabs>
          <w:tab w:val="clear" w:pos="567"/>
        </w:tabs>
        <w:spacing w:line="240" w:lineRule="auto"/>
        <w:rPr>
          <w:color w:val="000000"/>
        </w:rPr>
      </w:pPr>
    </w:p>
    <w:p w14:paraId="788E3C7A"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13.</w:t>
      </w:r>
      <w:r w:rsidRPr="009B1A37">
        <w:rPr>
          <w:b/>
          <w:bCs/>
          <w:color w:val="000000"/>
        </w:rPr>
        <w:tab/>
        <w:t>ČÍSLO ŠARŽE</w:t>
      </w:r>
    </w:p>
    <w:p w14:paraId="03B30BD6" w14:textId="77777777" w:rsidR="00E61A01" w:rsidRPr="009B1A37" w:rsidRDefault="00E61A01" w:rsidP="00BE3D48">
      <w:pPr>
        <w:widowControl w:val="0"/>
        <w:tabs>
          <w:tab w:val="clear" w:pos="567"/>
        </w:tabs>
        <w:spacing w:line="240" w:lineRule="auto"/>
      </w:pPr>
    </w:p>
    <w:p w14:paraId="06D9B96F" w14:textId="77777777" w:rsidR="00E61A01" w:rsidRPr="009B1A37" w:rsidRDefault="00E61A01" w:rsidP="00BE3D48">
      <w:pPr>
        <w:widowControl w:val="0"/>
        <w:tabs>
          <w:tab w:val="clear" w:pos="567"/>
        </w:tabs>
        <w:spacing w:line="240" w:lineRule="auto"/>
        <w:rPr>
          <w:color w:val="000000"/>
        </w:rPr>
      </w:pPr>
      <w:r w:rsidRPr="009B1A37">
        <w:rPr>
          <w:color w:val="000000"/>
        </w:rPr>
        <w:t>č.š.:</w:t>
      </w:r>
    </w:p>
    <w:p w14:paraId="69AB7CA3" w14:textId="77777777" w:rsidR="00E61A01" w:rsidRPr="009B1A37" w:rsidRDefault="00E61A01" w:rsidP="00BE3D48">
      <w:pPr>
        <w:widowControl w:val="0"/>
        <w:tabs>
          <w:tab w:val="clear" w:pos="567"/>
        </w:tabs>
        <w:spacing w:line="240" w:lineRule="auto"/>
        <w:rPr>
          <w:color w:val="000000"/>
        </w:rPr>
      </w:pPr>
    </w:p>
    <w:p w14:paraId="72D96496" w14:textId="77777777" w:rsidR="00E61A01" w:rsidRPr="009B1A37" w:rsidRDefault="00E61A01" w:rsidP="00BE3D48">
      <w:pPr>
        <w:widowControl w:val="0"/>
        <w:tabs>
          <w:tab w:val="clear" w:pos="567"/>
        </w:tabs>
        <w:spacing w:line="240" w:lineRule="auto"/>
        <w:rPr>
          <w:color w:val="000000"/>
        </w:rPr>
      </w:pPr>
    </w:p>
    <w:p w14:paraId="18F4B380"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14.</w:t>
      </w:r>
      <w:r w:rsidRPr="009B1A37">
        <w:rPr>
          <w:b/>
          <w:bCs/>
          <w:color w:val="000000"/>
        </w:rPr>
        <w:tab/>
        <w:t>KLASIFIKACE PRO VÝDEJ</w:t>
      </w:r>
    </w:p>
    <w:p w14:paraId="7E96E347" w14:textId="77777777" w:rsidR="00E61A01" w:rsidRPr="009B1A37" w:rsidRDefault="00E61A01" w:rsidP="00BE3D48">
      <w:pPr>
        <w:widowControl w:val="0"/>
        <w:tabs>
          <w:tab w:val="clear" w:pos="567"/>
        </w:tabs>
        <w:spacing w:line="240" w:lineRule="auto"/>
        <w:rPr>
          <w:color w:val="000000"/>
        </w:rPr>
      </w:pPr>
    </w:p>
    <w:p w14:paraId="7D9A1A51" w14:textId="77777777" w:rsidR="00E61A01" w:rsidRPr="009B1A37" w:rsidRDefault="00E61A01" w:rsidP="00BE3D48">
      <w:pPr>
        <w:widowControl w:val="0"/>
        <w:tabs>
          <w:tab w:val="clear" w:pos="567"/>
        </w:tabs>
        <w:spacing w:line="240" w:lineRule="auto"/>
        <w:rPr>
          <w:color w:val="000000"/>
        </w:rPr>
      </w:pPr>
    </w:p>
    <w:p w14:paraId="1BF09BA0"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15.</w:t>
      </w:r>
      <w:r w:rsidRPr="009B1A37">
        <w:rPr>
          <w:b/>
          <w:bCs/>
          <w:color w:val="000000"/>
        </w:rPr>
        <w:tab/>
        <w:t>NÁVOD K POUŽITÍ</w:t>
      </w:r>
    </w:p>
    <w:p w14:paraId="788F08E3" w14:textId="77777777" w:rsidR="00E61A01" w:rsidRPr="009B1A37" w:rsidRDefault="00E61A01" w:rsidP="00BE3D48">
      <w:pPr>
        <w:widowControl w:val="0"/>
        <w:tabs>
          <w:tab w:val="clear" w:pos="567"/>
        </w:tabs>
        <w:spacing w:line="240" w:lineRule="auto"/>
      </w:pPr>
    </w:p>
    <w:p w14:paraId="2254DC69" w14:textId="77777777" w:rsidR="00E61A01" w:rsidRPr="009B1A37" w:rsidRDefault="00E61A01" w:rsidP="00BE3D48">
      <w:pPr>
        <w:widowControl w:val="0"/>
        <w:tabs>
          <w:tab w:val="clear" w:pos="567"/>
        </w:tabs>
        <w:spacing w:line="240" w:lineRule="auto"/>
        <w:rPr>
          <w:color w:val="000000"/>
        </w:rPr>
      </w:pPr>
    </w:p>
    <w:p w14:paraId="2C986A02"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16.</w:t>
      </w:r>
      <w:r w:rsidRPr="009B1A37">
        <w:rPr>
          <w:b/>
          <w:bCs/>
          <w:color w:val="000000"/>
        </w:rPr>
        <w:tab/>
        <w:t>INFORMACE V BRAILLOVĚ PÍSMU</w:t>
      </w:r>
    </w:p>
    <w:p w14:paraId="6E279B9A" w14:textId="77777777" w:rsidR="00E61A01" w:rsidRPr="009B1A37" w:rsidRDefault="00E61A01" w:rsidP="00BE3D48">
      <w:pPr>
        <w:widowControl w:val="0"/>
        <w:tabs>
          <w:tab w:val="clear" w:pos="567"/>
        </w:tabs>
        <w:spacing w:line="240" w:lineRule="auto"/>
      </w:pPr>
    </w:p>
    <w:p w14:paraId="00894ABA" w14:textId="77777777" w:rsidR="00E61A01" w:rsidRPr="009B1A37" w:rsidRDefault="00E61A01" w:rsidP="00BE3D48">
      <w:pPr>
        <w:widowControl w:val="0"/>
        <w:tabs>
          <w:tab w:val="clear" w:pos="567"/>
        </w:tabs>
        <w:spacing w:line="240" w:lineRule="auto"/>
        <w:rPr>
          <w:color w:val="000000"/>
        </w:rPr>
      </w:pPr>
      <w:r w:rsidRPr="009B1A37">
        <w:rPr>
          <w:color w:val="000000"/>
        </w:rPr>
        <w:t>Glivec 400 mg</w:t>
      </w:r>
    </w:p>
    <w:p w14:paraId="2E0464B7" w14:textId="77777777" w:rsidR="00AC5D70" w:rsidRPr="009B1A37" w:rsidRDefault="00AC5D70" w:rsidP="00BE3D48">
      <w:pPr>
        <w:widowControl w:val="0"/>
        <w:tabs>
          <w:tab w:val="clear" w:pos="567"/>
        </w:tabs>
        <w:spacing w:line="240" w:lineRule="auto"/>
        <w:rPr>
          <w:color w:val="000000"/>
        </w:rPr>
      </w:pPr>
    </w:p>
    <w:p w14:paraId="79987B39" w14:textId="77777777" w:rsidR="00290317" w:rsidRPr="009B1A37" w:rsidRDefault="00290317" w:rsidP="00BE3D48">
      <w:pPr>
        <w:widowControl w:val="0"/>
        <w:tabs>
          <w:tab w:val="clear" w:pos="567"/>
        </w:tabs>
        <w:spacing w:line="240" w:lineRule="auto"/>
        <w:rPr>
          <w:color w:val="000000"/>
        </w:rPr>
      </w:pPr>
    </w:p>
    <w:p w14:paraId="69BC2EA1" w14:textId="77777777" w:rsidR="00290317" w:rsidRPr="009B1A37" w:rsidRDefault="00290317" w:rsidP="00BE3D48">
      <w:pPr>
        <w:widowControl w:val="0"/>
        <w:pBdr>
          <w:top w:val="single" w:sz="4" w:space="0" w:color="auto"/>
          <w:left w:val="single" w:sz="4" w:space="4" w:color="auto"/>
          <w:bottom w:val="single" w:sz="4" w:space="1" w:color="auto"/>
          <w:right w:val="single" w:sz="4" w:space="4" w:color="auto"/>
        </w:pBdr>
        <w:tabs>
          <w:tab w:val="clear" w:pos="567"/>
        </w:tabs>
        <w:spacing w:line="240" w:lineRule="auto"/>
        <w:outlineLvl w:val="0"/>
        <w:rPr>
          <w:noProof/>
        </w:rPr>
      </w:pPr>
      <w:r w:rsidRPr="009B1A37">
        <w:rPr>
          <w:b/>
          <w:noProof/>
        </w:rPr>
        <w:t>17.</w:t>
      </w:r>
      <w:r w:rsidRPr="009B1A37">
        <w:rPr>
          <w:b/>
          <w:noProof/>
        </w:rPr>
        <w:tab/>
        <w:t>JEDINEČNÝ IDENTIFIKÁTOR – 2D ČÁROVÝ KÓD</w:t>
      </w:r>
    </w:p>
    <w:p w14:paraId="7355D4E4" w14:textId="77777777" w:rsidR="00290317" w:rsidRPr="009B1A37" w:rsidRDefault="00290317" w:rsidP="00BE3D48">
      <w:pPr>
        <w:keepNext/>
        <w:widowControl w:val="0"/>
        <w:tabs>
          <w:tab w:val="clear" w:pos="567"/>
        </w:tabs>
        <w:spacing w:line="240" w:lineRule="auto"/>
        <w:rPr>
          <w:noProof/>
        </w:rPr>
      </w:pPr>
    </w:p>
    <w:p w14:paraId="3ED51914" w14:textId="77777777" w:rsidR="00290317" w:rsidRPr="009B1A37" w:rsidRDefault="00290317" w:rsidP="00BE3D48">
      <w:pPr>
        <w:widowControl w:val="0"/>
        <w:tabs>
          <w:tab w:val="clear" w:pos="567"/>
        </w:tabs>
        <w:spacing w:line="240" w:lineRule="auto"/>
        <w:rPr>
          <w:noProof/>
          <w:shd w:val="pct15" w:color="auto" w:fill="auto"/>
        </w:rPr>
      </w:pPr>
      <w:r w:rsidRPr="009B1A37">
        <w:rPr>
          <w:noProof/>
          <w:shd w:val="pct15" w:color="auto" w:fill="auto"/>
        </w:rPr>
        <w:t>2D čárový kód s jedinečným identifikátorem.</w:t>
      </w:r>
    </w:p>
    <w:p w14:paraId="102FDDA0" w14:textId="77777777" w:rsidR="00290317" w:rsidRPr="009B1A37" w:rsidRDefault="00290317" w:rsidP="00BE3D48">
      <w:pPr>
        <w:widowControl w:val="0"/>
        <w:tabs>
          <w:tab w:val="clear" w:pos="567"/>
        </w:tabs>
        <w:spacing w:line="240" w:lineRule="auto"/>
        <w:rPr>
          <w:noProof/>
          <w:shd w:val="pct15" w:color="auto" w:fill="auto"/>
        </w:rPr>
      </w:pPr>
    </w:p>
    <w:p w14:paraId="1755EFEF" w14:textId="77777777" w:rsidR="00290317" w:rsidRPr="009B1A37" w:rsidRDefault="00290317" w:rsidP="00BE3D48">
      <w:pPr>
        <w:widowControl w:val="0"/>
        <w:tabs>
          <w:tab w:val="clear" w:pos="567"/>
        </w:tabs>
        <w:spacing w:line="240" w:lineRule="auto"/>
        <w:rPr>
          <w:noProof/>
          <w:u w:val="single"/>
        </w:rPr>
      </w:pPr>
    </w:p>
    <w:p w14:paraId="56E26F20" w14:textId="77777777" w:rsidR="00290317" w:rsidRPr="009B1A37" w:rsidRDefault="00290317" w:rsidP="00BE3D48">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9B1A37">
        <w:rPr>
          <w:b/>
          <w:noProof/>
        </w:rPr>
        <w:t>18.</w:t>
      </w:r>
      <w:r w:rsidRPr="009B1A37">
        <w:rPr>
          <w:b/>
          <w:noProof/>
        </w:rPr>
        <w:tab/>
        <w:t>JEDINEČNÝ IDENTIFIKÁTOR – DATA ČITELNÁ OKEM</w:t>
      </w:r>
    </w:p>
    <w:p w14:paraId="47CE0D85" w14:textId="77777777" w:rsidR="00290317" w:rsidRPr="009B1A37" w:rsidRDefault="00290317" w:rsidP="00BE3D48">
      <w:pPr>
        <w:keepNext/>
        <w:widowControl w:val="0"/>
        <w:tabs>
          <w:tab w:val="clear" w:pos="567"/>
        </w:tabs>
        <w:spacing w:line="240" w:lineRule="auto"/>
        <w:rPr>
          <w:noProof/>
          <w:u w:val="single"/>
        </w:rPr>
      </w:pPr>
    </w:p>
    <w:p w14:paraId="46E97A90" w14:textId="77777777" w:rsidR="00290317" w:rsidRPr="009B1A37" w:rsidRDefault="00290317" w:rsidP="00BE3D48">
      <w:pPr>
        <w:keepNext/>
        <w:widowControl w:val="0"/>
        <w:tabs>
          <w:tab w:val="clear" w:pos="567"/>
        </w:tabs>
        <w:spacing w:line="240" w:lineRule="auto"/>
        <w:rPr>
          <w:noProof/>
        </w:rPr>
      </w:pPr>
      <w:r w:rsidRPr="009B1A37">
        <w:rPr>
          <w:noProof/>
        </w:rPr>
        <w:t>PC:</w:t>
      </w:r>
    </w:p>
    <w:p w14:paraId="060FB896" w14:textId="77777777" w:rsidR="00290317" w:rsidRPr="009B1A37" w:rsidRDefault="00290317" w:rsidP="00BE3D48">
      <w:pPr>
        <w:keepNext/>
        <w:widowControl w:val="0"/>
        <w:tabs>
          <w:tab w:val="clear" w:pos="567"/>
        </w:tabs>
        <w:spacing w:line="240" w:lineRule="auto"/>
        <w:rPr>
          <w:noProof/>
        </w:rPr>
      </w:pPr>
      <w:r w:rsidRPr="009B1A37">
        <w:rPr>
          <w:noProof/>
        </w:rPr>
        <w:t>SN:</w:t>
      </w:r>
    </w:p>
    <w:p w14:paraId="242916E7" w14:textId="77777777" w:rsidR="00290317" w:rsidRPr="009B1A37" w:rsidRDefault="00290317" w:rsidP="00BE3D48">
      <w:pPr>
        <w:widowControl w:val="0"/>
        <w:tabs>
          <w:tab w:val="clear" w:pos="567"/>
        </w:tabs>
        <w:spacing w:line="240" w:lineRule="auto"/>
        <w:rPr>
          <w:noProof/>
        </w:rPr>
      </w:pPr>
      <w:r w:rsidRPr="009B1A37">
        <w:rPr>
          <w:noProof/>
        </w:rPr>
        <w:t>NN:</w:t>
      </w:r>
    </w:p>
    <w:p w14:paraId="57606F89" w14:textId="77777777" w:rsidR="00E61A01" w:rsidRPr="009B1A37" w:rsidRDefault="00E61A01" w:rsidP="00BE3D48">
      <w:pPr>
        <w:widowControl w:val="0"/>
        <w:tabs>
          <w:tab w:val="clear" w:pos="567"/>
        </w:tabs>
        <w:spacing w:line="240" w:lineRule="auto"/>
        <w:rPr>
          <w:color w:val="000000"/>
        </w:rPr>
      </w:pPr>
      <w:r w:rsidRPr="009B1A37">
        <w:rPr>
          <w:color w:val="000000"/>
        </w:rPr>
        <w:br w:type="page"/>
      </w:r>
    </w:p>
    <w:p w14:paraId="29A3CFE2" w14:textId="77777777" w:rsidR="00EB4FF7" w:rsidRPr="009B1A37" w:rsidRDefault="00EB4FF7" w:rsidP="00EB4FF7">
      <w:pPr>
        <w:widowControl w:val="0"/>
        <w:tabs>
          <w:tab w:val="clear" w:pos="567"/>
        </w:tabs>
        <w:snapToGrid w:val="0"/>
        <w:spacing w:line="240" w:lineRule="auto"/>
        <w:rPr>
          <w:bCs/>
          <w:color w:val="000000"/>
        </w:rPr>
      </w:pPr>
    </w:p>
    <w:p w14:paraId="0C6AE746"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s>
        <w:snapToGrid w:val="0"/>
        <w:spacing w:line="240" w:lineRule="auto"/>
        <w:rPr>
          <w:b/>
          <w:bCs/>
          <w:color w:val="000000"/>
        </w:rPr>
      </w:pPr>
      <w:r w:rsidRPr="009B1A37">
        <w:rPr>
          <w:b/>
          <w:bCs/>
          <w:color w:val="000000"/>
        </w:rPr>
        <w:t>MINIMÁLNÍ ÚDAJE UVÁDĚNÉ NA BLISTRECH NEBO STRIPECH</w:t>
      </w:r>
    </w:p>
    <w:p w14:paraId="7C37178E"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rPr>
      </w:pPr>
    </w:p>
    <w:p w14:paraId="688FAC74"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bCs/>
          <w:color w:val="000000"/>
        </w:rPr>
      </w:pPr>
      <w:r w:rsidRPr="009B1A37">
        <w:rPr>
          <w:b/>
          <w:bCs/>
          <w:color w:val="000000"/>
        </w:rPr>
        <w:t>BLISTRY</w:t>
      </w:r>
    </w:p>
    <w:p w14:paraId="6AD7C05F" w14:textId="77777777" w:rsidR="00E61A01" w:rsidRPr="009B1A37" w:rsidRDefault="00E61A01" w:rsidP="00BE3D48">
      <w:pPr>
        <w:widowControl w:val="0"/>
        <w:tabs>
          <w:tab w:val="clear" w:pos="567"/>
        </w:tabs>
        <w:spacing w:line="240" w:lineRule="auto"/>
      </w:pPr>
    </w:p>
    <w:p w14:paraId="71FBDB5E" w14:textId="77777777" w:rsidR="00E61A01" w:rsidRPr="009B1A37" w:rsidRDefault="00E61A01" w:rsidP="00BE3D48">
      <w:pPr>
        <w:widowControl w:val="0"/>
        <w:tabs>
          <w:tab w:val="clear" w:pos="567"/>
        </w:tabs>
        <w:spacing w:line="240" w:lineRule="auto"/>
        <w:rPr>
          <w:color w:val="000000"/>
        </w:rPr>
      </w:pPr>
    </w:p>
    <w:p w14:paraId="661BA3DA"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1.</w:t>
      </w:r>
      <w:r w:rsidRPr="009B1A37">
        <w:rPr>
          <w:b/>
          <w:bCs/>
          <w:color w:val="000000"/>
        </w:rPr>
        <w:tab/>
        <w:t>NÁZEV LÉČIVÉHO PŘÍPRAVKU</w:t>
      </w:r>
    </w:p>
    <w:p w14:paraId="4D69C207" w14:textId="77777777" w:rsidR="00E61A01" w:rsidRPr="009B1A37" w:rsidRDefault="00E61A01" w:rsidP="00BE3D48">
      <w:pPr>
        <w:widowControl w:val="0"/>
        <w:tabs>
          <w:tab w:val="clear" w:pos="567"/>
        </w:tabs>
        <w:spacing w:line="240" w:lineRule="auto"/>
        <w:ind w:left="567" w:hanging="567"/>
      </w:pPr>
    </w:p>
    <w:p w14:paraId="6D456C98" w14:textId="77777777" w:rsidR="00E61A01" w:rsidRPr="009B1A37" w:rsidRDefault="00E61A01" w:rsidP="00BE3D48">
      <w:pPr>
        <w:widowControl w:val="0"/>
        <w:tabs>
          <w:tab w:val="clear" w:pos="567"/>
        </w:tabs>
        <w:spacing w:line="240" w:lineRule="auto"/>
        <w:rPr>
          <w:color w:val="000000"/>
        </w:rPr>
      </w:pPr>
      <w:r w:rsidRPr="009B1A37">
        <w:rPr>
          <w:color w:val="000000"/>
        </w:rPr>
        <w:t>Glivec 400 mg tablety</w:t>
      </w:r>
    </w:p>
    <w:p w14:paraId="1B63EC32" w14:textId="77777777" w:rsidR="00E61A01" w:rsidRPr="009B1A37" w:rsidRDefault="00AC5D70" w:rsidP="00BE3D48">
      <w:pPr>
        <w:widowControl w:val="0"/>
        <w:tabs>
          <w:tab w:val="clear" w:pos="567"/>
        </w:tabs>
        <w:spacing w:line="240" w:lineRule="auto"/>
        <w:rPr>
          <w:color w:val="000000"/>
        </w:rPr>
      </w:pPr>
      <w:r w:rsidRPr="009B1A37">
        <w:rPr>
          <w:color w:val="000000"/>
        </w:rPr>
        <w:t>i</w:t>
      </w:r>
      <w:r w:rsidR="00E61A01" w:rsidRPr="009B1A37">
        <w:rPr>
          <w:color w:val="000000"/>
        </w:rPr>
        <w:t>matinibum</w:t>
      </w:r>
    </w:p>
    <w:p w14:paraId="63690012" w14:textId="77777777" w:rsidR="00E61A01" w:rsidRPr="009B1A37" w:rsidRDefault="00E61A01" w:rsidP="00BE3D48">
      <w:pPr>
        <w:widowControl w:val="0"/>
        <w:tabs>
          <w:tab w:val="clear" w:pos="567"/>
        </w:tabs>
        <w:spacing w:line="240" w:lineRule="auto"/>
        <w:rPr>
          <w:color w:val="000000"/>
        </w:rPr>
      </w:pPr>
    </w:p>
    <w:p w14:paraId="4E349E6F" w14:textId="77777777" w:rsidR="00E61A01" w:rsidRPr="009B1A37" w:rsidRDefault="00E61A01" w:rsidP="00BE3D48">
      <w:pPr>
        <w:widowControl w:val="0"/>
        <w:tabs>
          <w:tab w:val="clear" w:pos="567"/>
        </w:tabs>
        <w:spacing w:line="240" w:lineRule="auto"/>
        <w:rPr>
          <w:color w:val="000000"/>
        </w:rPr>
      </w:pPr>
    </w:p>
    <w:p w14:paraId="53AEF7BE"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2.</w:t>
      </w:r>
      <w:r w:rsidRPr="009B1A37">
        <w:rPr>
          <w:b/>
          <w:bCs/>
          <w:color w:val="000000"/>
        </w:rPr>
        <w:tab/>
        <w:t>NÁZEV DRŽITELE ROZHODNUTÍ O REGISTRACI</w:t>
      </w:r>
    </w:p>
    <w:p w14:paraId="7A6311AE" w14:textId="77777777" w:rsidR="00E61A01" w:rsidRPr="009B1A37" w:rsidRDefault="00E61A01" w:rsidP="00BE3D48">
      <w:pPr>
        <w:widowControl w:val="0"/>
        <w:tabs>
          <w:tab w:val="clear" w:pos="567"/>
        </w:tabs>
        <w:spacing w:line="240" w:lineRule="auto"/>
      </w:pPr>
    </w:p>
    <w:p w14:paraId="45AA425D" w14:textId="77777777" w:rsidR="00E61A01" w:rsidRPr="009B1A37" w:rsidRDefault="00E61A01" w:rsidP="00BE3D48">
      <w:pPr>
        <w:widowControl w:val="0"/>
        <w:tabs>
          <w:tab w:val="clear" w:pos="567"/>
        </w:tabs>
        <w:spacing w:line="240" w:lineRule="auto"/>
        <w:rPr>
          <w:color w:val="000000"/>
        </w:rPr>
      </w:pPr>
      <w:r w:rsidRPr="009B1A37">
        <w:rPr>
          <w:color w:val="000000"/>
        </w:rPr>
        <w:t>Novartis Europharm Limited</w:t>
      </w:r>
    </w:p>
    <w:p w14:paraId="2FC0B0E5" w14:textId="77777777" w:rsidR="00E61A01" w:rsidRPr="009B1A37" w:rsidRDefault="00E61A01" w:rsidP="00BE3D48">
      <w:pPr>
        <w:widowControl w:val="0"/>
        <w:tabs>
          <w:tab w:val="clear" w:pos="567"/>
        </w:tabs>
        <w:spacing w:line="240" w:lineRule="auto"/>
        <w:rPr>
          <w:color w:val="000000"/>
        </w:rPr>
      </w:pPr>
    </w:p>
    <w:p w14:paraId="0E4F0322" w14:textId="77777777" w:rsidR="00E61A01" w:rsidRPr="009B1A37" w:rsidRDefault="00E61A01" w:rsidP="00BE3D48">
      <w:pPr>
        <w:widowControl w:val="0"/>
        <w:tabs>
          <w:tab w:val="clear" w:pos="567"/>
        </w:tabs>
        <w:spacing w:line="240" w:lineRule="auto"/>
        <w:rPr>
          <w:color w:val="000000"/>
        </w:rPr>
      </w:pPr>
    </w:p>
    <w:p w14:paraId="0837DCD6"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3.</w:t>
      </w:r>
      <w:r w:rsidRPr="009B1A37">
        <w:rPr>
          <w:b/>
          <w:bCs/>
          <w:color w:val="000000"/>
        </w:rPr>
        <w:tab/>
        <w:t>POUŽITELNOST</w:t>
      </w:r>
    </w:p>
    <w:p w14:paraId="621FBB08" w14:textId="77777777" w:rsidR="00E61A01" w:rsidRPr="009B1A37" w:rsidRDefault="00E61A01" w:rsidP="00BE3D48">
      <w:pPr>
        <w:widowControl w:val="0"/>
        <w:tabs>
          <w:tab w:val="clear" w:pos="567"/>
        </w:tabs>
        <w:spacing w:line="240" w:lineRule="auto"/>
      </w:pPr>
    </w:p>
    <w:p w14:paraId="76571212" w14:textId="77777777" w:rsidR="00E61A01" w:rsidRPr="009B1A37" w:rsidRDefault="00E61A01" w:rsidP="00BE3D48">
      <w:pPr>
        <w:pStyle w:val="EndnoteText"/>
        <w:widowControl w:val="0"/>
        <w:tabs>
          <w:tab w:val="clear" w:pos="567"/>
        </w:tabs>
        <w:rPr>
          <w:color w:val="000000"/>
        </w:rPr>
      </w:pPr>
      <w:r w:rsidRPr="009B1A37">
        <w:rPr>
          <w:color w:val="000000"/>
        </w:rPr>
        <w:t>EXP</w:t>
      </w:r>
    </w:p>
    <w:p w14:paraId="055D3986" w14:textId="77777777" w:rsidR="00E61A01" w:rsidRPr="009B1A37" w:rsidRDefault="00E61A01" w:rsidP="00BE3D48">
      <w:pPr>
        <w:widowControl w:val="0"/>
        <w:tabs>
          <w:tab w:val="clear" w:pos="567"/>
        </w:tabs>
        <w:spacing w:line="240" w:lineRule="auto"/>
        <w:rPr>
          <w:color w:val="000000"/>
        </w:rPr>
      </w:pPr>
    </w:p>
    <w:p w14:paraId="64747C41" w14:textId="77777777" w:rsidR="00E61A01" w:rsidRPr="009B1A37" w:rsidRDefault="00E61A01" w:rsidP="00BE3D48">
      <w:pPr>
        <w:widowControl w:val="0"/>
        <w:tabs>
          <w:tab w:val="clear" w:pos="567"/>
        </w:tabs>
        <w:spacing w:line="240" w:lineRule="auto"/>
        <w:rPr>
          <w:color w:val="000000"/>
        </w:rPr>
      </w:pPr>
    </w:p>
    <w:p w14:paraId="63CFBAC1"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2410"/>
        </w:tabs>
        <w:snapToGrid w:val="0"/>
        <w:spacing w:line="240" w:lineRule="auto"/>
        <w:ind w:left="567" w:hanging="567"/>
        <w:rPr>
          <w:b/>
          <w:bCs/>
          <w:color w:val="000000"/>
        </w:rPr>
      </w:pPr>
      <w:r w:rsidRPr="009B1A37">
        <w:rPr>
          <w:b/>
          <w:bCs/>
          <w:color w:val="000000"/>
        </w:rPr>
        <w:t>4.</w:t>
      </w:r>
      <w:r w:rsidRPr="009B1A37">
        <w:rPr>
          <w:b/>
          <w:bCs/>
          <w:color w:val="000000"/>
        </w:rPr>
        <w:tab/>
        <w:t>ČÍSLO ŠARŽE</w:t>
      </w:r>
    </w:p>
    <w:p w14:paraId="333C6298" w14:textId="77777777" w:rsidR="00E61A01" w:rsidRPr="009B1A37" w:rsidRDefault="00E61A01" w:rsidP="00BE3D48">
      <w:pPr>
        <w:widowControl w:val="0"/>
        <w:tabs>
          <w:tab w:val="clear" w:pos="567"/>
        </w:tabs>
        <w:spacing w:line="240" w:lineRule="auto"/>
      </w:pPr>
    </w:p>
    <w:p w14:paraId="2E9F2AF3" w14:textId="77777777" w:rsidR="00E61A01" w:rsidRPr="009B1A37" w:rsidRDefault="00E61A01" w:rsidP="00BE3D48">
      <w:pPr>
        <w:widowControl w:val="0"/>
        <w:tabs>
          <w:tab w:val="clear" w:pos="567"/>
        </w:tabs>
        <w:spacing w:line="240" w:lineRule="auto"/>
        <w:rPr>
          <w:color w:val="000000"/>
        </w:rPr>
      </w:pPr>
      <w:r w:rsidRPr="009B1A37">
        <w:rPr>
          <w:color w:val="000000"/>
        </w:rPr>
        <w:t>Lot</w:t>
      </w:r>
    </w:p>
    <w:p w14:paraId="2B3F7BED" w14:textId="77777777" w:rsidR="00E61A01" w:rsidRPr="009B1A37" w:rsidRDefault="00E61A01" w:rsidP="00BE3D48">
      <w:pPr>
        <w:widowControl w:val="0"/>
        <w:tabs>
          <w:tab w:val="clear" w:pos="567"/>
        </w:tabs>
        <w:spacing w:line="240" w:lineRule="auto"/>
        <w:rPr>
          <w:color w:val="000000"/>
        </w:rPr>
      </w:pPr>
    </w:p>
    <w:p w14:paraId="3D821029" w14:textId="77777777" w:rsidR="00E61A01" w:rsidRPr="009B1A37" w:rsidRDefault="00E61A01" w:rsidP="00BE3D48">
      <w:pPr>
        <w:widowControl w:val="0"/>
        <w:tabs>
          <w:tab w:val="clear" w:pos="567"/>
        </w:tabs>
        <w:spacing w:line="240" w:lineRule="auto"/>
        <w:rPr>
          <w:color w:val="000000"/>
        </w:rPr>
      </w:pPr>
    </w:p>
    <w:p w14:paraId="41B2BF4C" w14:textId="77777777" w:rsidR="00E61A01" w:rsidRPr="009B1A37" w:rsidRDefault="00E61A01" w:rsidP="00BE3D48">
      <w:pPr>
        <w:widowControl w:val="0"/>
        <w:pBdr>
          <w:top w:val="single" w:sz="4" w:space="1" w:color="auto"/>
          <w:left w:val="single" w:sz="4" w:space="4" w:color="auto"/>
          <w:bottom w:val="single" w:sz="4" w:space="1" w:color="auto"/>
          <w:right w:val="single" w:sz="4" w:space="4" w:color="auto"/>
        </w:pBdr>
        <w:tabs>
          <w:tab w:val="clear" w:pos="567"/>
          <w:tab w:val="left" w:pos="142"/>
        </w:tabs>
        <w:snapToGrid w:val="0"/>
        <w:spacing w:line="240" w:lineRule="auto"/>
      </w:pPr>
      <w:r w:rsidRPr="009B1A37">
        <w:rPr>
          <w:b/>
        </w:rPr>
        <w:t>5.</w:t>
      </w:r>
      <w:r w:rsidRPr="009B1A37">
        <w:rPr>
          <w:b/>
        </w:rPr>
        <w:tab/>
        <w:t>JINÉ</w:t>
      </w:r>
    </w:p>
    <w:p w14:paraId="0161AE9D" w14:textId="77777777" w:rsidR="00E61A01" w:rsidRPr="009B1A37" w:rsidRDefault="00E61A01" w:rsidP="00BE3D48">
      <w:pPr>
        <w:widowControl w:val="0"/>
        <w:tabs>
          <w:tab w:val="clear" w:pos="567"/>
        </w:tabs>
        <w:spacing w:line="240" w:lineRule="auto"/>
        <w:rPr>
          <w:color w:val="000000"/>
        </w:rPr>
      </w:pPr>
    </w:p>
    <w:p w14:paraId="1B747502" w14:textId="77777777" w:rsidR="00E61A01" w:rsidRPr="009B1A37" w:rsidRDefault="00E61A01" w:rsidP="00BE3D48">
      <w:pPr>
        <w:widowControl w:val="0"/>
        <w:tabs>
          <w:tab w:val="clear" w:pos="567"/>
        </w:tabs>
        <w:spacing w:line="240" w:lineRule="auto"/>
        <w:rPr>
          <w:color w:val="000000"/>
        </w:rPr>
      </w:pPr>
      <w:r w:rsidRPr="009B1A37">
        <w:rPr>
          <w:color w:val="000000"/>
        </w:rPr>
        <w:br w:type="page"/>
      </w:r>
    </w:p>
    <w:p w14:paraId="5DB99B80" w14:textId="77777777" w:rsidR="00E61A01" w:rsidRPr="009B1A37" w:rsidRDefault="00E61A01" w:rsidP="00BE3D48">
      <w:pPr>
        <w:widowControl w:val="0"/>
        <w:tabs>
          <w:tab w:val="clear" w:pos="567"/>
        </w:tabs>
        <w:spacing w:line="240" w:lineRule="auto"/>
        <w:rPr>
          <w:color w:val="000000"/>
        </w:rPr>
      </w:pPr>
    </w:p>
    <w:p w14:paraId="348F77AC" w14:textId="77777777" w:rsidR="00E61A01" w:rsidRPr="009B1A37" w:rsidRDefault="00E61A01" w:rsidP="00BE3D48">
      <w:pPr>
        <w:widowControl w:val="0"/>
        <w:tabs>
          <w:tab w:val="clear" w:pos="567"/>
        </w:tabs>
        <w:spacing w:line="240" w:lineRule="auto"/>
        <w:rPr>
          <w:color w:val="000000"/>
        </w:rPr>
      </w:pPr>
    </w:p>
    <w:p w14:paraId="7EEECE82" w14:textId="77777777" w:rsidR="00E61A01" w:rsidRPr="009B1A37" w:rsidRDefault="00E61A01" w:rsidP="00BE3D48">
      <w:pPr>
        <w:widowControl w:val="0"/>
        <w:tabs>
          <w:tab w:val="clear" w:pos="567"/>
        </w:tabs>
        <w:spacing w:line="240" w:lineRule="auto"/>
        <w:rPr>
          <w:color w:val="000000"/>
        </w:rPr>
      </w:pPr>
    </w:p>
    <w:p w14:paraId="2A7546F1" w14:textId="77777777" w:rsidR="00E61A01" w:rsidRPr="009B1A37" w:rsidRDefault="00E61A01" w:rsidP="00BE3D48">
      <w:pPr>
        <w:widowControl w:val="0"/>
        <w:tabs>
          <w:tab w:val="clear" w:pos="567"/>
        </w:tabs>
        <w:spacing w:line="240" w:lineRule="auto"/>
        <w:rPr>
          <w:color w:val="000000"/>
        </w:rPr>
      </w:pPr>
    </w:p>
    <w:p w14:paraId="702F4CD0" w14:textId="77777777" w:rsidR="00E61A01" w:rsidRPr="009B1A37" w:rsidRDefault="00E61A01" w:rsidP="00BE3D48">
      <w:pPr>
        <w:widowControl w:val="0"/>
        <w:tabs>
          <w:tab w:val="clear" w:pos="567"/>
        </w:tabs>
        <w:spacing w:line="240" w:lineRule="auto"/>
        <w:rPr>
          <w:color w:val="000000"/>
        </w:rPr>
      </w:pPr>
    </w:p>
    <w:p w14:paraId="61A2A96B" w14:textId="77777777" w:rsidR="00E61A01" w:rsidRPr="009B1A37" w:rsidRDefault="00E61A01" w:rsidP="00BE3D48">
      <w:pPr>
        <w:pStyle w:val="EndnoteText"/>
        <w:widowControl w:val="0"/>
        <w:tabs>
          <w:tab w:val="clear" w:pos="567"/>
        </w:tabs>
        <w:rPr>
          <w:color w:val="000000"/>
        </w:rPr>
      </w:pPr>
    </w:p>
    <w:p w14:paraId="384A5067" w14:textId="77777777" w:rsidR="00E61A01" w:rsidRPr="009B1A37" w:rsidRDefault="00E61A01" w:rsidP="00BE3D48">
      <w:pPr>
        <w:widowControl w:val="0"/>
        <w:tabs>
          <w:tab w:val="clear" w:pos="567"/>
        </w:tabs>
        <w:spacing w:line="240" w:lineRule="auto"/>
        <w:rPr>
          <w:color w:val="000000"/>
        </w:rPr>
      </w:pPr>
    </w:p>
    <w:p w14:paraId="15FB53CA" w14:textId="77777777" w:rsidR="00E61A01" w:rsidRPr="009B1A37" w:rsidRDefault="00E61A01" w:rsidP="00BE3D48">
      <w:pPr>
        <w:widowControl w:val="0"/>
        <w:tabs>
          <w:tab w:val="clear" w:pos="567"/>
        </w:tabs>
        <w:spacing w:line="240" w:lineRule="auto"/>
        <w:rPr>
          <w:color w:val="000000"/>
        </w:rPr>
      </w:pPr>
    </w:p>
    <w:p w14:paraId="65CA3416" w14:textId="77777777" w:rsidR="00E61A01" w:rsidRPr="009B1A37" w:rsidRDefault="00E61A01" w:rsidP="00BE3D48">
      <w:pPr>
        <w:widowControl w:val="0"/>
        <w:tabs>
          <w:tab w:val="clear" w:pos="567"/>
        </w:tabs>
        <w:spacing w:line="240" w:lineRule="auto"/>
        <w:rPr>
          <w:color w:val="000000"/>
        </w:rPr>
      </w:pPr>
    </w:p>
    <w:p w14:paraId="193D29AE" w14:textId="77777777" w:rsidR="00E61A01" w:rsidRPr="009B1A37" w:rsidRDefault="00E61A01" w:rsidP="00BE3D48">
      <w:pPr>
        <w:widowControl w:val="0"/>
        <w:tabs>
          <w:tab w:val="clear" w:pos="567"/>
        </w:tabs>
        <w:spacing w:line="240" w:lineRule="auto"/>
        <w:rPr>
          <w:color w:val="000000"/>
        </w:rPr>
      </w:pPr>
    </w:p>
    <w:p w14:paraId="5A74AB16" w14:textId="77777777" w:rsidR="00E61A01" w:rsidRPr="009B1A37" w:rsidRDefault="00E61A01" w:rsidP="00BE3D48">
      <w:pPr>
        <w:widowControl w:val="0"/>
        <w:tabs>
          <w:tab w:val="clear" w:pos="567"/>
        </w:tabs>
        <w:spacing w:line="240" w:lineRule="auto"/>
        <w:rPr>
          <w:color w:val="000000"/>
        </w:rPr>
      </w:pPr>
    </w:p>
    <w:p w14:paraId="48D451A5" w14:textId="77777777" w:rsidR="00E61A01" w:rsidRPr="009B1A37" w:rsidRDefault="00E61A01" w:rsidP="00BE3D48">
      <w:pPr>
        <w:widowControl w:val="0"/>
        <w:tabs>
          <w:tab w:val="clear" w:pos="567"/>
        </w:tabs>
        <w:spacing w:line="240" w:lineRule="auto"/>
        <w:rPr>
          <w:color w:val="000000"/>
        </w:rPr>
      </w:pPr>
    </w:p>
    <w:p w14:paraId="144CFAF0" w14:textId="77777777" w:rsidR="00E61A01" w:rsidRPr="009B1A37" w:rsidRDefault="00E61A01" w:rsidP="00BE3D48">
      <w:pPr>
        <w:widowControl w:val="0"/>
        <w:tabs>
          <w:tab w:val="clear" w:pos="567"/>
        </w:tabs>
        <w:spacing w:line="240" w:lineRule="auto"/>
        <w:rPr>
          <w:color w:val="000000"/>
        </w:rPr>
      </w:pPr>
    </w:p>
    <w:p w14:paraId="6843946A" w14:textId="77777777" w:rsidR="00E61A01" w:rsidRPr="009B1A37" w:rsidRDefault="00E61A01" w:rsidP="00BE3D48">
      <w:pPr>
        <w:widowControl w:val="0"/>
        <w:tabs>
          <w:tab w:val="clear" w:pos="567"/>
        </w:tabs>
        <w:spacing w:line="240" w:lineRule="auto"/>
        <w:rPr>
          <w:color w:val="000000"/>
        </w:rPr>
      </w:pPr>
    </w:p>
    <w:p w14:paraId="03A18E70" w14:textId="77777777" w:rsidR="00E61A01" w:rsidRPr="009B1A37" w:rsidRDefault="00E61A01" w:rsidP="00BE3D48">
      <w:pPr>
        <w:widowControl w:val="0"/>
        <w:tabs>
          <w:tab w:val="clear" w:pos="567"/>
        </w:tabs>
        <w:spacing w:line="240" w:lineRule="auto"/>
        <w:rPr>
          <w:color w:val="000000"/>
        </w:rPr>
      </w:pPr>
    </w:p>
    <w:p w14:paraId="67E20FB0" w14:textId="77777777" w:rsidR="00E61A01" w:rsidRPr="009B1A37" w:rsidRDefault="00E61A01" w:rsidP="00BE3D48">
      <w:pPr>
        <w:widowControl w:val="0"/>
        <w:tabs>
          <w:tab w:val="clear" w:pos="567"/>
        </w:tabs>
        <w:spacing w:line="240" w:lineRule="auto"/>
        <w:rPr>
          <w:color w:val="000000"/>
        </w:rPr>
      </w:pPr>
    </w:p>
    <w:p w14:paraId="6680CB32" w14:textId="77777777" w:rsidR="00E61A01" w:rsidRPr="009B1A37" w:rsidRDefault="00E61A01" w:rsidP="00BE3D48">
      <w:pPr>
        <w:widowControl w:val="0"/>
        <w:tabs>
          <w:tab w:val="clear" w:pos="567"/>
        </w:tabs>
        <w:spacing w:line="240" w:lineRule="auto"/>
        <w:rPr>
          <w:color w:val="000000"/>
        </w:rPr>
      </w:pPr>
    </w:p>
    <w:p w14:paraId="76002B75" w14:textId="77777777" w:rsidR="00E61A01" w:rsidRPr="009B1A37" w:rsidRDefault="00E61A01" w:rsidP="00BE3D48">
      <w:pPr>
        <w:widowControl w:val="0"/>
        <w:tabs>
          <w:tab w:val="clear" w:pos="567"/>
        </w:tabs>
        <w:spacing w:line="240" w:lineRule="auto"/>
        <w:rPr>
          <w:color w:val="000000"/>
        </w:rPr>
      </w:pPr>
    </w:p>
    <w:p w14:paraId="7F900FBA" w14:textId="77777777" w:rsidR="00E61A01" w:rsidRPr="009B1A37" w:rsidRDefault="00E61A01" w:rsidP="00BE3D48">
      <w:pPr>
        <w:widowControl w:val="0"/>
        <w:tabs>
          <w:tab w:val="clear" w:pos="567"/>
        </w:tabs>
        <w:spacing w:line="240" w:lineRule="auto"/>
        <w:rPr>
          <w:color w:val="000000"/>
        </w:rPr>
      </w:pPr>
    </w:p>
    <w:p w14:paraId="54B845E2" w14:textId="77777777" w:rsidR="00E61A01" w:rsidRPr="009B1A37" w:rsidRDefault="00E61A01" w:rsidP="00BE3D48">
      <w:pPr>
        <w:widowControl w:val="0"/>
        <w:tabs>
          <w:tab w:val="clear" w:pos="567"/>
        </w:tabs>
        <w:spacing w:line="240" w:lineRule="auto"/>
        <w:rPr>
          <w:color w:val="000000"/>
        </w:rPr>
      </w:pPr>
    </w:p>
    <w:p w14:paraId="3C5DDDEC" w14:textId="77777777" w:rsidR="00E61A01" w:rsidRPr="009B1A37" w:rsidRDefault="00E61A01" w:rsidP="00BE3D48">
      <w:pPr>
        <w:widowControl w:val="0"/>
        <w:tabs>
          <w:tab w:val="clear" w:pos="567"/>
        </w:tabs>
        <w:spacing w:line="240" w:lineRule="auto"/>
        <w:rPr>
          <w:color w:val="000000"/>
        </w:rPr>
      </w:pPr>
    </w:p>
    <w:p w14:paraId="78177302" w14:textId="77777777" w:rsidR="00E61A01" w:rsidRPr="009B1A37" w:rsidRDefault="00E61A01" w:rsidP="00BE3D48">
      <w:pPr>
        <w:widowControl w:val="0"/>
        <w:tabs>
          <w:tab w:val="clear" w:pos="567"/>
        </w:tabs>
        <w:spacing w:line="240" w:lineRule="auto"/>
        <w:rPr>
          <w:color w:val="000000"/>
        </w:rPr>
      </w:pPr>
    </w:p>
    <w:p w14:paraId="36A4107C" w14:textId="77777777" w:rsidR="00EB4FF7" w:rsidRPr="009B1A37" w:rsidRDefault="00EB4FF7" w:rsidP="00BE3D48">
      <w:pPr>
        <w:widowControl w:val="0"/>
        <w:tabs>
          <w:tab w:val="clear" w:pos="567"/>
        </w:tabs>
        <w:spacing w:line="240" w:lineRule="auto"/>
        <w:rPr>
          <w:color w:val="000000"/>
        </w:rPr>
      </w:pPr>
    </w:p>
    <w:p w14:paraId="4F192928" w14:textId="77777777" w:rsidR="00182086" w:rsidRPr="009B1A37" w:rsidRDefault="00182086" w:rsidP="00BE3D48">
      <w:pPr>
        <w:widowControl w:val="0"/>
        <w:tabs>
          <w:tab w:val="clear" w:pos="567"/>
        </w:tabs>
        <w:spacing w:line="240" w:lineRule="auto"/>
        <w:rPr>
          <w:color w:val="000000"/>
        </w:rPr>
      </w:pPr>
    </w:p>
    <w:p w14:paraId="134CC1A5" w14:textId="77777777" w:rsidR="00E61A01" w:rsidRPr="009B1A37" w:rsidRDefault="00E61A01" w:rsidP="00BE3D48">
      <w:pPr>
        <w:widowControl w:val="0"/>
        <w:tabs>
          <w:tab w:val="clear" w:pos="567"/>
        </w:tabs>
        <w:spacing w:line="240" w:lineRule="auto"/>
        <w:jc w:val="center"/>
        <w:rPr>
          <w:b/>
          <w:bCs/>
          <w:color w:val="000000"/>
        </w:rPr>
      </w:pPr>
      <w:r w:rsidRPr="009B1A37">
        <w:rPr>
          <w:b/>
          <w:bCs/>
          <w:color w:val="000000"/>
        </w:rPr>
        <w:t>B. PŘÍBALOVÁ INFORMACE</w:t>
      </w:r>
    </w:p>
    <w:p w14:paraId="186D592E" w14:textId="77777777" w:rsidR="00E61A01" w:rsidRPr="009B1A37" w:rsidRDefault="00E61A01" w:rsidP="00BE3D48">
      <w:pPr>
        <w:widowControl w:val="0"/>
        <w:tabs>
          <w:tab w:val="clear" w:pos="567"/>
        </w:tabs>
        <w:spacing w:line="240" w:lineRule="auto"/>
        <w:ind w:right="-2"/>
        <w:jc w:val="center"/>
        <w:rPr>
          <w:b/>
          <w:bCs/>
          <w:color w:val="000000"/>
        </w:rPr>
      </w:pPr>
      <w:r w:rsidRPr="009B1A37">
        <w:rPr>
          <w:color w:val="000000"/>
        </w:rPr>
        <w:br w:type="page"/>
      </w:r>
      <w:r w:rsidRPr="009B1A37">
        <w:rPr>
          <w:b/>
          <w:bCs/>
          <w:color w:val="000000"/>
        </w:rPr>
        <w:t>P</w:t>
      </w:r>
      <w:r w:rsidR="00B00096" w:rsidRPr="009B1A37">
        <w:rPr>
          <w:b/>
          <w:bCs/>
          <w:color w:val="000000"/>
        </w:rPr>
        <w:t>říbalová informace: informace pro uživatele</w:t>
      </w:r>
    </w:p>
    <w:p w14:paraId="3602E94B" w14:textId="77777777" w:rsidR="00E61A01" w:rsidRPr="009B1A37" w:rsidRDefault="00E61A01" w:rsidP="00BE3D48">
      <w:pPr>
        <w:widowControl w:val="0"/>
        <w:tabs>
          <w:tab w:val="clear" w:pos="567"/>
        </w:tabs>
        <w:spacing w:line="240" w:lineRule="auto"/>
        <w:jc w:val="center"/>
        <w:rPr>
          <w:color w:val="000000"/>
        </w:rPr>
      </w:pPr>
    </w:p>
    <w:p w14:paraId="28BCA2D6" w14:textId="77777777" w:rsidR="00E61A01" w:rsidRPr="009B1A37" w:rsidRDefault="00E61A01" w:rsidP="00BE3D48">
      <w:pPr>
        <w:widowControl w:val="0"/>
        <w:tabs>
          <w:tab w:val="clear" w:pos="567"/>
        </w:tabs>
        <w:spacing w:line="240" w:lineRule="auto"/>
        <w:jc w:val="center"/>
        <w:rPr>
          <w:b/>
          <w:bCs/>
          <w:color w:val="000000"/>
        </w:rPr>
      </w:pPr>
      <w:r w:rsidRPr="009B1A37">
        <w:rPr>
          <w:b/>
          <w:bCs/>
          <w:color w:val="000000"/>
        </w:rPr>
        <w:t>Glivec 100 mg tvrdé tobolky</w:t>
      </w:r>
    </w:p>
    <w:p w14:paraId="67BFB53F" w14:textId="77777777" w:rsidR="00E61A01" w:rsidRPr="009B1A37" w:rsidRDefault="00AC5D70" w:rsidP="00BE3D48">
      <w:pPr>
        <w:widowControl w:val="0"/>
        <w:tabs>
          <w:tab w:val="clear" w:pos="567"/>
        </w:tabs>
        <w:spacing w:line="240" w:lineRule="auto"/>
        <w:jc w:val="center"/>
        <w:rPr>
          <w:color w:val="000000"/>
        </w:rPr>
      </w:pPr>
      <w:r w:rsidRPr="009B1A37">
        <w:rPr>
          <w:color w:val="000000"/>
        </w:rPr>
        <w:t>i</w:t>
      </w:r>
      <w:r w:rsidR="00E61A01" w:rsidRPr="009B1A37">
        <w:rPr>
          <w:color w:val="000000"/>
        </w:rPr>
        <w:t>matinibum</w:t>
      </w:r>
    </w:p>
    <w:p w14:paraId="409912FE" w14:textId="77777777" w:rsidR="00E61A01" w:rsidRPr="009B1A37" w:rsidRDefault="00E61A01" w:rsidP="00BE3D48">
      <w:pPr>
        <w:widowControl w:val="0"/>
        <w:tabs>
          <w:tab w:val="clear" w:pos="567"/>
        </w:tabs>
        <w:spacing w:line="240" w:lineRule="auto"/>
        <w:rPr>
          <w:color w:val="000000"/>
        </w:rPr>
      </w:pPr>
    </w:p>
    <w:p w14:paraId="4B7A83B2" w14:textId="77777777" w:rsidR="002218F7" w:rsidRPr="009B1A37" w:rsidRDefault="001B24B9" w:rsidP="00BE3D48">
      <w:pPr>
        <w:widowControl w:val="0"/>
        <w:tabs>
          <w:tab w:val="clear" w:pos="567"/>
        </w:tabs>
        <w:suppressAutoHyphens w:val="0"/>
        <w:spacing w:line="240" w:lineRule="auto"/>
        <w:rPr>
          <w:lang w:eastAsia="fr-LU"/>
        </w:rPr>
      </w:pPr>
      <w:r w:rsidRPr="009B1A37">
        <w:rPr>
          <w:noProof/>
          <w:lang w:val="en-GB" w:eastAsia="en-GB"/>
        </w:rPr>
        <w:drawing>
          <wp:inline distT="0" distB="0" distL="0" distR="0" wp14:anchorId="773FAFCA" wp14:editId="6147E22D">
            <wp:extent cx="198755" cy="174625"/>
            <wp:effectExtent l="0" t="0" r="0" b="0"/>
            <wp:docPr id="8" name="Picture 4"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remansk\AppData\Local\Microsoft\Windows\Temporary Internet Files\Content.Word\BT_1000x858p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2218F7" w:rsidRPr="009B1A37">
        <w:rPr>
          <w:noProof/>
          <w:lang w:eastAsia="fr-LU"/>
        </w:rPr>
        <w:t xml:space="preserve">Tento </w:t>
      </w:r>
      <w:r w:rsidR="002218F7" w:rsidRPr="009B1A37">
        <w:rPr>
          <w:lang w:eastAsia="fr-LU"/>
        </w:rPr>
        <w:t>přípravek</w:t>
      </w:r>
      <w:r w:rsidR="002218F7" w:rsidRPr="009B1A37">
        <w:rPr>
          <w:noProof/>
          <w:lang w:eastAsia="fr-LU"/>
        </w:rPr>
        <w:t xml:space="preserve"> </w:t>
      </w:r>
      <w:r w:rsidR="002218F7" w:rsidRPr="009B1A37">
        <w:rPr>
          <w:lang w:eastAsia="fr-LU"/>
        </w:rPr>
        <w:t>podléhá dalšímu</w:t>
      </w:r>
      <w:r w:rsidR="002218F7" w:rsidRPr="009B1A37">
        <w:rPr>
          <w:noProof/>
          <w:lang w:eastAsia="fr-LU"/>
        </w:rPr>
        <w:t xml:space="preserve"> sledování.</w:t>
      </w:r>
      <w:r w:rsidR="002218F7" w:rsidRPr="009B1A37">
        <w:rPr>
          <w:lang w:eastAsia="fr-LU"/>
        </w:rPr>
        <w:t xml:space="preserve"> </w:t>
      </w:r>
      <w:r w:rsidR="002218F7" w:rsidRPr="009B1A37">
        <w:rPr>
          <w:noProof/>
          <w:lang w:eastAsia="fr-LU"/>
        </w:rPr>
        <w:t>To umožní rychlé získání nových informací o bezpečnosti.</w:t>
      </w:r>
      <w:r w:rsidR="002218F7" w:rsidRPr="009B1A37">
        <w:rPr>
          <w:lang w:eastAsia="fr-LU"/>
        </w:rPr>
        <w:t xml:space="preserve"> Můžete přispět</w:t>
      </w:r>
      <w:r w:rsidR="002218F7" w:rsidRPr="009B1A37">
        <w:rPr>
          <w:noProof/>
          <w:lang w:eastAsia="fr-LU"/>
        </w:rPr>
        <w:t xml:space="preserve"> tím, že nahlásíte jakékoli nežádoucí účinky, které se u Vás vyskytnou</w:t>
      </w:r>
      <w:r w:rsidR="002218F7" w:rsidRPr="009B1A37">
        <w:rPr>
          <w:lang w:eastAsia="fr-LU"/>
        </w:rPr>
        <w:t>. Jak hlásit nežádoucí účinky je popsáno v závěru bodu 4.</w:t>
      </w:r>
    </w:p>
    <w:p w14:paraId="361B334F" w14:textId="77777777" w:rsidR="00E61A01" w:rsidRPr="009B1A37" w:rsidRDefault="00E61A01" w:rsidP="00BE3D48">
      <w:pPr>
        <w:widowControl w:val="0"/>
        <w:tabs>
          <w:tab w:val="clear" w:pos="567"/>
        </w:tabs>
        <w:spacing w:line="240" w:lineRule="auto"/>
        <w:rPr>
          <w:color w:val="000000"/>
        </w:rPr>
      </w:pPr>
    </w:p>
    <w:p w14:paraId="4C8C29E7" w14:textId="77777777" w:rsidR="00E92109" w:rsidRPr="009B1A37" w:rsidRDefault="00E92109" w:rsidP="00BE3D48">
      <w:pPr>
        <w:widowControl w:val="0"/>
        <w:tabs>
          <w:tab w:val="clear" w:pos="567"/>
        </w:tabs>
        <w:snapToGrid w:val="0"/>
        <w:spacing w:line="240" w:lineRule="auto"/>
        <w:ind w:right="-2"/>
        <w:rPr>
          <w:b/>
          <w:bCs/>
          <w:color w:val="000000"/>
        </w:rPr>
      </w:pPr>
      <w:r w:rsidRPr="009B1A37">
        <w:rPr>
          <w:b/>
          <w:bCs/>
          <w:color w:val="000000"/>
        </w:rPr>
        <w:t>Přečtěte si pozorně celou příbalovou informaci dříve, než začnete tento přípravek užívat, protože obsahuje pro Vás důležité údaje.</w:t>
      </w:r>
    </w:p>
    <w:p w14:paraId="38305258" w14:textId="77777777" w:rsidR="00E92109" w:rsidRPr="009B1A37" w:rsidRDefault="00E92109" w:rsidP="00BE3D48">
      <w:pPr>
        <w:widowControl w:val="0"/>
        <w:numPr>
          <w:ilvl w:val="0"/>
          <w:numId w:val="13"/>
        </w:numPr>
        <w:tabs>
          <w:tab w:val="clear" w:pos="567"/>
        </w:tabs>
        <w:spacing w:line="240" w:lineRule="auto"/>
        <w:ind w:left="567" w:right="-2" w:hanging="567"/>
        <w:rPr>
          <w:color w:val="000000"/>
        </w:rPr>
      </w:pPr>
      <w:r w:rsidRPr="009B1A37">
        <w:rPr>
          <w:color w:val="000000"/>
        </w:rPr>
        <w:t>Ponechte si příbalovou informaci pro případ, že si ji budete potřebovat přečíst znovu.</w:t>
      </w:r>
    </w:p>
    <w:p w14:paraId="30D3C220" w14:textId="77777777" w:rsidR="00E92109" w:rsidRPr="009B1A37" w:rsidRDefault="00E92109" w:rsidP="00BE3D48">
      <w:pPr>
        <w:widowControl w:val="0"/>
        <w:numPr>
          <w:ilvl w:val="0"/>
          <w:numId w:val="13"/>
        </w:numPr>
        <w:tabs>
          <w:tab w:val="clear" w:pos="567"/>
        </w:tabs>
        <w:spacing w:line="240" w:lineRule="auto"/>
        <w:ind w:left="567" w:right="-2" w:hanging="567"/>
        <w:rPr>
          <w:color w:val="000000"/>
        </w:rPr>
      </w:pPr>
      <w:r w:rsidRPr="009B1A37">
        <w:rPr>
          <w:color w:val="000000"/>
        </w:rPr>
        <w:t>Máte-li jakékoli další otázky, zeptejte se svého lékaře, lékárníka nebo zdravotní sestry.</w:t>
      </w:r>
    </w:p>
    <w:p w14:paraId="46CB1C64" w14:textId="77777777" w:rsidR="00E92109" w:rsidRPr="009B1A37" w:rsidRDefault="00E92109" w:rsidP="00BE3D48">
      <w:pPr>
        <w:widowControl w:val="0"/>
        <w:numPr>
          <w:ilvl w:val="0"/>
          <w:numId w:val="13"/>
        </w:numPr>
        <w:tabs>
          <w:tab w:val="clear" w:pos="567"/>
        </w:tabs>
        <w:spacing w:line="240" w:lineRule="auto"/>
        <w:ind w:left="567" w:right="-2" w:hanging="567"/>
        <w:rPr>
          <w:color w:val="000000"/>
        </w:rPr>
      </w:pPr>
      <w:r w:rsidRPr="009B1A37">
        <w:rPr>
          <w:color w:val="000000"/>
        </w:rPr>
        <w:t>Tento přípravek byl předepsán výhradně Vám. Nedávejte jej žádné další osobě. Mohl by jí ublížit, a to i tehdy, má-li stejné známky onemocnění jako Vy.</w:t>
      </w:r>
    </w:p>
    <w:p w14:paraId="790D0F34" w14:textId="77777777" w:rsidR="00E92109" w:rsidRPr="009B1A37" w:rsidRDefault="00E92109" w:rsidP="00BE3D48">
      <w:pPr>
        <w:widowControl w:val="0"/>
        <w:numPr>
          <w:ilvl w:val="0"/>
          <w:numId w:val="13"/>
        </w:numPr>
        <w:tabs>
          <w:tab w:val="clear" w:pos="567"/>
        </w:tabs>
        <w:spacing w:line="240" w:lineRule="auto"/>
        <w:ind w:left="567" w:right="-2" w:hanging="567"/>
        <w:rPr>
          <w:color w:val="000000"/>
        </w:rPr>
      </w:pPr>
      <w:r w:rsidRPr="009B1A37">
        <w:rPr>
          <w:color w:val="000000"/>
        </w:rPr>
        <w:t>Pokud se u Vás vyskytne kterýkoli z nežádoucích účinků, sdělte to svému lékaři, lékárníkovi nebo zdravotní sestře. Stejně postupujte v případě jakýchkoli nežádoucích účinků, které nejsou uvedeny v této příbalové informaci.</w:t>
      </w:r>
      <w:r w:rsidR="00F35C9B" w:rsidRPr="009B1A37">
        <w:rPr>
          <w:color w:val="000000"/>
        </w:rPr>
        <w:t xml:space="preserve"> Viz bod</w:t>
      </w:r>
      <w:r w:rsidR="002C04B1" w:rsidRPr="009B1A37">
        <w:rPr>
          <w:color w:val="000000"/>
        </w:rPr>
        <w:t> </w:t>
      </w:r>
      <w:r w:rsidR="00F35C9B" w:rsidRPr="009B1A37">
        <w:rPr>
          <w:color w:val="000000"/>
        </w:rPr>
        <w:t>4.</w:t>
      </w:r>
    </w:p>
    <w:p w14:paraId="050D26CB" w14:textId="77777777" w:rsidR="00E92109" w:rsidRPr="009B1A37" w:rsidRDefault="00E92109" w:rsidP="00BE3D48">
      <w:pPr>
        <w:widowControl w:val="0"/>
        <w:tabs>
          <w:tab w:val="clear" w:pos="567"/>
        </w:tabs>
        <w:spacing w:line="240" w:lineRule="auto"/>
        <w:ind w:right="-2"/>
      </w:pPr>
    </w:p>
    <w:p w14:paraId="6495F89C" w14:textId="77777777" w:rsidR="00E92109" w:rsidRPr="009B1A37" w:rsidRDefault="00E92109" w:rsidP="00BE3D48">
      <w:pPr>
        <w:widowControl w:val="0"/>
        <w:tabs>
          <w:tab w:val="clear" w:pos="567"/>
        </w:tabs>
        <w:spacing w:line="240" w:lineRule="auto"/>
        <w:ind w:right="-2"/>
        <w:rPr>
          <w:color w:val="000000"/>
        </w:rPr>
      </w:pPr>
    </w:p>
    <w:p w14:paraId="686F61B8" w14:textId="77777777" w:rsidR="00E92109" w:rsidRPr="009B1A37" w:rsidRDefault="00E92109" w:rsidP="00BE3D48">
      <w:pPr>
        <w:widowControl w:val="0"/>
        <w:tabs>
          <w:tab w:val="clear" w:pos="567"/>
        </w:tabs>
        <w:spacing w:line="240" w:lineRule="auto"/>
        <w:ind w:right="-2"/>
        <w:rPr>
          <w:color w:val="000000"/>
        </w:rPr>
      </w:pPr>
      <w:r w:rsidRPr="009B1A37">
        <w:rPr>
          <w:b/>
          <w:bCs/>
          <w:color w:val="000000"/>
        </w:rPr>
        <w:t>Co naleznete v této příbalové informaci</w:t>
      </w:r>
    </w:p>
    <w:p w14:paraId="1404C303" w14:textId="77777777" w:rsidR="00E92109" w:rsidRPr="009B1A37" w:rsidRDefault="00E92109" w:rsidP="00BE3D48">
      <w:pPr>
        <w:widowControl w:val="0"/>
        <w:spacing w:line="240" w:lineRule="auto"/>
        <w:ind w:right="-29"/>
        <w:rPr>
          <w:color w:val="000000"/>
        </w:rPr>
      </w:pPr>
      <w:r w:rsidRPr="009B1A37">
        <w:rPr>
          <w:color w:val="000000"/>
        </w:rPr>
        <w:t>1.</w:t>
      </w:r>
      <w:r w:rsidRPr="009B1A37">
        <w:rPr>
          <w:color w:val="000000"/>
        </w:rPr>
        <w:tab/>
        <w:t>Co je Glivec a k čemu se používá</w:t>
      </w:r>
    </w:p>
    <w:p w14:paraId="15BA0489" w14:textId="77777777" w:rsidR="00E92109" w:rsidRPr="009B1A37" w:rsidRDefault="00E92109" w:rsidP="00BE3D48">
      <w:pPr>
        <w:widowControl w:val="0"/>
        <w:spacing w:line="240" w:lineRule="auto"/>
        <w:ind w:right="-29"/>
        <w:rPr>
          <w:color w:val="000000"/>
        </w:rPr>
      </w:pPr>
      <w:r w:rsidRPr="009B1A37">
        <w:rPr>
          <w:color w:val="000000"/>
        </w:rPr>
        <w:t>2.</w:t>
      </w:r>
      <w:r w:rsidRPr="009B1A37">
        <w:rPr>
          <w:color w:val="000000"/>
        </w:rPr>
        <w:tab/>
        <w:t>Čemu musíte věnovat pozornost, než začnete Glivec užívat</w:t>
      </w:r>
    </w:p>
    <w:p w14:paraId="1C4CC953" w14:textId="77777777" w:rsidR="00E92109" w:rsidRPr="009B1A37" w:rsidRDefault="00E92109" w:rsidP="00BE3D48">
      <w:pPr>
        <w:widowControl w:val="0"/>
        <w:spacing w:line="240" w:lineRule="auto"/>
        <w:ind w:right="-29"/>
        <w:rPr>
          <w:color w:val="000000"/>
        </w:rPr>
      </w:pPr>
      <w:r w:rsidRPr="009B1A37">
        <w:rPr>
          <w:color w:val="000000"/>
        </w:rPr>
        <w:t>3.</w:t>
      </w:r>
      <w:r w:rsidRPr="009B1A37">
        <w:rPr>
          <w:color w:val="000000"/>
        </w:rPr>
        <w:tab/>
        <w:t>Jak se Glivec užívá</w:t>
      </w:r>
    </w:p>
    <w:p w14:paraId="48D4288E" w14:textId="77777777" w:rsidR="00E92109" w:rsidRPr="009B1A37" w:rsidRDefault="00E92109" w:rsidP="00BE3D48">
      <w:pPr>
        <w:widowControl w:val="0"/>
        <w:spacing w:line="240" w:lineRule="auto"/>
        <w:ind w:right="-29"/>
        <w:rPr>
          <w:color w:val="000000"/>
        </w:rPr>
      </w:pPr>
      <w:r w:rsidRPr="009B1A37">
        <w:rPr>
          <w:color w:val="000000"/>
        </w:rPr>
        <w:t>4.</w:t>
      </w:r>
      <w:r w:rsidRPr="009B1A37">
        <w:rPr>
          <w:color w:val="000000"/>
        </w:rPr>
        <w:tab/>
        <w:t>Možné nežádoucí účinky</w:t>
      </w:r>
    </w:p>
    <w:p w14:paraId="0E249A4B" w14:textId="77777777" w:rsidR="00E92109" w:rsidRPr="009B1A37" w:rsidRDefault="00E92109" w:rsidP="00BE3D48">
      <w:pPr>
        <w:widowControl w:val="0"/>
        <w:tabs>
          <w:tab w:val="clear" w:pos="567"/>
        </w:tabs>
        <w:spacing w:line="240" w:lineRule="auto"/>
        <w:ind w:left="567" w:right="-29" w:hanging="567"/>
        <w:rPr>
          <w:color w:val="000000"/>
        </w:rPr>
      </w:pPr>
      <w:r w:rsidRPr="009B1A37">
        <w:rPr>
          <w:color w:val="000000"/>
        </w:rPr>
        <w:t>5.</w:t>
      </w:r>
      <w:r w:rsidRPr="009B1A37">
        <w:rPr>
          <w:color w:val="000000"/>
        </w:rPr>
        <w:tab/>
        <w:t>Jak Glivec uchovávat</w:t>
      </w:r>
    </w:p>
    <w:p w14:paraId="2D3FE665" w14:textId="77777777" w:rsidR="00E92109" w:rsidRPr="009B1A37" w:rsidRDefault="00E92109" w:rsidP="00BE3D48">
      <w:pPr>
        <w:widowControl w:val="0"/>
        <w:spacing w:line="240" w:lineRule="auto"/>
        <w:ind w:right="-29"/>
        <w:rPr>
          <w:color w:val="000000"/>
        </w:rPr>
      </w:pPr>
      <w:r w:rsidRPr="009B1A37">
        <w:rPr>
          <w:color w:val="000000"/>
        </w:rPr>
        <w:t>6.</w:t>
      </w:r>
      <w:r w:rsidRPr="009B1A37">
        <w:rPr>
          <w:color w:val="000000"/>
        </w:rPr>
        <w:tab/>
        <w:t>Obsah balení a další informace</w:t>
      </w:r>
    </w:p>
    <w:p w14:paraId="07767E8C" w14:textId="77777777" w:rsidR="00E92109" w:rsidRPr="009B1A37" w:rsidRDefault="00E92109" w:rsidP="00BE3D48">
      <w:pPr>
        <w:widowControl w:val="0"/>
        <w:tabs>
          <w:tab w:val="clear" w:pos="567"/>
        </w:tabs>
        <w:spacing w:line="240" w:lineRule="auto"/>
        <w:ind w:right="-29"/>
        <w:rPr>
          <w:color w:val="000000"/>
        </w:rPr>
      </w:pPr>
    </w:p>
    <w:p w14:paraId="67E169C5" w14:textId="77777777" w:rsidR="00E92109" w:rsidRPr="009B1A37" w:rsidRDefault="00E92109" w:rsidP="00BE3D48">
      <w:pPr>
        <w:widowControl w:val="0"/>
        <w:tabs>
          <w:tab w:val="clear" w:pos="567"/>
        </w:tabs>
        <w:spacing w:line="240" w:lineRule="auto"/>
        <w:ind w:right="-29"/>
        <w:rPr>
          <w:color w:val="000000"/>
        </w:rPr>
      </w:pPr>
    </w:p>
    <w:p w14:paraId="4DA38B26" w14:textId="77777777" w:rsidR="00E92109" w:rsidRPr="009B1A37" w:rsidRDefault="00E92109" w:rsidP="00BE3D48">
      <w:pPr>
        <w:keepNext/>
        <w:widowControl w:val="0"/>
        <w:tabs>
          <w:tab w:val="clear" w:pos="567"/>
        </w:tabs>
        <w:spacing w:line="240" w:lineRule="auto"/>
        <w:ind w:left="567" w:right="-2" w:hanging="567"/>
        <w:rPr>
          <w:b/>
          <w:bCs/>
          <w:color w:val="000000"/>
        </w:rPr>
      </w:pPr>
      <w:r w:rsidRPr="009B1A37">
        <w:rPr>
          <w:b/>
          <w:bCs/>
          <w:color w:val="000000"/>
        </w:rPr>
        <w:t>1.</w:t>
      </w:r>
      <w:r w:rsidRPr="009B1A37">
        <w:rPr>
          <w:b/>
          <w:bCs/>
          <w:color w:val="000000"/>
        </w:rPr>
        <w:tab/>
        <w:t>Co je Glivec a k čemu se používá</w:t>
      </w:r>
    </w:p>
    <w:p w14:paraId="161E0FD1" w14:textId="77777777" w:rsidR="00E92109" w:rsidRPr="009B1A37" w:rsidRDefault="00E92109" w:rsidP="00BE3D48">
      <w:pPr>
        <w:pStyle w:val="EndnoteText"/>
        <w:keepNext/>
        <w:widowControl w:val="0"/>
        <w:tabs>
          <w:tab w:val="clear" w:pos="567"/>
        </w:tabs>
        <w:rPr>
          <w:color w:val="000000"/>
        </w:rPr>
      </w:pPr>
    </w:p>
    <w:p w14:paraId="1A5184B1" w14:textId="77777777" w:rsidR="00E92109" w:rsidRPr="009B1A37" w:rsidRDefault="00E92109" w:rsidP="00BE3D48">
      <w:pPr>
        <w:pStyle w:val="EndnoteText"/>
        <w:widowControl w:val="0"/>
        <w:tabs>
          <w:tab w:val="clear" w:pos="567"/>
        </w:tabs>
        <w:rPr>
          <w:color w:val="000000"/>
        </w:rPr>
      </w:pPr>
      <w:r w:rsidRPr="009B1A37">
        <w:rPr>
          <w:color w:val="000000"/>
        </w:rPr>
        <w:t>Glivec je lék obsahující léčivou látku imatinib. Tento lék tlumí růst abnormálních buněk u níže uvedených onemocnění, zahrnujících některé typy nádorů.</w:t>
      </w:r>
    </w:p>
    <w:p w14:paraId="445C43E1" w14:textId="77777777" w:rsidR="00E92109" w:rsidRPr="009B1A37" w:rsidRDefault="00E92109" w:rsidP="00BE3D48">
      <w:pPr>
        <w:pStyle w:val="Text"/>
        <w:widowControl w:val="0"/>
        <w:spacing w:before="0"/>
        <w:jc w:val="left"/>
        <w:rPr>
          <w:color w:val="000000"/>
          <w:sz w:val="22"/>
          <w:szCs w:val="22"/>
          <w:lang w:val="cs-CZ"/>
        </w:rPr>
      </w:pPr>
    </w:p>
    <w:p w14:paraId="22A4F6D1" w14:textId="77777777" w:rsidR="00E92109" w:rsidRPr="009B1A37" w:rsidRDefault="00E92109" w:rsidP="00BE3D48">
      <w:pPr>
        <w:pStyle w:val="Text"/>
        <w:keepNext/>
        <w:widowControl w:val="0"/>
        <w:spacing w:before="0"/>
        <w:jc w:val="left"/>
        <w:rPr>
          <w:b/>
          <w:bCs/>
          <w:color w:val="000000"/>
          <w:sz w:val="22"/>
          <w:szCs w:val="22"/>
          <w:lang w:val="cs-CZ"/>
        </w:rPr>
      </w:pPr>
      <w:r w:rsidRPr="009B1A37">
        <w:rPr>
          <w:b/>
          <w:bCs/>
          <w:color w:val="000000"/>
          <w:sz w:val="22"/>
          <w:szCs w:val="22"/>
          <w:lang w:val="cs-CZ"/>
        </w:rPr>
        <w:t xml:space="preserve">Glivec se </w:t>
      </w:r>
      <w:r w:rsidR="00C75CD1" w:rsidRPr="009B1A37">
        <w:rPr>
          <w:b/>
          <w:bCs/>
          <w:color w:val="000000"/>
          <w:sz w:val="22"/>
          <w:szCs w:val="22"/>
          <w:lang w:val="cs-CZ"/>
        </w:rPr>
        <w:t>po</w:t>
      </w:r>
      <w:r w:rsidRPr="009B1A37">
        <w:rPr>
          <w:b/>
          <w:bCs/>
          <w:color w:val="000000"/>
          <w:sz w:val="22"/>
          <w:szCs w:val="22"/>
          <w:lang w:val="cs-CZ"/>
        </w:rPr>
        <w:t>užívá k léčbě dospělých a dětí s:</w:t>
      </w:r>
    </w:p>
    <w:p w14:paraId="2D9D6EDE" w14:textId="77777777" w:rsidR="00E92109" w:rsidRPr="009B1A37" w:rsidRDefault="00E92109" w:rsidP="00BE3D48">
      <w:pPr>
        <w:pStyle w:val="Text"/>
        <w:keepNext/>
        <w:widowControl w:val="0"/>
        <w:spacing w:before="0"/>
        <w:jc w:val="left"/>
        <w:rPr>
          <w:color w:val="000000"/>
          <w:sz w:val="22"/>
          <w:szCs w:val="22"/>
          <w:lang w:val="cs-CZ"/>
        </w:rPr>
      </w:pPr>
    </w:p>
    <w:p w14:paraId="0BB3044E" w14:textId="77777777" w:rsidR="00E92109" w:rsidRPr="009B1A37" w:rsidRDefault="00E92109" w:rsidP="00BE3D48">
      <w:pPr>
        <w:pStyle w:val="Text"/>
        <w:widowControl w:val="0"/>
        <w:spacing w:before="0"/>
        <w:ind w:left="600" w:hanging="600"/>
        <w:jc w:val="left"/>
        <w:rPr>
          <w:color w:val="000000"/>
          <w:sz w:val="22"/>
          <w:szCs w:val="22"/>
          <w:lang w:val="cs-CZ"/>
        </w:rPr>
      </w:pPr>
      <w:r w:rsidRPr="009B1A37">
        <w:rPr>
          <w:color w:val="000000"/>
          <w:sz w:val="22"/>
          <w:szCs w:val="22"/>
          <w:lang w:val="cs-CZ"/>
        </w:rPr>
        <w:t>-</w:t>
      </w:r>
      <w:r w:rsidRPr="009B1A37">
        <w:rPr>
          <w:color w:val="000000"/>
          <w:sz w:val="22"/>
          <w:szCs w:val="22"/>
          <w:lang w:val="cs-CZ"/>
        </w:rPr>
        <w:tab/>
      </w:r>
      <w:r w:rsidRPr="009B1A37">
        <w:rPr>
          <w:b/>
          <w:bCs/>
          <w:color w:val="000000"/>
          <w:sz w:val="22"/>
          <w:szCs w:val="22"/>
          <w:lang w:val="cs-CZ"/>
        </w:rPr>
        <w:t>Chronickou myeloidní leukemií (CML).</w:t>
      </w:r>
      <w:r w:rsidRPr="009B1A37">
        <w:rPr>
          <w:color w:val="000000"/>
          <w:sz w:val="22"/>
          <w:szCs w:val="22"/>
          <w:lang w:val="cs-CZ"/>
        </w:rPr>
        <w:t xml:space="preserve"> Leukemie je nádorové onemocnění bílých krvinek. Bílé krvinky obvykle pomáhají organismu bojovat proti infekci. Chronická myeloidní leukemie je forma leukemie, při které určité abnormální bílé krvinky (nazvané myeloidní buňky) začnou růst nekontrolovaně.</w:t>
      </w:r>
    </w:p>
    <w:p w14:paraId="6DB8ED04" w14:textId="77777777" w:rsidR="00AF0B73" w:rsidRPr="009B1A37" w:rsidRDefault="00AF0B73" w:rsidP="00BE3D48">
      <w:pPr>
        <w:pStyle w:val="Text"/>
        <w:widowControl w:val="0"/>
        <w:numPr>
          <w:ilvl w:val="0"/>
          <w:numId w:val="13"/>
        </w:numPr>
        <w:tabs>
          <w:tab w:val="clear" w:pos="0"/>
          <w:tab w:val="clear" w:pos="567"/>
        </w:tabs>
        <w:spacing w:before="0"/>
        <w:ind w:left="567" w:hanging="567"/>
        <w:jc w:val="left"/>
        <w:rPr>
          <w:color w:val="000000"/>
          <w:sz w:val="22"/>
          <w:szCs w:val="22"/>
          <w:lang w:val="cs-CZ"/>
        </w:rPr>
      </w:pPr>
      <w:r w:rsidRPr="009B1A37">
        <w:rPr>
          <w:b/>
          <w:bCs/>
          <w:color w:val="000000"/>
          <w:sz w:val="22"/>
          <w:szCs w:val="22"/>
          <w:lang w:val="cs-CZ"/>
        </w:rPr>
        <w:t xml:space="preserve">Philadelphia chromozom pozitivní akutní lymfatickou leukemií (Ph-pozitivní </w:t>
      </w:r>
      <w:smartTag w:uri="urn:schemas-microsoft-com:office:smarttags" w:element="stockticker">
        <w:r w:rsidRPr="009B1A37">
          <w:rPr>
            <w:b/>
            <w:bCs/>
            <w:color w:val="000000"/>
            <w:sz w:val="22"/>
            <w:szCs w:val="22"/>
            <w:lang w:val="cs-CZ"/>
          </w:rPr>
          <w:t>ALL</w:t>
        </w:r>
      </w:smartTag>
      <w:r w:rsidRPr="009B1A37">
        <w:rPr>
          <w:b/>
          <w:bCs/>
          <w:color w:val="000000"/>
          <w:sz w:val="22"/>
          <w:szCs w:val="22"/>
          <w:lang w:val="cs-CZ"/>
        </w:rPr>
        <w:t>).</w:t>
      </w:r>
      <w:r w:rsidRPr="009B1A37">
        <w:rPr>
          <w:color w:val="000000"/>
          <w:sz w:val="22"/>
          <w:szCs w:val="22"/>
          <w:lang w:val="cs-CZ"/>
        </w:rPr>
        <w:t xml:space="preserve"> Leukemie je nádorové onemocnění bílých krvinek. Tyto bílé krvinky obvykle pomáhají tělu bojovat proti infekci. Akutní lymfatická leukemie je forma leukemie, při které určité abnormální bílé krvinky (nazvané lymfoblasty) začnou nekontrolovaně růst. Glivec tlumí růst těchto buněk.</w:t>
      </w:r>
    </w:p>
    <w:p w14:paraId="6A6993A2" w14:textId="77777777" w:rsidR="00E92109" w:rsidRPr="009B1A37" w:rsidRDefault="00E92109" w:rsidP="00BE3D48">
      <w:pPr>
        <w:pStyle w:val="Text"/>
        <w:widowControl w:val="0"/>
        <w:spacing w:before="0"/>
        <w:jc w:val="left"/>
        <w:rPr>
          <w:color w:val="000000"/>
          <w:sz w:val="22"/>
          <w:szCs w:val="22"/>
          <w:lang w:val="cs-CZ"/>
        </w:rPr>
      </w:pPr>
    </w:p>
    <w:p w14:paraId="6F519E51" w14:textId="77777777" w:rsidR="00E92109" w:rsidRPr="009B1A37" w:rsidRDefault="00E92109" w:rsidP="00BE3D48">
      <w:pPr>
        <w:pStyle w:val="Text"/>
        <w:keepNext/>
        <w:widowControl w:val="0"/>
        <w:spacing w:before="0"/>
        <w:jc w:val="left"/>
        <w:rPr>
          <w:b/>
          <w:bCs/>
          <w:color w:val="000000"/>
          <w:sz w:val="22"/>
          <w:szCs w:val="22"/>
          <w:lang w:val="cs-CZ"/>
        </w:rPr>
      </w:pPr>
      <w:r w:rsidRPr="009B1A37">
        <w:rPr>
          <w:b/>
          <w:bCs/>
          <w:color w:val="000000"/>
          <w:sz w:val="22"/>
          <w:szCs w:val="22"/>
          <w:lang w:val="cs-CZ"/>
        </w:rPr>
        <w:t xml:space="preserve">Glivec se také </w:t>
      </w:r>
      <w:r w:rsidR="00C75CD1" w:rsidRPr="009B1A37">
        <w:rPr>
          <w:b/>
          <w:bCs/>
          <w:color w:val="000000"/>
          <w:sz w:val="22"/>
          <w:szCs w:val="22"/>
          <w:lang w:val="cs-CZ"/>
        </w:rPr>
        <w:t>po</w:t>
      </w:r>
      <w:r w:rsidRPr="009B1A37">
        <w:rPr>
          <w:b/>
          <w:bCs/>
          <w:color w:val="000000"/>
          <w:sz w:val="22"/>
          <w:szCs w:val="22"/>
          <w:lang w:val="cs-CZ"/>
        </w:rPr>
        <w:t>užívá k léčbě dospělých s:</w:t>
      </w:r>
    </w:p>
    <w:p w14:paraId="29337BEB" w14:textId="77777777" w:rsidR="00E92109" w:rsidRPr="009B1A37" w:rsidRDefault="00E92109" w:rsidP="00BE3D48">
      <w:pPr>
        <w:pStyle w:val="Text"/>
        <w:keepNext/>
        <w:widowControl w:val="0"/>
        <w:spacing w:before="0"/>
        <w:jc w:val="left"/>
        <w:rPr>
          <w:color w:val="000000"/>
          <w:sz w:val="22"/>
          <w:szCs w:val="22"/>
          <w:lang w:val="cs-CZ"/>
        </w:rPr>
      </w:pPr>
    </w:p>
    <w:p w14:paraId="3725AED4" w14:textId="77777777" w:rsidR="00E92109" w:rsidRPr="009B1A37" w:rsidRDefault="00E92109" w:rsidP="00BE3D48">
      <w:pPr>
        <w:pStyle w:val="Text"/>
        <w:widowControl w:val="0"/>
        <w:numPr>
          <w:ilvl w:val="0"/>
          <w:numId w:val="13"/>
        </w:numPr>
        <w:tabs>
          <w:tab w:val="clear" w:pos="0"/>
          <w:tab w:val="clear" w:pos="567"/>
        </w:tabs>
        <w:spacing w:before="0"/>
        <w:ind w:left="567" w:hanging="567"/>
        <w:jc w:val="left"/>
        <w:rPr>
          <w:color w:val="000000"/>
          <w:sz w:val="22"/>
          <w:szCs w:val="22"/>
          <w:lang w:val="cs-CZ"/>
        </w:rPr>
      </w:pPr>
      <w:r w:rsidRPr="009B1A37">
        <w:rPr>
          <w:b/>
          <w:bCs/>
          <w:color w:val="000000"/>
          <w:sz w:val="22"/>
          <w:szCs w:val="22"/>
          <w:lang w:val="cs-CZ"/>
        </w:rPr>
        <w:t>Myelodysplatickým/myeloproliferativním onemocněním (</w:t>
      </w:r>
      <w:smartTag w:uri="urn:schemas-microsoft-com:office:smarttags" w:element="stockticker">
        <w:r w:rsidRPr="009B1A37">
          <w:rPr>
            <w:b/>
            <w:bCs/>
            <w:color w:val="000000"/>
            <w:sz w:val="22"/>
            <w:szCs w:val="22"/>
            <w:lang w:val="cs-CZ"/>
          </w:rPr>
          <w:t>MDS</w:t>
        </w:r>
      </w:smartTag>
      <w:r w:rsidRPr="009B1A37">
        <w:rPr>
          <w:b/>
          <w:bCs/>
          <w:color w:val="000000"/>
          <w:sz w:val="22"/>
          <w:szCs w:val="22"/>
          <w:lang w:val="cs-CZ"/>
        </w:rPr>
        <w:t>/MPD).</w:t>
      </w:r>
      <w:r w:rsidRPr="009B1A37">
        <w:rPr>
          <w:color w:val="000000"/>
          <w:sz w:val="22"/>
          <w:szCs w:val="22"/>
          <w:lang w:val="cs-CZ"/>
        </w:rPr>
        <w:t xml:space="preserve"> Jde o </w:t>
      </w:r>
      <w:r w:rsidR="00C75CD1" w:rsidRPr="009B1A37">
        <w:rPr>
          <w:color w:val="000000"/>
          <w:sz w:val="22"/>
          <w:szCs w:val="22"/>
          <w:lang w:val="cs-CZ"/>
        </w:rPr>
        <w:t xml:space="preserve">skupinu </w:t>
      </w:r>
      <w:r w:rsidRPr="009B1A37">
        <w:rPr>
          <w:color w:val="000000"/>
          <w:sz w:val="22"/>
          <w:szCs w:val="22"/>
          <w:lang w:val="cs-CZ"/>
        </w:rPr>
        <w:t xml:space="preserve">onemocnění krve, </w:t>
      </w:r>
      <w:r w:rsidR="00C75CD1" w:rsidRPr="009B1A37">
        <w:rPr>
          <w:color w:val="000000"/>
          <w:sz w:val="22"/>
          <w:szCs w:val="22"/>
          <w:lang w:val="cs-CZ"/>
        </w:rPr>
        <w:t>u kterých</w:t>
      </w:r>
      <w:r w:rsidRPr="009B1A37">
        <w:rPr>
          <w:color w:val="000000"/>
          <w:sz w:val="22"/>
          <w:szCs w:val="22"/>
          <w:lang w:val="cs-CZ"/>
        </w:rPr>
        <w:t xml:space="preserve"> některé bílé krvinky začnou růst nekontrolovaně. Glivec tlumí růst těchto buněk u </w:t>
      </w:r>
      <w:r w:rsidR="00C75CD1" w:rsidRPr="009B1A37">
        <w:rPr>
          <w:color w:val="000000"/>
          <w:sz w:val="22"/>
          <w:szCs w:val="22"/>
          <w:lang w:val="cs-CZ"/>
        </w:rPr>
        <w:t>určitého pod</w:t>
      </w:r>
      <w:r w:rsidRPr="009B1A37">
        <w:rPr>
          <w:color w:val="000000"/>
          <w:sz w:val="22"/>
          <w:szCs w:val="22"/>
          <w:lang w:val="cs-CZ"/>
        </w:rPr>
        <w:t>typu těchto onemocnění.</w:t>
      </w:r>
    </w:p>
    <w:p w14:paraId="3BB0C74B" w14:textId="77777777" w:rsidR="00E92109" w:rsidRPr="009B1A37" w:rsidRDefault="00E92109" w:rsidP="00BE3D48">
      <w:pPr>
        <w:pStyle w:val="Text"/>
        <w:widowControl w:val="0"/>
        <w:numPr>
          <w:ilvl w:val="0"/>
          <w:numId w:val="13"/>
        </w:numPr>
        <w:tabs>
          <w:tab w:val="clear" w:pos="0"/>
          <w:tab w:val="clear" w:pos="567"/>
        </w:tabs>
        <w:spacing w:before="0"/>
        <w:ind w:left="567" w:hanging="567"/>
        <w:jc w:val="left"/>
        <w:rPr>
          <w:color w:val="000000"/>
          <w:sz w:val="22"/>
          <w:szCs w:val="22"/>
          <w:lang w:val="cs-CZ"/>
        </w:rPr>
      </w:pPr>
      <w:r w:rsidRPr="009B1A37">
        <w:rPr>
          <w:b/>
          <w:bCs/>
          <w:color w:val="000000"/>
          <w:sz w:val="22"/>
          <w:szCs w:val="22"/>
          <w:lang w:val="cs-CZ"/>
        </w:rPr>
        <w:t>Syndromem hypereozinofilie (HES) a/nebo chronickou eozinofilní leukemií (</w:t>
      </w:r>
      <w:smartTag w:uri="urn:schemas-microsoft-com:office:smarttags" w:element="stockticker">
        <w:r w:rsidRPr="009B1A37">
          <w:rPr>
            <w:b/>
            <w:bCs/>
            <w:color w:val="000000"/>
            <w:sz w:val="22"/>
            <w:szCs w:val="22"/>
            <w:lang w:val="cs-CZ"/>
          </w:rPr>
          <w:t>CEL</w:t>
        </w:r>
      </w:smartTag>
      <w:r w:rsidRPr="009B1A37">
        <w:rPr>
          <w:b/>
          <w:bCs/>
          <w:color w:val="000000"/>
          <w:sz w:val="22"/>
          <w:szCs w:val="22"/>
          <w:lang w:val="cs-CZ"/>
        </w:rPr>
        <w:t>).</w:t>
      </w:r>
      <w:r w:rsidRPr="009B1A37">
        <w:rPr>
          <w:color w:val="000000"/>
          <w:sz w:val="22"/>
          <w:szCs w:val="22"/>
          <w:lang w:val="cs-CZ"/>
        </w:rPr>
        <w:t xml:space="preserve"> Jsou to krevní onemocnění, při nichž určité krvinky (nazvané eozinofily) začnou růst nekontrolovaně. Glivec tlumí růst těchto buněk u </w:t>
      </w:r>
      <w:r w:rsidR="00C75CD1" w:rsidRPr="009B1A37">
        <w:rPr>
          <w:color w:val="000000"/>
          <w:sz w:val="22"/>
          <w:szCs w:val="22"/>
          <w:lang w:val="cs-CZ"/>
        </w:rPr>
        <w:t>určitého</w:t>
      </w:r>
      <w:r w:rsidRPr="009B1A37">
        <w:rPr>
          <w:color w:val="000000"/>
          <w:sz w:val="22"/>
          <w:szCs w:val="22"/>
          <w:lang w:val="cs-CZ"/>
        </w:rPr>
        <w:t xml:space="preserve"> </w:t>
      </w:r>
      <w:r w:rsidR="00C75CD1" w:rsidRPr="009B1A37">
        <w:rPr>
          <w:color w:val="000000"/>
          <w:sz w:val="22"/>
          <w:szCs w:val="22"/>
          <w:lang w:val="cs-CZ"/>
        </w:rPr>
        <w:t>pod</w:t>
      </w:r>
      <w:r w:rsidRPr="009B1A37">
        <w:rPr>
          <w:color w:val="000000"/>
          <w:sz w:val="22"/>
          <w:szCs w:val="22"/>
          <w:lang w:val="cs-CZ"/>
        </w:rPr>
        <w:t>typu těchto onemocnění.</w:t>
      </w:r>
    </w:p>
    <w:p w14:paraId="07DA5EA4" w14:textId="77777777" w:rsidR="00E92109" w:rsidRPr="009B1A37" w:rsidRDefault="00E92109" w:rsidP="00BE3D48">
      <w:pPr>
        <w:pStyle w:val="Text"/>
        <w:widowControl w:val="0"/>
        <w:numPr>
          <w:ilvl w:val="0"/>
          <w:numId w:val="21"/>
        </w:numPr>
        <w:tabs>
          <w:tab w:val="clear" w:pos="0"/>
          <w:tab w:val="clear" w:pos="567"/>
        </w:tabs>
        <w:spacing w:before="0"/>
        <w:ind w:left="567" w:hanging="567"/>
        <w:jc w:val="left"/>
        <w:rPr>
          <w:color w:val="000000"/>
          <w:sz w:val="22"/>
          <w:szCs w:val="22"/>
          <w:lang w:val="cs-CZ"/>
        </w:rPr>
      </w:pPr>
      <w:r w:rsidRPr="009B1A37">
        <w:rPr>
          <w:b/>
          <w:bCs/>
          <w:color w:val="000000"/>
          <w:sz w:val="22"/>
          <w:szCs w:val="22"/>
          <w:lang w:val="cs-CZ"/>
        </w:rPr>
        <w:t>Zhoubnými, stromálními nádory zažívacího traktu (GIST).</w:t>
      </w:r>
      <w:r w:rsidRPr="009B1A37">
        <w:rPr>
          <w:color w:val="000000"/>
          <w:sz w:val="22"/>
          <w:szCs w:val="22"/>
          <w:lang w:val="cs-CZ"/>
        </w:rPr>
        <w:t xml:space="preserve"> GIST je nádorové onemocnění žaludku a střev. Vzniká nekontrolovaným růstem podpůrné tkáně těchto orgánů.</w:t>
      </w:r>
    </w:p>
    <w:p w14:paraId="5F6D7D9D" w14:textId="77777777" w:rsidR="00E92109" w:rsidRPr="009B1A37" w:rsidRDefault="00E92109" w:rsidP="00182086">
      <w:pPr>
        <w:pStyle w:val="Text"/>
        <w:keepNext/>
        <w:keepLines/>
        <w:widowControl w:val="0"/>
        <w:numPr>
          <w:ilvl w:val="0"/>
          <w:numId w:val="13"/>
        </w:numPr>
        <w:tabs>
          <w:tab w:val="clear" w:pos="0"/>
          <w:tab w:val="clear" w:pos="567"/>
        </w:tabs>
        <w:spacing w:before="0"/>
        <w:ind w:left="567" w:hanging="567"/>
        <w:jc w:val="left"/>
        <w:rPr>
          <w:color w:val="000000"/>
          <w:sz w:val="22"/>
          <w:szCs w:val="22"/>
          <w:lang w:val="cs-CZ"/>
        </w:rPr>
      </w:pPr>
      <w:r w:rsidRPr="009B1A37">
        <w:rPr>
          <w:b/>
          <w:bCs/>
          <w:color w:val="000000"/>
          <w:sz w:val="22"/>
          <w:szCs w:val="22"/>
          <w:lang w:val="cs-CZ"/>
        </w:rPr>
        <w:t>Dermatofibrosarkomem protuberans (DFSP).</w:t>
      </w:r>
      <w:r w:rsidRPr="009B1A37">
        <w:rPr>
          <w:color w:val="000000"/>
          <w:sz w:val="22"/>
          <w:szCs w:val="22"/>
          <w:lang w:val="cs-CZ"/>
        </w:rPr>
        <w:t xml:space="preserve"> DFSP je nádorové onemocnění </w:t>
      </w:r>
      <w:r w:rsidR="005A5CC8" w:rsidRPr="009B1A37">
        <w:rPr>
          <w:color w:val="000000"/>
          <w:sz w:val="22"/>
          <w:szCs w:val="22"/>
          <w:lang w:val="cs-CZ"/>
        </w:rPr>
        <w:t>podkožní</w:t>
      </w:r>
      <w:r w:rsidRPr="009B1A37">
        <w:rPr>
          <w:color w:val="000000"/>
          <w:sz w:val="22"/>
          <w:szCs w:val="22"/>
          <w:lang w:val="cs-CZ"/>
        </w:rPr>
        <w:t xml:space="preserve"> tkáně, při kterém některé buňky začnou růst nekontrolovaně. Glivec tlumí růst těchto buněk.</w:t>
      </w:r>
    </w:p>
    <w:p w14:paraId="0678C72E" w14:textId="77777777" w:rsidR="00E92109" w:rsidRPr="009B1A37" w:rsidRDefault="00E92109" w:rsidP="00BE3D48">
      <w:pPr>
        <w:pStyle w:val="Text"/>
        <w:widowControl w:val="0"/>
        <w:spacing w:before="0"/>
        <w:jc w:val="left"/>
        <w:rPr>
          <w:color w:val="000000"/>
          <w:sz w:val="22"/>
          <w:szCs w:val="22"/>
          <w:lang w:val="cs-CZ"/>
        </w:rPr>
      </w:pPr>
      <w:r w:rsidRPr="009B1A37">
        <w:rPr>
          <w:color w:val="000000"/>
          <w:sz w:val="22"/>
          <w:szCs w:val="22"/>
          <w:lang w:val="cs-CZ"/>
        </w:rPr>
        <w:t>V následujícím textu této příbalové informace budeme pro tato onemocnění používat zkratky</w:t>
      </w:r>
    </w:p>
    <w:p w14:paraId="627DECB3" w14:textId="77777777" w:rsidR="00E92109" w:rsidRPr="009B1A37" w:rsidRDefault="00E92109" w:rsidP="00BE3D48">
      <w:pPr>
        <w:pStyle w:val="Text"/>
        <w:widowControl w:val="0"/>
        <w:spacing w:before="0"/>
        <w:jc w:val="left"/>
        <w:rPr>
          <w:color w:val="000000"/>
          <w:sz w:val="22"/>
          <w:szCs w:val="22"/>
          <w:lang w:val="cs-CZ"/>
        </w:rPr>
      </w:pPr>
    </w:p>
    <w:p w14:paraId="13EE89B0" w14:textId="77777777" w:rsidR="00E92109" w:rsidRPr="009B1A37" w:rsidRDefault="00E92109" w:rsidP="00BE3D48">
      <w:pPr>
        <w:pStyle w:val="Text"/>
        <w:widowControl w:val="0"/>
        <w:spacing w:before="0"/>
        <w:jc w:val="left"/>
        <w:rPr>
          <w:color w:val="000000"/>
          <w:sz w:val="22"/>
          <w:szCs w:val="22"/>
          <w:lang w:val="cs-CZ"/>
        </w:rPr>
      </w:pPr>
      <w:r w:rsidRPr="009B1A37">
        <w:rPr>
          <w:color w:val="000000"/>
          <w:sz w:val="22"/>
          <w:szCs w:val="22"/>
          <w:lang w:val="cs-CZ"/>
        </w:rPr>
        <w:t>Jestliže máte nějaké dotazy, jak Glivec působí, nebo proč byl tento lék předepsán právě Vám, zeptejte se svého lékaře.</w:t>
      </w:r>
    </w:p>
    <w:p w14:paraId="4124E5AD" w14:textId="77777777" w:rsidR="00E92109" w:rsidRPr="009B1A37" w:rsidRDefault="00E92109" w:rsidP="00BE3D48">
      <w:pPr>
        <w:pStyle w:val="EndnoteText"/>
        <w:widowControl w:val="0"/>
        <w:tabs>
          <w:tab w:val="clear" w:pos="567"/>
        </w:tabs>
        <w:rPr>
          <w:color w:val="000000"/>
        </w:rPr>
      </w:pPr>
    </w:p>
    <w:p w14:paraId="3F8BF54A" w14:textId="77777777" w:rsidR="00E92109" w:rsidRPr="009B1A37" w:rsidRDefault="00E92109" w:rsidP="00BE3D48">
      <w:pPr>
        <w:pStyle w:val="EndnoteText"/>
        <w:widowControl w:val="0"/>
        <w:tabs>
          <w:tab w:val="clear" w:pos="567"/>
        </w:tabs>
        <w:rPr>
          <w:color w:val="000000"/>
        </w:rPr>
      </w:pPr>
    </w:p>
    <w:p w14:paraId="774DF0BF" w14:textId="77777777" w:rsidR="00E92109" w:rsidRPr="009B1A37" w:rsidRDefault="00E92109" w:rsidP="00BE3D48">
      <w:pPr>
        <w:keepNext/>
        <w:widowControl w:val="0"/>
        <w:tabs>
          <w:tab w:val="clear" w:pos="567"/>
        </w:tabs>
        <w:spacing w:line="240" w:lineRule="auto"/>
        <w:ind w:left="567" w:right="-2" w:hanging="567"/>
        <w:rPr>
          <w:b/>
          <w:bCs/>
          <w:color w:val="000000"/>
        </w:rPr>
      </w:pPr>
      <w:r w:rsidRPr="009B1A37">
        <w:rPr>
          <w:b/>
          <w:bCs/>
          <w:color w:val="000000"/>
        </w:rPr>
        <w:t>2.</w:t>
      </w:r>
      <w:r w:rsidRPr="009B1A37">
        <w:rPr>
          <w:b/>
          <w:bCs/>
          <w:color w:val="000000"/>
        </w:rPr>
        <w:tab/>
        <w:t>Čemu musíte věnovat pozornost, než začnete Glivec užívat</w:t>
      </w:r>
    </w:p>
    <w:p w14:paraId="0419B990" w14:textId="77777777" w:rsidR="00E92109" w:rsidRPr="009B1A37" w:rsidRDefault="00E92109" w:rsidP="00BE3D48">
      <w:pPr>
        <w:keepNext/>
        <w:widowControl w:val="0"/>
        <w:tabs>
          <w:tab w:val="clear" w:pos="567"/>
        </w:tabs>
        <w:spacing w:line="240" w:lineRule="auto"/>
        <w:ind w:left="567" w:right="-2" w:hanging="567"/>
        <w:rPr>
          <w:color w:val="000000"/>
        </w:rPr>
      </w:pPr>
    </w:p>
    <w:p w14:paraId="69F08B9F" w14:textId="77777777" w:rsidR="00E92109" w:rsidRPr="009B1A37" w:rsidRDefault="00E92109" w:rsidP="00BE3D48">
      <w:pPr>
        <w:pStyle w:val="Text"/>
        <w:widowControl w:val="0"/>
        <w:spacing w:before="0"/>
        <w:jc w:val="left"/>
        <w:rPr>
          <w:color w:val="000000"/>
          <w:sz w:val="22"/>
          <w:szCs w:val="22"/>
          <w:lang w:val="cs-CZ"/>
        </w:rPr>
      </w:pPr>
      <w:r w:rsidRPr="009B1A37">
        <w:rPr>
          <w:color w:val="000000"/>
          <w:sz w:val="22"/>
          <w:szCs w:val="22"/>
          <w:lang w:val="cs-CZ"/>
        </w:rPr>
        <w:t>Glivec Vám bude předepsán pouze lékařem, který má zkušenosti s léčbou nádorov</w:t>
      </w:r>
      <w:r w:rsidR="005A5CC8" w:rsidRPr="009B1A37">
        <w:rPr>
          <w:color w:val="000000"/>
          <w:sz w:val="22"/>
          <w:szCs w:val="22"/>
          <w:lang w:val="cs-CZ"/>
        </w:rPr>
        <w:t>ých</w:t>
      </w:r>
      <w:r w:rsidRPr="009B1A37">
        <w:rPr>
          <w:color w:val="000000"/>
          <w:sz w:val="22"/>
          <w:szCs w:val="22"/>
          <w:lang w:val="cs-CZ"/>
        </w:rPr>
        <w:t xml:space="preserve"> onemocnění krve nebo solidních nádorů (pevných ohraničených nádorů).</w:t>
      </w:r>
    </w:p>
    <w:p w14:paraId="4C294973" w14:textId="77777777" w:rsidR="00E92109" w:rsidRPr="009B1A37" w:rsidRDefault="00E92109" w:rsidP="00BE3D48">
      <w:pPr>
        <w:widowControl w:val="0"/>
        <w:tabs>
          <w:tab w:val="clear" w:pos="567"/>
        </w:tabs>
        <w:spacing w:line="240" w:lineRule="auto"/>
        <w:ind w:right="-2"/>
        <w:rPr>
          <w:color w:val="000000"/>
        </w:rPr>
      </w:pPr>
    </w:p>
    <w:p w14:paraId="66F38FD3" w14:textId="77777777" w:rsidR="00E92109" w:rsidRPr="009B1A37" w:rsidRDefault="00E92109" w:rsidP="00BE3D48">
      <w:pPr>
        <w:widowControl w:val="0"/>
        <w:tabs>
          <w:tab w:val="clear" w:pos="567"/>
        </w:tabs>
        <w:spacing w:line="240" w:lineRule="auto"/>
        <w:ind w:right="-2"/>
        <w:rPr>
          <w:color w:val="000000"/>
        </w:rPr>
      </w:pPr>
      <w:r w:rsidRPr="009B1A37">
        <w:rPr>
          <w:color w:val="000000"/>
        </w:rPr>
        <w:t>Dodržujte pečlivě všechna doporučení lékaře, i když se budou lišit od obecných informací uvedených v této příbalové informaci.</w:t>
      </w:r>
    </w:p>
    <w:p w14:paraId="28E183B2" w14:textId="77777777" w:rsidR="00E92109" w:rsidRPr="009B1A37" w:rsidRDefault="00E92109" w:rsidP="00BE3D48">
      <w:pPr>
        <w:widowControl w:val="0"/>
        <w:tabs>
          <w:tab w:val="clear" w:pos="567"/>
        </w:tabs>
        <w:spacing w:line="240" w:lineRule="auto"/>
        <w:ind w:right="-2"/>
        <w:rPr>
          <w:color w:val="000000"/>
        </w:rPr>
      </w:pPr>
    </w:p>
    <w:p w14:paraId="6E8608AC" w14:textId="77777777" w:rsidR="00E92109" w:rsidRPr="009B1A37" w:rsidRDefault="00E92109" w:rsidP="00BE3D48">
      <w:pPr>
        <w:keepNext/>
        <w:widowControl w:val="0"/>
        <w:tabs>
          <w:tab w:val="clear" w:pos="567"/>
        </w:tabs>
        <w:spacing w:line="240" w:lineRule="auto"/>
        <w:rPr>
          <w:b/>
          <w:bCs/>
          <w:color w:val="000000"/>
        </w:rPr>
      </w:pPr>
      <w:r w:rsidRPr="009B1A37">
        <w:rPr>
          <w:b/>
          <w:bCs/>
          <w:color w:val="000000"/>
        </w:rPr>
        <w:t>Neužívejte Glivec:</w:t>
      </w:r>
    </w:p>
    <w:p w14:paraId="2707937D" w14:textId="77777777" w:rsidR="00E92109" w:rsidRPr="009B1A37" w:rsidRDefault="00E92109" w:rsidP="00182086">
      <w:pPr>
        <w:keepNext/>
        <w:widowControl w:val="0"/>
        <w:numPr>
          <w:ilvl w:val="0"/>
          <w:numId w:val="13"/>
        </w:numPr>
        <w:tabs>
          <w:tab w:val="clear" w:pos="0"/>
          <w:tab w:val="clear" w:pos="567"/>
        </w:tabs>
        <w:spacing w:line="240" w:lineRule="auto"/>
        <w:ind w:left="567" w:hanging="567"/>
        <w:rPr>
          <w:color w:val="000000"/>
        </w:rPr>
      </w:pPr>
      <w:r w:rsidRPr="009B1A37">
        <w:rPr>
          <w:color w:val="000000"/>
        </w:rPr>
        <w:t>jestliže jste alergický(á) na imatinib nebo na kteroukoli další složku tohoto přípravku (uvedenou v bodě 6).</w:t>
      </w:r>
    </w:p>
    <w:p w14:paraId="68B1F68D" w14:textId="77777777" w:rsidR="00E92109" w:rsidRPr="009B1A37" w:rsidRDefault="00E92109" w:rsidP="00BE3D48">
      <w:pPr>
        <w:widowControl w:val="0"/>
        <w:tabs>
          <w:tab w:val="clear" w:pos="567"/>
        </w:tabs>
        <w:spacing w:line="240" w:lineRule="auto"/>
        <w:ind w:right="-2"/>
        <w:rPr>
          <w:color w:val="000000"/>
        </w:rPr>
      </w:pPr>
      <w:r w:rsidRPr="009B1A37">
        <w:rPr>
          <w:color w:val="000000"/>
        </w:rPr>
        <w:t xml:space="preserve">Pokud se Vás to týká, </w:t>
      </w:r>
      <w:r w:rsidRPr="009B1A37">
        <w:rPr>
          <w:b/>
          <w:bCs/>
          <w:color w:val="000000"/>
        </w:rPr>
        <w:t>oznamte to svému lékaři, aniž byste Glivec užíval(a)</w:t>
      </w:r>
      <w:r w:rsidRPr="009B1A37">
        <w:rPr>
          <w:color w:val="000000"/>
        </w:rPr>
        <w:t>.</w:t>
      </w:r>
    </w:p>
    <w:p w14:paraId="0E4C7EC1" w14:textId="77777777" w:rsidR="00E92109" w:rsidRPr="009B1A37" w:rsidRDefault="00E92109" w:rsidP="00BE3D48">
      <w:pPr>
        <w:widowControl w:val="0"/>
        <w:tabs>
          <w:tab w:val="clear" w:pos="567"/>
        </w:tabs>
        <w:spacing w:line="240" w:lineRule="auto"/>
        <w:ind w:right="-2"/>
        <w:rPr>
          <w:color w:val="000000"/>
        </w:rPr>
      </w:pPr>
    </w:p>
    <w:p w14:paraId="27A76B6F" w14:textId="77777777" w:rsidR="00E92109" w:rsidRPr="009B1A37" w:rsidRDefault="00E92109" w:rsidP="00BE3D48">
      <w:pPr>
        <w:widowControl w:val="0"/>
        <w:tabs>
          <w:tab w:val="clear" w:pos="567"/>
        </w:tabs>
        <w:spacing w:line="240" w:lineRule="auto"/>
        <w:ind w:right="-2"/>
        <w:rPr>
          <w:color w:val="000000"/>
        </w:rPr>
      </w:pPr>
      <w:r w:rsidRPr="009B1A37">
        <w:rPr>
          <w:color w:val="000000"/>
        </w:rPr>
        <w:t xml:space="preserve">Jestliže si myslíte, že můžete být alergický(á) ale nejste si tím jistý(á), </w:t>
      </w:r>
      <w:r w:rsidR="005A5CC8" w:rsidRPr="009B1A37">
        <w:rPr>
          <w:color w:val="000000"/>
        </w:rPr>
        <w:t>poraďte se se svým lékařem</w:t>
      </w:r>
      <w:r w:rsidRPr="009B1A37">
        <w:rPr>
          <w:color w:val="000000"/>
        </w:rPr>
        <w:t>.</w:t>
      </w:r>
    </w:p>
    <w:p w14:paraId="5CD15970" w14:textId="77777777" w:rsidR="00E92109" w:rsidRPr="009B1A37" w:rsidRDefault="00E92109" w:rsidP="00BE3D48">
      <w:pPr>
        <w:widowControl w:val="0"/>
        <w:tabs>
          <w:tab w:val="clear" w:pos="567"/>
        </w:tabs>
        <w:spacing w:line="240" w:lineRule="auto"/>
        <w:ind w:right="-2"/>
        <w:rPr>
          <w:color w:val="000000"/>
        </w:rPr>
      </w:pPr>
    </w:p>
    <w:p w14:paraId="66610EE7" w14:textId="77777777" w:rsidR="00E92109" w:rsidRPr="009B1A37" w:rsidRDefault="00E92109" w:rsidP="00BE3D48">
      <w:pPr>
        <w:keepNext/>
        <w:widowControl w:val="0"/>
        <w:tabs>
          <w:tab w:val="clear" w:pos="567"/>
        </w:tabs>
        <w:spacing w:line="240" w:lineRule="auto"/>
        <w:ind w:right="-2"/>
        <w:rPr>
          <w:b/>
          <w:color w:val="000000"/>
        </w:rPr>
      </w:pPr>
      <w:r w:rsidRPr="009B1A37">
        <w:rPr>
          <w:b/>
          <w:color w:val="000000"/>
        </w:rPr>
        <w:t>Upozornění a opatření</w:t>
      </w:r>
    </w:p>
    <w:p w14:paraId="34859F5E" w14:textId="77777777" w:rsidR="00E92109" w:rsidRPr="009B1A37" w:rsidRDefault="00E92109" w:rsidP="00BE3D48">
      <w:pPr>
        <w:keepNext/>
        <w:widowControl w:val="0"/>
        <w:tabs>
          <w:tab w:val="clear" w:pos="567"/>
        </w:tabs>
        <w:spacing w:line="240" w:lineRule="auto"/>
        <w:ind w:right="-2"/>
        <w:rPr>
          <w:color w:val="000000"/>
        </w:rPr>
      </w:pPr>
      <w:r w:rsidRPr="009B1A37">
        <w:rPr>
          <w:bCs/>
          <w:color w:val="000000"/>
        </w:rPr>
        <w:t>Před užitím</w:t>
      </w:r>
      <w:r w:rsidRPr="009B1A37">
        <w:rPr>
          <w:color w:val="000000"/>
        </w:rPr>
        <w:t xml:space="preserve"> Glivecu se poraďte se svým lékařem:</w:t>
      </w:r>
    </w:p>
    <w:p w14:paraId="053F9EC3" w14:textId="77777777" w:rsidR="00E92109" w:rsidRPr="009B1A37" w:rsidRDefault="00E92109" w:rsidP="00BE3D48">
      <w:pPr>
        <w:widowControl w:val="0"/>
        <w:tabs>
          <w:tab w:val="clear" w:pos="567"/>
        </w:tabs>
        <w:spacing w:line="240" w:lineRule="auto"/>
        <w:ind w:left="600" w:hanging="600"/>
        <w:rPr>
          <w:color w:val="000000"/>
        </w:rPr>
      </w:pPr>
      <w:r w:rsidRPr="009B1A37">
        <w:rPr>
          <w:color w:val="000000"/>
        </w:rPr>
        <w:t>-</w:t>
      </w:r>
      <w:r w:rsidRPr="009B1A37">
        <w:rPr>
          <w:color w:val="000000"/>
        </w:rPr>
        <w:tab/>
      </w:r>
      <w:r w:rsidR="005A5CC8" w:rsidRPr="009B1A37">
        <w:rPr>
          <w:color w:val="000000"/>
        </w:rPr>
        <w:t>jestliže</w:t>
      </w:r>
      <w:r w:rsidRPr="009B1A37">
        <w:rPr>
          <w:color w:val="000000"/>
        </w:rPr>
        <w:t xml:space="preserve"> máte nebo jste v minulosti měl(a) potíže s játry, ledvinami nebo se srdcem </w:t>
      </w:r>
    </w:p>
    <w:p w14:paraId="74BA487F" w14:textId="77777777" w:rsidR="00E92109" w:rsidRPr="009B1A37" w:rsidRDefault="00E92109" w:rsidP="00BE3D48">
      <w:pPr>
        <w:widowControl w:val="0"/>
        <w:tabs>
          <w:tab w:val="clear" w:pos="567"/>
        </w:tabs>
        <w:spacing w:line="240" w:lineRule="auto"/>
        <w:rPr>
          <w:color w:val="000000"/>
        </w:rPr>
      </w:pPr>
      <w:r w:rsidRPr="009B1A37">
        <w:rPr>
          <w:color w:val="000000"/>
        </w:rPr>
        <w:t>-</w:t>
      </w:r>
      <w:r w:rsidRPr="009B1A37">
        <w:rPr>
          <w:color w:val="000000"/>
        </w:rPr>
        <w:tab/>
        <w:t>jestliže užíváte levothyroxine</w:t>
      </w:r>
      <w:r w:rsidR="005A5CC8" w:rsidRPr="009B1A37">
        <w:rPr>
          <w:color w:val="000000"/>
        </w:rPr>
        <w:t>, protože Vám byla odstraněna</w:t>
      </w:r>
      <w:r w:rsidRPr="009B1A37">
        <w:rPr>
          <w:color w:val="000000"/>
        </w:rPr>
        <w:t xml:space="preserve"> štítn</w:t>
      </w:r>
      <w:r w:rsidR="005A5CC8" w:rsidRPr="009B1A37">
        <w:rPr>
          <w:color w:val="000000"/>
        </w:rPr>
        <w:t>á</w:t>
      </w:r>
      <w:r w:rsidRPr="009B1A37">
        <w:rPr>
          <w:color w:val="000000"/>
        </w:rPr>
        <w:t xml:space="preserve"> žláz</w:t>
      </w:r>
      <w:r w:rsidR="005A5CC8" w:rsidRPr="009B1A37">
        <w:rPr>
          <w:color w:val="000000"/>
        </w:rPr>
        <w:t>a</w:t>
      </w:r>
      <w:r w:rsidRPr="009B1A37">
        <w:rPr>
          <w:color w:val="000000"/>
        </w:rPr>
        <w:t>.</w:t>
      </w:r>
    </w:p>
    <w:p w14:paraId="297C300B" w14:textId="77777777" w:rsidR="004A788B" w:rsidRPr="009B1A37" w:rsidRDefault="004A788B" w:rsidP="00BE3D48">
      <w:pPr>
        <w:widowControl w:val="0"/>
        <w:tabs>
          <w:tab w:val="clear" w:pos="567"/>
        </w:tabs>
        <w:spacing w:line="240" w:lineRule="auto"/>
        <w:ind w:left="567" w:hanging="567"/>
        <w:rPr>
          <w:color w:val="000000"/>
        </w:rPr>
      </w:pPr>
      <w:r w:rsidRPr="009B1A37">
        <w:rPr>
          <w:color w:val="000000"/>
        </w:rPr>
        <w:t>-</w:t>
      </w:r>
      <w:r w:rsidRPr="009B1A37">
        <w:rPr>
          <w:color w:val="000000"/>
        </w:rPr>
        <w:tab/>
        <w:t>pokud jste někdy měl (a) infekční hepatitidu B (žloutenka typu B) nebo toto onemocnění máte v současné době. Přípravek G</w:t>
      </w:r>
      <w:r w:rsidR="005A5CC8" w:rsidRPr="009B1A37">
        <w:rPr>
          <w:color w:val="000000"/>
        </w:rPr>
        <w:t>livec</w:t>
      </w:r>
      <w:r w:rsidRPr="009B1A37">
        <w:rPr>
          <w:color w:val="000000"/>
        </w:rPr>
        <w:t xml:space="preserve"> může hepatitidu B znovu aktivovat, což může v některých případech vést k úmrtí. Před zahájením léčby lékař pacienty pečlivě vyšetří s ohledem na možný výskyt známek této infekce.</w:t>
      </w:r>
    </w:p>
    <w:p w14:paraId="1C4BCBDF" w14:textId="77777777" w:rsidR="00C026B3" w:rsidRPr="009B1A37" w:rsidRDefault="00894B06" w:rsidP="00182086">
      <w:pPr>
        <w:keepNext/>
        <w:keepLines/>
        <w:widowControl w:val="0"/>
        <w:tabs>
          <w:tab w:val="clear" w:pos="567"/>
        </w:tabs>
        <w:spacing w:line="240" w:lineRule="auto"/>
        <w:ind w:left="567" w:hanging="567"/>
        <w:rPr>
          <w:color w:val="000000"/>
        </w:rPr>
      </w:pPr>
      <w:r w:rsidRPr="009B1A37">
        <w:rPr>
          <w:color w:val="000000"/>
        </w:rPr>
        <w:t>-</w:t>
      </w:r>
      <w:r w:rsidRPr="009B1A37">
        <w:rPr>
          <w:color w:val="000000"/>
        </w:rPr>
        <w:tab/>
      </w:r>
      <w:r w:rsidR="00A12785" w:rsidRPr="009B1A37">
        <w:rPr>
          <w:color w:val="000000"/>
        </w:rPr>
        <w:t>jestliže se u Vás během léčby přípravkem Glivec objeví modřiny, krvácení, horečka, únava a zmatenost, kontaktujte svého lékaře. Může to být známka poškození krevních cév známá jako trombotická mikroangiopatie (TMA).</w:t>
      </w:r>
    </w:p>
    <w:p w14:paraId="22D8F47E" w14:textId="77777777" w:rsidR="00E92109" w:rsidRPr="009B1A37" w:rsidRDefault="00E92109" w:rsidP="00BE3D48">
      <w:pPr>
        <w:pStyle w:val="Text"/>
        <w:widowControl w:val="0"/>
        <w:spacing w:before="0"/>
        <w:jc w:val="left"/>
        <w:rPr>
          <w:b/>
          <w:bCs/>
          <w:color w:val="000000"/>
          <w:sz w:val="22"/>
          <w:szCs w:val="22"/>
          <w:lang w:val="cs-CZ"/>
        </w:rPr>
      </w:pPr>
      <w:r w:rsidRPr="009B1A37">
        <w:rPr>
          <w:color w:val="000000"/>
          <w:sz w:val="22"/>
          <w:szCs w:val="22"/>
          <w:lang w:val="cs-CZ"/>
        </w:rPr>
        <w:t xml:space="preserve">Jestliže se Vás cokoliv z výše uvedeného týká, </w:t>
      </w:r>
      <w:r w:rsidRPr="009B1A37">
        <w:rPr>
          <w:b/>
          <w:bCs/>
          <w:color w:val="000000"/>
          <w:sz w:val="22"/>
          <w:szCs w:val="22"/>
          <w:lang w:val="cs-CZ"/>
        </w:rPr>
        <w:t>oznamte to lékaři před užíváním Glivecu.</w:t>
      </w:r>
    </w:p>
    <w:p w14:paraId="78284E60" w14:textId="77777777" w:rsidR="00C0225E" w:rsidRPr="009B1A37" w:rsidRDefault="00C0225E" w:rsidP="00BE3D48">
      <w:pPr>
        <w:pStyle w:val="Text"/>
        <w:widowControl w:val="0"/>
        <w:spacing w:before="0"/>
        <w:jc w:val="left"/>
        <w:rPr>
          <w:bCs/>
          <w:sz w:val="22"/>
          <w:szCs w:val="22"/>
          <w:lang w:val="cs-CZ"/>
        </w:rPr>
      </w:pPr>
    </w:p>
    <w:p w14:paraId="3D53B974" w14:textId="77777777" w:rsidR="00C0225E" w:rsidRPr="009B1A37" w:rsidRDefault="00C0225E" w:rsidP="00BE3D48">
      <w:pPr>
        <w:pStyle w:val="Text"/>
        <w:widowControl w:val="0"/>
        <w:spacing w:before="0"/>
        <w:jc w:val="left"/>
        <w:rPr>
          <w:bCs/>
          <w:sz w:val="22"/>
          <w:szCs w:val="22"/>
          <w:lang w:val="cs-CZ"/>
        </w:rPr>
      </w:pPr>
      <w:r w:rsidRPr="009B1A37">
        <w:rPr>
          <w:sz w:val="22"/>
          <w:szCs w:val="22"/>
          <w:lang w:val="cs-CZ"/>
        </w:rPr>
        <w:t>Během užívání přípravku Glivec můžete být citlivější na sluneční záření. Je důležité, abyste používal</w:t>
      </w:r>
      <w:r w:rsidR="00691A97" w:rsidRPr="009B1A37">
        <w:rPr>
          <w:sz w:val="22"/>
          <w:szCs w:val="22"/>
          <w:lang w:val="cs-CZ"/>
        </w:rPr>
        <w:t>(a)</w:t>
      </w:r>
      <w:r w:rsidRPr="009B1A37">
        <w:rPr>
          <w:sz w:val="22"/>
          <w:szCs w:val="22"/>
          <w:lang w:val="cs-CZ"/>
        </w:rPr>
        <w:t xml:space="preserve"> ochranný oděv a opalovací krém s vysokým ochranným faktorem proti slunečnímu záření (OF). Tato bezpečnostní opatření jsou platná i pro děti.</w:t>
      </w:r>
    </w:p>
    <w:p w14:paraId="4FFE654A" w14:textId="77777777" w:rsidR="00E92109" w:rsidRPr="009B1A37" w:rsidRDefault="00E92109" w:rsidP="00BE3D48">
      <w:pPr>
        <w:pStyle w:val="Text"/>
        <w:widowControl w:val="0"/>
        <w:spacing w:before="0"/>
        <w:jc w:val="left"/>
        <w:rPr>
          <w:sz w:val="22"/>
          <w:szCs w:val="22"/>
          <w:lang w:val="cs-CZ"/>
        </w:rPr>
      </w:pPr>
    </w:p>
    <w:p w14:paraId="6D80B307" w14:textId="77777777" w:rsidR="00E92109" w:rsidRPr="009B1A37" w:rsidRDefault="00E92109" w:rsidP="00BE3D48">
      <w:pPr>
        <w:pStyle w:val="Text"/>
        <w:widowControl w:val="0"/>
        <w:spacing w:before="0"/>
        <w:jc w:val="left"/>
        <w:rPr>
          <w:color w:val="000000"/>
          <w:sz w:val="22"/>
          <w:szCs w:val="22"/>
          <w:lang w:val="cs-CZ"/>
        </w:rPr>
      </w:pPr>
      <w:r w:rsidRPr="009B1A37">
        <w:rPr>
          <w:color w:val="000000"/>
          <w:sz w:val="22"/>
          <w:szCs w:val="22"/>
          <w:lang w:val="cs-CZ"/>
        </w:rPr>
        <w:t>Pokud začnete velmi rychle přibývat na váze</w:t>
      </w:r>
      <w:r w:rsidRPr="009B1A37">
        <w:rPr>
          <w:b/>
          <w:bCs/>
          <w:color w:val="000000"/>
          <w:sz w:val="22"/>
          <w:szCs w:val="22"/>
          <w:lang w:val="cs-CZ"/>
        </w:rPr>
        <w:t xml:space="preserve"> během léčby Glivecem, sdělte to ihned svému lékaři</w:t>
      </w:r>
      <w:r w:rsidRPr="009B1A37">
        <w:rPr>
          <w:color w:val="000000"/>
          <w:sz w:val="22"/>
          <w:szCs w:val="22"/>
          <w:lang w:val="cs-CZ"/>
        </w:rPr>
        <w:t>. Glivec může způsobit zadržování vody ve Vašem těle (závažnou retenci tekutin).</w:t>
      </w:r>
    </w:p>
    <w:p w14:paraId="7D610A00" w14:textId="77777777" w:rsidR="00E92109" w:rsidRPr="009B1A37" w:rsidRDefault="00E92109" w:rsidP="00BE3D48">
      <w:pPr>
        <w:pStyle w:val="Text"/>
        <w:widowControl w:val="0"/>
        <w:spacing w:before="0"/>
        <w:jc w:val="left"/>
        <w:rPr>
          <w:color w:val="000000"/>
          <w:sz w:val="22"/>
          <w:szCs w:val="22"/>
          <w:lang w:val="cs-CZ"/>
        </w:rPr>
      </w:pPr>
    </w:p>
    <w:p w14:paraId="0EC9A8F3" w14:textId="77777777" w:rsidR="00E92109" w:rsidRPr="009B1A37" w:rsidRDefault="00E92109" w:rsidP="00BE3D48">
      <w:pPr>
        <w:pStyle w:val="Text"/>
        <w:widowControl w:val="0"/>
        <w:spacing w:before="0"/>
        <w:jc w:val="left"/>
        <w:rPr>
          <w:color w:val="000000"/>
          <w:sz w:val="22"/>
          <w:szCs w:val="22"/>
          <w:lang w:val="cs-CZ"/>
        </w:rPr>
      </w:pPr>
      <w:r w:rsidRPr="009B1A37">
        <w:rPr>
          <w:color w:val="000000"/>
          <w:sz w:val="22"/>
          <w:szCs w:val="22"/>
          <w:lang w:val="cs-CZ"/>
        </w:rPr>
        <w:t>Během užívání Glivecu bude Váš lékař pravidelně sledovat, zda lék účinkuje. Také Vám bude pravidelně kontrolován krevní obraz a tělesná hmotnost.</w:t>
      </w:r>
    </w:p>
    <w:p w14:paraId="69632AFF" w14:textId="77777777" w:rsidR="00E92109" w:rsidRPr="009B1A37" w:rsidRDefault="00E92109" w:rsidP="00BE3D48">
      <w:pPr>
        <w:pStyle w:val="Text"/>
        <w:widowControl w:val="0"/>
        <w:spacing w:before="0"/>
        <w:jc w:val="left"/>
        <w:rPr>
          <w:color w:val="000000"/>
          <w:sz w:val="22"/>
          <w:szCs w:val="22"/>
          <w:lang w:val="cs-CZ"/>
        </w:rPr>
      </w:pPr>
    </w:p>
    <w:p w14:paraId="1C7565BC" w14:textId="77777777" w:rsidR="00E92109" w:rsidRPr="009B1A37" w:rsidRDefault="00E92109" w:rsidP="00BE3D48">
      <w:pPr>
        <w:pStyle w:val="Text"/>
        <w:keepNext/>
        <w:widowControl w:val="0"/>
        <w:spacing w:before="0"/>
        <w:jc w:val="left"/>
        <w:rPr>
          <w:b/>
          <w:color w:val="000000"/>
          <w:sz w:val="22"/>
          <w:szCs w:val="22"/>
          <w:lang w:val="cs-CZ"/>
        </w:rPr>
      </w:pPr>
      <w:r w:rsidRPr="009B1A37">
        <w:rPr>
          <w:b/>
          <w:color w:val="000000"/>
          <w:sz w:val="22"/>
          <w:szCs w:val="22"/>
          <w:lang w:val="cs-CZ"/>
        </w:rPr>
        <w:t>Děti a dospívající</w:t>
      </w:r>
    </w:p>
    <w:p w14:paraId="5ECCA2C1" w14:textId="77777777" w:rsidR="00E92109" w:rsidRPr="009B1A37" w:rsidRDefault="00E92109" w:rsidP="00BE3D48">
      <w:pPr>
        <w:pStyle w:val="EndnoteText"/>
        <w:widowControl w:val="0"/>
        <w:tabs>
          <w:tab w:val="clear" w:pos="567"/>
        </w:tabs>
        <w:rPr>
          <w:color w:val="000000"/>
        </w:rPr>
      </w:pPr>
      <w:r w:rsidRPr="009B1A37">
        <w:rPr>
          <w:color w:val="000000"/>
        </w:rPr>
        <w:t xml:space="preserve">Glivec je také léčba pro děti s CML. Nejsou žádné zkušenosti s podáváním u dětí s CML mladších než 2 roky. Zkušenosti s podáváním u dětí s Ph-pozitivní </w:t>
      </w:r>
      <w:smartTag w:uri="urn:schemas-microsoft-com:office:smarttags" w:element="stockticker">
        <w:r w:rsidRPr="009B1A37">
          <w:rPr>
            <w:color w:val="000000"/>
          </w:rPr>
          <w:t>ALL</w:t>
        </w:r>
      </w:smartTag>
      <w:r w:rsidRPr="009B1A37">
        <w:rPr>
          <w:color w:val="000000"/>
        </w:rPr>
        <w:t xml:space="preserve"> jsou omezené</w:t>
      </w:r>
      <w:r w:rsidR="004B0671" w:rsidRPr="009B1A37">
        <w:rPr>
          <w:color w:val="000000"/>
        </w:rPr>
        <w:t xml:space="preserve"> a u dětí s MDS/MPD, DFSP, GIST a HES/CEL jsou velmi omezené</w:t>
      </w:r>
      <w:r w:rsidRPr="009B1A37">
        <w:rPr>
          <w:color w:val="000000"/>
        </w:rPr>
        <w:t>.</w:t>
      </w:r>
    </w:p>
    <w:p w14:paraId="6B8CAE90" w14:textId="77777777" w:rsidR="004B0671" w:rsidRPr="009B1A37" w:rsidRDefault="004B0671" w:rsidP="00BE3D48">
      <w:pPr>
        <w:pStyle w:val="EndnoteText"/>
        <w:widowControl w:val="0"/>
        <w:tabs>
          <w:tab w:val="clear" w:pos="567"/>
        </w:tabs>
        <w:rPr>
          <w:color w:val="000000"/>
        </w:rPr>
      </w:pPr>
    </w:p>
    <w:p w14:paraId="0F11AC19" w14:textId="77777777" w:rsidR="00E92109" w:rsidRPr="009B1A37" w:rsidRDefault="00E92109" w:rsidP="00BE3D48">
      <w:pPr>
        <w:pStyle w:val="EndnoteText"/>
        <w:widowControl w:val="0"/>
        <w:tabs>
          <w:tab w:val="clear" w:pos="567"/>
        </w:tabs>
        <w:rPr>
          <w:color w:val="000000"/>
        </w:rPr>
      </w:pPr>
      <w:r w:rsidRPr="009B1A37">
        <w:rPr>
          <w:color w:val="000000"/>
        </w:rPr>
        <w:t>U některých dětí a dospívajících, kteří užívají Glivec, se může projevit pomalejší tělesný růst, než je běžné. Lékař bude sledovat růst při pravidelných návštěvách.</w:t>
      </w:r>
    </w:p>
    <w:p w14:paraId="3403F035" w14:textId="77777777" w:rsidR="00E92109" w:rsidRPr="009B1A37" w:rsidRDefault="00E92109" w:rsidP="00BE3D48">
      <w:pPr>
        <w:pStyle w:val="EndnoteText"/>
        <w:widowControl w:val="0"/>
        <w:tabs>
          <w:tab w:val="clear" w:pos="567"/>
        </w:tabs>
        <w:rPr>
          <w:color w:val="000000"/>
        </w:rPr>
      </w:pPr>
    </w:p>
    <w:p w14:paraId="1622F2C7" w14:textId="77777777" w:rsidR="00E92109" w:rsidRPr="009B1A37" w:rsidRDefault="00E92109" w:rsidP="00BE3D48">
      <w:pPr>
        <w:pStyle w:val="EndnoteText"/>
        <w:keepNext/>
        <w:widowControl w:val="0"/>
        <w:tabs>
          <w:tab w:val="clear" w:pos="567"/>
        </w:tabs>
        <w:rPr>
          <w:b/>
          <w:bCs/>
          <w:color w:val="000000"/>
        </w:rPr>
      </w:pPr>
      <w:r w:rsidRPr="009B1A37">
        <w:rPr>
          <w:b/>
          <w:bCs/>
          <w:color w:val="000000"/>
        </w:rPr>
        <w:t>Další léčivé přípravky a Glivec</w:t>
      </w:r>
    </w:p>
    <w:p w14:paraId="55C887BF" w14:textId="77777777" w:rsidR="00E92109" w:rsidRPr="009B1A37" w:rsidRDefault="00E92109" w:rsidP="00BE3D48">
      <w:pPr>
        <w:widowControl w:val="0"/>
        <w:tabs>
          <w:tab w:val="clear" w:pos="567"/>
        </w:tabs>
        <w:spacing w:line="240" w:lineRule="auto"/>
        <w:ind w:right="-2"/>
        <w:rPr>
          <w:color w:val="000000"/>
        </w:rPr>
      </w:pPr>
      <w:r w:rsidRPr="009B1A37">
        <w:rPr>
          <w:color w:val="000000"/>
        </w:rPr>
        <w:t xml:space="preserve">Informujte svého lékaře nebo lékárníka o všech lécích, které užíváte, které jste v nedávné době užíval(a) nebo které možná budete užívat, a to i o lécích, které jsou dostupné bez lékařského předpisu (jako je paracetamol), včetně </w:t>
      </w:r>
      <w:r w:rsidR="005A5CC8" w:rsidRPr="009B1A37">
        <w:rPr>
          <w:color w:val="000000"/>
        </w:rPr>
        <w:t>rostlinných přípravků</w:t>
      </w:r>
      <w:r w:rsidRPr="009B1A37">
        <w:rPr>
          <w:color w:val="000000"/>
        </w:rPr>
        <w:t xml:space="preserve"> (jako je třezalka tečkovaná). Některé léky, pokud jsou užívány společně s Glivecem, mohou účinek Glivecu ovlivňovat. Mohou zvýšit nebo naopak snížit účinnost Glivecu, což vede buď ke zvýšení jeho nežádoucích účinků</w:t>
      </w:r>
      <w:r w:rsidR="00A12785" w:rsidRPr="009B1A37">
        <w:rPr>
          <w:color w:val="000000"/>
        </w:rPr>
        <w:t>,</w:t>
      </w:r>
      <w:r w:rsidRPr="009B1A37">
        <w:rPr>
          <w:color w:val="000000"/>
        </w:rPr>
        <w:t xml:space="preserve"> nebo ke snížení jeho účinnosti. Stejně tak může Glivec ovlivňovat i některé jiné léky.</w:t>
      </w:r>
    </w:p>
    <w:p w14:paraId="090C80DC" w14:textId="77777777" w:rsidR="005C33E1" w:rsidRPr="009B1A37" w:rsidRDefault="005C33E1" w:rsidP="00BE3D48">
      <w:pPr>
        <w:widowControl w:val="0"/>
        <w:numPr>
          <w:ilvl w:val="12"/>
          <w:numId w:val="0"/>
        </w:numPr>
        <w:tabs>
          <w:tab w:val="clear" w:pos="567"/>
        </w:tabs>
        <w:spacing w:line="240" w:lineRule="auto"/>
        <w:ind w:right="-2"/>
        <w:rPr>
          <w:color w:val="000000"/>
        </w:rPr>
      </w:pPr>
    </w:p>
    <w:p w14:paraId="3FB81C90" w14:textId="77777777" w:rsidR="005C33E1" w:rsidRPr="009B1A37" w:rsidRDefault="005C33E1" w:rsidP="00BE3D48">
      <w:pPr>
        <w:widowControl w:val="0"/>
        <w:numPr>
          <w:ilvl w:val="12"/>
          <w:numId w:val="0"/>
        </w:numPr>
        <w:tabs>
          <w:tab w:val="clear" w:pos="567"/>
        </w:tabs>
        <w:spacing w:line="240" w:lineRule="auto"/>
        <w:ind w:right="-2"/>
        <w:rPr>
          <w:color w:val="000000"/>
        </w:rPr>
      </w:pPr>
      <w:r w:rsidRPr="009B1A37">
        <w:rPr>
          <w:color w:val="000000"/>
        </w:rPr>
        <w:t>Informujte svého lékaře, pokud užíváte léky zamezující tvorbě krevních sraženin.</w:t>
      </w:r>
    </w:p>
    <w:p w14:paraId="152C9356" w14:textId="77777777" w:rsidR="00A72E60" w:rsidRPr="009B1A37" w:rsidRDefault="00A72E60" w:rsidP="00BE3D48">
      <w:pPr>
        <w:pStyle w:val="EndnoteText"/>
        <w:widowControl w:val="0"/>
        <w:tabs>
          <w:tab w:val="clear" w:pos="567"/>
        </w:tabs>
        <w:rPr>
          <w:color w:val="000000"/>
        </w:rPr>
      </w:pPr>
    </w:p>
    <w:p w14:paraId="6A1D079B" w14:textId="77777777" w:rsidR="00E92109" w:rsidRPr="009B1A37" w:rsidRDefault="00E92109" w:rsidP="00BE3D48">
      <w:pPr>
        <w:pStyle w:val="EndnoteText"/>
        <w:keepNext/>
        <w:widowControl w:val="0"/>
        <w:tabs>
          <w:tab w:val="clear" w:pos="567"/>
        </w:tabs>
        <w:rPr>
          <w:bCs/>
          <w:color w:val="000000"/>
        </w:rPr>
      </w:pPr>
      <w:r w:rsidRPr="009B1A37">
        <w:rPr>
          <w:b/>
          <w:bCs/>
          <w:color w:val="000000"/>
        </w:rPr>
        <w:t xml:space="preserve">Těhotenství, kojení a </w:t>
      </w:r>
      <w:r w:rsidR="00166062" w:rsidRPr="009B1A37">
        <w:rPr>
          <w:b/>
          <w:bCs/>
          <w:color w:val="000000"/>
        </w:rPr>
        <w:t>plodnost</w:t>
      </w:r>
    </w:p>
    <w:p w14:paraId="76B9BC71" w14:textId="77777777" w:rsidR="00E92109" w:rsidRPr="009B1A37" w:rsidRDefault="00E92109" w:rsidP="00BE3D48">
      <w:pPr>
        <w:widowControl w:val="0"/>
        <w:numPr>
          <w:ilvl w:val="0"/>
          <w:numId w:val="13"/>
        </w:numPr>
        <w:tabs>
          <w:tab w:val="clear" w:pos="0"/>
          <w:tab w:val="clear" w:pos="567"/>
        </w:tabs>
        <w:spacing w:line="240" w:lineRule="auto"/>
        <w:ind w:left="567" w:hanging="567"/>
        <w:rPr>
          <w:color w:val="000000"/>
        </w:rPr>
      </w:pPr>
      <w:r w:rsidRPr="009B1A37">
        <w:rPr>
          <w:bCs/>
          <w:color w:val="000000"/>
        </w:rPr>
        <w:t>Pokud jste těhotná nebo kojíte, domníváte se, že můžete být těhotná, nebo plánujete otěhotnět, poraďte se se svým lékařem dříve, než začnete tento přípravek užívat.</w:t>
      </w:r>
    </w:p>
    <w:p w14:paraId="4E7F33E9" w14:textId="77777777" w:rsidR="00E92109" w:rsidRPr="009B1A37" w:rsidRDefault="00E92109" w:rsidP="00BE3D48">
      <w:pPr>
        <w:widowControl w:val="0"/>
        <w:numPr>
          <w:ilvl w:val="0"/>
          <w:numId w:val="13"/>
        </w:numPr>
        <w:tabs>
          <w:tab w:val="clear" w:pos="0"/>
          <w:tab w:val="clear" w:pos="567"/>
        </w:tabs>
        <w:spacing w:line="240" w:lineRule="auto"/>
        <w:ind w:left="567" w:hanging="567"/>
        <w:rPr>
          <w:color w:val="000000"/>
        </w:rPr>
      </w:pPr>
      <w:r w:rsidRPr="009B1A37">
        <w:rPr>
          <w:color w:val="000000"/>
        </w:rPr>
        <w:t xml:space="preserve">Užívání Glivecu během těhotenství se nedoporučuje, pokud to není nezbytně nutné, protože může poškodit Vaše dítě. </w:t>
      </w:r>
      <w:r w:rsidR="00166062" w:rsidRPr="009B1A37">
        <w:rPr>
          <w:color w:val="000000"/>
        </w:rPr>
        <w:t>L</w:t>
      </w:r>
      <w:r w:rsidRPr="009B1A37">
        <w:rPr>
          <w:color w:val="000000"/>
        </w:rPr>
        <w:t>ékař Vám vysvětlí možná rizika užívání Glivecu během těhotenství.</w:t>
      </w:r>
    </w:p>
    <w:p w14:paraId="00F74B0A" w14:textId="11B27303" w:rsidR="00E92109" w:rsidRPr="009B1A37" w:rsidRDefault="00E92109" w:rsidP="00BE3D48">
      <w:pPr>
        <w:widowControl w:val="0"/>
        <w:numPr>
          <w:ilvl w:val="0"/>
          <w:numId w:val="13"/>
        </w:numPr>
        <w:tabs>
          <w:tab w:val="clear" w:pos="0"/>
          <w:tab w:val="clear" w:pos="567"/>
        </w:tabs>
        <w:spacing w:line="240" w:lineRule="auto"/>
        <w:ind w:left="567" w:hanging="567"/>
        <w:rPr>
          <w:color w:val="000000"/>
        </w:rPr>
      </w:pPr>
      <w:r w:rsidRPr="009B1A37">
        <w:rPr>
          <w:color w:val="000000"/>
        </w:rPr>
        <w:t xml:space="preserve">Ženám, které by mohly otěhotnět, se doporučuje během léčby </w:t>
      </w:r>
      <w:r w:rsidR="005A51FC" w:rsidRPr="009B1A37">
        <w:rPr>
          <w:color w:val="000000"/>
        </w:rPr>
        <w:t>a po dobu 15</w:t>
      </w:r>
      <w:r w:rsidR="00577E6F" w:rsidRPr="009B1A37">
        <w:rPr>
          <w:color w:val="000000"/>
        </w:rPr>
        <w:t> </w:t>
      </w:r>
      <w:r w:rsidR="005A51FC" w:rsidRPr="009B1A37">
        <w:rPr>
          <w:color w:val="000000"/>
        </w:rPr>
        <w:t xml:space="preserve">dnů po ukončení léčby </w:t>
      </w:r>
      <w:r w:rsidRPr="009B1A37">
        <w:rPr>
          <w:color w:val="000000"/>
        </w:rPr>
        <w:t>účinná antikoncepce.</w:t>
      </w:r>
    </w:p>
    <w:p w14:paraId="2A06667F" w14:textId="4A5234A8" w:rsidR="00E92109" w:rsidRPr="009B1A37" w:rsidRDefault="00E92109" w:rsidP="00BE3D48">
      <w:pPr>
        <w:widowControl w:val="0"/>
        <w:numPr>
          <w:ilvl w:val="0"/>
          <w:numId w:val="13"/>
        </w:numPr>
        <w:tabs>
          <w:tab w:val="clear" w:pos="0"/>
          <w:tab w:val="clear" w:pos="567"/>
        </w:tabs>
        <w:spacing w:line="240" w:lineRule="auto"/>
        <w:ind w:left="567" w:hanging="567"/>
        <w:rPr>
          <w:color w:val="000000"/>
        </w:rPr>
      </w:pPr>
      <w:r w:rsidRPr="009B1A37">
        <w:rPr>
          <w:color w:val="000000"/>
        </w:rPr>
        <w:t xml:space="preserve">Během léčby </w:t>
      </w:r>
      <w:r w:rsidR="00DE5C1C" w:rsidRPr="009B1A37">
        <w:rPr>
          <w:color w:val="000000"/>
        </w:rPr>
        <w:t>a po dobu 15</w:t>
      </w:r>
      <w:r w:rsidR="00577E6F" w:rsidRPr="009B1A37">
        <w:rPr>
          <w:color w:val="000000"/>
        </w:rPr>
        <w:t> </w:t>
      </w:r>
      <w:r w:rsidR="00DE5C1C" w:rsidRPr="009B1A37">
        <w:rPr>
          <w:color w:val="000000"/>
        </w:rPr>
        <w:t xml:space="preserve">dnů po ukončení léčby přípravkem </w:t>
      </w:r>
      <w:r w:rsidRPr="009B1A37">
        <w:rPr>
          <w:color w:val="000000"/>
        </w:rPr>
        <w:t>Glivec nekojte</w:t>
      </w:r>
      <w:r w:rsidR="00DE5C1C" w:rsidRPr="009B1A37">
        <w:rPr>
          <w:color w:val="000000"/>
        </w:rPr>
        <w:t>, protože to může poškodit Vaše dítě</w:t>
      </w:r>
      <w:r w:rsidRPr="009B1A37">
        <w:rPr>
          <w:color w:val="000000"/>
        </w:rPr>
        <w:t>.</w:t>
      </w:r>
    </w:p>
    <w:p w14:paraId="5296E1E4" w14:textId="77777777" w:rsidR="00E92109" w:rsidRPr="009B1A37" w:rsidRDefault="00E92109" w:rsidP="00BE3D48">
      <w:pPr>
        <w:widowControl w:val="0"/>
        <w:numPr>
          <w:ilvl w:val="0"/>
          <w:numId w:val="13"/>
        </w:numPr>
        <w:tabs>
          <w:tab w:val="clear" w:pos="0"/>
          <w:tab w:val="clear" w:pos="567"/>
        </w:tabs>
        <w:spacing w:line="240" w:lineRule="auto"/>
        <w:ind w:left="567" w:hanging="567"/>
        <w:rPr>
          <w:color w:val="000000"/>
        </w:rPr>
      </w:pPr>
      <w:r w:rsidRPr="009B1A37">
        <w:rPr>
          <w:color w:val="000000"/>
        </w:rPr>
        <w:t xml:space="preserve">Pacienti, kteří se obávají o svou </w:t>
      </w:r>
      <w:r w:rsidR="00166062" w:rsidRPr="009B1A37">
        <w:rPr>
          <w:color w:val="000000"/>
        </w:rPr>
        <w:t>plodnost</w:t>
      </w:r>
      <w:r w:rsidRPr="009B1A37">
        <w:rPr>
          <w:color w:val="000000"/>
        </w:rPr>
        <w:t xml:space="preserve"> během užívání Glivecu, by se měli poradit se svým lékařem.</w:t>
      </w:r>
    </w:p>
    <w:p w14:paraId="0164BF50" w14:textId="77777777" w:rsidR="00E92109" w:rsidRPr="009B1A37" w:rsidRDefault="00E92109" w:rsidP="00BE3D48">
      <w:pPr>
        <w:widowControl w:val="0"/>
        <w:tabs>
          <w:tab w:val="clear" w:pos="567"/>
        </w:tabs>
        <w:spacing w:line="240" w:lineRule="auto"/>
        <w:rPr>
          <w:color w:val="000000"/>
        </w:rPr>
      </w:pPr>
    </w:p>
    <w:p w14:paraId="110C02D5" w14:textId="77777777" w:rsidR="00E92109" w:rsidRPr="009B1A37" w:rsidRDefault="00E92109" w:rsidP="00BE3D48">
      <w:pPr>
        <w:keepNext/>
        <w:widowControl w:val="0"/>
        <w:tabs>
          <w:tab w:val="clear" w:pos="567"/>
        </w:tabs>
        <w:spacing w:line="240" w:lineRule="auto"/>
        <w:ind w:right="-2"/>
        <w:rPr>
          <w:b/>
          <w:bCs/>
          <w:color w:val="000000"/>
        </w:rPr>
      </w:pPr>
      <w:r w:rsidRPr="009B1A37">
        <w:rPr>
          <w:b/>
          <w:bCs/>
          <w:color w:val="000000"/>
        </w:rPr>
        <w:t>Řízení dopravních prostředků a obsluha strojů</w:t>
      </w:r>
    </w:p>
    <w:p w14:paraId="14D563A6" w14:textId="77777777" w:rsidR="00E92109" w:rsidRPr="009B1A37" w:rsidRDefault="00E92109" w:rsidP="00BE3D48">
      <w:pPr>
        <w:widowControl w:val="0"/>
        <w:tabs>
          <w:tab w:val="clear" w:pos="567"/>
        </w:tabs>
        <w:spacing w:line="240" w:lineRule="auto"/>
        <w:ind w:right="-29"/>
        <w:rPr>
          <w:color w:val="000000"/>
        </w:rPr>
      </w:pPr>
      <w:r w:rsidRPr="009B1A37">
        <w:rPr>
          <w:color w:val="000000"/>
        </w:rPr>
        <w:t xml:space="preserve">Při užívání tohoto léku můžete pociťovat závrať nebo ospalost nebo </w:t>
      </w:r>
      <w:r w:rsidR="00166062" w:rsidRPr="009B1A37">
        <w:rPr>
          <w:color w:val="000000"/>
        </w:rPr>
        <w:t xml:space="preserve">se objeví rozmazané vidění. </w:t>
      </w:r>
      <w:r w:rsidRPr="009B1A37">
        <w:rPr>
          <w:color w:val="000000"/>
        </w:rPr>
        <w:t>Pokud se to stane, neřiďte nebo neobsluhujte žádné přístroje nebo stroje, dokud se nebudete opět cítit dobře.</w:t>
      </w:r>
    </w:p>
    <w:p w14:paraId="595C941C" w14:textId="77777777" w:rsidR="00E92109" w:rsidRPr="009B1A37" w:rsidRDefault="00E92109" w:rsidP="00BE3D48">
      <w:pPr>
        <w:pStyle w:val="EndnoteText"/>
        <w:widowControl w:val="0"/>
        <w:tabs>
          <w:tab w:val="clear" w:pos="567"/>
        </w:tabs>
        <w:rPr>
          <w:color w:val="000000"/>
        </w:rPr>
      </w:pPr>
    </w:p>
    <w:p w14:paraId="4FAACC3A" w14:textId="77777777" w:rsidR="00E92109" w:rsidRPr="009B1A37" w:rsidRDefault="00E92109" w:rsidP="00BE3D48">
      <w:pPr>
        <w:pStyle w:val="EndnoteText"/>
        <w:widowControl w:val="0"/>
        <w:tabs>
          <w:tab w:val="clear" w:pos="567"/>
        </w:tabs>
        <w:rPr>
          <w:color w:val="000000"/>
        </w:rPr>
      </w:pPr>
    </w:p>
    <w:p w14:paraId="6669AB54" w14:textId="77777777" w:rsidR="00E61A01" w:rsidRPr="009B1A37" w:rsidRDefault="00E61A01" w:rsidP="00BE3D48">
      <w:pPr>
        <w:keepNext/>
        <w:widowControl w:val="0"/>
        <w:tabs>
          <w:tab w:val="clear" w:pos="567"/>
        </w:tabs>
        <w:spacing w:line="240" w:lineRule="auto"/>
        <w:ind w:left="567" w:right="-2" w:hanging="567"/>
        <w:rPr>
          <w:b/>
          <w:bCs/>
          <w:color w:val="000000"/>
        </w:rPr>
      </w:pPr>
      <w:r w:rsidRPr="009B1A37">
        <w:rPr>
          <w:b/>
          <w:bCs/>
          <w:color w:val="000000"/>
        </w:rPr>
        <w:t>3.</w:t>
      </w:r>
      <w:r w:rsidRPr="009B1A37">
        <w:rPr>
          <w:b/>
          <w:bCs/>
          <w:color w:val="000000"/>
        </w:rPr>
        <w:tab/>
        <w:t>J</w:t>
      </w:r>
      <w:r w:rsidR="00774562" w:rsidRPr="009B1A37">
        <w:rPr>
          <w:b/>
          <w:bCs/>
          <w:color w:val="000000"/>
        </w:rPr>
        <w:t>ak se Glivec užívá</w:t>
      </w:r>
    </w:p>
    <w:p w14:paraId="7EDEA2AF" w14:textId="77777777" w:rsidR="00E61A01" w:rsidRPr="009B1A37" w:rsidRDefault="00E61A01" w:rsidP="00BE3D48">
      <w:pPr>
        <w:pStyle w:val="EndnoteText"/>
        <w:keepNext/>
        <w:widowControl w:val="0"/>
        <w:tabs>
          <w:tab w:val="clear" w:pos="567"/>
        </w:tabs>
        <w:rPr>
          <w:color w:val="000000"/>
        </w:rPr>
      </w:pPr>
    </w:p>
    <w:p w14:paraId="3E14065D" w14:textId="77777777" w:rsidR="00E61A01" w:rsidRPr="009B1A37" w:rsidRDefault="00E61A01" w:rsidP="00BE3D48">
      <w:pPr>
        <w:pStyle w:val="Text"/>
        <w:widowControl w:val="0"/>
        <w:spacing w:before="0"/>
        <w:jc w:val="left"/>
        <w:rPr>
          <w:color w:val="000000"/>
          <w:sz w:val="22"/>
          <w:szCs w:val="22"/>
          <w:lang w:val="cs-CZ"/>
        </w:rPr>
      </w:pPr>
      <w:r w:rsidRPr="009B1A37">
        <w:rPr>
          <w:color w:val="000000"/>
          <w:sz w:val="22"/>
          <w:szCs w:val="22"/>
          <w:lang w:val="cs-CZ"/>
        </w:rPr>
        <w:t xml:space="preserve">Váš lékař Vám předepsal Glivec, protože máte závažné onemocnění. Glivec Vám může pomoci v boji </w:t>
      </w:r>
      <w:r w:rsidR="00166062" w:rsidRPr="009B1A37">
        <w:rPr>
          <w:color w:val="000000"/>
          <w:sz w:val="22"/>
          <w:szCs w:val="22"/>
          <w:lang w:val="cs-CZ"/>
        </w:rPr>
        <w:t>s tímto onemocněním</w:t>
      </w:r>
      <w:r w:rsidRPr="009B1A37">
        <w:rPr>
          <w:color w:val="000000"/>
          <w:sz w:val="22"/>
          <w:szCs w:val="22"/>
          <w:lang w:val="cs-CZ"/>
        </w:rPr>
        <w:t>.</w:t>
      </w:r>
    </w:p>
    <w:p w14:paraId="2145021E" w14:textId="77777777" w:rsidR="00E61A01" w:rsidRPr="009B1A37" w:rsidRDefault="00E61A01" w:rsidP="00BE3D48">
      <w:pPr>
        <w:pStyle w:val="Text"/>
        <w:widowControl w:val="0"/>
        <w:spacing w:before="0"/>
        <w:jc w:val="left"/>
        <w:rPr>
          <w:color w:val="000000"/>
          <w:sz w:val="22"/>
          <w:szCs w:val="22"/>
          <w:lang w:val="cs-CZ"/>
        </w:rPr>
      </w:pPr>
    </w:p>
    <w:p w14:paraId="6F6EF4B0" w14:textId="77777777" w:rsidR="00E61A01" w:rsidRPr="009B1A37" w:rsidRDefault="00E61A01" w:rsidP="00BE3D48">
      <w:pPr>
        <w:pStyle w:val="Text"/>
        <w:widowControl w:val="0"/>
        <w:spacing w:before="0"/>
        <w:jc w:val="left"/>
        <w:rPr>
          <w:color w:val="000000"/>
          <w:sz w:val="22"/>
          <w:szCs w:val="22"/>
          <w:lang w:val="cs-CZ"/>
        </w:rPr>
      </w:pPr>
      <w:r w:rsidRPr="009B1A37">
        <w:rPr>
          <w:color w:val="000000"/>
          <w:sz w:val="22"/>
          <w:szCs w:val="22"/>
          <w:lang w:val="cs-CZ"/>
        </w:rPr>
        <w:t xml:space="preserve">Vždy užívejte </w:t>
      </w:r>
      <w:r w:rsidR="00774562" w:rsidRPr="009B1A37">
        <w:rPr>
          <w:color w:val="000000"/>
          <w:sz w:val="22"/>
          <w:szCs w:val="22"/>
          <w:lang w:val="cs-CZ"/>
        </w:rPr>
        <w:t>tento přípravek</w:t>
      </w:r>
      <w:r w:rsidRPr="009B1A37">
        <w:rPr>
          <w:color w:val="000000"/>
          <w:sz w:val="22"/>
          <w:szCs w:val="22"/>
          <w:lang w:val="cs-CZ"/>
        </w:rPr>
        <w:t xml:space="preserve"> přesně podle pokynů svého lékaře</w:t>
      </w:r>
      <w:r w:rsidR="00774562" w:rsidRPr="009B1A37">
        <w:rPr>
          <w:color w:val="000000"/>
          <w:sz w:val="22"/>
          <w:szCs w:val="22"/>
          <w:lang w:val="cs-CZ"/>
        </w:rPr>
        <w:t xml:space="preserve"> nebo lékárníka</w:t>
      </w:r>
      <w:r w:rsidRPr="009B1A37">
        <w:rPr>
          <w:color w:val="000000"/>
          <w:sz w:val="22"/>
          <w:szCs w:val="22"/>
          <w:lang w:val="cs-CZ"/>
        </w:rPr>
        <w:t xml:space="preserve">. Je důležité pokračovat v léčbě tak dlouho, jak Vám </w:t>
      </w:r>
      <w:r w:rsidR="00166062" w:rsidRPr="009B1A37">
        <w:rPr>
          <w:color w:val="000000"/>
          <w:sz w:val="22"/>
          <w:szCs w:val="22"/>
          <w:lang w:val="cs-CZ"/>
        </w:rPr>
        <w:t xml:space="preserve">řekl </w:t>
      </w:r>
      <w:r w:rsidRPr="009B1A37">
        <w:rPr>
          <w:color w:val="000000"/>
          <w:sz w:val="22"/>
          <w:szCs w:val="22"/>
          <w:lang w:val="cs-CZ"/>
        </w:rPr>
        <w:t xml:space="preserve">lékař </w:t>
      </w:r>
      <w:r w:rsidR="00774562" w:rsidRPr="009B1A37">
        <w:rPr>
          <w:color w:val="000000"/>
          <w:sz w:val="22"/>
          <w:szCs w:val="22"/>
          <w:lang w:val="cs-CZ"/>
        </w:rPr>
        <w:t>nebo lékárník</w:t>
      </w:r>
      <w:r w:rsidRPr="009B1A37">
        <w:rPr>
          <w:color w:val="000000"/>
          <w:sz w:val="22"/>
          <w:szCs w:val="22"/>
          <w:lang w:val="cs-CZ"/>
        </w:rPr>
        <w:t>. Pokud si nejste jistý(á), poraďte se se svým lékařem nebo lékárníkem.</w:t>
      </w:r>
    </w:p>
    <w:p w14:paraId="0EAE0232" w14:textId="77777777" w:rsidR="00E61A01" w:rsidRPr="009B1A37" w:rsidRDefault="00E61A01" w:rsidP="00BE3D48">
      <w:pPr>
        <w:pStyle w:val="Text"/>
        <w:widowControl w:val="0"/>
        <w:spacing w:before="0"/>
        <w:jc w:val="left"/>
        <w:rPr>
          <w:color w:val="000000"/>
          <w:sz w:val="22"/>
          <w:szCs w:val="22"/>
          <w:lang w:val="cs-CZ"/>
        </w:rPr>
      </w:pPr>
    </w:p>
    <w:p w14:paraId="4496EE30" w14:textId="77777777" w:rsidR="00E61A01" w:rsidRPr="009B1A37" w:rsidRDefault="00E61A01" w:rsidP="00BE3D48">
      <w:pPr>
        <w:pStyle w:val="Text"/>
        <w:widowControl w:val="0"/>
        <w:spacing w:before="0"/>
        <w:jc w:val="left"/>
        <w:rPr>
          <w:color w:val="000000"/>
          <w:sz w:val="22"/>
          <w:szCs w:val="22"/>
          <w:lang w:val="cs-CZ"/>
        </w:rPr>
      </w:pPr>
      <w:r w:rsidRPr="009B1A37">
        <w:rPr>
          <w:color w:val="000000"/>
          <w:sz w:val="22"/>
          <w:szCs w:val="22"/>
          <w:lang w:val="cs-CZ"/>
        </w:rPr>
        <w:t xml:space="preserve">Nepřerušujte užívání Glivecu, dokud Vám to Váš lékař neřekne. Pokud nemůžete užívat lék podle pokynů </w:t>
      </w:r>
      <w:r w:rsidR="00166062" w:rsidRPr="009B1A37">
        <w:rPr>
          <w:color w:val="000000"/>
          <w:sz w:val="22"/>
          <w:szCs w:val="22"/>
          <w:lang w:val="cs-CZ"/>
        </w:rPr>
        <w:t>svého</w:t>
      </w:r>
      <w:r w:rsidRPr="009B1A37">
        <w:rPr>
          <w:color w:val="000000"/>
          <w:sz w:val="22"/>
          <w:szCs w:val="22"/>
          <w:lang w:val="cs-CZ"/>
        </w:rPr>
        <w:t xml:space="preserve"> lékaře nebo si myslíte, že ho již nepotřebujete, kontaktujte okamžitě svého lékaře.</w:t>
      </w:r>
    </w:p>
    <w:p w14:paraId="6D3C7FDA" w14:textId="77777777" w:rsidR="00E61A01" w:rsidRPr="009B1A37" w:rsidRDefault="00E61A01" w:rsidP="00BE3D48">
      <w:pPr>
        <w:pStyle w:val="Text"/>
        <w:widowControl w:val="0"/>
        <w:spacing w:before="0"/>
        <w:jc w:val="left"/>
        <w:rPr>
          <w:color w:val="000000"/>
          <w:sz w:val="22"/>
          <w:szCs w:val="22"/>
          <w:lang w:val="cs-CZ"/>
        </w:rPr>
      </w:pPr>
    </w:p>
    <w:p w14:paraId="4501B4EC" w14:textId="77777777" w:rsidR="00E61A01" w:rsidRPr="009B1A37" w:rsidRDefault="00E61A01" w:rsidP="00BE3D48">
      <w:pPr>
        <w:pStyle w:val="Heading2"/>
        <w:widowControl w:val="0"/>
        <w:numPr>
          <w:ilvl w:val="0"/>
          <w:numId w:val="0"/>
        </w:numPr>
        <w:spacing w:before="0" w:after="0" w:line="240" w:lineRule="auto"/>
        <w:rPr>
          <w:rFonts w:ascii="Times New Roman" w:hAnsi="Times New Roman" w:cs="Times New Roman"/>
          <w:i w:val="0"/>
          <w:iCs w:val="0"/>
          <w:color w:val="000000"/>
          <w:sz w:val="22"/>
          <w:szCs w:val="22"/>
        </w:rPr>
      </w:pPr>
      <w:r w:rsidRPr="009B1A37">
        <w:rPr>
          <w:rFonts w:ascii="Times New Roman" w:hAnsi="Times New Roman" w:cs="Times New Roman"/>
          <w:i w:val="0"/>
          <w:iCs w:val="0"/>
          <w:color w:val="000000"/>
          <w:sz w:val="22"/>
          <w:szCs w:val="22"/>
        </w:rPr>
        <w:t>Kolik Glivecu máte užívat</w:t>
      </w:r>
    </w:p>
    <w:p w14:paraId="6D869CC5" w14:textId="77777777" w:rsidR="00E61A01" w:rsidRPr="009B1A37" w:rsidRDefault="00E61A01" w:rsidP="00BE3D48">
      <w:pPr>
        <w:pStyle w:val="Text"/>
        <w:keepNext/>
        <w:widowControl w:val="0"/>
        <w:spacing w:before="0"/>
        <w:jc w:val="left"/>
        <w:rPr>
          <w:color w:val="000000"/>
          <w:sz w:val="22"/>
          <w:szCs w:val="22"/>
          <w:lang w:val="cs-CZ"/>
        </w:rPr>
      </w:pPr>
    </w:p>
    <w:p w14:paraId="60392601" w14:textId="77777777" w:rsidR="00E61A01" w:rsidRPr="009B1A37" w:rsidRDefault="00E61A01" w:rsidP="00BE3D48">
      <w:pPr>
        <w:pStyle w:val="Text"/>
        <w:keepNext/>
        <w:widowControl w:val="0"/>
        <w:spacing w:before="0"/>
        <w:jc w:val="left"/>
        <w:rPr>
          <w:color w:val="000000"/>
          <w:sz w:val="22"/>
          <w:szCs w:val="22"/>
          <w:lang w:val="cs-CZ"/>
        </w:rPr>
      </w:pPr>
      <w:r w:rsidRPr="009B1A37">
        <w:rPr>
          <w:b/>
          <w:bCs/>
          <w:color w:val="000000"/>
          <w:sz w:val="22"/>
          <w:szCs w:val="22"/>
          <w:lang w:val="cs-CZ"/>
        </w:rPr>
        <w:t>Použití u dospělých</w:t>
      </w:r>
    </w:p>
    <w:p w14:paraId="0B73D8B2" w14:textId="77777777" w:rsidR="00E61A01" w:rsidRPr="009B1A37" w:rsidRDefault="00166062" w:rsidP="00BE3D48">
      <w:pPr>
        <w:pStyle w:val="Text"/>
        <w:widowControl w:val="0"/>
        <w:spacing w:before="0"/>
        <w:jc w:val="left"/>
        <w:rPr>
          <w:color w:val="000000"/>
          <w:sz w:val="22"/>
          <w:szCs w:val="22"/>
          <w:lang w:val="cs-CZ"/>
        </w:rPr>
      </w:pPr>
      <w:r w:rsidRPr="009B1A37">
        <w:rPr>
          <w:color w:val="000000"/>
          <w:sz w:val="22"/>
          <w:szCs w:val="22"/>
          <w:lang w:val="cs-CZ"/>
        </w:rPr>
        <w:t>L</w:t>
      </w:r>
      <w:r w:rsidR="00E61A01" w:rsidRPr="009B1A37">
        <w:rPr>
          <w:color w:val="000000"/>
          <w:sz w:val="22"/>
          <w:szCs w:val="22"/>
          <w:lang w:val="cs-CZ"/>
        </w:rPr>
        <w:t>ékař Vám přesně sdělí, kolik tobolek Glivecu máte užívat.</w:t>
      </w:r>
    </w:p>
    <w:p w14:paraId="764CE074" w14:textId="77777777" w:rsidR="00E61A01" w:rsidRPr="009B1A37" w:rsidRDefault="00E61A01" w:rsidP="00BE3D48">
      <w:pPr>
        <w:pStyle w:val="Text"/>
        <w:widowControl w:val="0"/>
        <w:spacing w:before="0"/>
        <w:jc w:val="left"/>
        <w:rPr>
          <w:color w:val="000000"/>
          <w:sz w:val="22"/>
          <w:szCs w:val="22"/>
          <w:lang w:val="cs-CZ"/>
        </w:rPr>
      </w:pPr>
    </w:p>
    <w:p w14:paraId="7E4BC064" w14:textId="77777777" w:rsidR="00E61A01" w:rsidRPr="009B1A37" w:rsidRDefault="00E61A01" w:rsidP="00BE3D48">
      <w:pPr>
        <w:pStyle w:val="Text"/>
        <w:keepNext/>
        <w:widowControl w:val="0"/>
        <w:numPr>
          <w:ilvl w:val="1"/>
          <w:numId w:val="21"/>
        </w:numPr>
        <w:tabs>
          <w:tab w:val="clear" w:pos="567"/>
          <w:tab w:val="clear" w:pos="1650"/>
        </w:tabs>
        <w:spacing w:before="0"/>
        <w:ind w:left="567" w:hanging="567"/>
        <w:jc w:val="left"/>
        <w:rPr>
          <w:color w:val="000000"/>
          <w:sz w:val="22"/>
          <w:szCs w:val="22"/>
          <w:lang w:val="cs-CZ"/>
        </w:rPr>
      </w:pPr>
      <w:r w:rsidRPr="009B1A37">
        <w:rPr>
          <w:b/>
          <w:bCs/>
          <w:color w:val="000000"/>
          <w:sz w:val="22"/>
          <w:szCs w:val="22"/>
          <w:lang w:val="cs-CZ"/>
        </w:rPr>
        <w:t>Jestliže jste léčen(a) pro CML:</w:t>
      </w:r>
    </w:p>
    <w:p w14:paraId="3B20BF14" w14:textId="77777777" w:rsidR="00E61A01" w:rsidRPr="009B1A37" w:rsidRDefault="00E61A01" w:rsidP="00BE3D48">
      <w:pPr>
        <w:pStyle w:val="Text"/>
        <w:keepNext/>
        <w:widowControl w:val="0"/>
        <w:spacing w:before="0"/>
        <w:ind w:left="600"/>
        <w:jc w:val="left"/>
        <w:rPr>
          <w:color w:val="000000"/>
          <w:sz w:val="22"/>
          <w:szCs w:val="22"/>
          <w:lang w:val="cs-CZ"/>
        </w:rPr>
      </w:pPr>
      <w:r w:rsidRPr="009B1A37">
        <w:rPr>
          <w:color w:val="000000"/>
          <w:sz w:val="22"/>
          <w:szCs w:val="22"/>
          <w:lang w:val="cs-CZ"/>
        </w:rPr>
        <w:t>Podle stavu Vašeho onemocnění je obvyklá počáteční dávka 400 mg nebo 600 mg.</w:t>
      </w:r>
    </w:p>
    <w:p w14:paraId="724F3AC1" w14:textId="77777777" w:rsidR="00E61A01" w:rsidRPr="009B1A37" w:rsidRDefault="00E61A01" w:rsidP="00BE3D48">
      <w:pPr>
        <w:pStyle w:val="Text"/>
        <w:keepNext/>
        <w:widowControl w:val="0"/>
        <w:spacing w:before="0"/>
        <w:ind w:left="600"/>
        <w:jc w:val="left"/>
        <w:rPr>
          <w:color w:val="000000"/>
          <w:sz w:val="22"/>
          <w:szCs w:val="22"/>
          <w:lang w:val="cs-CZ"/>
        </w:rPr>
      </w:pPr>
      <w:r w:rsidRPr="009B1A37">
        <w:rPr>
          <w:color w:val="000000"/>
          <w:sz w:val="22"/>
          <w:szCs w:val="22"/>
          <w:lang w:val="cs-CZ"/>
        </w:rPr>
        <w:t>-</w:t>
      </w:r>
      <w:r w:rsidRPr="009B1A37">
        <w:rPr>
          <w:color w:val="000000"/>
          <w:sz w:val="22"/>
          <w:szCs w:val="22"/>
          <w:lang w:val="cs-CZ"/>
        </w:rPr>
        <w:tab/>
      </w:r>
      <w:r w:rsidRPr="009B1A37">
        <w:rPr>
          <w:b/>
          <w:bCs/>
          <w:color w:val="000000"/>
          <w:sz w:val="22"/>
          <w:szCs w:val="22"/>
          <w:lang w:val="cs-CZ"/>
        </w:rPr>
        <w:t>400 mg</w:t>
      </w:r>
      <w:r w:rsidRPr="009B1A37">
        <w:rPr>
          <w:color w:val="000000"/>
          <w:sz w:val="22"/>
          <w:szCs w:val="22"/>
          <w:lang w:val="cs-CZ"/>
        </w:rPr>
        <w:t xml:space="preserve"> užitých jako 4 tobolky </w:t>
      </w:r>
      <w:r w:rsidRPr="009B1A37">
        <w:rPr>
          <w:b/>
          <w:bCs/>
          <w:color w:val="000000"/>
          <w:sz w:val="22"/>
          <w:szCs w:val="22"/>
          <w:lang w:val="cs-CZ"/>
        </w:rPr>
        <w:t>jednou</w:t>
      </w:r>
      <w:r w:rsidRPr="009B1A37">
        <w:rPr>
          <w:color w:val="000000"/>
          <w:sz w:val="22"/>
          <w:szCs w:val="22"/>
          <w:lang w:val="cs-CZ"/>
        </w:rPr>
        <w:t xml:space="preserve"> denně</w:t>
      </w:r>
    </w:p>
    <w:p w14:paraId="648DEBCE" w14:textId="77777777" w:rsidR="00E61A01" w:rsidRPr="009B1A37" w:rsidRDefault="00E61A01" w:rsidP="00BE3D48">
      <w:pPr>
        <w:pStyle w:val="Text"/>
        <w:widowControl w:val="0"/>
        <w:spacing w:before="0"/>
        <w:ind w:left="600"/>
        <w:jc w:val="left"/>
        <w:rPr>
          <w:color w:val="000000"/>
          <w:sz w:val="22"/>
          <w:szCs w:val="22"/>
          <w:lang w:val="cs-CZ"/>
        </w:rPr>
      </w:pPr>
      <w:r w:rsidRPr="009B1A37">
        <w:rPr>
          <w:color w:val="000000"/>
          <w:sz w:val="22"/>
          <w:szCs w:val="22"/>
          <w:lang w:val="cs-CZ"/>
        </w:rPr>
        <w:t>-</w:t>
      </w:r>
      <w:r w:rsidRPr="009B1A37">
        <w:rPr>
          <w:color w:val="000000"/>
          <w:sz w:val="22"/>
          <w:szCs w:val="22"/>
          <w:lang w:val="cs-CZ"/>
        </w:rPr>
        <w:tab/>
      </w:r>
      <w:r w:rsidRPr="009B1A37">
        <w:rPr>
          <w:b/>
          <w:bCs/>
          <w:color w:val="000000"/>
          <w:sz w:val="22"/>
          <w:szCs w:val="22"/>
          <w:lang w:val="cs-CZ"/>
        </w:rPr>
        <w:t>600 mg</w:t>
      </w:r>
      <w:r w:rsidRPr="009B1A37">
        <w:rPr>
          <w:color w:val="000000"/>
          <w:sz w:val="22"/>
          <w:szCs w:val="22"/>
          <w:lang w:val="cs-CZ"/>
        </w:rPr>
        <w:t xml:space="preserve"> užitých jako 6 tobolek </w:t>
      </w:r>
      <w:r w:rsidRPr="009B1A37">
        <w:rPr>
          <w:b/>
          <w:bCs/>
          <w:color w:val="000000"/>
          <w:sz w:val="22"/>
          <w:szCs w:val="22"/>
          <w:lang w:val="cs-CZ"/>
        </w:rPr>
        <w:t>jednou</w:t>
      </w:r>
      <w:r w:rsidRPr="009B1A37">
        <w:rPr>
          <w:color w:val="000000"/>
          <w:sz w:val="22"/>
          <w:szCs w:val="22"/>
          <w:lang w:val="cs-CZ"/>
        </w:rPr>
        <w:t xml:space="preserve"> denně.</w:t>
      </w:r>
    </w:p>
    <w:p w14:paraId="339C3B0B" w14:textId="77777777" w:rsidR="00E61A01" w:rsidRPr="009B1A37" w:rsidRDefault="00E61A01" w:rsidP="00BE3D48">
      <w:pPr>
        <w:pStyle w:val="Text"/>
        <w:widowControl w:val="0"/>
        <w:spacing w:before="0"/>
        <w:jc w:val="left"/>
        <w:rPr>
          <w:color w:val="000000"/>
          <w:sz w:val="22"/>
          <w:szCs w:val="22"/>
          <w:lang w:val="cs-CZ"/>
        </w:rPr>
      </w:pPr>
    </w:p>
    <w:p w14:paraId="0B91DC7B" w14:textId="77777777" w:rsidR="00E61A01" w:rsidRPr="009B1A37" w:rsidRDefault="00E61A01" w:rsidP="00BE3D48">
      <w:pPr>
        <w:pStyle w:val="Text"/>
        <w:keepNext/>
        <w:widowControl w:val="0"/>
        <w:numPr>
          <w:ilvl w:val="0"/>
          <w:numId w:val="15"/>
        </w:numPr>
        <w:tabs>
          <w:tab w:val="num" w:pos="0"/>
        </w:tabs>
        <w:spacing w:before="0"/>
        <w:ind w:left="0" w:firstLine="0"/>
        <w:jc w:val="left"/>
        <w:rPr>
          <w:b/>
          <w:bCs/>
          <w:color w:val="000000"/>
          <w:sz w:val="22"/>
          <w:szCs w:val="22"/>
          <w:lang w:val="cs-CZ"/>
        </w:rPr>
      </w:pPr>
      <w:r w:rsidRPr="009B1A37">
        <w:rPr>
          <w:b/>
          <w:bCs/>
          <w:color w:val="000000"/>
          <w:sz w:val="22"/>
          <w:szCs w:val="22"/>
          <w:lang w:val="cs-CZ"/>
        </w:rPr>
        <w:t>Jestliže jste léčen(a) pro GIST:</w:t>
      </w:r>
    </w:p>
    <w:p w14:paraId="75C41919" w14:textId="77777777" w:rsidR="00E61A01" w:rsidRPr="009B1A37" w:rsidRDefault="00E61A01" w:rsidP="00BE3D48">
      <w:pPr>
        <w:pStyle w:val="Text"/>
        <w:widowControl w:val="0"/>
        <w:spacing w:before="0"/>
        <w:ind w:firstLine="600"/>
        <w:jc w:val="left"/>
        <w:rPr>
          <w:color w:val="000000"/>
          <w:sz w:val="22"/>
          <w:szCs w:val="22"/>
          <w:lang w:val="cs-CZ"/>
        </w:rPr>
      </w:pPr>
      <w:r w:rsidRPr="009B1A37">
        <w:rPr>
          <w:color w:val="000000"/>
          <w:sz w:val="22"/>
          <w:szCs w:val="22"/>
          <w:lang w:val="cs-CZ"/>
        </w:rPr>
        <w:t xml:space="preserve">Počáteční dávka je 400 mg užitá jako 4 tobolky </w:t>
      </w:r>
      <w:r w:rsidRPr="009B1A37">
        <w:rPr>
          <w:b/>
          <w:bCs/>
          <w:color w:val="000000"/>
          <w:sz w:val="22"/>
          <w:szCs w:val="22"/>
          <w:lang w:val="cs-CZ"/>
        </w:rPr>
        <w:t>jednou</w:t>
      </w:r>
      <w:r w:rsidRPr="009B1A37">
        <w:rPr>
          <w:color w:val="000000"/>
          <w:sz w:val="22"/>
          <w:szCs w:val="22"/>
          <w:lang w:val="cs-CZ"/>
        </w:rPr>
        <w:t xml:space="preserve"> denně.</w:t>
      </w:r>
    </w:p>
    <w:p w14:paraId="7F03B9AE" w14:textId="77777777" w:rsidR="00E61A01" w:rsidRPr="009B1A37" w:rsidRDefault="00E61A01" w:rsidP="00BE3D48">
      <w:pPr>
        <w:pStyle w:val="Text"/>
        <w:widowControl w:val="0"/>
        <w:spacing w:before="0"/>
        <w:jc w:val="left"/>
        <w:rPr>
          <w:color w:val="000000"/>
          <w:sz w:val="22"/>
          <w:szCs w:val="22"/>
          <w:lang w:val="cs-CZ"/>
        </w:rPr>
      </w:pPr>
    </w:p>
    <w:p w14:paraId="4CF7541A" w14:textId="22228E8A" w:rsidR="00E61A01" w:rsidRPr="009B1A37" w:rsidRDefault="00E61A01" w:rsidP="00BE3D48">
      <w:pPr>
        <w:pStyle w:val="Text"/>
        <w:widowControl w:val="0"/>
        <w:spacing w:before="0"/>
        <w:jc w:val="left"/>
        <w:rPr>
          <w:color w:val="000000"/>
          <w:sz w:val="22"/>
          <w:szCs w:val="22"/>
          <w:lang w:val="cs-CZ"/>
        </w:rPr>
      </w:pPr>
      <w:r w:rsidRPr="009B1A37">
        <w:rPr>
          <w:color w:val="000000"/>
          <w:sz w:val="22"/>
          <w:szCs w:val="22"/>
          <w:lang w:val="cs-CZ"/>
        </w:rPr>
        <w:t xml:space="preserve">Pro CML a GIST </w:t>
      </w:r>
      <w:r w:rsidR="00FB23CC" w:rsidRPr="009B1A37">
        <w:rPr>
          <w:color w:val="000000"/>
          <w:sz w:val="22"/>
          <w:szCs w:val="22"/>
          <w:lang w:val="cs-CZ"/>
        </w:rPr>
        <w:t xml:space="preserve">Vám </w:t>
      </w:r>
      <w:r w:rsidRPr="009B1A37">
        <w:rPr>
          <w:color w:val="000000"/>
          <w:sz w:val="22"/>
          <w:szCs w:val="22"/>
          <w:lang w:val="cs-CZ"/>
        </w:rPr>
        <w:t xml:space="preserve">může lékař podle odpovědi na léčbu předepsat </w:t>
      </w:r>
      <w:r w:rsidR="00166062" w:rsidRPr="009B1A37">
        <w:rPr>
          <w:color w:val="000000"/>
          <w:sz w:val="22"/>
          <w:szCs w:val="22"/>
          <w:lang w:val="cs-CZ"/>
        </w:rPr>
        <w:t>vyšší</w:t>
      </w:r>
      <w:r w:rsidRPr="009B1A37">
        <w:rPr>
          <w:color w:val="000000"/>
          <w:sz w:val="22"/>
          <w:szCs w:val="22"/>
          <w:lang w:val="cs-CZ"/>
        </w:rPr>
        <w:t xml:space="preserve"> nebo </w:t>
      </w:r>
      <w:r w:rsidR="00166062" w:rsidRPr="009B1A37">
        <w:rPr>
          <w:color w:val="000000"/>
          <w:sz w:val="22"/>
          <w:szCs w:val="22"/>
          <w:lang w:val="cs-CZ"/>
        </w:rPr>
        <w:t>nižší</w:t>
      </w:r>
      <w:r w:rsidRPr="009B1A37">
        <w:rPr>
          <w:color w:val="000000"/>
          <w:sz w:val="22"/>
          <w:szCs w:val="22"/>
          <w:lang w:val="cs-CZ"/>
        </w:rPr>
        <w:t xml:space="preserve"> dávky. Jestliže je Vaše denní dávka 800 mg (8 tobolek), měl(a) byste užívat 4 tobolky ráno a 4 tobolky večer.</w:t>
      </w:r>
    </w:p>
    <w:p w14:paraId="47624814" w14:textId="77777777" w:rsidR="00E61A01" w:rsidRPr="009B1A37" w:rsidRDefault="00E61A01" w:rsidP="00BE3D48">
      <w:pPr>
        <w:pStyle w:val="Text"/>
        <w:widowControl w:val="0"/>
        <w:spacing w:before="0"/>
        <w:jc w:val="left"/>
        <w:rPr>
          <w:color w:val="000000"/>
          <w:sz w:val="22"/>
          <w:szCs w:val="22"/>
          <w:lang w:val="cs-CZ"/>
        </w:rPr>
      </w:pPr>
    </w:p>
    <w:p w14:paraId="207410EB" w14:textId="77777777" w:rsidR="00E61A01" w:rsidRPr="009B1A37" w:rsidRDefault="00E61A01" w:rsidP="00BE3D48">
      <w:pPr>
        <w:pStyle w:val="Text"/>
        <w:keepNext/>
        <w:widowControl w:val="0"/>
        <w:numPr>
          <w:ilvl w:val="0"/>
          <w:numId w:val="15"/>
        </w:numPr>
        <w:spacing w:before="0"/>
        <w:jc w:val="left"/>
        <w:rPr>
          <w:color w:val="000000"/>
          <w:sz w:val="22"/>
          <w:szCs w:val="22"/>
          <w:lang w:val="cs-CZ"/>
        </w:rPr>
      </w:pPr>
      <w:r w:rsidRPr="009B1A37">
        <w:rPr>
          <w:b/>
          <w:bCs/>
          <w:color w:val="000000"/>
          <w:sz w:val="22"/>
          <w:szCs w:val="22"/>
          <w:lang w:val="cs-CZ"/>
        </w:rPr>
        <w:t xml:space="preserve">Jestliže jste léčen(a) pro Ph-pozitivní </w:t>
      </w:r>
      <w:smartTag w:uri="urn:schemas-microsoft-com:office:smarttags" w:element="stockticker">
        <w:r w:rsidRPr="009B1A37">
          <w:rPr>
            <w:b/>
            <w:bCs/>
            <w:color w:val="000000"/>
            <w:sz w:val="22"/>
            <w:szCs w:val="22"/>
            <w:lang w:val="cs-CZ"/>
          </w:rPr>
          <w:t>ALL</w:t>
        </w:r>
      </w:smartTag>
      <w:r w:rsidRPr="009B1A37">
        <w:rPr>
          <w:b/>
          <w:bCs/>
          <w:color w:val="000000"/>
          <w:sz w:val="22"/>
          <w:szCs w:val="22"/>
          <w:lang w:val="cs-CZ"/>
        </w:rPr>
        <w:t>:</w:t>
      </w:r>
    </w:p>
    <w:p w14:paraId="1FB9BF32" w14:textId="77777777" w:rsidR="00E61A01" w:rsidRPr="009B1A37" w:rsidRDefault="00E61A01" w:rsidP="00BE3D48">
      <w:pPr>
        <w:pStyle w:val="Text"/>
        <w:widowControl w:val="0"/>
        <w:spacing w:before="0"/>
        <w:ind w:left="600"/>
        <w:jc w:val="left"/>
        <w:rPr>
          <w:color w:val="000000"/>
          <w:sz w:val="22"/>
          <w:szCs w:val="22"/>
          <w:lang w:val="cs-CZ"/>
        </w:rPr>
      </w:pPr>
      <w:r w:rsidRPr="009B1A37">
        <w:rPr>
          <w:color w:val="000000"/>
          <w:sz w:val="22"/>
          <w:szCs w:val="22"/>
          <w:lang w:val="cs-CZ"/>
        </w:rPr>
        <w:t xml:space="preserve">Počáteční dávka je 600 mg užitá jako 6 tobolek </w:t>
      </w:r>
      <w:r w:rsidRPr="009B1A37">
        <w:rPr>
          <w:b/>
          <w:bCs/>
          <w:color w:val="000000"/>
          <w:sz w:val="22"/>
          <w:szCs w:val="22"/>
          <w:lang w:val="cs-CZ"/>
        </w:rPr>
        <w:t>jednou</w:t>
      </w:r>
      <w:r w:rsidRPr="009B1A37">
        <w:rPr>
          <w:color w:val="000000"/>
          <w:sz w:val="22"/>
          <w:szCs w:val="22"/>
          <w:lang w:val="cs-CZ"/>
        </w:rPr>
        <w:t xml:space="preserve"> denně.</w:t>
      </w:r>
    </w:p>
    <w:p w14:paraId="33E8A101" w14:textId="77777777" w:rsidR="00E61A01" w:rsidRPr="009B1A37" w:rsidRDefault="00E61A01" w:rsidP="00182086">
      <w:pPr>
        <w:pStyle w:val="Text"/>
        <w:widowControl w:val="0"/>
        <w:spacing w:before="0"/>
        <w:jc w:val="left"/>
        <w:rPr>
          <w:color w:val="000000"/>
          <w:sz w:val="22"/>
          <w:szCs w:val="22"/>
          <w:lang w:val="cs-CZ"/>
        </w:rPr>
      </w:pPr>
    </w:p>
    <w:p w14:paraId="7E7573E8" w14:textId="77777777" w:rsidR="00E61A01" w:rsidRPr="009B1A37" w:rsidRDefault="00E61A01" w:rsidP="00BE3D48">
      <w:pPr>
        <w:pStyle w:val="Text"/>
        <w:keepNext/>
        <w:widowControl w:val="0"/>
        <w:numPr>
          <w:ilvl w:val="0"/>
          <w:numId w:val="15"/>
        </w:numPr>
        <w:spacing w:before="0"/>
        <w:jc w:val="left"/>
        <w:rPr>
          <w:color w:val="000000"/>
          <w:sz w:val="22"/>
          <w:szCs w:val="22"/>
          <w:lang w:val="cs-CZ"/>
        </w:rPr>
      </w:pPr>
      <w:r w:rsidRPr="009B1A37">
        <w:rPr>
          <w:b/>
          <w:bCs/>
          <w:color w:val="000000"/>
          <w:sz w:val="22"/>
          <w:szCs w:val="22"/>
          <w:lang w:val="cs-CZ"/>
        </w:rPr>
        <w:t xml:space="preserve">Jestliže jste léčen(a) pro </w:t>
      </w:r>
      <w:smartTag w:uri="urn:schemas-microsoft-com:office:smarttags" w:element="stockticker">
        <w:r w:rsidRPr="009B1A37">
          <w:rPr>
            <w:b/>
            <w:bCs/>
            <w:color w:val="000000"/>
            <w:sz w:val="22"/>
            <w:szCs w:val="22"/>
            <w:lang w:val="cs-CZ"/>
          </w:rPr>
          <w:t>MDS</w:t>
        </w:r>
      </w:smartTag>
      <w:r w:rsidRPr="009B1A37">
        <w:rPr>
          <w:b/>
          <w:bCs/>
          <w:color w:val="000000"/>
          <w:sz w:val="22"/>
          <w:szCs w:val="22"/>
          <w:lang w:val="cs-CZ"/>
        </w:rPr>
        <w:t>/MPD:</w:t>
      </w:r>
    </w:p>
    <w:p w14:paraId="7AEC9598" w14:textId="77777777" w:rsidR="00E61A01" w:rsidRPr="009B1A37" w:rsidRDefault="00E61A01" w:rsidP="00BE3D48">
      <w:pPr>
        <w:pStyle w:val="Text"/>
        <w:widowControl w:val="0"/>
        <w:spacing w:before="0"/>
        <w:ind w:left="600"/>
        <w:jc w:val="left"/>
        <w:rPr>
          <w:color w:val="000000"/>
          <w:sz w:val="22"/>
          <w:szCs w:val="22"/>
          <w:lang w:val="cs-CZ"/>
        </w:rPr>
      </w:pPr>
      <w:r w:rsidRPr="009B1A37">
        <w:rPr>
          <w:color w:val="000000"/>
          <w:sz w:val="22"/>
          <w:szCs w:val="22"/>
          <w:lang w:val="cs-CZ"/>
        </w:rPr>
        <w:t xml:space="preserve">Počáteční dávka je 400 mg užitá jako 4 tobolky </w:t>
      </w:r>
      <w:r w:rsidRPr="009B1A37">
        <w:rPr>
          <w:b/>
          <w:bCs/>
          <w:color w:val="000000"/>
          <w:sz w:val="22"/>
          <w:szCs w:val="22"/>
          <w:lang w:val="cs-CZ"/>
        </w:rPr>
        <w:t>jednou</w:t>
      </w:r>
      <w:r w:rsidRPr="009B1A37">
        <w:rPr>
          <w:color w:val="000000"/>
          <w:sz w:val="22"/>
          <w:szCs w:val="22"/>
          <w:lang w:val="cs-CZ"/>
        </w:rPr>
        <w:t xml:space="preserve"> denně.</w:t>
      </w:r>
    </w:p>
    <w:p w14:paraId="6133F468" w14:textId="77777777" w:rsidR="00E61A01" w:rsidRPr="009B1A37" w:rsidRDefault="00E61A01" w:rsidP="00182086">
      <w:pPr>
        <w:pStyle w:val="Text"/>
        <w:widowControl w:val="0"/>
        <w:spacing w:before="0"/>
        <w:jc w:val="left"/>
        <w:rPr>
          <w:color w:val="000000"/>
          <w:sz w:val="22"/>
          <w:szCs w:val="22"/>
          <w:lang w:val="cs-CZ"/>
        </w:rPr>
      </w:pPr>
    </w:p>
    <w:p w14:paraId="2134344B" w14:textId="77777777" w:rsidR="00E61A01" w:rsidRPr="009B1A37" w:rsidRDefault="00E61A01" w:rsidP="00BE3D48">
      <w:pPr>
        <w:pStyle w:val="Text"/>
        <w:keepNext/>
        <w:widowControl w:val="0"/>
        <w:numPr>
          <w:ilvl w:val="0"/>
          <w:numId w:val="15"/>
        </w:numPr>
        <w:spacing w:before="0"/>
        <w:ind w:left="0" w:firstLine="0"/>
        <w:jc w:val="left"/>
        <w:rPr>
          <w:color w:val="000000"/>
          <w:sz w:val="22"/>
          <w:szCs w:val="22"/>
          <w:lang w:val="cs-CZ"/>
        </w:rPr>
      </w:pPr>
      <w:r w:rsidRPr="009B1A37">
        <w:rPr>
          <w:b/>
          <w:bCs/>
          <w:color w:val="000000"/>
          <w:sz w:val="22"/>
          <w:szCs w:val="22"/>
          <w:lang w:val="cs-CZ"/>
        </w:rPr>
        <w:t>Jestliže jste léčen(a) pro HES/</w:t>
      </w:r>
      <w:smartTag w:uri="urn:schemas-microsoft-com:office:smarttags" w:element="stockticker">
        <w:r w:rsidRPr="009B1A37">
          <w:rPr>
            <w:b/>
            <w:bCs/>
            <w:color w:val="000000"/>
            <w:sz w:val="22"/>
            <w:szCs w:val="22"/>
            <w:lang w:val="cs-CZ"/>
          </w:rPr>
          <w:t>CEL</w:t>
        </w:r>
      </w:smartTag>
      <w:r w:rsidRPr="009B1A37">
        <w:rPr>
          <w:b/>
          <w:bCs/>
          <w:color w:val="000000"/>
          <w:sz w:val="22"/>
          <w:szCs w:val="22"/>
          <w:lang w:val="cs-CZ"/>
        </w:rPr>
        <w:t>:</w:t>
      </w:r>
    </w:p>
    <w:p w14:paraId="6AC6D40C" w14:textId="77777777" w:rsidR="00E61A01" w:rsidRPr="009B1A37" w:rsidRDefault="00E61A01" w:rsidP="00BE3D48">
      <w:pPr>
        <w:pStyle w:val="Text"/>
        <w:widowControl w:val="0"/>
        <w:spacing w:before="0"/>
        <w:ind w:left="600"/>
        <w:jc w:val="left"/>
        <w:rPr>
          <w:color w:val="000000"/>
          <w:sz w:val="22"/>
          <w:szCs w:val="22"/>
          <w:lang w:val="cs-CZ"/>
        </w:rPr>
      </w:pPr>
      <w:r w:rsidRPr="009B1A37">
        <w:rPr>
          <w:color w:val="000000"/>
          <w:sz w:val="22"/>
          <w:szCs w:val="22"/>
          <w:lang w:val="cs-CZ"/>
        </w:rPr>
        <w:t>Počáteční dávka je 100 mg užitá jako jedna tobolka</w:t>
      </w:r>
      <w:r w:rsidRPr="009B1A37">
        <w:rPr>
          <w:b/>
          <w:bCs/>
          <w:color w:val="000000"/>
          <w:sz w:val="22"/>
          <w:szCs w:val="22"/>
          <w:lang w:val="cs-CZ"/>
        </w:rPr>
        <w:t xml:space="preserve"> jednou</w:t>
      </w:r>
      <w:r w:rsidRPr="009B1A37">
        <w:rPr>
          <w:color w:val="000000"/>
          <w:sz w:val="22"/>
          <w:szCs w:val="22"/>
          <w:lang w:val="cs-CZ"/>
        </w:rPr>
        <w:t xml:space="preserve"> denně. Podle Vaší odpovědi na léčbu může lékař zvážit zvýšení dávky na 400 mg užitých jako 4 tobolky </w:t>
      </w:r>
      <w:r w:rsidRPr="009B1A37">
        <w:rPr>
          <w:b/>
          <w:bCs/>
          <w:color w:val="000000"/>
          <w:sz w:val="22"/>
          <w:szCs w:val="22"/>
          <w:lang w:val="cs-CZ"/>
        </w:rPr>
        <w:t>jednou</w:t>
      </w:r>
      <w:r w:rsidRPr="009B1A37">
        <w:rPr>
          <w:color w:val="000000"/>
          <w:sz w:val="22"/>
          <w:szCs w:val="22"/>
          <w:lang w:val="cs-CZ"/>
        </w:rPr>
        <w:t xml:space="preserve"> denně.</w:t>
      </w:r>
    </w:p>
    <w:p w14:paraId="68C1B00A" w14:textId="77777777" w:rsidR="00E61A01" w:rsidRPr="009B1A37" w:rsidRDefault="00E61A01" w:rsidP="00BE3D48">
      <w:pPr>
        <w:pStyle w:val="Text"/>
        <w:widowControl w:val="0"/>
        <w:spacing w:before="0"/>
        <w:jc w:val="left"/>
        <w:rPr>
          <w:color w:val="000000"/>
          <w:sz w:val="22"/>
          <w:szCs w:val="22"/>
          <w:lang w:val="cs-CZ"/>
        </w:rPr>
      </w:pPr>
    </w:p>
    <w:p w14:paraId="698B6E2F" w14:textId="77777777" w:rsidR="00E61A01" w:rsidRPr="009B1A37" w:rsidRDefault="00E61A01" w:rsidP="00BE3D48">
      <w:pPr>
        <w:pStyle w:val="Text"/>
        <w:keepNext/>
        <w:widowControl w:val="0"/>
        <w:numPr>
          <w:ilvl w:val="0"/>
          <w:numId w:val="15"/>
        </w:numPr>
        <w:spacing w:before="0"/>
        <w:jc w:val="left"/>
        <w:rPr>
          <w:b/>
          <w:bCs/>
          <w:color w:val="000000"/>
          <w:sz w:val="22"/>
          <w:szCs w:val="22"/>
          <w:lang w:val="cs-CZ"/>
        </w:rPr>
      </w:pPr>
      <w:r w:rsidRPr="009B1A37">
        <w:rPr>
          <w:b/>
          <w:bCs/>
          <w:color w:val="000000"/>
          <w:sz w:val="22"/>
          <w:szCs w:val="22"/>
          <w:lang w:val="cs-CZ"/>
        </w:rPr>
        <w:t>Jestliže jste léčen(a) pro DFSP:</w:t>
      </w:r>
    </w:p>
    <w:p w14:paraId="250EF943" w14:textId="77777777" w:rsidR="00E61A01" w:rsidRPr="009B1A37" w:rsidRDefault="00E61A01" w:rsidP="00BE3D48">
      <w:pPr>
        <w:pStyle w:val="Text"/>
        <w:widowControl w:val="0"/>
        <w:spacing w:before="0"/>
        <w:ind w:left="600"/>
        <w:jc w:val="left"/>
        <w:rPr>
          <w:color w:val="000000"/>
          <w:sz w:val="22"/>
          <w:szCs w:val="22"/>
          <w:lang w:val="cs-CZ"/>
        </w:rPr>
      </w:pPr>
      <w:r w:rsidRPr="009B1A37">
        <w:rPr>
          <w:color w:val="000000"/>
          <w:sz w:val="22"/>
          <w:szCs w:val="22"/>
          <w:lang w:val="cs-CZ"/>
        </w:rPr>
        <w:t>Dávka je 800 mg denně (8 tobolek), užitá jako 4 tobolky ráno a 4 tobolky večer.</w:t>
      </w:r>
    </w:p>
    <w:p w14:paraId="4A7D404D" w14:textId="77777777" w:rsidR="00E61A01" w:rsidRPr="009B1A37" w:rsidRDefault="00E61A01" w:rsidP="00BE3D48">
      <w:pPr>
        <w:pStyle w:val="Text"/>
        <w:widowControl w:val="0"/>
        <w:spacing w:before="0"/>
        <w:jc w:val="left"/>
        <w:rPr>
          <w:color w:val="000000"/>
          <w:sz w:val="22"/>
          <w:szCs w:val="22"/>
          <w:lang w:val="cs-CZ"/>
        </w:rPr>
      </w:pPr>
    </w:p>
    <w:p w14:paraId="4218B652" w14:textId="77777777" w:rsidR="00E61A01" w:rsidRPr="009B1A37" w:rsidRDefault="00E61A01" w:rsidP="00BE3D48">
      <w:pPr>
        <w:pStyle w:val="Text"/>
        <w:keepNext/>
        <w:widowControl w:val="0"/>
        <w:spacing w:before="0"/>
        <w:jc w:val="left"/>
        <w:rPr>
          <w:b/>
          <w:bCs/>
          <w:color w:val="000000"/>
          <w:sz w:val="22"/>
          <w:szCs w:val="22"/>
          <w:lang w:val="cs-CZ"/>
        </w:rPr>
      </w:pPr>
      <w:r w:rsidRPr="009B1A37">
        <w:rPr>
          <w:b/>
          <w:bCs/>
          <w:color w:val="000000"/>
          <w:sz w:val="22"/>
          <w:szCs w:val="22"/>
          <w:lang w:val="cs-CZ"/>
        </w:rPr>
        <w:t>Použití u dětí</w:t>
      </w:r>
      <w:r w:rsidR="0064015F" w:rsidRPr="009B1A37">
        <w:rPr>
          <w:b/>
          <w:bCs/>
          <w:color w:val="000000"/>
          <w:sz w:val="22"/>
          <w:szCs w:val="22"/>
          <w:lang w:val="cs-CZ"/>
        </w:rPr>
        <w:t xml:space="preserve"> a dospívajících</w:t>
      </w:r>
    </w:p>
    <w:p w14:paraId="4917344A" w14:textId="77777777" w:rsidR="00E61A01" w:rsidRPr="009B1A37" w:rsidRDefault="00E61A01" w:rsidP="00BE3D48">
      <w:pPr>
        <w:pStyle w:val="Text"/>
        <w:widowControl w:val="0"/>
        <w:spacing w:before="0"/>
        <w:jc w:val="left"/>
        <w:rPr>
          <w:color w:val="000000"/>
          <w:sz w:val="22"/>
          <w:szCs w:val="22"/>
          <w:lang w:val="cs-CZ"/>
        </w:rPr>
      </w:pPr>
      <w:r w:rsidRPr="009B1A37">
        <w:rPr>
          <w:color w:val="000000"/>
          <w:sz w:val="22"/>
          <w:szCs w:val="22"/>
          <w:lang w:val="cs-CZ"/>
        </w:rPr>
        <w:t xml:space="preserve">Lékař Vám řekne, kolik tobolek Glivecu </w:t>
      </w:r>
      <w:r w:rsidR="00166062" w:rsidRPr="009B1A37">
        <w:rPr>
          <w:color w:val="000000"/>
          <w:sz w:val="22"/>
          <w:szCs w:val="22"/>
          <w:lang w:val="cs-CZ"/>
        </w:rPr>
        <w:t>má</w:t>
      </w:r>
      <w:r w:rsidRPr="009B1A37">
        <w:rPr>
          <w:color w:val="000000"/>
          <w:sz w:val="22"/>
          <w:szCs w:val="22"/>
          <w:lang w:val="cs-CZ"/>
        </w:rPr>
        <w:t xml:space="preserve"> být Vašemu dítěti</w:t>
      </w:r>
      <w:r w:rsidR="00166062" w:rsidRPr="009B1A37">
        <w:rPr>
          <w:color w:val="000000"/>
          <w:sz w:val="22"/>
          <w:szCs w:val="22"/>
          <w:lang w:val="cs-CZ"/>
        </w:rPr>
        <w:t xml:space="preserve"> podáno</w:t>
      </w:r>
      <w:r w:rsidRPr="009B1A37">
        <w:rPr>
          <w:color w:val="000000"/>
          <w:sz w:val="22"/>
          <w:szCs w:val="22"/>
          <w:lang w:val="cs-CZ"/>
        </w:rPr>
        <w:t>. Množství podaného Glivecu závisí na zdravotním stavu Vašeho dítěte, na jeho tělesné hmotnosti a výšce. Celková podaná denní dávka u dětí nesmí překročit dávku 800 mg</w:t>
      </w:r>
      <w:r w:rsidR="004B719A" w:rsidRPr="009B1A37">
        <w:rPr>
          <w:color w:val="000000"/>
          <w:sz w:val="22"/>
          <w:szCs w:val="22"/>
          <w:lang w:val="cs-CZ"/>
        </w:rPr>
        <w:t xml:space="preserve"> pro CML a 600 mg pro </w:t>
      </w:r>
      <w:r w:rsidR="004B719A" w:rsidRPr="009B1A37">
        <w:rPr>
          <w:bCs/>
          <w:color w:val="000000"/>
          <w:sz w:val="22"/>
          <w:szCs w:val="22"/>
          <w:lang w:val="cs-CZ"/>
        </w:rPr>
        <w:t xml:space="preserve">Ph-pozitivní </w:t>
      </w:r>
      <w:smartTag w:uri="urn:schemas-microsoft-com:office:smarttags" w:element="stockticker">
        <w:r w:rsidR="004B719A" w:rsidRPr="009B1A37">
          <w:rPr>
            <w:bCs/>
            <w:color w:val="000000"/>
            <w:sz w:val="22"/>
            <w:szCs w:val="22"/>
            <w:lang w:val="cs-CZ"/>
          </w:rPr>
          <w:t>ALL</w:t>
        </w:r>
      </w:smartTag>
      <w:r w:rsidRPr="009B1A37">
        <w:rPr>
          <w:color w:val="000000"/>
          <w:sz w:val="22"/>
          <w:szCs w:val="22"/>
          <w:lang w:val="cs-CZ"/>
        </w:rPr>
        <w:t>. Léčba může být Vašemu dítěti podávána buď jednou denně, nebo může být dávka rozdělena do dvou podání (polovina dávky ráno a polovina večer).</w:t>
      </w:r>
    </w:p>
    <w:p w14:paraId="1A3DE62F" w14:textId="77777777" w:rsidR="00E61A01" w:rsidRPr="009B1A37" w:rsidRDefault="00E61A01" w:rsidP="00BE3D48">
      <w:pPr>
        <w:pStyle w:val="Heading2"/>
        <w:keepNext w:val="0"/>
        <w:widowControl w:val="0"/>
        <w:numPr>
          <w:ilvl w:val="0"/>
          <w:numId w:val="0"/>
        </w:numPr>
        <w:spacing w:before="0" w:after="0" w:line="240" w:lineRule="auto"/>
        <w:rPr>
          <w:rFonts w:ascii="Times New Roman" w:hAnsi="Times New Roman" w:cs="Times New Roman"/>
          <w:b w:val="0"/>
          <w:bCs w:val="0"/>
          <w:i w:val="0"/>
          <w:iCs w:val="0"/>
          <w:color w:val="000000"/>
          <w:sz w:val="22"/>
          <w:szCs w:val="22"/>
        </w:rPr>
      </w:pPr>
    </w:p>
    <w:p w14:paraId="53B450BF" w14:textId="77777777" w:rsidR="00E61A01" w:rsidRPr="009B1A37" w:rsidRDefault="00E61A01" w:rsidP="00BE3D48">
      <w:pPr>
        <w:pStyle w:val="Text"/>
        <w:keepNext/>
        <w:widowControl w:val="0"/>
        <w:spacing w:before="0"/>
        <w:jc w:val="left"/>
        <w:rPr>
          <w:b/>
          <w:bCs/>
          <w:color w:val="000000"/>
          <w:sz w:val="22"/>
          <w:szCs w:val="22"/>
          <w:lang w:val="cs-CZ"/>
        </w:rPr>
      </w:pPr>
      <w:r w:rsidRPr="009B1A37">
        <w:rPr>
          <w:b/>
          <w:bCs/>
          <w:color w:val="000000"/>
          <w:sz w:val="22"/>
          <w:szCs w:val="22"/>
          <w:lang w:val="cs-CZ"/>
        </w:rPr>
        <w:t>Kdy a jak užívat Glivec</w:t>
      </w:r>
    </w:p>
    <w:p w14:paraId="478A87A7" w14:textId="77777777" w:rsidR="00E61A01" w:rsidRPr="009B1A37" w:rsidRDefault="00E61A01" w:rsidP="00BE3D48">
      <w:pPr>
        <w:pStyle w:val="Text"/>
        <w:widowControl w:val="0"/>
        <w:numPr>
          <w:ilvl w:val="0"/>
          <w:numId w:val="13"/>
        </w:numPr>
        <w:spacing w:before="0"/>
        <w:jc w:val="left"/>
        <w:rPr>
          <w:color w:val="000000"/>
          <w:sz w:val="22"/>
          <w:szCs w:val="22"/>
          <w:lang w:val="cs-CZ"/>
        </w:rPr>
      </w:pPr>
      <w:r w:rsidRPr="009B1A37">
        <w:rPr>
          <w:b/>
          <w:bCs/>
          <w:color w:val="000000"/>
          <w:sz w:val="22"/>
          <w:szCs w:val="22"/>
          <w:lang w:val="cs-CZ"/>
        </w:rPr>
        <w:t xml:space="preserve">Glivec užívejte s jídlem. </w:t>
      </w:r>
      <w:r w:rsidRPr="009B1A37">
        <w:rPr>
          <w:color w:val="000000"/>
          <w:sz w:val="22"/>
          <w:szCs w:val="22"/>
          <w:lang w:val="cs-CZ"/>
        </w:rPr>
        <w:t>Můžete tak předejít žaludečním potížím při užívání Glivecu.</w:t>
      </w:r>
    </w:p>
    <w:p w14:paraId="2882EA76" w14:textId="77777777" w:rsidR="00E61A01" w:rsidRPr="009B1A37" w:rsidRDefault="00E61A01" w:rsidP="00BE3D48">
      <w:pPr>
        <w:pStyle w:val="Text"/>
        <w:widowControl w:val="0"/>
        <w:numPr>
          <w:ilvl w:val="0"/>
          <w:numId w:val="13"/>
        </w:numPr>
        <w:spacing w:before="0"/>
        <w:ind w:left="600" w:hanging="600"/>
        <w:jc w:val="left"/>
        <w:rPr>
          <w:color w:val="000000"/>
          <w:sz w:val="22"/>
          <w:szCs w:val="22"/>
          <w:lang w:val="cs-CZ"/>
        </w:rPr>
      </w:pPr>
      <w:r w:rsidRPr="009B1A37">
        <w:rPr>
          <w:b/>
          <w:bCs/>
          <w:color w:val="000000"/>
          <w:sz w:val="22"/>
          <w:szCs w:val="22"/>
          <w:lang w:val="cs-CZ"/>
        </w:rPr>
        <w:t xml:space="preserve">Tobolky polykejte celé a zapijte je velkou sklenicí vody. </w:t>
      </w:r>
      <w:r w:rsidRPr="009B1A37">
        <w:rPr>
          <w:color w:val="000000"/>
          <w:sz w:val="22"/>
          <w:szCs w:val="22"/>
          <w:lang w:val="cs-CZ"/>
        </w:rPr>
        <w:t>Tobolky neotevírejte ani nedrťte, pokud nemáte potíže s polykáním (např. u dětí).</w:t>
      </w:r>
    </w:p>
    <w:p w14:paraId="41696DB6" w14:textId="77777777" w:rsidR="00E61A01" w:rsidRPr="009B1A37" w:rsidRDefault="00E61A01" w:rsidP="00BE3D48">
      <w:pPr>
        <w:pStyle w:val="Text"/>
        <w:widowControl w:val="0"/>
        <w:numPr>
          <w:ilvl w:val="0"/>
          <w:numId w:val="13"/>
        </w:numPr>
        <w:spacing w:before="0"/>
        <w:ind w:left="600" w:hanging="600"/>
        <w:jc w:val="left"/>
        <w:rPr>
          <w:color w:val="000000"/>
          <w:sz w:val="22"/>
          <w:szCs w:val="22"/>
          <w:lang w:val="cs-CZ"/>
        </w:rPr>
      </w:pPr>
      <w:r w:rsidRPr="009B1A37">
        <w:rPr>
          <w:color w:val="000000"/>
          <w:sz w:val="22"/>
          <w:szCs w:val="22"/>
          <w:lang w:val="cs-CZ"/>
        </w:rPr>
        <w:t>Pokud nejste schopný(á) tobolku spolknout, můžete ji otevřít a rozpustit prášek ve sklenici neperlivé vody nebo jablečného džusu.</w:t>
      </w:r>
    </w:p>
    <w:p w14:paraId="04A2A57B" w14:textId="77777777" w:rsidR="00E61A01" w:rsidRPr="009B1A37" w:rsidRDefault="00E61A01" w:rsidP="00BE3D48">
      <w:pPr>
        <w:pStyle w:val="Text"/>
        <w:widowControl w:val="0"/>
        <w:numPr>
          <w:ilvl w:val="0"/>
          <w:numId w:val="13"/>
        </w:numPr>
        <w:spacing w:before="0"/>
        <w:ind w:left="600" w:hanging="600"/>
        <w:jc w:val="left"/>
        <w:rPr>
          <w:color w:val="000000"/>
          <w:sz w:val="22"/>
          <w:szCs w:val="22"/>
          <w:lang w:val="cs-CZ"/>
        </w:rPr>
      </w:pPr>
      <w:r w:rsidRPr="009B1A37">
        <w:rPr>
          <w:color w:val="000000"/>
          <w:sz w:val="22"/>
          <w:szCs w:val="22"/>
          <w:lang w:val="cs-CZ"/>
        </w:rPr>
        <w:t xml:space="preserve">Jestliže jste žena a jste těhotná, nebo můžete být těhotná a otevíráte tobolky, </w:t>
      </w:r>
      <w:r w:rsidR="00166062" w:rsidRPr="009B1A37">
        <w:rPr>
          <w:color w:val="000000"/>
          <w:sz w:val="22"/>
          <w:szCs w:val="22"/>
          <w:lang w:val="cs-CZ"/>
        </w:rPr>
        <w:t>musíte</w:t>
      </w:r>
      <w:r w:rsidRPr="009B1A37">
        <w:rPr>
          <w:color w:val="000000"/>
          <w:sz w:val="22"/>
          <w:szCs w:val="22"/>
          <w:lang w:val="cs-CZ"/>
        </w:rPr>
        <w:t xml:space="preserve"> s obsahem manipulovat velmi opatrně, abyste zabránila kontaktu s kůží a očima nebo </w:t>
      </w:r>
      <w:r w:rsidR="00166062" w:rsidRPr="009B1A37">
        <w:rPr>
          <w:color w:val="000000"/>
          <w:sz w:val="22"/>
          <w:szCs w:val="22"/>
          <w:lang w:val="cs-CZ"/>
        </w:rPr>
        <w:t>vdechnutí</w:t>
      </w:r>
      <w:r w:rsidRPr="009B1A37">
        <w:rPr>
          <w:color w:val="000000"/>
          <w:sz w:val="22"/>
          <w:szCs w:val="22"/>
          <w:lang w:val="cs-CZ"/>
        </w:rPr>
        <w:t>. Po otevření tobolky si okamžitě um</w:t>
      </w:r>
      <w:r w:rsidR="00166062" w:rsidRPr="009B1A37">
        <w:rPr>
          <w:color w:val="000000"/>
          <w:sz w:val="22"/>
          <w:szCs w:val="22"/>
          <w:lang w:val="cs-CZ"/>
        </w:rPr>
        <w:t>yjte</w:t>
      </w:r>
      <w:r w:rsidRPr="009B1A37">
        <w:rPr>
          <w:color w:val="000000"/>
          <w:sz w:val="22"/>
          <w:szCs w:val="22"/>
          <w:lang w:val="cs-CZ"/>
        </w:rPr>
        <w:t xml:space="preserve"> ruce.</w:t>
      </w:r>
    </w:p>
    <w:p w14:paraId="6EB3024C" w14:textId="77777777" w:rsidR="00E61A01" w:rsidRPr="009B1A37" w:rsidRDefault="00E61A01" w:rsidP="00BE3D48">
      <w:pPr>
        <w:pStyle w:val="Heading2"/>
        <w:keepNext w:val="0"/>
        <w:widowControl w:val="0"/>
        <w:numPr>
          <w:ilvl w:val="0"/>
          <w:numId w:val="0"/>
        </w:numPr>
        <w:spacing w:before="0" w:after="0" w:line="240" w:lineRule="auto"/>
        <w:rPr>
          <w:rFonts w:ascii="Times New Roman" w:hAnsi="Times New Roman" w:cs="Times New Roman"/>
          <w:b w:val="0"/>
          <w:bCs w:val="0"/>
          <w:i w:val="0"/>
          <w:iCs w:val="0"/>
          <w:color w:val="000000"/>
          <w:sz w:val="22"/>
          <w:szCs w:val="22"/>
        </w:rPr>
      </w:pPr>
    </w:p>
    <w:p w14:paraId="646C1AAA" w14:textId="77777777" w:rsidR="00E61A01" w:rsidRPr="009B1A37" w:rsidRDefault="00E61A01" w:rsidP="00BE3D48">
      <w:pPr>
        <w:pStyle w:val="Heading2"/>
        <w:widowControl w:val="0"/>
        <w:numPr>
          <w:ilvl w:val="0"/>
          <w:numId w:val="0"/>
        </w:numPr>
        <w:spacing w:before="0" w:after="0" w:line="240" w:lineRule="auto"/>
        <w:rPr>
          <w:rFonts w:ascii="Times New Roman" w:hAnsi="Times New Roman" w:cs="Times New Roman"/>
          <w:i w:val="0"/>
          <w:iCs w:val="0"/>
          <w:color w:val="000000"/>
          <w:sz w:val="22"/>
          <w:szCs w:val="22"/>
        </w:rPr>
      </w:pPr>
      <w:r w:rsidRPr="009B1A37">
        <w:rPr>
          <w:rFonts w:ascii="Times New Roman" w:hAnsi="Times New Roman" w:cs="Times New Roman"/>
          <w:i w:val="0"/>
          <w:iCs w:val="0"/>
          <w:color w:val="000000"/>
          <w:sz w:val="22"/>
          <w:szCs w:val="22"/>
        </w:rPr>
        <w:t>Jak dlouho se Glivec užívá</w:t>
      </w:r>
    </w:p>
    <w:p w14:paraId="2247CBBE" w14:textId="77777777" w:rsidR="00E61A01" w:rsidRPr="009B1A37" w:rsidRDefault="00E61A01" w:rsidP="00BE3D48">
      <w:pPr>
        <w:pStyle w:val="Text"/>
        <w:widowControl w:val="0"/>
        <w:spacing w:before="0"/>
        <w:jc w:val="left"/>
        <w:rPr>
          <w:color w:val="000000"/>
          <w:sz w:val="22"/>
          <w:szCs w:val="22"/>
          <w:lang w:val="cs-CZ"/>
        </w:rPr>
      </w:pPr>
      <w:r w:rsidRPr="009B1A37">
        <w:rPr>
          <w:color w:val="000000"/>
          <w:sz w:val="22"/>
          <w:szCs w:val="22"/>
          <w:lang w:val="cs-CZ"/>
        </w:rPr>
        <w:t>Glivec užívejte denně tak dlouho, jak Vám lékař sdělí.</w:t>
      </w:r>
    </w:p>
    <w:p w14:paraId="376005A6" w14:textId="77777777" w:rsidR="00E61A01" w:rsidRPr="009B1A37" w:rsidRDefault="00E61A01" w:rsidP="00BE3D48">
      <w:pPr>
        <w:pStyle w:val="Text"/>
        <w:widowControl w:val="0"/>
        <w:spacing w:before="0"/>
        <w:jc w:val="left"/>
        <w:rPr>
          <w:color w:val="000000"/>
          <w:sz w:val="22"/>
          <w:szCs w:val="22"/>
          <w:lang w:val="cs-CZ"/>
        </w:rPr>
      </w:pPr>
    </w:p>
    <w:p w14:paraId="79C59209" w14:textId="77777777" w:rsidR="00E61A01" w:rsidRPr="009B1A37" w:rsidRDefault="00E61A01" w:rsidP="00BE3D48">
      <w:pPr>
        <w:pStyle w:val="Text"/>
        <w:keepNext/>
        <w:widowControl w:val="0"/>
        <w:spacing w:before="0"/>
        <w:jc w:val="left"/>
        <w:rPr>
          <w:b/>
          <w:bCs/>
          <w:lang w:val="cs-CZ"/>
        </w:rPr>
      </w:pPr>
      <w:r w:rsidRPr="009B1A37">
        <w:rPr>
          <w:b/>
          <w:bCs/>
          <w:lang w:val="cs-CZ"/>
        </w:rPr>
        <w:t>Jestliže jste užil(a) více Glivecu, než jte měl(a)</w:t>
      </w:r>
    </w:p>
    <w:p w14:paraId="2B805038" w14:textId="77777777" w:rsidR="00E61A01" w:rsidRPr="009B1A37" w:rsidRDefault="00E61A01" w:rsidP="00BE3D48">
      <w:pPr>
        <w:pStyle w:val="Text"/>
        <w:widowControl w:val="0"/>
        <w:spacing w:before="0"/>
        <w:jc w:val="left"/>
        <w:rPr>
          <w:color w:val="000000"/>
          <w:sz w:val="22"/>
          <w:szCs w:val="22"/>
          <w:lang w:val="cs-CZ"/>
        </w:rPr>
      </w:pPr>
      <w:r w:rsidRPr="009B1A37">
        <w:rPr>
          <w:color w:val="000000"/>
          <w:sz w:val="22"/>
          <w:szCs w:val="22"/>
          <w:lang w:val="cs-CZ"/>
        </w:rPr>
        <w:t xml:space="preserve">Jestliže jste nedopatřením užil(a) příliš mnoho tobolek, sdělte to </w:t>
      </w:r>
      <w:r w:rsidRPr="009B1A37">
        <w:rPr>
          <w:b/>
          <w:bCs/>
          <w:color w:val="000000"/>
          <w:sz w:val="22"/>
          <w:szCs w:val="22"/>
          <w:lang w:val="cs-CZ"/>
        </w:rPr>
        <w:t>ihned svému lékaři.</w:t>
      </w:r>
      <w:r w:rsidRPr="009B1A37">
        <w:rPr>
          <w:color w:val="000000"/>
          <w:sz w:val="22"/>
          <w:szCs w:val="22"/>
          <w:lang w:val="cs-CZ"/>
        </w:rPr>
        <w:t xml:space="preserve"> Můžete potřebovat lékařskou pomoc. </w:t>
      </w:r>
      <w:r w:rsidR="00166062" w:rsidRPr="009B1A37">
        <w:rPr>
          <w:color w:val="000000"/>
          <w:sz w:val="22"/>
          <w:szCs w:val="22"/>
          <w:lang w:val="cs-CZ"/>
        </w:rPr>
        <w:t>Vezmětě</w:t>
      </w:r>
      <w:r w:rsidRPr="009B1A37">
        <w:rPr>
          <w:color w:val="000000"/>
          <w:sz w:val="22"/>
          <w:szCs w:val="22"/>
          <w:lang w:val="cs-CZ"/>
        </w:rPr>
        <w:t xml:space="preserve"> balení léku </w:t>
      </w:r>
      <w:r w:rsidR="00166062" w:rsidRPr="009B1A37">
        <w:rPr>
          <w:color w:val="000000"/>
          <w:sz w:val="22"/>
          <w:szCs w:val="22"/>
          <w:lang w:val="cs-CZ"/>
        </w:rPr>
        <w:t xml:space="preserve">s </w:t>
      </w:r>
      <w:r w:rsidRPr="009B1A37">
        <w:rPr>
          <w:color w:val="000000"/>
          <w:sz w:val="22"/>
          <w:szCs w:val="22"/>
          <w:lang w:val="cs-CZ"/>
        </w:rPr>
        <w:t>sebou.</w:t>
      </w:r>
    </w:p>
    <w:p w14:paraId="74922C03" w14:textId="77777777" w:rsidR="00E61A01" w:rsidRPr="009B1A37" w:rsidRDefault="00E61A01" w:rsidP="00BE3D48">
      <w:pPr>
        <w:pStyle w:val="Text"/>
        <w:widowControl w:val="0"/>
        <w:spacing w:before="0"/>
        <w:jc w:val="left"/>
        <w:rPr>
          <w:color w:val="000000"/>
          <w:sz w:val="22"/>
          <w:szCs w:val="22"/>
          <w:lang w:val="cs-CZ"/>
        </w:rPr>
      </w:pPr>
    </w:p>
    <w:p w14:paraId="26AF6DB8" w14:textId="77777777" w:rsidR="00E61A01" w:rsidRPr="009B1A37" w:rsidRDefault="00E61A01" w:rsidP="00BE3D48">
      <w:pPr>
        <w:pStyle w:val="Text"/>
        <w:keepNext/>
        <w:widowControl w:val="0"/>
        <w:spacing w:before="0"/>
        <w:jc w:val="left"/>
        <w:rPr>
          <w:b/>
          <w:bCs/>
          <w:color w:val="000000"/>
          <w:sz w:val="22"/>
          <w:szCs w:val="22"/>
          <w:lang w:val="cs-CZ"/>
        </w:rPr>
      </w:pPr>
      <w:r w:rsidRPr="009B1A37">
        <w:rPr>
          <w:b/>
          <w:bCs/>
          <w:color w:val="000000"/>
          <w:sz w:val="22"/>
          <w:szCs w:val="22"/>
          <w:lang w:val="cs-CZ"/>
        </w:rPr>
        <w:t>Jestliže jste zapomněl(a) užít Glivec</w:t>
      </w:r>
    </w:p>
    <w:p w14:paraId="331104C9" w14:textId="77777777" w:rsidR="00E61A01" w:rsidRPr="009B1A37" w:rsidRDefault="00E61A01" w:rsidP="00BE3D48">
      <w:pPr>
        <w:pStyle w:val="Text"/>
        <w:widowControl w:val="0"/>
        <w:spacing w:before="0"/>
        <w:ind w:left="600" w:hanging="600"/>
        <w:jc w:val="left"/>
        <w:rPr>
          <w:color w:val="000000"/>
          <w:sz w:val="22"/>
          <w:szCs w:val="22"/>
          <w:lang w:val="cs-CZ"/>
        </w:rPr>
      </w:pPr>
      <w:r w:rsidRPr="009B1A37">
        <w:rPr>
          <w:color w:val="000000"/>
          <w:sz w:val="22"/>
          <w:szCs w:val="22"/>
          <w:lang w:val="cs-CZ"/>
        </w:rPr>
        <w:t>-</w:t>
      </w:r>
      <w:r w:rsidRPr="009B1A37">
        <w:rPr>
          <w:color w:val="000000"/>
          <w:sz w:val="22"/>
          <w:szCs w:val="22"/>
          <w:lang w:val="cs-CZ"/>
        </w:rPr>
        <w:tab/>
        <w:t>Jestliže jste zapomněl</w:t>
      </w:r>
      <w:r w:rsidR="00166062" w:rsidRPr="009B1A37">
        <w:rPr>
          <w:color w:val="000000"/>
          <w:sz w:val="22"/>
          <w:szCs w:val="22"/>
          <w:lang w:val="cs-CZ"/>
        </w:rPr>
        <w:t>(a)</w:t>
      </w:r>
      <w:r w:rsidRPr="009B1A37">
        <w:rPr>
          <w:color w:val="000000"/>
          <w:sz w:val="22"/>
          <w:szCs w:val="22"/>
          <w:lang w:val="cs-CZ"/>
        </w:rPr>
        <w:t xml:space="preserve"> užít dávku, užijte ji ihned, jakmile si vzpomenete. Pokud se však blíží doba další dávky, vynechte zapomenutou dávku.</w:t>
      </w:r>
    </w:p>
    <w:p w14:paraId="2EF15DCD" w14:textId="77777777" w:rsidR="00E61A01" w:rsidRPr="009B1A37" w:rsidRDefault="00E61A01" w:rsidP="00BE3D48">
      <w:pPr>
        <w:pStyle w:val="Text"/>
        <w:widowControl w:val="0"/>
        <w:spacing w:before="0"/>
        <w:jc w:val="left"/>
        <w:rPr>
          <w:color w:val="000000"/>
          <w:sz w:val="22"/>
          <w:szCs w:val="22"/>
          <w:lang w:val="cs-CZ"/>
        </w:rPr>
      </w:pPr>
      <w:r w:rsidRPr="009B1A37">
        <w:rPr>
          <w:color w:val="000000"/>
          <w:sz w:val="22"/>
          <w:szCs w:val="22"/>
          <w:lang w:val="cs-CZ"/>
        </w:rPr>
        <w:t>-</w:t>
      </w:r>
      <w:r w:rsidRPr="009B1A37">
        <w:rPr>
          <w:color w:val="000000"/>
          <w:sz w:val="22"/>
          <w:szCs w:val="22"/>
          <w:lang w:val="cs-CZ"/>
        </w:rPr>
        <w:tab/>
        <w:t>Poté pokračujte v obvyklém rozvrhu.</w:t>
      </w:r>
    </w:p>
    <w:p w14:paraId="7CA83F96" w14:textId="77777777" w:rsidR="00E61A01" w:rsidRPr="009B1A37" w:rsidRDefault="00E61A01" w:rsidP="00BE3D48">
      <w:pPr>
        <w:pStyle w:val="Text"/>
        <w:widowControl w:val="0"/>
        <w:spacing w:before="0"/>
        <w:jc w:val="left"/>
        <w:rPr>
          <w:color w:val="000000"/>
          <w:sz w:val="22"/>
          <w:szCs w:val="22"/>
          <w:lang w:val="cs-CZ"/>
        </w:rPr>
      </w:pPr>
      <w:r w:rsidRPr="009B1A37">
        <w:rPr>
          <w:color w:val="000000"/>
          <w:sz w:val="22"/>
          <w:szCs w:val="22"/>
          <w:lang w:val="cs-CZ"/>
        </w:rPr>
        <w:t>-</w:t>
      </w:r>
      <w:r w:rsidRPr="009B1A37">
        <w:rPr>
          <w:color w:val="000000"/>
          <w:sz w:val="22"/>
          <w:szCs w:val="22"/>
          <w:lang w:val="cs-CZ"/>
        </w:rPr>
        <w:tab/>
        <w:t>Nezdvoj</w:t>
      </w:r>
      <w:r w:rsidR="0064015F" w:rsidRPr="009B1A37">
        <w:rPr>
          <w:color w:val="000000"/>
          <w:sz w:val="22"/>
          <w:szCs w:val="22"/>
          <w:lang w:val="cs-CZ"/>
        </w:rPr>
        <w:t>násob</w:t>
      </w:r>
      <w:r w:rsidRPr="009B1A37">
        <w:rPr>
          <w:color w:val="000000"/>
          <w:sz w:val="22"/>
          <w:szCs w:val="22"/>
          <w:lang w:val="cs-CZ"/>
        </w:rPr>
        <w:t>ujte následující dávku, abyste nahradil(a) vynechanou dávku.</w:t>
      </w:r>
    </w:p>
    <w:p w14:paraId="5D9C4D95" w14:textId="77777777" w:rsidR="00E61A01" w:rsidRPr="009B1A37" w:rsidRDefault="00E61A01" w:rsidP="00BE3D48">
      <w:pPr>
        <w:pStyle w:val="Text"/>
        <w:widowControl w:val="0"/>
        <w:spacing w:before="0"/>
        <w:jc w:val="left"/>
        <w:rPr>
          <w:color w:val="000000"/>
          <w:sz w:val="22"/>
          <w:szCs w:val="22"/>
          <w:lang w:val="cs-CZ"/>
        </w:rPr>
      </w:pPr>
    </w:p>
    <w:p w14:paraId="50594324" w14:textId="77777777" w:rsidR="00E61A01" w:rsidRPr="009B1A37" w:rsidRDefault="00E61A01" w:rsidP="00BE3D48">
      <w:pPr>
        <w:pStyle w:val="Text"/>
        <w:widowControl w:val="0"/>
        <w:spacing w:before="0"/>
        <w:jc w:val="left"/>
        <w:rPr>
          <w:color w:val="000000"/>
          <w:sz w:val="22"/>
          <w:szCs w:val="22"/>
          <w:lang w:val="cs-CZ"/>
        </w:rPr>
      </w:pPr>
      <w:r w:rsidRPr="009B1A37">
        <w:rPr>
          <w:color w:val="000000"/>
          <w:sz w:val="22"/>
          <w:szCs w:val="22"/>
          <w:lang w:val="cs-CZ"/>
        </w:rPr>
        <w:t>Máte-li jakékoli další otázky týkající se užívání tohoto přípravku, zeptejte se svého lékaře</w:t>
      </w:r>
      <w:r w:rsidR="0064015F" w:rsidRPr="009B1A37">
        <w:rPr>
          <w:color w:val="000000"/>
          <w:sz w:val="22"/>
          <w:szCs w:val="22"/>
          <w:lang w:val="cs-CZ"/>
        </w:rPr>
        <w:t>,</w:t>
      </w:r>
      <w:r w:rsidRPr="009B1A37">
        <w:rPr>
          <w:color w:val="000000"/>
          <w:sz w:val="22"/>
          <w:szCs w:val="22"/>
          <w:lang w:val="cs-CZ"/>
        </w:rPr>
        <w:t xml:space="preserve"> lékárníka</w:t>
      </w:r>
      <w:r w:rsidR="0064015F" w:rsidRPr="009B1A37">
        <w:rPr>
          <w:color w:val="000000"/>
          <w:sz w:val="22"/>
          <w:szCs w:val="22"/>
          <w:lang w:val="cs-CZ"/>
        </w:rPr>
        <w:t xml:space="preserve"> nebo zdravotní sestry</w:t>
      </w:r>
      <w:r w:rsidRPr="009B1A37">
        <w:rPr>
          <w:color w:val="000000"/>
          <w:sz w:val="22"/>
          <w:szCs w:val="22"/>
          <w:lang w:val="cs-CZ"/>
        </w:rPr>
        <w:t>.</w:t>
      </w:r>
    </w:p>
    <w:p w14:paraId="0B719925" w14:textId="77777777" w:rsidR="00E61A01" w:rsidRPr="009B1A37" w:rsidRDefault="00E61A01" w:rsidP="00BE3D48">
      <w:pPr>
        <w:widowControl w:val="0"/>
        <w:tabs>
          <w:tab w:val="clear" w:pos="567"/>
        </w:tabs>
        <w:spacing w:line="240" w:lineRule="auto"/>
        <w:ind w:right="-2"/>
        <w:rPr>
          <w:color w:val="000000"/>
        </w:rPr>
      </w:pPr>
    </w:p>
    <w:p w14:paraId="200CC47C" w14:textId="77777777" w:rsidR="00E61A01" w:rsidRPr="009B1A37" w:rsidRDefault="00E61A01" w:rsidP="00BE3D48">
      <w:pPr>
        <w:widowControl w:val="0"/>
        <w:tabs>
          <w:tab w:val="clear" w:pos="567"/>
        </w:tabs>
        <w:spacing w:line="240" w:lineRule="auto"/>
        <w:ind w:right="-2"/>
        <w:rPr>
          <w:color w:val="000000"/>
        </w:rPr>
      </w:pPr>
    </w:p>
    <w:p w14:paraId="24DA8AB0" w14:textId="77777777" w:rsidR="00EA5993" w:rsidRPr="009B1A37" w:rsidRDefault="00EA5993" w:rsidP="00BE3D48">
      <w:pPr>
        <w:keepNext/>
        <w:widowControl w:val="0"/>
        <w:tabs>
          <w:tab w:val="clear" w:pos="567"/>
        </w:tabs>
        <w:spacing w:line="240" w:lineRule="auto"/>
        <w:ind w:left="567" w:right="-2" w:hanging="567"/>
        <w:rPr>
          <w:b/>
          <w:bCs/>
          <w:color w:val="000000"/>
        </w:rPr>
      </w:pPr>
      <w:r w:rsidRPr="009B1A37">
        <w:rPr>
          <w:b/>
          <w:bCs/>
          <w:color w:val="000000"/>
        </w:rPr>
        <w:t>4.</w:t>
      </w:r>
      <w:r w:rsidRPr="009B1A37">
        <w:rPr>
          <w:b/>
          <w:bCs/>
          <w:color w:val="000000"/>
        </w:rPr>
        <w:tab/>
        <w:t>Možné nežádoucí účinky</w:t>
      </w:r>
    </w:p>
    <w:p w14:paraId="6F0739E8" w14:textId="77777777" w:rsidR="00EA5993" w:rsidRPr="009B1A37" w:rsidRDefault="00EA5993" w:rsidP="00BE3D48">
      <w:pPr>
        <w:pStyle w:val="Text"/>
        <w:keepNext/>
        <w:widowControl w:val="0"/>
        <w:spacing w:before="0"/>
        <w:jc w:val="left"/>
        <w:rPr>
          <w:color w:val="000000"/>
          <w:sz w:val="22"/>
          <w:szCs w:val="22"/>
          <w:lang w:val="cs-CZ"/>
        </w:rPr>
      </w:pPr>
    </w:p>
    <w:p w14:paraId="03456D6D" w14:textId="77777777" w:rsidR="00EA5993" w:rsidRPr="009B1A37" w:rsidRDefault="00EA5993" w:rsidP="00BE3D48">
      <w:pPr>
        <w:pStyle w:val="Text"/>
        <w:widowControl w:val="0"/>
        <w:spacing w:before="0"/>
        <w:jc w:val="left"/>
        <w:rPr>
          <w:color w:val="000000"/>
          <w:sz w:val="22"/>
          <w:szCs w:val="22"/>
          <w:lang w:val="cs-CZ"/>
        </w:rPr>
      </w:pPr>
      <w:r w:rsidRPr="009B1A37">
        <w:rPr>
          <w:color w:val="000000"/>
          <w:sz w:val="22"/>
          <w:szCs w:val="22"/>
          <w:lang w:val="cs-CZ"/>
        </w:rPr>
        <w:t xml:space="preserve">Podobně jako všechny léky může mít i tento přípravek nežádoucí účinky, které se ale nemusí vyskytnout u každého. </w:t>
      </w:r>
      <w:r w:rsidR="00166062" w:rsidRPr="009B1A37">
        <w:rPr>
          <w:color w:val="000000"/>
          <w:sz w:val="22"/>
          <w:szCs w:val="22"/>
          <w:lang w:val="cs-CZ"/>
        </w:rPr>
        <w:t>J</w:t>
      </w:r>
      <w:r w:rsidRPr="009B1A37">
        <w:rPr>
          <w:color w:val="000000"/>
          <w:sz w:val="22"/>
          <w:szCs w:val="22"/>
          <w:lang w:val="cs-CZ"/>
        </w:rPr>
        <w:t xml:space="preserve">sou obvykle </w:t>
      </w:r>
      <w:r w:rsidR="00166062" w:rsidRPr="009B1A37">
        <w:rPr>
          <w:color w:val="000000"/>
          <w:sz w:val="22"/>
          <w:szCs w:val="22"/>
          <w:lang w:val="cs-CZ"/>
        </w:rPr>
        <w:t>lehké</w:t>
      </w:r>
      <w:r w:rsidRPr="009B1A37">
        <w:rPr>
          <w:color w:val="000000"/>
          <w:sz w:val="22"/>
          <w:szCs w:val="22"/>
          <w:lang w:val="cs-CZ"/>
        </w:rPr>
        <w:t xml:space="preserve"> až středně </w:t>
      </w:r>
      <w:r w:rsidR="00166062" w:rsidRPr="009B1A37">
        <w:rPr>
          <w:color w:val="000000"/>
          <w:sz w:val="22"/>
          <w:szCs w:val="22"/>
          <w:lang w:val="cs-CZ"/>
        </w:rPr>
        <w:t>těžké</w:t>
      </w:r>
      <w:r w:rsidRPr="009B1A37">
        <w:rPr>
          <w:color w:val="000000"/>
          <w:sz w:val="22"/>
          <w:szCs w:val="22"/>
          <w:lang w:val="cs-CZ"/>
        </w:rPr>
        <w:t>.</w:t>
      </w:r>
    </w:p>
    <w:p w14:paraId="198390B1" w14:textId="77777777" w:rsidR="00EA5993" w:rsidRPr="009B1A37" w:rsidRDefault="00EA5993" w:rsidP="00BE3D48">
      <w:pPr>
        <w:pStyle w:val="CommentText"/>
        <w:keepNext/>
        <w:widowControl w:val="0"/>
        <w:spacing w:line="240" w:lineRule="auto"/>
        <w:rPr>
          <w:color w:val="000000"/>
          <w:sz w:val="22"/>
          <w:szCs w:val="22"/>
        </w:rPr>
      </w:pPr>
    </w:p>
    <w:p w14:paraId="6752A294" w14:textId="77777777" w:rsidR="00EA5993" w:rsidRPr="009B1A37" w:rsidRDefault="00EA5993" w:rsidP="00BE3D48">
      <w:pPr>
        <w:pStyle w:val="Heading4"/>
        <w:keepNext w:val="0"/>
        <w:widowControl w:val="0"/>
        <w:numPr>
          <w:ilvl w:val="0"/>
          <w:numId w:val="0"/>
        </w:numPr>
        <w:spacing w:line="240" w:lineRule="auto"/>
        <w:jc w:val="left"/>
        <w:rPr>
          <w:color w:val="000000"/>
          <w:lang w:val="cs-CZ"/>
        </w:rPr>
      </w:pPr>
      <w:r w:rsidRPr="009B1A37">
        <w:rPr>
          <w:color w:val="000000"/>
          <w:lang w:val="cs-CZ"/>
        </w:rPr>
        <w:t>Některé nežádoucí účinky mohou být závažné</w:t>
      </w:r>
      <w:r w:rsidRPr="009B1A37">
        <w:rPr>
          <w:b w:val="0"/>
          <w:bCs w:val="0"/>
          <w:color w:val="000000"/>
          <w:lang w:val="cs-CZ"/>
        </w:rPr>
        <w:t xml:space="preserve">. </w:t>
      </w:r>
      <w:r w:rsidRPr="009B1A37">
        <w:rPr>
          <w:color w:val="000000"/>
          <w:lang w:val="cs-CZ"/>
        </w:rPr>
        <w:t xml:space="preserve">Informujte okamžitě svého lékaře, pokud se u Vás </w:t>
      </w:r>
      <w:r w:rsidR="00166062" w:rsidRPr="009B1A37">
        <w:rPr>
          <w:color w:val="000000"/>
          <w:lang w:val="cs-CZ"/>
        </w:rPr>
        <w:t>objeví</w:t>
      </w:r>
      <w:r w:rsidRPr="009B1A37">
        <w:rPr>
          <w:color w:val="000000"/>
          <w:lang w:val="cs-CZ"/>
        </w:rPr>
        <w:t>.</w:t>
      </w:r>
    </w:p>
    <w:p w14:paraId="6833F529" w14:textId="77777777" w:rsidR="00EA5993" w:rsidRPr="009B1A37" w:rsidRDefault="00EA5993" w:rsidP="00BE3D48">
      <w:pPr>
        <w:widowControl w:val="0"/>
        <w:spacing w:line="240" w:lineRule="auto"/>
        <w:rPr>
          <w:color w:val="000000"/>
        </w:rPr>
      </w:pPr>
    </w:p>
    <w:p w14:paraId="2C51073A" w14:textId="77777777" w:rsidR="00EA5993" w:rsidRPr="009B1A37" w:rsidRDefault="00EA5993" w:rsidP="00BE3D48">
      <w:pPr>
        <w:keepNext/>
        <w:widowControl w:val="0"/>
        <w:spacing w:line="240" w:lineRule="auto"/>
        <w:rPr>
          <w:bCs/>
          <w:color w:val="000000"/>
        </w:rPr>
      </w:pPr>
      <w:r w:rsidRPr="009B1A37">
        <w:rPr>
          <w:b/>
          <w:bCs/>
          <w:color w:val="000000"/>
        </w:rPr>
        <w:t>Velmi časté</w:t>
      </w:r>
      <w:r w:rsidRPr="009B1A37">
        <w:rPr>
          <w:bCs/>
          <w:color w:val="000000"/>
        </w:rPr>
        <w:t xml:space="preserve"> (mohou postihnout více než 1 z 10 lidí) </w:t>
      </w:r>
      <w:r w:rsidRPr="009B1A37">
        <w:rPr>
          <w:b/>
          <w:bCs/>
          <w:color w:val="000000"/>
        </w:rPr>
        <w:t xml:space="preserve">nebo časté nežádoucí účinky </w:t>
      </w:r>
      <w:r w:rsidRPr="009B1A37">
        <w:rPr>
          <w:bCs/>
          <w:color w:val="000000"/>
        </w:rPr>
        <w:t>(mohou postihnout až 1 z 10 lidí):</w:t>
      </w:r>
    </w:p>
    <w:p w14:paraId="3B8F1409" w14:textId="77777777" w:rsidR="00EA5993" w:rsidRPr="009B1A37" w:rsidRDefault="00EA5993" w:rsidP="00BE3D48">
      <w:pPr>
        <w:pStyle w:val="Text"/>
        <w:widowControl w:val="0"/>
        <w:numPr>
          <w:ilvl w:val="0"/>
          <w:numId w:val="3"/>
        </w:numPr>
        <w:tabs>
          <w:tab w:val="clear" w:pos="360"/>
        </w:tabs>
        <w:spacing w:before="0"/>
        <w:ind w:left="567" w:hanging="567"/>
        <w:jc w:val="left"/>
        <w:rPr>
          <w:color w:val="000000"/>
          <w:sz w:val="22"/>
          <w:szCs w:val="22"/>
          <w:lang w:val="cs-CZ"/>
        </w:rPr>
      </w:pPr>
      <w:r w:rsidRPr="009B1A37">
        <w:rPr>
          <w:color w:val="000000"/>
          <w:sz w:val="22"/>
          <w:szCs w:val="22"/>
          <w:lang w:val="cs-CZ"/>
        </w:rPr>
        <w:t xml:space="preserve">Rychlý </w:t>
      </w:r>
      <w:r w:rsidR="00166062" w:rsidRPr="009B1A37">
        <w:rPr>
          <w:color w:val="000000"/>
          <w:sz w:val="22"/>
          <w:szCs w:val="22"/>
          <w:lang w:val="cs-CZ"/>
        </w:rPr>
        <w:t>nárůst tělesné hmotnosti</w:t>
      </w:r>
      <w:r w:rsidRPr="009B1A37">
        <w:rPr>
          <w:color w:val="000000"/>
          <w:sz w:val="22"/>
          <w:szCs w:val="22"/>
          <w:lang w:val="cs-CZ"/>
        </w:rPr>
        <w:t>. Glivec může způsobit zadržování vody v těle (závažná retence tekutin).</w:t>
      </w:r>
    </w:p>
    <w:p w14:paraId="7B00808C" w14:textId="77777777" w:rsidR="00EA5993" w:rsidRPr="009B1A37" w:rsidRDefault="00EA5993" w:rsidP="00BE3D48">
      <w:pPr>
        <w:pStyle w:val="Text"/>
        <w:widowControl w:val="0"/>
        <w:numPr>
          <w:ilvl w:val="0"/>
          <w:numId w:val="3"/>
        </w:numPr>
        <w:tabs>
          <w:tab w:val="clear" w:pos="360"/>
        </w:tabs>
        <w:spacing w:before="0"/>
        <w:ind w:left="567" w:hanging="567"/>
        <w:jc w:val="left"/>
        <w:rPr>
          <w:color w:val="000000"/>
          <w:sz w:val="22"/>
          <w:szCs w:val="22"/>
          <w:lang w:val="cs-CZ"/>
        </w:rPr>
      </w:pPr>
      <w:r w:rsidRPr="009B1A37">
        <w:rPr>
          <w:color w:val="000000"/>
          <w:sz w:val="22"/>
          <w:szCs w:val="22"/>
          <w:lang w:val="cs-CZ"/>
        </w:rPr>
        <w:t>Příznaky infekce, jako je horečka, silná zimnice, bolest v krku nebo vř</w:t>
      </w:r>
      <w:r w:rsidR="00166062" w:rsidRPr="009B1A37">
        <w:rPr>
          <w:color w:val="000000"/>
          <w:sz w:val="22"/>
          <w:szCs w:val="22"/>
          <w:lang w:val="cs-CZ"/>
        </w:rPr>
        <w:t>e</w:t>
      </w:r>
      <w:r w:rsidRPr="009B1A37">
        <w:rPr>
          <w:color w:val="000000"/>
          <w:sz w:val="22"/>
          <w:szCs w:val="22"/>
          <w:lang w:val="cs-CZ"/>
        </w:rPr>
        <w:t>d</w:t>
      </w:r>
      <w:r w:rsidR="00166062" w:rsidRPr="009B1A37">
        <w:rPr>
          <w:color w:val="000000"/>
          <w:sz w:val="22"/>
          <w:szCs w:val="22"/>
          <w:lang w:val="cs-CZ"/>
        </w:rPr>
        <w:t>y</w:t>
      </w:r>
      <w:r w:rsidRPr="009B1A37">
        <w:rPr>
          <w:color w:val="000000"/>
          <w:sz w:val="22"/>
          <w:szCs w:val="22"/>
          <w:lang w:val="cs-CZ"/>
        </w:rPr>
        <w:t xml:space="preserve"> v ústech. Glivec může snižovat počet bílých krvinek v krvi, a tak u Vás může snáze dojít k infekci.</w:t>
      </w:r>
    </w:p>
    <w:p w14:paraId="5D506E8C" w14:textId="77777777" w:rsidR="00EA5993" w:rsidRPr="009B1A37" w:rsidRDefault="00EA5993" w:rsidP="00BE3D48">
      <w:pPr>
        <w:pStyle w:val="Text"/>
        <w:widowControl w:val="0"/>
        <w:numPr>
          <w:ilvl w:val="0"/>
          <w:numId w:val="3"/>
        </w:numPr>
        <w:tabs>
          <w:tab w:val="clear" w:pos="360"/>
        </w:tabs>
        <w:spacing w:before="0"/>
        <w:ind w:left="567" w:hanging="567"/>
        <w:jc w:val="left"/>
        <w:rPr>
          <w:color w:val="000000"/>
          <w:sz w:val="22"/>
          <w:szCs w:val="22"/>
          <w:lang w:val="cs-CZ"/>
        </w:rPr>
      </w:pPr>
      <w:r w:rsidRPr="009B1A37">
        <w:rPr>
          <w:color w:val="000000"/>
          <w:sz w:val="22"/>
          <w:szCs w:val="22"/>
          <w:lang w:val="cs-CZ"/>
        </w:rPr>
        <w:t xml:space="preserve">Neočekávané krvácení nebo výskyt modřin (bez </w:t>
      </w:r>
      <w:r w:rsidR="00166062" w:rsidRPr="009B1A37">
        <w:rPr>
          <w:color w:val="000000"/>
          <w:sz w:val="22"/>
          <w:szCs w:val="22"/>
          <w:lang w:val="cs-CZ"/>
        </w:rPr>
        <w:t>toho, abyste se poranil(a)</w:t>
      </w:r>
      <w:r w:rsidRPr="009B1A37">
        <w:rPr>
          <w:color w:val="000000"/>
          <w:sz w:val="22"/>
          <w:szCs w:val="22"/>
          <w:lang w:val="cs-CZ"/>
        </w:rPr>
        <w:t>).</w:t>
      </w:r>
    </w:p>
    <w:p w14:paraId="71ADDC14" w14:textId="77777777" w:rsidR="00EA5993" w:rsidRPr="009B1A37" w:rsidRDefault="00EA5993" w:rsidP="00BE3D48">
      <w:pPr>
        <w:pStyle w:val="Text"/>
        <w:widowControl w:val="0"/>
        <w:spacing w:before="0"/>
        <w:jc w:val="left"/>
        <w:rPr>
          <w:color w:val="000000"/>
          <w:sz w:val="22"/>
          <w:szCs w:val="22"/>
          <w:lang w:val="cs-CZ"/>
        </w:rPr>
      </w:pPr>
    </w:p>
    <w:p w14:paraId="35E0E8B2" w14:textId="77777777" w:rsidR="00EA5993" w:rsidRPr="009B1A37" w:rsidRDefault="00EA5993" w:rsidP="00BE3D48">
      <w:pPr>
        <w:pStyle w:val="Text"/>
        <w:keepNext/>
        <w:widowControl w:val="0"/>
        <w:spacing w:before="0"/>
        <w:jc w:val="left"/>
        <w:rPr>
          <w:bCs/>
          <w:color w:val="000000"/>
          <w:sz w:val="22"/>
          <w:szCs w:val="22"/>
          <w:lang w:val="cs-CZ"/>
        </w:rPr>
      </w:pPr>
      <w:r w:rsidRPr="009B1A37">
        <w:rPr>
          <w:b/>
          <w:bCs/>
          <w:color w:val="000000"/>
          <w:sz w:val="22"/>
          <w:szCs w:val="22"/>
          <w:lang w:val="cs-CZ"/>
        </w:rPr>
        <w:t xml:space="preserve">Méně časté </w:t>
      </w:r>
      <w:r w:rsidRPr="009B1A37">
        <w:rPr>
          <w:bCs/>
          <w:color w:val="000000"/>
          <w:sz w:val="22"/>
          <w:szCs w:val="22"/>
          <w:lang w:val="cs-CZ"/>
        </w:rPr>
        <w:t xml:space="preserve">(mohou postihnout až 1 ze 100 lidí) </w:t>
      </w:r>
      <w:r w:rsidRPr="009B1A37">
        <w:rPr>
          <w:b/>
          <w:bCs/>
          <w:color w:val="000000"/>
          <w:sz w:val="22"/>
          <w:szCs w:val="22"/>
          <w:lang w:val="cs-CZ"/>
        </w:rPr>
        <w:t xml:space="preserve">nebo vzácné nežádoucí účinky </w:t>
      </w:r>
      <w:r w:rsidRPr="009B1A37">
        <w:rPr>
          <w:bCs/>
          <w:color w:val="000000"/>
          <w:sz w:val="22"/>
          <w:szCs w:val="22"/>
          <w:lang w:val="cs-CZ"/>
        </w:rPr>
        <w:t>(mohou postihnout až 1 z 1000 lidí):</w:t>
      </w:r>
    </w:p>
    <w:p w14:paraId="104BD134" w14:textId="77777777" w:rsidR="00EA5993" w:rsidRPr="009B1A37" w:rsidRDefault="00EA5993" w:rsidP="00BE3D48">
      <w:pPr>
        <w:pStyle w:val="Text"/>
        <w:widowControl w:val="0"/>
        <w:numPr>
          <w:ilvl w:val="0"/>
          <w:numId w:val="3"/>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Bolest na hrudi, nepravidelný srdeční tep (</w:t>
      </w:r>
      <w:r w:rsidR="00FD11EA" w:rsidRPr="009B1A37">
        <w:rPr>
          <w:color w:val="000000"/>
          <w:sz w:val="22"/>
          <w:szCs w:val="22"/>
          <w:lang w:val="cs-CZ"/>
        </w:rPr>
        <w:t>známky</w:t>
      </w:r>
      <w:r w:rsidRPr="009B1A37">
        <w:rPr>
          <w:color w:val="000000"/>
          <w:sz w:val="22"/>
          <w:szCs w:val="22"/>
          <w:lang w:val="cs-CZ"/>
        </w:rPr>
        <w:t xml:space="preserve"> srdečních potíží).</w:t>
      </w:r>
    </w:p>
    <w:p w14:paraId="47A577E1" w14:textId="77777777" w:rsidR="00EA5993" w:rsidRPr="009B1A37" w:rsidRDefault="00EA5993" w:rsidP="00BE3D48">
      <w:pPr>
        <w:pStyle w:val="Text"/>
        <w:widowControl w:val="0"/>
        <w:numPr>
          <w:ilvl w:val="0"/>
          <w:numId w:val="3"/>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Kašel, ztížené nebo bolestivé dýchání (</w:t>
      </w:r>
      <w:r w:rsidR="00FD11EA" w:rsidRPr="009B1A37">
        <w:rPr>
          <w:color w:val="000000"/>
          <w:sz w:val="22"/>
          <w:szCs w:val="22"/>
          <w:lang w:val="cs-CZ"/>
        </w:rPr>
        <w:t xml:space="preserve">známky </w:t>
      </w:r>
      <w:r w:rsidRPr="009B1A37">
        <w:rPr>
          <w:color w:val="000000"/>
          <w:sz w:val="22"/>
          <w:szCs w:val="22"/>
          <w:lang w:val="cs-CZ"/>
        </w:rPr>
        <w:t>plicních potíží).</w:t>
      </w:r>
    </w:p>
    <w:p w14:paraId="31F4D139" w14:textId="77777777" w:rsidR="00EA5993" w:rsidRPr="009B1A37" w:rsidRDefault="00EA5993" w:rsidP="00BE3D48">
      <w:pPr>
        <w:pStyle w:val="Text"/>
        <w:widowControl w:val="0"/>
        <w:numPr>
          <w:ilvl w:val="0"/>
          <w:numId w:val="3"/>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Točení hlavy, závratě nebo mdloby (</w:t>
      </w:r>
      <w:r w:rsidR="00FD11EA" w:rsidRPr="009B1A37">
        <w:rPr>
          <w:color w:val="000000"/>
          <w:sz w:val="22"/>
          <w:szCs w:val="22"/>
          <w:lang w:val="cs-CZ"/>
        </w:rPr>
        <w:t xml:space="preserve">známky </w:t>
      </w:r>
      <w:r w:rsidRPr="009B1A37">
        <w:rPr>
          <w:color w:val="000000"/>
          <w:sz w:val="22"/>
          <w:szCs w:val="22"/>
          <w:lang w:val="cs-CZ"/>
        </w:rPr>
        <w:t>nízkého krevního tlaku).</w:t>
      </w:r>
    </w:p>
    <w:p w14:paraId="180B536C" w14:textId="77777777" w:rsidR="00EA5993" w:rsidRPr="009B1A37" w:rsidRDefault="00FD11EA"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Nevolnost (p</w:t>
      </w:r>
      <w:r w:rsidR="00EA5993" w:rsidRPr="009B1A37">
        <w:rPr>
          <w:color w:val="000000"/>
          <w:sz w:val="22"/>
          <w:szCs w:val="22"/>
          <w:lang w:val="cs-CZ"/>
        </w:rPr>
        <w:t>ocit na zvracení</w:t>
      </w:r>
      <w:r w:rsidRPr="009B1A37">
        <w:rPr>
          <w:color w:val="000000"/>
          <w:sz w:val="22"/>
          <w:szCs w:val="22"/>
          <w:lang w:val="cs-CZ"/>
        </w:rPr>
        <w:t>)</w:t>
      </w:r>
      <w:r w:rsidR="00EA5993" w:rsidRPr="009B1A37">
        <w:rPr>
          <w:color w:val="000000"/>
          <w:sz w:val="22"/>
          <w:szCs w:val="22"/>
          <w:lang w:val="cs-CZ"/>
        </w:rPr>
        <w:t xml:space="preserve"> se ztrátou chuti k jídlu, tmavě zabarvená moč, žloutnutí kůže nebo očního bělma (</w:t>
      </w:r>
      <w:r w:rsidRPr="009B1A37">
        <w:rPr>
          <w:color w:val="000000"/>
          <w:sz w:val="22"/>
          <w:szCs w:val="22"/>
          <w:lang w:val="cs-CZ"/>
        </w:rPr>
        <w:t xml:space="preserve">známky </w:t>
      </w:r>
      <w:r w:rsidR="00EA5993" w:rsidRPr="009B1A37">
        <w:rPr>
          <w:color w:val="000000"/>
          <w:sz w:val="22"/>
          <w:szCs w:val="22"/>
          <w:lang w:val="cs-CZ"/>
        </w:rPr>
        <w:t>jaterních potíží).</w:t>
      </w:r>
    </w:p>
    <w:p w14:paraId="058C164D"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 xml:space="preserve">Vyrážka, červená kůže s puchýřky na rtech, očích, kůži nebo v ústech, olupování kůže, horečka, </w:t>
      </w:r>
      <w:r w:rsidR="00FD11EA" w:rsidRPr="009B1A37">
        <w:rPr>
          <w:color w:val="000000"/>
          <w:sz w:val="22"/>
          <w:szCs w:val="22"/>
          <w:lang w:val="cs-CZ"/>
        </w:rPr>
        <w:t>vystouplá červená</w:t>
      </w:r>
      <w:r w:rsidRPr="009B1A37">
        <w:rPr>
          <w:color w:val="000000"/>
          <w:sz w:val="22"/>
          <w:szCs w:val="22"/>
          <w:lang w:val="cs-CZ"/>
        </w:rPr>
        <w:t xml:space="preserve"> nebo nachová místa na kůži, svědění, pocit pálení, puchýřkovitá vyrážka (</w:t>
      </w:r>
      <w:r w:rsidR="00FD11EA" w:rsidRPr="009B1A37">
        <w:rPr>
          <w:color w:val="000000"/>
          <w:sz w:val="22"/>
          <w:szCs w:val="22"/>
          <w:lang w:val="cs-CZ"/>
        </w:rPr>
        <w:t xml:space="preserve">známky </w:t>
      </w:r>
      <w:r w:rsidRPr="009B1A37">
        <w:rPr>
          <w:color w:val="000000"/>
          <w:sz w:val="22"/>
          <w:szCs w:val="22"/>
          <w:lang w:val="cs-CZ"/>
        </w:rPr>
        <w:t>kožních potíží).</w:t>
      </w:r>
    </w:p>
    <w:p w14:paraId="6A40470F"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Siln</w:t>
      </w:r>
      <w:r w:rsidR="00FD11EA" w:rsidRPr="009B1A37">
        <w:rPr>
          <w:color w:val="000000"/>
          <w:sz w:val="22"/>
          <w:szCs w:val="22"/>
          <w:lang w:val="cs-CZ"/>
        </w:rPr>
        <w:t>á</w:t>
      </w:r>
      <w:r w:rsidRPr="009B1A37">
        <w:rPr>
          <w:color w:val="000000"/>
          <w:sz w:val="22"/>
          <w:szCs w:val="22"/>
          <w:lang w:val="cs-CZ"/>
        </w:rPr>
        <w:t xml:space="preserve"> bolest břicha, krev ve zvratcích, stolici nebo v moči, černá stolice (</w:t>
      </w:r>
      <w:r w:rsidR="00FD11EA" w:rsidRPr="009B1A37">
        <w:rPr>
          <w:color w:val="000000"/>
          <w:sz w:val="22"/>
          <w:szCs w:val="22"/>
          <w:lang w:val="cs-CZ"/>
        </w:rPr>
        <w:t>známky</w:t>
      </w:r>
      <w:r w:rsidRPr="009B1A37">
        <w:rPr>
          <w:color w:val="000000"/>
          <w:sz w:val="22"/>
          <w:szCs w:val="22"/>
          <w:lang w:val="cs-CZ"/>
        </w:rPr>
        <w:t xml:space="preserve"> potíží zažívacího traktu).</w:t>
      </w:r>
    </w:p>
    <w:p w14:paraId="3EF30867"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Závažný pokles výdeje moči, pocit žízně (</w:t>
      </w:r>
      <w:r w:rsidR="00FD11EA" w:rsidRPr="009B1A37">
        <w:rPr>
          <w:color w:val="000000"/>
          <w:sz w:val="22"/>
          <w:szCs w:val="22"/>
          <w:lang w:val="cs-CZ"/>
        </w:rPr>
        <w:t xml:space="preserve">známky </w:t>
      </w:r>
      <w:r w:rsidRPr="009B1A37">
        <w:rPr>
          <w:color w:val="000000"/>
          <w:sz w:val="22"/>
          <w:szCs w:val="22"/>
          <w:lang w:val="cs-CZ"/>
        </w:rPr>
        <w:t>potíží ledvin).</w:t>
      </w:r>
    </w:p>
    <w:p w14:paraId="0C963E39" w14:textId="77777777" w:rsidR="00EA5993" w:rsidRPr="009B1A37" w:rsidRDefault="00FD11EA"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Nevolnost</w:t>
      </w:r>
      <w:r w:rsidR="00EA5993" w:rsidRPr="009B1A37">
        <w:rPr>
          <w:color w:val="000000"/>
          <w:sz w:val="22"/>
          <w:szCs w:val="22"/>
          <w:lang w:val="cs-CZ"/>
        </w:rPr>
        <w:t xml:space="preserve"> (</w:t>
      </w:r>
      <w:r w:rsidRPr="009B1A37">
        <w:rPr>
          <w:color w:val="000000"/>
          <w:sz w:val="22"/>
          <w:szCs w:val="22"/>
          <w:lang w:val="cs-CZ"/>
        </w:rPr>
        <w:t>pocit na zvracení</w:t>
      </w:r>
      <w:r w:rsidR="00EA5993" w:rsidRPr="009B1A37">
        <w:rPr>
          <w:color w:val="000000"/>
          <w:sz w:val="22"/>
          <w:szCs w:val="22"/>
          <w:lang w:val="cs-CZ"/>
        </w:rPr>
        <w:t>) s průjmem a zvracením, bolest břicha nebo horečka (</w:t>
      </w:r>
      <w:r w:rsidRPr="009B1A37">
        <w:rPr>
          <w:color w:val="000000"/>
          <w:sz w:val="22"/>
          <w:szCs w:val="22"/>
          <w:lang w:val="cs-CZ"/>
        </w:rPr>
        <w:t>známky</w:t>
      </w:r>
      <w:r w:rsidR="00EA5993" w:rsidRPr="009B1A37">
        <w:rPr>
          <w:color w:val="000000"/>
          <w:sz w:val="22"/>
          <w:szCs w:val="22"/>
          <w:lang w:val="cs-CZ"/>
        </w:rPr>
        <w:t xml:space="preserve"> střevních potíží).</w:t>
      </w:r>
    </w:p>
    <w:p w14:paraId="7ADDCC46"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Siln</w:t>
      </w:r>
      <w:r w:rsidR="00FD11EA" w:rsidRPr="009B1A37">
        <w:rPr>
          <w:color w:val="000000"/>
          <w:sz w:val="22"/>
          <w:szCs w:val="22"/>
          <w:lang w:val="cs-CZ"/>
        </w:rPr>
        <w:t>á</w:t>
      </w:r>
      <w:r w:rsidRPr="009B1A37">
        <w:rPr>
          <w:color w:val="000000"/>
          <w:sz w:val="22"/>
          <w:szCs w:val="22"/>
          <w:lang w:val="cs-CZ"/>
        </w:rPr>
        <w:t xml:space="preserve"> bolest hlavy, slabost nebo ochr</w:t>
      </w:r>
      <w:r w:rsidR="00FD11EA" w:rsidRPr="009B1A37">
        <w:rPr>
          <w:color w:val="000000"/>
          <w:sz w:val="22"/>
          <w:szCs w:val="22"/>
          <w:lang w:val="cs-CZ"/>
        </w:rPr>
        <w:t>nutí</w:t>
      </w:r>
      <w:r w:rsidRPr="009B1A37">
        <w:rPr>
          <w:color w:val="000000"/>
          <w:sz w:val="22"/>
          <w:szCs w:val="22"/>
          <w:lang w:val="cs-CZ"/>
        </w:rPr>
        <w:t xml:space="preserve"> končetin nebo obličeje, potíže s mluvením, náhlá ztráta vědomí (</w:t>
      </w:r>
      <w:r w:rsidR="00FD11EA" w:rsidRPr="009B1A37">
        <w:rPr>
          <w:color w:val="000000"/>
          <w:sz w:val="22"/>
          <w:szCs w:val="22"/>
          <w:lang w:val="cs-CZ"/>
        </w:rPr>
        <w:t>známky</w:t>
      </w:r>
      <w:r w:rsidRPr="009B1A37">
        <w:rPr>
          <w:color w:val="000000"/>
          <w:sz w:val="22"/>
          <w:szCs w:val="22"/>
          <w:lang w:val="cs-CZ"/>
        </w:rPr>
        <w:t xml:space="preserve"> potíží nervového systému jako je krvácení nebo otoky uvnitř lebky/mozku).</w:t>
      </w:r>
    </w:p>
    <w:p w14:paraId="29F282C8"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Bledá kůže, pocit únavy a dušnost a tmavá moč (</w:t>
      </w:r>
      <w:r w:rsidR="00FD11EA" w:rsidRPr="009B1A37">
        <w:rPr>
          <w:color w:val="000000"/>
          <w:sz w:val="22"/>
          <w:szCs w:val="22"/>
          <w:lang w:val="cs-CZ"/>
        </w:rPr>
        <w:t>známky</w:t>
      </w:r>
      <w:r w:rsidRPr="009B1A37">
        <w:rPr>
          <w:color w:val="000000"/>
          <w:sz w:val="22"/>
          <w:szCs w:val="22"/>
          <w:lang w:val="cs-CZ"/>
        </w:rPr>
        <w:t xml:space="preserve"> </w:t>
      </w:r>
      <w:r w:rsidR="00FD11EA" w:rsidRPr="009B1A37">
        <w:rPr>
          <w:color w:val="000000"/>
          <w:sz w:val="22"/>
          <w:szCs w:val="22"/>
          <w:lang w:val="cs-CZ"/>
        </w:rPr>
        <w:t>nízkého</w:t>
      </w:r>
      <w:r w:rsidRPr="009B1A37">
        <w:rPr>
          <w:color w:val="000000"/>
          <w:sz w:val="22"/>
          <w:szCs w:val="22"/>
          <w:lang w:val="cs-CZ"/>
        </w:rPr>
        <w:t xml:space="preserve"> množství červených krvinek).</w:t>
      </w:r>
    </w:p>
    <w:p w14:paraId="578FF51E"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Bolest očí nebo zhoršené vidění, krvácení do očí.</w:t>
      </w:r>
    </w:p>
    <w:p w14:paraId="48BB5E28"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Bolest v</w:t>
      </w:r>
      <w:r w:rsidR="00FD11EA" w:rsidRPr="009B1A37">
        <w:rPr>
          <w:color w:val="000000"/>
          <w:sz w:val="22"/>
          <w:szCs w:val="22"/>
          <w:lang w:val="cs-CZ"/>
        </w:rPr>
        <w:t xml:space="preserve"> oblasti </w:t>
      </w:r>
      <w:r w:rsidRPr="009B1A37">
        <w:rPr>
          <w:color w:val="000000"/>
          <w:sz w:val="22"/>
          <w:szCs w:val="22"/>
          <w:lang w:val="cs-CZ"/>
        </w:rPr>
        <w:t>kyčlí nebo potíže při chůzi.</w:t>
      </w:r>
    </w:p>
    <w:p w14:paraId="571811B3"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Necitlivé nebo studené prsty na rukou i nohou (</w:t>
      </w:r>
      <w:r w:rsidR="00FD11EA" w:rsidRPr="009B1A37">
        <w:rPr>
          <w:color w:val="000000"/>
          <w:sz w:val="22"/>
          <w:szCs w:val="22"/>
          <w:lang w:val="cs-CZ"/>
        </w:rPr>
        <w:t>známky</w:t>
      </w:r>
      <w:r w:rsidRPr="009B1A37">
        <w:rPr>
          <w:color w:val="000000"/>
          <w:sz w:val="22"/>
          <w:szCs w:val="22"/>
          <w:lang w:val="cs-CZ"/>
        </w:rPr>
        <w:t xml:space="preserve"> Raynaudova syndromu).</w:t>
      </w:r>
    </w:p>
    <w:p w14:paraId="516BF2D1"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Náhlé otoky a zčervenání kůže (</w:t>
      </w:r>
      <w:r w:rsidR="00CF011C" w:rsidRPr="009B1A37">
        <w:rPr>
          <w:color w:val="000000"/>
          <w:sz w:val="22"/>
          <w:szCs w:val="22"/>
          <w:lang w:val="cs-CZ"/>
        </w:rPr>
        <w:t>známky</w:t>
      </w:r>
      <w:r w:rsidRPr="009B1A37">
        <w:rPr>
          <w:color w:val="000000"/>
          <w:sz w:val="22"/>
          <w:szCs w:val="22"/>
          <w:lang w:val="cs-CZ"/>
        </w:rPr>
        <w:t xml:space="preserve"> kožní infekce zvané celulitida).</w:t>
      </w:r>
    </w:p>
    <w:p w14:paraId="354F2041"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Potíže se sluchem.</w:t>
      </w:r>
    </w:p>
    <w:p w14:paraId="37953FC5"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Svalová slabost a svalové křeče s abnormálním srdečním rytmem (</w:t>
      </w:r>
      <w:r w:rsidR="00CF011C" w:rsidRPr="009B1A37">
        <w:rPr>
          <w:color w:val="000000"/>
          <w:sz w:val="22"/>
          <w:szCs w:val="22"/>
          <w:lang w:val="cs-CZ"/>
        </w:rPr>
        <w:t>známky</w:t>
      </w:r>
      <w:r w:rsidRPr="009B1A37">
        <w:rPr>
          <w:color w:val="000000"/>
          <w:sz w:val="22"/>
          <w:szCs w:val="22"/>
          <w:lang w:val="cs-CZ"/>
        </w:rPr>
        <w:t xml:space="preserve"> změn hladiny draslíku v krvi).</w:t>
      </w:r>
    </w:p>
    <w:p w14:paraId="73BC4074"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Podlitiny.</w:t>
      </w:r>
    </w:p>
    <w:p w14:paraId="1801A4D1"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 xml:space="preserve">Bolest </w:t>
      </w:r>
      <w:r w:rsidR="00CF011C" w:rsidRPr="009B1A37">
        <w:rPr>
          <w:color w:val="000000"/>
          <w:sz w:val="22"/>
          <w:szCs w:val="22"/>
          <w:lang w:val="cs-CZ"/>
        </w:rPr>
        <w:t xml:space="preserve">břicha </w:t>
      </w:r>
      <w:r w:rsidRPr="009B1A37">
        <w:rPr>
          <w:color w:val="000000"/>
          <w:sz w:val="22"/>
          <w:szCs w:val="22"/>
          <w:lang w:val="cs-CZ"/>
        </w:rPr>
        <w:t>s nevolnost</w:t>
      </w:r>
      <w:r w:rsidR="00CF011C" w:rsidRPr="009B1A37">
        <w:rPr>
          <w:color w:val="000000"/>
          <w:sz w:val="22"/>
          <w:szCs w:val="22"/>
          <w:lang w:val="cs-CZ"/>
        </w:rPr>
        <w:t>í</w:t>
      </w:r>
      <w:r w:rsidRPr="009B1A37">
        <w:rPr>
          <w:color w:val="000000"/>
          <w:sz w:val="22"/>
          <w:szCs w:val="22"/>
          <w:lang w:val="cs-CZ"/>
        </w:rPr>
        <w:t xml:space="preserve"> (</w:t>
      </w:r>
      <w:r w:rsidR="00CF011C" w:rsidRPr="009B1A37">
        <w:rPr>
          <w:color w:val="000000"/>
          <w:sz w:val="22"/>
          <w:szCs w:val="22"/>
          <w:lang w:val="cs-CZ"/>
        </w:rPr>
        <w:t>pocit na zvracení</w:t>
      </w:r>
      <w:r w:rsidRPr="009B1A37">
        <w:rPr>
          <w:color w:val="000000"/>
          <w:sz w:val="22"/>
          <w:szCs w:val="22"/>
          <w:lang w:val="cs-CZ"/>
        </w:rPr>
        <w:t>).</w:t>
      </w:r>
    </w:p>
    <w:p w14:paraId="121CB760"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 xml:space="preserve">Svalové křeče s horečkou, </w:t>
      </w:r>
      <w:r w:rsidR="00CF011C" w:rsidRPr="009B1A37">
        <w:rPr>
          <w:color w:val="000000"/>
          <w:sz w:val="22"/>
          <w:szCs w:val="22"/>
          <w:lang w:val="cs-CZ"/>
        </w:rPr>
        <w:t>červenohnědou</w:t>
      </w:r>
      <w:r w:rsidRPr="009B1A37">
        <w:rPr>
          <w:color w:val="000000"/>
          <w:sz w:val="22"/>
          <w:szCs w:val="22"/>
          <w:lang w:val="cs-CZ"/>
        </w:rPr>
        <w:t xml:space="preserve"> močí, bolestí svalů nebo svalovou ochablostí (</w:t>
      </w:r>
      <w:r w:rsidR="00CF011C" w:rsidRPr="009B1A37">
        <w:rPr>
          <w:color w:val="000000"/>
          <w:sz w:val="22"/>
          <w:szCs w:val="22"/>
          <w:lang w:val="cs-CZ"/>
        </w:rPr>
        <w:t>známky</w:t>
      </w:r>
      <w:r w:rsidRPr="009B1A37">
        <w:rPr>
          <w:color w:val="000000"/>
          <w:sz w:val="22"/>
          <w:szCs w:val="22"/>
          <w:lang w:val="cs-CZ"/>
        </w:rPr>
        <w:t xml:space="preserve"> svalových potíží).</w:t>
      </w:r>
    </w:p>
    <w:p w14:paraId="72B3A25B"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 xml:space="preserve">Bolest </w:t>
      </w:r>
      <w:r w:rsidR="00CF011C" w:rsidRPr="009B1A37">
        <w:rPr>
          <w:color w:val="000000"/>
          <w:sz w:val="22"/>
          <w:szCs w:val="22"/>
          <w:lang w:val="cs-CZ"/>
        </w:rPr>
        <w:t xml:space="preserve">v oblasti </w:t>
      </w:r>
      <w:r w:rsidRPr="009B1A37">
        <w:rPr>
          <w:color w:val="000000"/>
          <w:sz w:val="22"/>
          <w:szCs w:val="22"/>
          <w:lang w:val="cs-CZ"/>
        </w:rPr>
        <w:t xml:space="preserve">pánve někdy spojená s </w:t>
      </w:r>
      <w:r w:rsidR="00CF011C" w:rsidRPr="009B1A37">
        <w:rPr>
          <w:color w:val="000000"/>
          <w:sz w:val="22"/>
          <w:szCs w:val="22"/>
          <w:lang w:val="cs-CZ"/>
        </w:rPr>
        <w:t>pocitem na zvracení</w:t>
      </w:r>
      <w:r w:rsidRPr="009B1A37">
        <w:rPr>
          <w:color w:val="000000"/>
          <w:sz w:val="22"/>
          <w:szCs w:val="22"/>
          <w:lang w:val="cs-CZ"/>
        </w:rPr>
        <w:t xml:space="preserve"> a zvracením, s neočekávaným vaginálním (poševním) krvácením, pocit závrati,</w:t>
      </w:r>
      <w:r w:rsidR="00A12785" w:rsidRPr="009B1A37">
        <w:rPr>
          <w:color w:val="000000"/>
          <w:sz w:val="22"/>
          <w:szCs w:val="22"/>
          <w:lang w:val="cs-CZ"/>
        </w:rPr>
        <w:t xml:space="preserve"> </w:t>
      </w:r>
      <w:r w:rsidRPr="009B1A37">
        <w:rPr>
          <w:color w:val="000000"/>
          <w:sz w:val="22"/>
          <w:szCs w:val="22"/>
          <w:lang w:val="cs-CZ"/>
        </w:rPr>
        <w:t>nebo mdloby z důvodu nízkého krevního tlaku (</w:t>
      </w:r>
      <w:r w:rsidR="00CF011C" w:rsidRPr="009B1A37">
        <w:rPr>
          <w:color w:val="000000"/>
          <w:sz w:val="22"/>
          <w:szCs w:val="22"/>
          <w:lang w:val="cs-CZ"/>
        </w:rPr>
        <w:t>známky</w:t>
      </w:r>
      <w:r w:rsidRPr="009B1A37">
        <w:rPr>
          <w:color w:val="000000"/>
          <w:sz w:val="22"/>
          <w:szCs w:val="22"/>
          <w:lang w:val="cs-CZ"/>
        </w:rPr>
        <w:t xml:space="preserve"> potíží</w:t>
      </w:r>
      <w:r w:rsidR="00CF011C" w:rsidRPr="009B1A37">
        <w:rPr>
          <w:color w:val="000000"/>
          <w:sz w:val="22"/>
          <w:szCs w:val="22"/>
          <w:lang w:val="cs-CZ"/>
        </w:rPr>
        <w:t xml:space="preserve"> s </w:t>
      </w:r>
      <w:r w:rsidRPr="009B1A37">
        <w:rPr>
          <w:color w:val="000000"/>
          <w:sz w:val="22"/>
          <w:szCs w:val="22"/>
          <w:lang w:val="cs-CZ"/>
        </w:rPr>
        <w:t>vaječník</w:t>
      </w:r>
      <w:r w:rsidR="00CF011C" w:rsidRPr="009B1A37">
        <w:rPr>
          <w:color w:val="000000"/>
          <w:sz w:val="22"/>
          <w:szCs w:val="22"/>
          <w:lang w:val="cs-CZ"/>
        </w:rPr>
        <w:t>y</w:t>
      </w:r>
      <w:r w:rsidRPr="009B1A37">
        <w:rPr>
          <w:color w:val="000000"/>
          <w:sz w:val="22"/>
          <w:szCs w:val="22"/>
          <w:lang w:val="cs-CZ"/>
        </w:rPr>
        <w:t xml:space="preserve"> nebo děloh</w:t>
      </w:r>
      <w:r w:rsidR="00CF011C" w:rsidRPr="009B1A37">
        <w:rPr>
          <w:color w:val="000000"/>
          <w:sz w:val="22"/>
          <w:szCs w:val="22"/>
          <w:lang w:val="cs-CZ"/>
        </w:rPr>
        <w:t>ou</w:t>
      </w:r>
      <w:r w:rsidRPr="009B1A37">
        <w:rPr>
          <w:color w:val="000000"/>
          <w:sz w:val="22"/>
          <w:szCs w:val="22"/>
          <w:lang w:val="cs-CZ"/>
        </w:rPr>
        <w:t>).</w:t>
      </w:r>
    </w:p>
    <w:p w14:paraId="70687E02" w14:textId="77777777" w:rsidR="00EA5993" w:rsidRPr="009B1A37" w:rsidRDefault="00CF011C"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Pocit na zvracení, dušnost</w:t>
      </w:r>
      <w:r w:rsidR="00EA5993" w:rsidRPr="009B1A37">
        <w:rPr>
          <w:color w:val="000000"/>
          <w:sz w:val="22"/>
          <w:szCs w:val="22"/>
          <w:lang w:val="cs-CZ"/>
        </w:rPr>
        <w:t xml:space="preserve">, nepravidelný srdeční tep, zakalená moč, únava a/nebo kloubní potíže spojené s neobvyklými výsledky laboratorních testů (např. vysoká hladina draslíku, kyseliny močové a </w:t>
      </w:r>
      <w:r w:rsidR="000E57B2" w:rsidRPr="009B1A37">
        <w:rPr>
          <w:color w:val="000000"/>
          <w:sz w:val="22"/>
          <w:szCs w:val="22"/>
          <w:lang w:val="cs-CZ"/>
        </w:rPr>
        <w:t>vápníku</w:t>
      </w:r>
      <w:r w:rsidR="00EA5993" w:rsidRPr="009B1A37">
        <w:rPr>
          <w:color w:val="000000"/>
          <w:sz w:val="22"/>
          <w:szCs w:val="22"/>
          <w:lang w:val="cs-CZ"/>
        </w:rPr>
        <w:t xml:space="preserve"> a nízké hladiny </w:t>
      </w:r>
      <w:r w:rsidR="000E57B2" w:rsidRPr="009B1A37">
        <w:rPr>
          <w:color w:val="000000"/>
          <w:sz w:val="22"/>
          <w:szCs w:val="22"/>
          <w:lang w:val="cs-CZ"/>
        </w:rPr>
        <w:t>fosforu</w:t>
      </w:r>
      <w:r w:rsidR="00EA5993" w:rsidRPr="009B1A37">
        <w:rPr>
          <w:color w:val="000000"/>
          <w:sz w:val="22"/>
          <w:szCs w:val="22"/>
          <w:lang w:val="cs-CZ"/>
        </w:rPr>
        <w:t xml:space="preserve"> v krvi).</w:t>
      </w:r>
    </w:p>
    <w:p w14:paraId="73B703CA" w14:textId="77777777" w:rsidR="00C026B3" w:rsidRPr="009B1A37" w:rsidRDefault="00C026B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Krevní sraženiny v malých cévách (trombotická mikroangiopatie).</w:t>
      </w:r>
    </w:p>
    <w:p w14:paraId="4F196055" w14:textId="77777777" w:rsidR="004B719A" w:rsidRPr="009B1A37" w:rsidRDefault="004B719A" w:rsidP="00BE3D48">
      <w:pPr>
        <w:pStyle w:val="Text"/>
        <w:widowControl w:val="0"/>
        <w:spacing w:before="0"/>
        <w:jc w:val="left"/>
        <w:rPr>
          <w:color w:val="000000"/>
          <w:sz w:val="22"/>
          <w:szCs w:val="22"/>
          <w:lang w:val="cs-CZ"/>
        </w:rPr>
      </w:pPr>
    </w:p>
    <w:p w14:paraId="1B9171C6" w14:textId="77777777" w:rsidR="004B719A" w:rsidRPr="009B1A37" w:rsidRDefault="004B719A" w:rsidP="00BE3D48">
      <w:pPr>
        <w:pStyle w:val="Text"/>
        <w:keepNext/>
        <w:widowControl w:val="0"/>
        <w:spacing w:before="0"/>
        <w:jc w:val="left"/>
        <w:rPr>
          <w:color w:val="000000"/>
          <w:sz w:val="22"/>
          <w:szCs w:val="22"/>
          <w:lang w:val="cs-CZ"/>
        </w:rPr>
      </w:pPr>
      <w:r w:rsidRPr="009B1A37">
        <w:rPr>
          <w:b/>
          <w:color w:val="000000"/>
          <w:sz w:val="22"/>
          <w:szCs w:val="22"/>
          <w:lang w:val="cs-CZ"/>
        </w:rPr>
        <w:t>Není známo</w:t>
      </w:r>
      <w:r w:rsidR="000E57B2" w:rsidRPr="009B1A37">
        <w:rPr>
          <w:b/>
          <w:bCs/>
          <w:color w:val="000000"/>
          <w:sz w:val="22"/>
          <w:szCs w:val="22"/>
          <w:lang w:val="cs-CZ"/>
        </w:rPr>
        <w:t xml:space="preserve"> </w:t>
      </w:r>
      <w:r w:rsidR="000E57B2" w:rsidRPr="009B1A37">
        <w:rPr>
          <w:color w:val="000000"/>
          <w:sz w:val="22"/>
          <w:szCs w:val="22"/>
          <w:lang w:val="cs-CZ"/>
        </w:rPr>
        <w:t xml:space="preserve">(četnost </w:t>
      </w:r>
      <w:r w:rsidR="000E57B2" w:rsidRPr="009B1A37">
        <w:rPr>
          <w:sz w:val="22"/>
          <w:szCs w:val="22"/>
          <w:lang w:val="cs-CZ" w:eastAsia="zh-CN"/>
        </w:rPr>
        <w:t>z dostupných údajů nelze určit</w:t>
      </w:r>
      <w:r w:rsidR="000E57B2" w:rsidRPr="009B1A37">
        <w:rPr>
          <w:color w:val="000000"/>
          <w:sz w:val="22"/>
          <w:szCs w:val="22"/>
          <w:lang w:val="cs-CZ"/>
        </w:rPr>
        <w:t>)</w:t>
      </w:r>
      <w:r w:rsidRPr="009B1A37">
        <w:rPr>
          <w:color w:val="000000"/>
          <w:sz w:val="22"/>
          <w:szCs w:val="22"/>
          <w:lang w:val="cs-CZ"/>
        </w:rPr>
        <w:t>:</w:t>
      </w:r>
    </w:p>
    <w:p w14:paraId="35C68B0D" w14:textId="77777777" w:rsidR="004B719A" w:rsidRPr="009B1A37" w:rsidRDefault="004B719A" w:rsidP="00BE3D48">
      <w:pPr>
        <w:pStyle w:val="Text"/>
        <w:widowControl w:val="0"/>
        <w:numPr>
          <w:ilvl w:val="0"/>
          <w:numId w:val="30"/>
        </w:numPr>
        <w:tabs>
          <w:tab w:val="clear" w:pos="357"/>
          <w:tab w:val="clear" w:pos="567"/>
        </w:tabs>
        <w:suppressAutoHyphens w:val="0"/>
        <w:spacing w:before="0"/>
        <w:ind w:left="567" w:hanging="567"/>
        <w:jc w:val="left"/>
        <w:rPr>
          <w:sz w:val="22"/>
          <w:szCs w:val="22"/>
          <w:lang w:val="cs-CZ"/>
        </w:rPr>
      </w:pPr>
      <w:r w:rsidRPr="009B1A37">
        <w:rPr>
          <w:sz w:val="22"/>
          <w:szCs w:val="22"/>
          <w:lang w:val="cs-CZ"/>
        </w:rPr>
        <w:t>Kombinace závažné rozsáhlé vyrážky, pocitu nevolnosti, horečky, vysokého počtu určitého typu bílých krvinek či žlutá barva kůže nebo očí (</w:t>
      </w:r>
      <w:r w:rsidR="00562314" w:rsidRPr="009B1A37">
        <w:rPr>
          <w:color w:val="000000"/>
          <w:sz w:val="22"/>
          <w:szCs w:val="22"/>
          <w:lang w:val="cs-CZ"/>
        </w:rPr>
        <w:t>známky</w:t>
      </w:r>
      <w:r w:rsidRPr="009B1A37">
        <w:rPr>
          <w:sz w:val="22"/>
          <w:szCs w:val="22"/>
          <w:lang w:val="cs-CZ"/>
        </w:rPr>
        <w:t xml:space="preserve"> žloutenky) s dušností, bolestí/nepříjemným pocitem na hrudi, výrazným snížením objemu moči a pocitem žízně atd. </w:t>
      </w:r>
      <w:r w:rsidRPr="009B1A37">
        <w:rPr>
          <w:color w:val="000000"/>
          <w:sz w:val="22"/>
          <w:szCs w:val="22"/>
          <w:lang w:val="cs-CZ"/>
        </w:rPr>
        <w:t>(</w:t>
      </w:r>
      <w:r w:rsidR="00562314" w:rsidRPr="009B1A37">
        <w:rPr>
          <w:color w:val="000000"/>
          <w:sz w:val="22"/>
          <w:szCs w:val="22"/>
          <w:lang w:val="cs-CZ"/>
        </w:rPr>
        <w:t>známky</w:t>
      </w:r>
      <w:r w:rsidRPr="009B1A37">
        <w:rPr>
          <w:sz w:val="22"/>
          <w:szCs w:val="22"/>
          <w:lang w:val="cs-CZ"/>
        </w:rPr>
        <w:t xml:space="preserve"> alergické reakce spojené s léčbou).</w:t>
      </w:r>
    </w:p>
    <w:p w14:paraId="1CD14E90" w14:textId="77777777" w:rsidR="0039076B" w:rsidRPr="009B1A37" w:rsidRDefault="0039076B" w:rsidP="00BE3D48">
      <w:pPr>
        <w:pStyle w:val="Text"/>
        <w:keepNext/>
        <w:widowControl w:val="0"/>
        <w:numPr>
          <w:ilvl w:val="0"/>
          <w:numId w:val="30"/>
        </w:numPr>
        <w:tabs>
          <w:tab w:val="clear" w:pos="357"/>
          <w:tab w:val="clear" w:pos="567"/>
        </w:tabs>
        <w:suppressAutoHyphens w:val="0"/>
        <w:spacing w:before="0"/>
        <w:ind w:left="567" w:hanging="567"/>
        <w:jc w:val="left"/>
        <w:rPr>
          <w:sz w:val="22"/>
          <w:szCs w:val="22"/>
          <w:lang w:val="cs-CZ"/>
        </w:rPr>
      </w:pPr>
      <w:r w:rsidRPr="009B1A37">
        <w:rPr>
          <w:sz w:val="22"/>
          <w:szCs w:val="22"/>
          <w:lang w:val="cs-CZ"/>
        </w:rPr>
        <w:t>Chronické selhání ledvin.</w:t>
      </w:r>
    </w:p>
    <w:p w14:paraId="24BF9FD0" w14:textId="77777777" w:rsidR="004A788B" w:rsidRPr="009B1A37" w:rsidRDefault="004A788B" w:rsidP="00BE3D48">
      <w:pPr>
        <w:pStyle w:val="Text"/>
        <w:keepNext/>
        <w:widowControl w:val="0"/>
        <w:numPr>
          <w:ilvl w:val="0"/>
          <w:numId w:val="34"/>
        </w:numPr>
        <w:tabs>
          <w:tab w:val="clear" w:pos="567"/>
        </w:tabs>
        <w:suppressAutoHyphens w:val="0"/>
        <w:spacing w:before="0"/>
        <w:ind w:left="567" w:hanging="567"/>
        <w:jc w:val="left"/>
        <w:rPr>
          <w:sz w:val="22"/>
          <w:szCs w:val="22"/>
          <w:lang w:val="cs-CZ"/>
        </w:rPr>
      </w:pPr>
      <w:r w:rsidRPr="009B1A37">
        <w:rPr>
          <w:sz w:val="22"/>
          <w:szCs w:val="22"/>
          <w:lang w:val="cs-CZ"/>
        </w:rPr>
        <w:t>Recidiva (reaktivace) hepatitidy B, pokud jste v minulosti měl(a) toto onemocnění (infekce jater).</w:t>
      </w:r>
    </w:p>
    <w:p w14:paraId="6662BC90" w14:textId="77777777" w:rsidR="004B719A" w:rsidRPr="009B1A37" w:rsidRDefault="004B719A" w:rsidP="00BE3D48">
      <w:pPr>
        <w:pStyle w:val="Text"/>
        <w:keepNext/>
        <w:widowControl w:val="0"/>
        <w:tabs>
          <w:tab w:val="clear" w:pos="567"/>
        </w:tabs>
        <w:suppressAutoHyphens w:val="0"/>
        <w:spacing w:before="0"/>
        <w:jc w:val="left"/>
        <w:rPr>
          <w:color w:val="000000"/>
          <w:sz w:val="22"/>
          <w:szCs w:val="22"/>
          <w:lang w:val="cs-CZ"/>
        </w:rPr>
      </w:pPr>
    </w:p>
    <w:p w14:paraId="74E8BD85" w14:textId="77777777" w:rsidR="00EA5993" w:rsidRPr="009B1A37" w:rsidRDefault="00EA5993" w:rsidP="00BE3D48">
      <w:pPr>
        <w:pStyle w:val="Text"/>
        <w:widowControl w:val="0"/>
        <w:spacing w:before="0"/>
        <w:jc w:val="left"/>
        <w:rPr>
          <w:b/>
          <w:bCs/>
          <w:color w:val="000000"/>
          <w:sz w:val="22"/>
          <w:szCs w:val="22"/>
          <w:lang w:val="cs-CZ"/>
        </w:rPr>
      </w:pPr>
      <w:r w:rsidRPr="009B1A37">
        <w:rPr>
          <w:color w:val="000000"/>
          <w:sz w:val="22"/>
          <w:szCs w:val="22"/>
          <w:lang w:val="cs-CZ"/>
        </w:rPr>
        <w:t xml:space="preserve">Pokud se u Vás projeví jakýkoli z výše uvedených nežádoucích účinků, </w:t>
      </w:r>
      <w:r w:rsidRPr="009B1A37">
        <w:rPr>
          <w:b/>
          <w:bCs/>
          <w:color w:val="000000"/>
          <w:sz w:val="22"/>
          <w:szCs w:val="22"/>
          <w:lang w:val="cs-CZ"/>
        </w:rPr>
        <w:t>oznamte to okamžitě svému lékaři.</w:t>
      </w:r>
    </w:p>
    <w:p w14:paraId="1FBB9606" w14:textId="77777777" w:rsidR="00EA5993" w:rsidRPr="009B1A37" w:rsidRDefault="00EA5993" w:rsidP="00BE3D48">
      <w:pPr>
        <w:pStyle w:val="Text"/>
        <w:widowControl w:val="0"/>
        <w:spacing w:before="0"/>
        <w:jc w:val="left"/>
        <w:rPr>
          <w:color w:val="000000"/>
          <w:sz w:val="22"/>
          <w:szCs w:val="22"/>
          <w:lang w:val="cs-CZ"/>
        </w:rPr>
      </w:pPr>
    </w:p>
    <w:p w14:paraId="7A771DA5" w14:textId="77777777" w:rsidR="00EA5993" w:rsidRPr="009B1A37" w:rsidRDefault="00EA5993" w:rsidP="00BE3D48">
      <w:pPr>
        <w:pStyle w:val="Text"/>
        <w:keepNext/>
        <w:widowControl w:val="0"/>
        <w:spacing w:before="0"/>
        <w:jc w:val="left"/>
        <w:rPr>
          <w:b/>
          <w:bCs/>
          <w:color w:val="000000"/>
          <w:sz w:val="22"/>
          <w:szCs w:val="22"/>
          <w:lang w:val="cs-CZ"/>
        </w:rPr>
      </w:pPr>
      <w:r w:rsidRPr="009B1A37">
        <w:rPr>
          <w:b/>
          <w:bCs/>
          <w:color w:val="000000"/>
          <w:sz w:val="22"/>
          <w:szCs w:val="22"/>
          <w:lang w:val="cs-CZ"/>
        </w:rPr>
        <w:t>Jiné nežádoucí účinky mohou zahrnovat:</w:t>
      </w:r>
    </w:p>
    <w:p w14:paraId="46B94F5B" w14:textId="77777777" w:rsidR="00EA5993" w:rsidRPr="009B1A37" w:rsidRDefault="00EA5993" w:rsidP="00BE3D48">
      <w:pPr>
        <w:pStyle w:val="Text"/>
        <w:keepNext/>
        <w:widowControl w:val="0"/>
        <w:spacing w:before="0"/>
        <w:jc w:val="left"/>
        <w:rPr>
          <w:color w:val="000000"/>
          <w:sz w:val="22"/>
          <w:szCs w:val="22"/>
          <w:lang w:val="cs-CZ"/>
        </w:rPr>
      </w:pPr>
    </w:p>
    <w:p w14:paraId="4E263F2F" w14:textId="77777777" w:rsidR="00EA5993" w:rsidRPr="009B1A37" w:rsidRDefault="00EA5993" w:rsidP="00BE3D48">
      <w:pPr>
        <w:pStyle w:val="Text"/>
        <w:keepNext/>
        <w:widowControl w:val="0"/>
        <w:spacing w:before="0"/>
        <w:jc w:val="left"/>
        <w:rPr>
          <w:bCs/>
          <w:color w:val="000000"/>
          <w:sz w:val="22"/>
          <w:szCs w:val="22"/>
          <w:lang w:val="cs-CZ"/>
        </w:rPr>
      </w:pPr>
      <w:r w:rsidRPr="009B1A37">
        <w:rPr>
          <w:b/>
          <w:bCs/>
          <w:color w:val="000000"/>
          <w:sz w:val="22"/>
          <w:szCs w:val="22"/>
          <w:lang w:val="cs-CZ"/>
        </w:rPr>
        <w:t xml:space="preserve">Velmi časté </w:t>
      </w:r>
      <w:r w:rsidRPr="009B1A37">
        <w:rPr>
          <w:bCs/>
          <w:color w:val="000000"/>
          <w:sz w:val="22"/>
          <w:szCs w:val="22"/>
          <w:lang w:val="cs-CZ"/>
        </w:rPr>
        <w:t>(mohou postihnout více než 1 z 10 lidí):</w:t>
      </w:r>
    </w:p>
    <w:p w14:paraId="2C52C1D8" w14:textId="77777777" w:rsidR="00EA5993" w:rsidRPr="009B1A37" w:rsidRDefault="00EA5993" w:rsidP="00BE3D48">
      <w:pPr>
        <w:pStyle w:val="Text"/>
        <w:widowControl w:val="0"/>
        <w:numPr>
          <w:ilvl w:val="0"/>
          <w:numId w:val="17"/>
        </w:numPr>
        <w:spacing w:before="0"/>
        <w:ind w:hanging="720"/>
        <w:jc w:val="left"/>
        <w:rPr>
          <w:color w:val="000000"/>
          <w:sz w:val="22"/>
          <w:szCs w:val="22"/>
          <w:lang w:val="cs-CZ"/>
        </w:rPr>
      </w:pPr>
      <w:r w:rsidRPr="009B1A37">
        <w:rPr>
          <w:color w:val="000000"/>
          <w:sz w:val="22"/>
          <w:szCs w:val="22"/>
          <w:lang w:val="cs-CZ"/>
        </w:rPr>
        <w:t>Bolest hlavy nebo pocit únavy.</w:t>
      </w:r>
    </w:p>
    <w:p w14:paraId="7DE35827" w14:textId="77777777" w:rsidR="00EA5993" w:rsidRPr="009B1A37" w:rsidRDefault="00562314" w:rsidP="00BE3D48">
      <w:pPr>
        <w:pStyle w:val="Text"/>
        <w:widowControl w:val="0"/>
        <w:numPr>
          <w:ilvl w:val="0"/>
          <w:numId w:val="17"/>
        </w:numPr>
        <w:spacing w:before="0"/>
        <w:ind w:hanging="720"/>
        <w:jc w:val="left"/>
        <w:rPr>
          <w:color w:val="000000"/>
          <w:sz w:val="22"/>
          <w:szCs w:val="22"/>
          <w:lang w:val="cs-CZ"/>
        </w:rPr>
      </w:pPr>
      <w:r w:rsidRPr="009B1A37">
        <w:rPr>
          <w:color w:val="000000"/>
          <w:sz w:val="22"/>
          <w:szCs w:val="22"/>
          <w:lang w:val="cs-CZ"/>
        </w:rPr>
        <w:t>N</w:t>
      </w:r>
      <w:r w:rsidR="00EA5993" w:rsidRPr="009B1A37">
        <w:rPr>
          <w:color w:val="000000"/>
          <w:sz w:val="22"/>
          <w:szCs w:val="22"/>
          <w:lang w:val="cs-CZ"/>
        </w:rPr>
        <w:t>evolnost (</w:t>
      </w:r>
      <w:r w:rsidRPr="009B1A37">
        <w:rPr>
          <w:color w:val="000000"/>
          <w:sz w:val="22"/>
          <w:szCs w:val="22"/>
          <w:lang w:val="cs-CZ"/>
        </w:rPr>
        <w:t>pocit na zvracení</w:t>
      </w:r>
      <w:r w:rsidR="00EA5993" w:rsidRPr="009B1A37">
        <w:rPr>
          <w:color w:val="000000"/>
          <w:sz w:val="22"/>
          <w:szCs w:val="22"/>
          <w:lang w:val="cs-CZ"/>
        </w:rPr>
        <w:t>), zvracení, průjem nebo porucha zažívání.</w:t>
      </w:r>
    </w:p>
    <w:p w14:paraId="15B9C476" w14:textId="77777777" w:rsidR="00EA5993" w:rsidRPr="009B1A37" w:rsidRDefault="00EA5993" w:rsidP="00BE3D48">
      <w:pPr>
        <w:pStyle w:val="Text"/>
        <w:widowControl w:val="0"/>
        <w:numPr>
          <w:ilvl w:val="0"/>
          <w:numId w:val="17"/>
        </w:numPr>
        <w:spacing w:before="0"/>
        <w:ind w:hanging="720"/>
        <w:jc w:val="left"/>
        <w:rPr>
          <w:color w:val="000000"/>
          <w:sz w:val="22"/>
          <w:szCs w:val="22"/>
          <w:lang w:val="cs-CZ"/>
        </w:rPr>
      </w:pPr>
      <w:r w:rsidRPr="009B1A37">
        <w:rPr>
          <w:color w:val="000000"/>
          <w:sz w:val="22"/>
          <w:szCs w:val="22"/>
          <w:lang w:val="cs-CZ"/>
        </w:rPr>
        <w:t>Vyrážka.</w:t>
      </w:r>
    </w:p>
    <w:p w14:paraId="12B292C0" w14:textId="77777777" w:rsidR="00EA5993" w:rsidRPr="009B1A37" w:rsidRDefault="00EA5993" w:rsidP="00BE3D48">
      <w:pPr>
        <w:pStyle w:val="Text"/>
        <w:widowControl w:val="0"/>
        <w:numPr>
          <w:ilvl w:val="0"/>
          <w:numId w:val="17"/>
        </w:numPr>
        <w:tabs>
          <w:tab w:val="clear" w:pos="567"/>
          <w:tab w:val="clear" w:pos="720"/>
        </w:tabs>
        <w:spacing w:before="0"/>
        <w:ind w:left="567" w:hanging="567"/>
        <w:jc w:val="left"/>
        <w:rPr>
          <w:color w:val="000000"/>
          <w:sz w:val="22"/>
          <w:szCs w:val="22"/>
          <w:lang w:val="cs-CZ"/>
        </w:rPr>
      </w:pPr>
      <w:r w:rsidRPr="009B1A37">
        <w:rPr>
          <w:color w:val="000000"/>
          <w:sz w:val="22"/>
          <w:szCs w:val="22"/>
          <w:lang w:val="cs-CZ"/>
        </w:rPr>
        <w:t>Svalové křeče nebo bolest kloubů, svalů a kostí</w:t>
      </w:r>
      <w:r w:rsidR="008532EF" w:rsidRPr="009B1A37">
        <w:rPr>
          <w:color w:val="000000"/>
          <w:sz w:val="22"/>
          <w:szCs w:val="22"/>
          <w:lang w:val="cs-CZ"/>
        </w:rPr>
        <w:t xml:space="preserve"> během užívání přípravku Glivec nebo po ukončení léčby.</w:t>
      </w:r>
    </w:p>
    <w:p w14:paraId="67B485D9" w14:textId="77777777" w:rsidR="00EA5993" w:rsidRPr="009B1A37" w:rsidRDefault="00EA5993" w:rsidP="00BE3D48">
      <w:pPr>
        <w:pStyle w:val="Text"/>
        <w:widowControl w:val="0"/>
        <w:numPr>
          <w:ilvl w:val="0"/>
          <w:numId w:val="17"/>
        </w:numPr>
        <w:spacing w:before="0"/>
        <w:ind w:hanging="720"/>
        <w:jc w:val="left"/>
        <w:rPr>
          <w:color w:val="000000"/>
          <w:sz w:val="22"/>
          <w:szCs w:val="22"/>
          <w:lang w:val="cs-CZ"/>
        </w:rPr>
      </w:pPr>
      <w:r w:rsidRPr="009B1A37">
        <w:rPr>
          <w:color w:val="000000"/>
          <w:sz w:val="22"/>
          <w:szCs w:val="22"/>
          <w:lang w:val="cs-CZ"/>
        </w:rPr>
        <w:t>Otoky, jako např. otoky kolem kotníků nebo oteklé oči.</w:t>
      </w:r>
    </w:p>
    <w:p w14:paraId="137FB538" w14:textId="77777777" w:rsidR="00EA5993" w:rsidRPr="009B1A37" w:rsidRDefault="00EA5993" w:rsidP="00182086">
      <w:pPr>
        <w:pStyle w:val="Text"/>
        <w:keepNext/>
        <w:widowControl w:val="0"/>
        <w:numPr>
          <w:ilvl w:val="0"/>
          <w:numId w:val="17"/>
        </w:numPr>
        <w:spacing w:before="0"/>
        <w:ind w:hanging="720"/>
        <w:jc w:val="left"/>
        <w:rPr>
          <w:color w:val="000000"/>
          <w:sz w:val="22"/>
          <w:szCs w:val="22"/>
          <w:lang w:val="cs-CZ"/>
        </w:rPr>
      </w:pPr>
      <w:r w:rsidRPr="009B1A37">
        <w:rPr>
          <w:color w:val="000000"/>
          <w:sz w:val="22"/>
          <w:szCs w:val="22"/>
          <w:lang w:val="cs-CZ"/>
        </w:rPr>
        <w:t xml:space="preserve">Zvýšení </w:t>
      </w:r>
      <w:r w:rsidR="00562314" w:rsidRPr="009B1A37">
        <w:rPr>
          <w:color w:val="000000"/>
          <w:sz w:val="22"/>
          <w:szCs w:val="22"/>
          <w:lang w:val="cs-CZ"/>
        </w:rPr>
        <w:t xml:space="preserve">tělesné </w:t>
      </w:r>
      <w:r w:rsidRPr="009B1A37">
        <w:rPr>
          <w:color w:val="000000"/>
          <w:sz w:val="22"/>
          <w:szCs w:val="22"/>
          <w:lang w:val="cs-CZ"/>
        </w:rPr>
        <w:t>hmotnosti.</w:t>
      </w:r>
    </w:p>
    <w:p w14:paraId="2557E197" w14:textId="77777777" w:rsidR="00562314" w:rsidRPr="009B1A37" w:rsidRDefault="00562314" w:rsidP="00BE3D48">
      <w:pPr>
        <w:pStyle w:val="Text"/>
        <w:widowControl w:val="0"/>
        <w:spacing w:before="0"/>
        <w:jc w:val="left"/>
        <w:rPr>
          <w:color w:val="000000"/>
          <w:sz w:val="22"/>
          <w:szCs w:val="22"/>
          <w:lang w:val="cs-CZ"/>
        </w:rPr>
      </w:pPr>
      <w:r w:rsidRPr="009B1A37">
        <w:rPr>
          <w:color w:val="000000"/>
          <w:sz w:val="22"/>
          <w:szCs w:val="22"/>
          <w:lang w:val="cs-CZ"/>
        </w:rPr>
        <w:t xml:space="preserve">Pokud se kterýkoli z těchto nežádoucích účinků objeví v závažné formě, </w:t>
      </w:r>
      <w:r w:rsidRPr="009B1A37">
        <w:rPr>
          <w:b/>
          <w:color w:val="000000"/>
          <w:sz w:val="22"/>
          <w:szCs w:val="22"/>
          <w:lang w:val="cs-CZ"/>
        </w:rPr>
        <w:t>oznamte to svému lékaři</w:t>
      </w:r>
      <w:r w:rsidRPr="009B1A37">
        <w:rPr>
          <w:color w:val="000000"/>
          <w:sz w:val="22"/>
          <w:szCs w:val="22"/>
          <w:lang w:val="cs-CZ"/>
        </w:rPr>
        <w:t>.</w:t>
      </w:r>
    </w:p>
    <w:p w14:paraId="377612D5" w14:textId="77777777" w:rsidR="00EA5993" w:rsidRPr="009B1A37" w:rsidRDefault="00EA5993" w:rsidP="00BE3D48">
      <w:pPr>
        <w:pStyle w:val="Text"/>
        <w:widowControl w:val="0"/>
        <w:spacing w:before="0"/>
        <w:jc w:val="left"/>
        <w:rPr>
          <w:color w:val="000000"/>
          <w:sz w:val="22"/>
          <w:szCs w:val="22"/>
          <w:lang w:val="cs-CZ"/>
        </w:rPr>
      </w:pPr>
    </w:p>
    <w:p w14:paraId="47BD38F7" w14:textId="77777777" w:rsidR="00EA5993" w:rsidRPr="009B1A37" w:rsidRDefault="00EA5993" w:rsidP="00BE3D48">
      <w:pPr>
        <w:pStyle w:val="Text"/>
        <w:keepNext/>
        <w:widowControl w:val="0"/>
        <w:spacing w:before="0"/>
        <w:jc w:val="left"/>
        <w:rPr>
          <w:color w:val="000000"/>
          <w:sz w:val="22"/>
          <w:szCs w:val="22"/>
          <w:lang w:val="cs-CZ"/>
        </w:rPr>
      </w:pPr>
      <w:r w:rsidRPr="009B1A37">
        <w:rPr>
          <w:b/>
          <w:bCs/>
          <w:color w:val="000000"/>
          <w:sz w:val="22"/>
          <w:szCs w:val="22"/>
          <w:lang w:val="cs-CZ"/>
        </w:rPr>
        <w:t xml:space="preserve">Časté </w:t>
      </w:r>
      <w:r w:rsidRPr="009B1A37">
        <w:rPr>
          <w:bCs/>
          <w:color w:val="000000"/>
          <w:sz w:val="22"/>
          <w:szCs w:val="22"/>
          <w:lang w:val="cs-CZ"/>
        </w:rPr>
        <w:t>(mohou postihnout až 1 z 10 lidí):</w:t>
      </w:r>
    </w:p>
    <w:p w14:paraId="413F2F6D" w14:textId="77777777" w:rsidR="00EA5993" w:rsidRPr="009B1A37" w:rsidRDefault="00EA5993" w:rsidP="00BE3D48">
      <w:pPr>
        <w:pStyle w:val="Text"/>
        <w:widowControl w:val="0"/>
        <w:numPr>
          <w:ilvl w:val="0"/>
          <w:numId w:val="20"/>
        </w:numPr>
        <w:tabs>
          <w:tab w:val="clear" w:pos="360"/>
        </w:tabs>
        <w:spacing w:before="0"/>
        <w:ind w:left="600" w:hanging="600"/>
        <w:jc w:val="left"/>
        <w:rPr>
          <w:color w:val="000000"/>
          <w:sz w:val="22"/>
          <w:szCs w:val="22"/>
          <w:lang w:val="cs-CZ"/>
        </w:rPr>
      </w:pPr>
      <w:r w:rsidRPr="009B1A37">
        <w:rPr>
          <w:color w:val="000000"/>
          <w:sz w:val="22"/>
          <w:szCs w:val="22"/>
          <w:lang w:val="cs-CZ"/>
        </w:rPr>
        <w:t xml:space="preserve">Nechutenství, ztráta </w:t>
      </w:r>
      <w:r w:rsidR="00F12FC8" w:rsidRPr="009B1A37">
        <w:rPr>
          <w:color w:val="000000"/>
          <w:sz w:val="22"/>
          <w:szCs w:val="22"/>
          <w:lang w:val="cs-CZ"/>
        </w:rPr>
        <w:t xml:space="preserve">tělesné </w:t>
      </w:r>
      <w:r w:rsidRPr="009B1A37">
        <w:rPr>
          <w:color w:val="000000"/>
          <w:sz w:val="22"/>
          <w:szCs w:val="22"/>
          <w:lang w:val="cs-CZ"/>
        </w:rPr>
        <w:t>hmotnosti nebo poru</w:t>
      </w:r>
      <w:r w:rsidR="00F12FC8" w:rsidRPr="009B1A37">
        <w:rPr>
          <w:color w:val="000000"/>
          <w:sz w:val="22"/>
          <w:szCs w:val="22"/>
          <w:lang w:val="cs-CZ"/>
        </w:rPr>
        <w:t>cha</w:t>
      </w:r>
      <w:r w:rsidRPr="009B1A37">
        <w:rPr>
          <w:color w:val="000000"/>
          <w:sz w:val="22"/>
          <w:szCs w:val="22"/>
          <w:lang w:val="cs-CZ"/>
        </w:rPr>
        <w:t xml:space="preserve"> chuti k jídlu.</w:t>
      </w:r>
    </w:p>
    <w:p w14:paraId="300B3E51" w14:textId="77777777" w:rsidR="00EA5993" w:rsidRPr="009B1A37" w:rsidRDefault="00EA5993" w:rsidP="00BE3D48">
      <w:pPr>
        <w:pStyle w:val="Text"/>
        <w:widowControl w:val="0"/>
        <w:numPr>
          <w:ilvl w:val="0"/>
          <w:numId w:val="20"/>
        </w:numPr>
        <w:tabs>
          <w:tab w:val="clear" w:pos="360"/>
        </w:tabs>
        <w:spacing w:before="0"/>
        <w:ind w:left="600" w:hanging="600"/>
        <w:jc w:val="left"/>
        <w:rPr>
          <w:color w:val="000000"/>
          <w:sz w:val="22"/>
          <w:szCs w:val="22"/>
          <w:lang w:val="cs-CZ"/>
        </w:rPr>
      </w:pPr>
      <w:r w:rsidRPr="009B1A37">
        <w:rPr>
          <w:color w:val="000000"/>
          <w:sz w:val="22"/>
          <w:szCs w:val="22"/>
          <w:lang w:val="cs-CZ"/>
        </w:rPr>
        <w:t>Pocit závratě a slabosti.</w:t>
      </w:r>
    </w:p>
    <w:p w14:paraId="3A627B79" w14:textId="77777777" w:rsidR="00EA5993" w:rsidRPr="009B1A37" w:rsidRDefault="00EA5993" w:rsidP="00BE3D48">
      <w:pPr>
        <w:pStyle w:val="Text"/>
        <w:widowControl w:val="0"/>
        <w:numPr>
          <w:ilvl w:val="0"/>
          <w:numId w:val="20"/>
        </w:numPr>
        <w:tabs>
          <w:tab w:val="clear" w:pos="360"/>
        </w:tabs>
        <w:spacing w:before="0"/>
        <w:ind w:left="600" w:hanging="600"/>
        <w:jc w:val="left"/>
        <w:rPr>
          <w:color w:val="000000"/>
          <w:sz w:val="22"/>
          <w:szCs w:val="22"/>
          <w:lang w:val="cs-CZ"/>
        </w:rPr>
      </w:pPr>
      <w:r w:rsidRPr="009B1A37">
        <w:rPr>
          <w:color w:val="000000"/>
          <w:sz w:val="22"/>
          <w:szCs w:val="22"/>
          <w:lang w:val="cs-CZ"/>
        </w:rPr>
        <w:t>Potíže se spánkem (nespavost).</w:t>
      </w:r>
    </w:p>
    <w:p w14:paraId="6F27A6D3" w14:textId="77777777" w:rsidR="00EA5993" w:rsidRPr="009B1A37" w:rsidRDefault="00EA5993" w:rsidP="00BE3D48">
      <w:pPr>
        <w:pStyle w:val="Text"/>
        <w:widowControl w:val="0"/>
        <w:numPr>
          <w:ilvl w:val="0"/>
          <w:numId w:val="20"/>
        </w:numPr>
        <w:tabs>
          <w:tab w:val="clear" w:pos="360"/>
        </w:tabs>
        <w:spacing w:before="0"/>
        <w:ind w:left="600" w:hanging="600"/>
        <w:jc w:val="left"/>
        <w:rPr>
          <w:color w:val="000000"/>
          <w:sz w:val="22"/>
          <w:szCs w:val="22"/>
          <w:lang w:val="cs-CZ"/>
        </w:rPr>
      </w:pPr>
      <w:r w:rsidRPr="009B1A37">
        <w:rPr>
          <w:color w:val="000000"/>
          <w:sz w:val="22"/>
          <w:szCs w:val="22"/>
          <w:lang w:val="cs-CZ"/>
        </w:rPr>
        <w:t>Výtok z očí se svěděním, zarudnutí a otoky (zánět spojivek), zvýšená produkce slz nebo neostré vidění.</w:t>
      </w:r>
    </w:p>
    <w:p w14:paraId="5F37CCA2" w14:textId="77777777" w:rsidR="00EA5993" w:rsidRPr="009B1A37" w:rsidRDefault="00EA5993" w:rsidP="00BE3D48">
      <w:pPr>
        <w:pStyle w:val="Text"/>
        <w:widowControl w:val="0"/>
        <w:numPr>
          <w:ilvl w:val="0"/>
          <w:numId w:val="19"/>
        </w:numPr>
        <w:spacing w:before="0"/>
        <w:ind w:hanging="720"/>
        <w:jc w:val="left"/>
        <w:rPr>
          <w:color w:val="000000"/>
          <w:sz w:val="22"/>
          <w:szCs w:val="22"/>
          <w:lang w:val="cs-CZ"/>
        </w:rPr>
      </w:pPr>
      <w:r w:rsidRPr="009B1A37">
        <w:rPr>
          <w:color w:val="000000"/>
          <w:sz w:val="22"/>
          <w:szCs w:val="22"/>
          <w:lang w:val="cs-CZ"/>
        </w:rPr>
        <w:t>Krvácení z nosu.</w:t>
      </w:r>
    </w:p>
    <w:p w14:paraId="7AB256EA" w14:textId="77777777" w:rsidR="00EA5993" w:rsidRPr="009B1A37" w:rsidRDefault="00EA5993" w:rsidP="00BE3D48">
      <w:pPr>
        <w:pStyle w:val="Text"/>
        <w:widowControl w:val="0"/>
        <w:numPr>
          <w:ilvl w:val="0"/>
          <w:numId w:val="19"/>
        </w:numPr>
        <w:spacing w:before="0"/>
        <w:ind w:hanging="720"/>
        <w:jc w:val="left"/>
        <w:rPr>
          <w:color w:val="000000"/>
          <w:sz w:val="22"/>
          <w:szCs w:val="22"/>
          <w:lang w:val="cs-CZ"/>
        </w:rPr>
      </w:pPr>
      <w:r w:rsidRPr="009B1A37">
        <w:rPr>
          <w:color w:val="000000"/>
          <w:sz w:val="22"/>
          <w:szCs w:val="22"/>
          <w:lang w:val="cs-CZ"/>
        </w:rPr>
        <w:t>Bolest nebo zduření břicha, nadýmání, pálení žáhy nebo zácpa.</w:t>
      </w:r>
    </w:p>
    <w:p w14:paraId="26BD36B6" w14:textId="77777777" w:rsidR="00EA5993" w:rsidRPr="009B1A37" w:rsidRDefault="00EA5993" w:rsidP="00BE3D48">
      <w:pPr>
        <w:pStyle w:val="Text"/>
        <w:widowControl w:val="0"/>
        <w:numPr>
          <w:ilvl w:val="0"/>
          <w:numId w:val="19"/>
        </w:numPr>
        <w:spacing w:before="0"/>
        <w:ind w:hanging="720"/>
        <w:jc w:val="left"/>
        <w:rPr>
          <w:color w:val="000000"/>
          <w:sz w:val="22"/>
          <w:szCs w:val="22"/>
          <w:lang w:val="cs-CZ"/>
        </w:rPr>
      </w:pPr>
      <w:r w:rsidRPr="009B1A37">
        <w:rPr>
          <w:color w:val="000000"/>
          <w:sz w:val="22"/>
          <w:szCs w:val="22"/>
          <w:lang w:val="cs-CZ"/>
        </w:rPr>
        <w:t>Svědění.</w:t>
      </w:r>
    </w:p>
    <w:p w14:paraId="43E8A694" w14:textId="77777777" w:rsidR="00EA5993" w:rsidRPr="009B1A37" w:rsidRDefault="00EA5993" w:rsidP="00BE3D48">
      <w:pPr>
        <w:pStyle w:val="Text"/>
        <w:widowControl w:val="0"/>
        <w:numPr>
          <w:ilvl w:val="0"/>
          <w:numId w:val="19"/>
        </w:numPr>
        <w:spacing w:before="0"/>
        <w:ind w:hanging="720"/>
        <w:jc w:val="left"/>
        <w:rPr>
          <w:color w:val="000000"/>
          <w:sz w:val="22"/>
          <w:szCs w:val="22"/>
          <w:lang w:val="cs-CZ"/>
        </w:rPr>
      </w:pPr>
      <w:r w:rsidRPr="009B1A37">
        <w:rPr>
          <w:color w:val="000000"/>
          <w:sz w:val="22"/>
          <w:szCs w:val="22"/>
          <w:lang w:val="cs-CZ"/>
        </w:rPr>
        <w:t>Neobvyklá ztráta vlasů nebo jejich prořídnutí.</w:t>
      </w:r>
    </w:p>
    <w:p w14:paraId="4F4B5A06" w14:textId="77777777" w:rsidR="00EA5993" w:rsidRPr="009B1A37" w:rsidRDefault="00EA5993" w:rsidP="00BE3D48">
      <w:pPr>
        <w:pStyle w:val="Text"/>
        <w:widowControl w:val="0"/>
        <w:numPr>
          <w:ilvl w:val="0"/>
          <w:numId w:val="18"/>
        </w:numPr>
        <w:spacing w:before="0"/>
        <w:ind w:hanging="720"/>
        <w:jc w:val="left"/>
        <w:rPr>
          <w:color w:val="000000"/>
          <w:sz w:val="22"/>
          <w:szCs w:val="22"/>
          <w:lang w:val="cs-CZ"/>
        </w:rPr>
      </w:pPr>
      <w:r w:rsidRPr="009B1A37">
        <w:rPr>
          <w:color w:val="000000"/>
          <w:sz w:val="22"/>
          <w:szCs w:val="22"/>
          <w:lang w:val="cs-CZ"/>
        </w:rPr>
        <w:t>Znecitlivění rukou nebo nohou.</w:t>
      </w:r>
    </w:p>
    <w:p w14:paraId="18C9855A" w14:textId="77777777" w:rsidR="00EA5993" w:rsidRPr="009B1A37" w:rsidRDefault="00EA5993" w:rsidP="00BE3D48">
      <w:pPr>
        <w:pStyle w:val="Text"/>
        <w:widowControl w:val="0"/>
        <w:numPr>
          <w:ilvl w:val="0"/>
          <w:numId w:val="18"/>
        </w:numPr>
        <w:spacing w:before="0"/>
        <w:ind w:hanging="720"/>
        <w:jc w:val="left"/>
        <w:rPr>
          <w:color w:val="000000"/>
          <w:sz w:val="22"/>
          <w:szCs w:val="22"/>
          <w:lang w:val="cs-CZ"/>
        </w:rPr>
      </w:pPr>
      <w:r w:rsidRPr="009B1A37">
        <w:rPr>
          <w:color w:val="000000"/>
          <w:sz w:val="22"/>
          <w:szCs w:val="22"/>
          <w:lang w:val="cs-CZ"/>
        </w:rPr>
        <w:t>Vř</w:t>
      </w:r>
      <w:r w:rsidR="00F12FC8" w:rsidRPr="009B1A37">
        <w:rPr>
          <w:color w:val="000000"/>
          <w:sz w:val="22"/>
          <w:szCs w:val="22"/>
          <w:lang w:val="cs-CZ"/>
        </w:rPr>
        <w:t>edy</w:t>
      </w:r>
      <w:r w:rsidRPr="009B1A37">
        <w:rPr>
          <w:color w:val="000000"/>
          <w:sz w:val="22"/>
          <w:szCs w:val="22"/>
          <w:lang w:val="cs-CZ"/>
        </w:rPr>
        <w:t xml:space="preserve"> v ústech.</w:t>
      </w:r>
    </w:p>
    <w:p w14:paraId="060D9A20" w14:textId="77777777" w:rsidR="00EA5993" w:rsidRPr="009B1A37" w:rsidRDefault="00EA5993" w:rsidP="00BE3D48">
      <w:pPr>
        <w:pStyle w:val="Text"/>
        <w:widowControl w:val="0"/>
        <w:numPr>
          <w:ilvl w:val="0"/>
          <w:numId w:val="18"/>
        </w:numPr>
        <w:spacing w:before="0"/>
        <w:ind w:hanging="720"/>
        <w:jc w:val="left"/>
        <w:rPr>
          <w:color w:val="000000"/>
          <w:sz w:val="22"/>
          <w:szCs w:val="22"/>
          <w:lang w:val="cs-CZ"/>
        </w:rPr>
      </w:pPr>
      <w:r w:rsidRPr="009B1A37">
        <w:rPr>
          <w:color w:val="000000"/>
          <w:sz w:val="22"/>
          <w:szCs w:val="22"/>
          <w:lang w:val="cs-CZ"/>
        </w:rPr>
        <w:t>Bolesti kloubů s otoky.</w:t>
      </w:r>
    </w:p>
    <w:p w14:paraId="52DE7B97" w14:textId="77777777" w:rsidR="00EA5993" w:rsidRPr="009B1A37" w:rsidRDefault="00EA5993" w:rsidP="00BE3D48">
      <w:pPr>
        <w:pStyle w:val="Text"/>
        <w:widowControl w:val="0"/>
        <w:numPr>
          <w:ilvl w:val="0"/>
          <w:numId w:val="18"/>
        </w:numPr>
        <w:spacing w:before="0"/>
        <w:ind w:hanging="720"/>
        <w:jc w:val="left"/>
        <w:rPr>
          <w:color w:val="000000"/>
          <w:sz w:val="22"/>
          <w:szCs w:val="22"/>
          <w:lang w:val="cs-CZ"/>
        </w:rPr>
      </w:pPr>
      <w:r w:rsidRPr="009B1A37">
        <w:rPr>
          <w:color w:val="000000"/>
          <w:sz w:val="22"/>
          <w:szCs w:val="22"/>
          <w:lang w:val="cs-CZ"/>
        </w:rPr>
        <w:t xml:space="preserve">Sucho v ústech, suchá </w:t>
      </w:r>
      <w:r w:rsidR="00F12FC8" w:rsidRPr="009B1A37">
        <w:rPr>
          <w:color w:val="000000"/>
          <w:sz w:val="22"/>
          <w:szCs w:val="22"/>
          <w:lang w:val="cs-CZ"/>
        </w:rPr>
        <w:t>kůže</w:t>
      </w:r>
      <w:r w:rsidRPr="009B1A37">
        <w:rPr>
          <w:color w:val="000000"/>
          <w:sz w:val="22"/>
          <w:szCs w:val="22"/>
          <w:lang w:val="cs-CZ"/>
        </w:rPr>
        <w:t xml:space="preserve"> nebo suché oči.</w:t>
      </w:r>
    </w:p>
    <w:p w14:paraId="3C383203" w14:textId="77777777" w:rsidR="00EA5993" w:rsidRPr="009B1A37" w:rsidRDefault="00EA5993" w:rsidP="00BE3D48">
      <w:pPr>
        <w:pStyle w:val="Text"/>
        <w:widowControl w:val="0"/>
        <w:numPr>
          <w:ilvl w:val="0"/>
          <w:numId w:val="18"/>
        </w:numPr>
        <w:spacing w:before="0"/>
        <w:ind w:hanging="720"/>
        <w:jc w:val="left"/>
        <w:rPr>
          <w:color w:val="000000"/>
          <w:sz w:val="22"/>
          <w:szCs w:val="22"/>
          <w:lang w:val="cs-CZ"/>
        </w:rPr>
      </w:pPr>
      <w:r w:rsidRPr="009B1A37">
        <w:rPr>
          <w:color w:val="000000"/>
          <w:sz w:val="22"/>
          <w:szCs w:val="22"/>
          <w:lang w:val="cs-CZ"/>
        </w:rPr>
        <w:t>Snížená nebo zvýšená citlivost kůže.</w:t>
      </w:r>
    </w:p>
    <w:p w14:paraId="52E374FB" w14:textId="77777777" w:rsidR="00EA5993" w:rsidRPr="009B1A37" w:rsidRDefault="00EA5993" w:rsidP="00182086">
      <w:pPr>
        <w:pStyle w:val="Text"/>
        <w:keepNext/>
        <w:widowControl w:val="0"/>
        <w:numPr>
          <w:ilvl w:val="0"/>
          <w:numId w:val="18"/>
        </w:numPr>
        <w:spacing w:before="0"/>
        <w:ind w:hanging="720"/>
        <w:jc w:val="left"/>
        <w:rPr>
          <w:color w:val="000000"/>
          <w:sz w:val="22"/>
          <w:szCs w:val="22"/>
          <w:lang w:val="cs-CZ"/>
        </w:rPr>
      </w:pPr>
      <w:r w:rsidRPr="009B1A37">
        <w:rPr>
          <w:color w:val="000000"/>
          <w:sz w:val="22"/>
          <w:szCs w:val="22"/>
          <w:lang w:val="cs-CZ"/>
        </w:rPr>
        <w:t xml:space="preserve">Návaly horka, </w:t>
      </w:r>
      <w:r w:rsidR="00F12FC8" w:rsidRPr="009B1A37">
        <w:rPr>
          <w:color w:val="000000"/>
          <w:sz w:val="22"/>
          <w:szCs w:val="22"/>
          <w:lang w:val="cs-CZ"/>
        </w:rPr>
        <w:t>zimnice</w:t>
      </w:r>
      <w:r w:rsidRPr="009B1A37">
        <w:rPr>
          <w:color w:val="000000"/>
          <w:sz w:val="22"/>
          <w:szCs w:val="22"/>
          <w:lang w:val="cs-CZ"/>
        </w:rPr>
        <w:t xml:space="preserve"> nebo noční pocení.</w:t>
      </w:r>
    </w:p>
    <w:p w14:paraId="7B0B9D7E" w14:textId="77777777" w:rsidR="00F12FC8" w:rsidRPr="009B1A37" w:rsidRDefault="00F12FC8" w:rsidP="00BE3D48">
      <w:pPr>
        <w:pStyle w:val="Text"/>
        <w:widowControl w:val="0"/>
        <w:spacing w:before="0"/>
        <w:jc w:val="left"/>
        <w:rPr>
          <w:color w:val="000000"/>
          <w:sz w:val="22"/>
          <w:szCs w:val="22"/>
          <w:lang w:val="cs-CZ"/>
        </w:rPr>
      </w:pPr>
      <w:r w:rsidRPr="009B1A37">
        <w:rPr>
          <w:color w:val="000000"/>
          <w:sz w:val="22"/>
          <w:szCs w:val="22"/>
          <w:lang w:val="cs-CZ"/>
        </w:rPr>
        <w:t xml:space="preserve">Pokud se kterýkoli z těchto nežádoucích účinků objeví v závažné formě, </w:t>
      </w:r>
      <w:r w:rsidRPr="009B1A37">
        <w:rPr>
          <w:b/>
          <w:color w:val="000000"/>
          <w:sz w:val="22"/>
          <w:szCs w:val="22"/>
          <w:lang w:val="cs-CZ"/>
        </w:rPr>
        <w:t>sdělte to svému lékaři</w:t>
      </w:r>
      <w:r w:rsidRPr="009B1A37">
        <w:rPr>
          <w:color w:val="000000"/>
          <w:sz w:val="22"/>
          <w:szCs w:val="22"/>
          <w:lang w:val="cs-CZ"/>
        </w:rPr>
        <w:t>.</w:t>
      </w:r>
    </w:p>
    <w:p w14:paraId="07A5E296" w14:textId="77777777" w:rsidR="00F12FC8" w:rsidRPr="009B1A37" w:rsidRDefault="00F12FC8" w:rsidP="00BE3D48">
      <w:pPr>
        <w:pStyle w:val="Text"/>
        <w:widowControl w:val="0"/>
        <w:spacing w:before="0"/>
        <w:jc w:val="left"/>
        <w:rPr>
          <w:color w:val="000000"/>
          <w:sz w:val="22"/>
          <w:szCs w:val="22"/>
          <w:lang w:val="cs-CZ"/>
        </w:rPr>
      </w:pPr>
    </w:p>
    <w:p w14:paraId="01F2590E" w14:textId="77777777" w:rsidR="00EA5993" w:rsidRPr="009B1A37" w:rsidRDefault="00EA5993" w:rsidP="00BE3D48">
      <w:pPr>
        <w:pStyle w:val="Text"/>
        <w:widowControl w:val="0"/>
        <w:spacing w:before="0"/>
        <w:jc w:val="left"/>
        <w:rPr>
          <w:color w:val="000000"/>
          <w:sz w:val="22"/>
          <w:szCs w:val="22"/>
          <w:lang w:val="cs-CZ"/>
        </w:rPr>
      </w:pPr>
    </w:p>
    <w:p w14:paraId="494F2947" w14:textId="77777777" w:rsidR="00EA5993" w:rsidRPr="009B1A37" w:rsidRDefault="00EA5993" w:rsidP="00BE3D48">
      <w:pPr>
        <w:pStyle w:val="Text"/>
        <w:keepNext/>
        <w:widowControl w:val="0"/>
        <w:spacing w:before="0"/>
        <w:jc w:val="left"/>
        <w:rPr>
          <w:bCs/>
          <w:color w:val="000000"/>
          <w:sz w:val="22"/>
          <w:szCs w:val="22"/>
          <w:lang w:val="cs-CZ"/>
        </w:rPr>
      </w:pPr>
      <w:r w:rsidRPr="009B1A37">
        <w:rPr>
          <w:b/>
          <w:bCs/>
          <w:color w:val="000000"/>
          <w:sz w:val="22"/>
          <w:szCs w:val="22"/>
          <w:lang w:val="cs-CZ"/>
        </w:rPr>
        <w:t xml:space="preserve">Není známo </w:t>
      </w:r>
      <w:r w:rsidRPr="009B1A37">
        <w:rPr>
          <w:color w:val="000000"/>
          <w:sz w:val="22"/>
          <w:szCs w:val="22"/>
          <w:lang w:val="cs-CZ"/>
        </w:rPr>
        <w:t xml:space="preserve">(četnost </w:t>
      </w:r>
      <w:r w:rsidRPr="009B1A37">
        <w:rPr>
          <w:sz w:val="22"/>
          <w:szCs w:val="22"/>
          <w:lang w:val="cs-CZ" w:eastAsia="zh-CN"/>
        </w:rPr>
        <w:t>z dostupných údajů nelze určit</w:t>
      </w:r>
      <w:r w:rsidRPr="009B1A37">
        <w:rPr>
          <w:color w:val="000000"/>
          <w:sz w:val="22"/>
          <w:szCs w:val="22"/>
          <w:lang w:val="cs-CZ"/>
        </w:rPr>
        <w:t>):</w:t>
      </w:r>
    </w:p>
    <w:p w14:paraId="7CEF75AA" w14:textId="77777777" w:rsidR="00EA5993" w:rsidRPr="009B1A37" w:rsidRDefault="00EA5993" w:rsidP="00BE3D48">
      <w:pPr>
        <w:pStyle w:val="Text"/>
        <w:widowControl w:val="0"/>
        <w:numPr>
          <w:ilvl w:val="0"/>
          <w:numId w:val="14"/>
        </w:numPr>
        <w:tabs>
          <w:tab w:val="clear" w:pos="567"/>
          <w:tab w:val="clear" w:pos="720"/>
        </w:tabs>
        <w:spacing w:before="0"/>
        <w:ind w:left="567" w:hanging="567"/>
        <w:jc w:val="left"/>
        <w:rPr>
          <w:color w:val="000000"/>
          <w:sz w:val="22"/>
          <w:szCs w:val="22"/>
          <w:lang w:val="cs-CZ"/>
        </w:rPr>
      </w:pPr>
      <w:r w:rsidRPr="009B1A37">
        <w:rPr>
          <w:color w:val="000000"/>
          <w:sz w:val="22"/>
          <w:szCs w:val="22"/>
          <w:lang w:val="cs-CZ"/>
        </w:rPr>
        <w:t>Zčervenání a/nebo otoky dlaní rukou a chodidel, které mohou být doprovázené pocitem brnění a pálení.</w:t>
      </w:r>
    </w:p>
    <w:p w14:paraId="0981E8AE" w14:textId="77777777" w:rsidR="008E362E" w:rsidRPr="009B1A37" w:rsidRDefault="008E362E" w:rsidP="00BE3D48">
      <w:pPr>
        <w:pStyle w:val="Text"/>
        <w:widowControl w:val="0"/>
        <w:numPr>
          <w:ilvl w:val="0"/>
          <w:numId w:val="14"/>
        </w:numPr>
        <w:tabs>
          <w:tab w:val="clear" w:pos="567"/>
          <w:tab w:val="clear" w:pos="720"/>
        </w:tabs>
        <w:spacing w:before="0"/>
        <w:ind w:left="567" w:hanging="567"/>
        <w:jc w:val="left"/>
        <w:rPr>
          <w:color w:val="000000"/>
          <w:sz w:val="22"/>
          <w:szCs w:val="22"/>
          <w:lang w:val="cs-CZ"/>
        </w:rPr>
      </w:pPr>
      <w:r w:rsidRPr="009B1A37">
        <w:rPr>
          <w:color w:val="000000"/>
          <w:sz w:val="22"/>
          <w:szCs w:val="22"/>
          <w:lang w:val="cs-CZ"/>
        </w:rPr>
        <w:t>Bolestivé a/nebo puchýřovité kožní léze.</w:t>
      </w:r>
    </w:p>
    <w:p w14:paraId="57C820AB" w14:textId="77777777" w:rsidR="00EA5993" w:rsidRPr="009B1A37" w:rsidRDefault="00EA5993" w:rsidP="00182086">
      <w:pPr>
        <w:pStyle w:val="Text"/>
        <w:keepNext/>
        <w:widowControl w:val="0"/>
        <w:numPr>
          <w:ilvl w:val="0"/>
          <w:numId w:val="14"/>
        </w:numPr>
        <w:tabs>
          <w:tab w:val="clear" w:pos="567"/>
          <w:tab w:val="clear" w:pos="720"/>
        </w:tabs>
        <w:spacing w:before="0"/>
        <w:ind w:left="567" w:hanging="567"/>
        <w:jc w:val="left"/>
        <w:rPr>
          <w:color w:val="000000"/>
          <w:sz w:val="22"/>
          <w:szCs w:val="22"/>
          <w:lang w:val="cs-CZ"/>
        </w:rPr>
      </w:pPr>
      <w:r w:rsidRPr="009B1A37">
        <w:rPr>
          <w:color w:val="000000"/>
          <w:sz w:val="22"/>
          <w:szCs w:val="22"/>
          <w:lang w:val="cs-CZ"/>
        </w:rPr>
        <w:t>Zpomalení růstu u dětí a dospívajících.</w:t>
      </w:r>
    </w:p>
    <w:p w14:paraId="339A2892" w14:textId="77777777" w:rsidR="00F12FC8" w:rsidRPr="009B1A37" w:rsidRDefault="00F12FC8" w:rsidP="00BE3D48">
      <w:pPr>
        <w:pStyle w:val="Text"/>
        <w:widowControl w:val="0"/>
        <w:spacing w:before="0"/>
        <w:jc w:val="left"/>
        <w:rPr>
          <w:color w:val="000000"/>
          <w:sz w:val="22"/>
          <w:szCs w:val="22"/>
          <w:lang w:val="cs-CZ"/>
        </w:rPr>
      </w:pPr>
      <w:r w:rsidRPr="009B1A37">
        <w:rPr>
          <w:color w:val="000000"/>
          <w:sz w:val="22"/>
          <w:szCs w:val="22"/>
          <w:lang w:val="cs-CZ"/>
        </w:rPr>
        <w:t xml:space="preserve">Pokud se kterýkoli z těchto nežádoucích účinků objeví v závažné formě, </w:t>
      </w:r>
      <w:r w:rsidRPr="009B1A37">
        <w:rPr>
          <w:b/>
          <w:color w:val="000000"/>
          <w:sz w:val="22"/>
          <w:szCs w:val="22"/>
          <w:lang w:val="cs-CZ"/>
        </w:rPr>
        <w:t>sdělte to svému lékaři</w:t>
      </w:r>
      <w:r w:rsidRPr="009B1A37">
        <w:rPr>
          <w:color w:val="000000"/>
          <w:sz w:val="22"/>
          <w:szCs w:val="22"/>
          <w:lang w:val="cs-CZ"/>
        </w:rPr>
        <w:t>.</w:t>
      </w:r>
    </w:p>
    <w:p w14:paraId="3C134AD2" w14:textId="77777777" w:rsidR="00F12FC8" w:rsidRPr="009B1A37" w:rsidRDefault="00F12FC8" w:rsidP="00BE3D48">
      <w:pPr>
        <w:pStyle w:val="Text"/>
        <w:widowControl w:val="0"/>
        <w:spacing w:before="0"/>
        <w:jc w:val="left"/>
        <w:rPr>
          <w:color w:val="000000"/>
          <w:sz w:val="22"/>
          <w:szCs w:val="22"/>
          <w:lang w:val="cs-CZ"/>
        </w:rPr>
      </w:pPr>
    </w:p>
    <w:p w14:paraId="4B2A35B4" w14:textId="77777777" w:rsidR="00EA5993" w:rsidRPr="009B1A37" w:rsidRDefault="00EA5993" w:rsidP="00BE3D48">
      <w:pPr>
        <w:pStyle w:val="Text"/>
        <w:widowControl w:val="0"/>
        <w:spacing w:before="0"/>
        <w:jc w:val="left"/>
        <w:rPr>
          <w:color w:val="000000"/>
          <w:sz w:val="22"/>
          <w:szCs w:val="22"/>
          <w:lang w:val="cs-CZ"/>
        </w:rPr>
      </w:pPr>
    </w:p>
    <w:p w14:paraId="2D5B04F2" w14:textId="77777777" w:rsidR="00EA5993" w:rsidRPr="009B1A37" w:rsidRDefault="00EA5993" w:rsidP="00BE3D48">
      <w:pPr>
        <w:keepNext/>
        <w:widowControl w:val="0"/>
        <w:numPr>
          <w:ilvl w:val="12"/>
          <w:numId w:val="0"/>
        </w:numPr>
        <w:spacing w:line="240" w:lineRule="auto"/>
        <w:outlineLvl w:val="0"/>
        <w:rPr>
          <w:b/>
          <w:noProof/>
          <w:szCs w:val="24"/>
        </w:rPr>
      </w:pPr>
      <w:r w:rsidRPr="009B1A37">
        <w:rPr>
          <w:b/>
          <w:noProof/>
          <w:szCs w:val="24"/>
        </w:rPr>
        <w:t>Hlášení nežádoucích účinků</w:t>
      </w:r>
    </w:p>
    <w:p w14:paraId="17D9877E" w14:textId="77777777" w:rsidR="00EA5993" w:rsidRPr="009B1A37" w:rsidRDefault="00EA5993" w:rsidP="00BE3D48">
      <w:pPr>
        <w:widowControl w:val="0"/>
        <w:spacing w:line="240" w:lineRule="auto"/>
        <w:rPr>
          <w:noProof/>
          <w:szCs w:val="24"/>
        </w:rPr>
      </w:pPr>
      <w:r w:rsidRPr="009B1A37">
        <w:t>Pokud se u Vás vyskytne kterýkoli z nežádoucích účinků, sdělte to svému lékaři, lékárníkovi nebo zdravotní sestře. Stejně postupujte v případě jakýchkoli nežádoucích účinků, které nejsou uvedeny v této příbalové informaci.</w:t>
      </w:r>
      <w:r w:rsidRPr="009B1A37">
        <w:rPr>
          <w:noProof/>
          <w:szCs w:val="24"/>
        </w:rPr>
        <w:t xml:space="preserve"> Nežádoucí účinky můžete hlásit </w:t>
      </w:r>
      <w:r w:rsidRPr="009B1A37">
        <w:rPr>
          <w:szCs w:val="24"/>
        </w:rPr>
        <w:t xml:space="preserve">také přímo </w:t>
      </w:r>
      <w:r w:rsidRPr="009B1A37">
        <w:rPr>
          <w:noProof/>
          <w:szCs w:val="24"/>
        </w:rPr>
        <w:t xml:space="preserve">prostřednictvím </w:t>
      </w:r>
      <w:r w:rsidRPr="009B1A37">
        <w:rPr>
          <w:noProof/>
          <w:szCs w:val="24"/>
          <w:shd w:val="pct15" w:color="auto" w:fill="auto"/>
        </w:rPr>
        <w:t>národního systému hlášení nežádoucích účinků uvedeného v </w:t>
      </w:r>
      <w:hyperlink r:id="rId15" w:history="1">
        <w:r w:rsidRPr="009B1A37">
          <w:rPr>
            <w:rStyle w:val="Hyperlink"/>
            <w:noProof/>
            <w:szCs w:val="24"/>
            <w:shd w:val="pct15" w:color="auto" w:fill="auto"/>
          </w:rPr>
          <w:t>Dodatku V</w:t>
        </w:r>
      </w:hyperlink>
      <w:r w:rsidRPr="009B1A37">
        <w:rPr>
          <w:noProof/>
          <w:szCs w:val="24"/>
        </w:rPr>
        <w:t>. Nahlášením nežádoucích účinků můžete přispět k získání více informací o bezpečnosti tohoto přípravku.</w:t>
      </w:r>
    </w:p>
    <w:p w14:paraId="0F2F9C82" w14:textId="77777777" w:rsidR="00EA5993" w:rsidRPr="009B1A37" w:rsidRDefault="00EA5993" w:rsidP="00BE3D48">
      <w:pPr>
        <w:widowControl w:val="0"/>
        <w:tabs>
          <w:tab w:val="clear" w:pos="567"/>
        </w:tabs>
        <w:spacing w:line="240" w:lineRule="auto"/>
        <w:ind w:right="-2"/>
        <w:rPr>
          <w:color w:val="000000"/>
        </w:rPr>
      </w:pPr>
    </w:p>
    <w:p w14:paraId="3093CF64" w14:textId="77777777" w:rsidR="00EA5993" w:rsidRPr="009B1A37" w:rsidRDefault="00EA5993" w:rsidP="00BE3D48">
      <w:pPr>
        <w:widowControl w:val="0"/>
        <w:tabs>
          <w:tab w:val="clear" w:pos="567"/>
        </w:tabs>
        <w:spacing w:line="240" w:lineRule="auto"/>
        <w:ind w:right="-2"/>
        <w:rPr>
          <w:color w:val="000000"/>
        </w:rPr>
      </w:pPr>
    </w:p>
    <w:p w14:paraId="3187F098" w14:textId="77777777" w:rsidR="00E92109" w:rsidRPr="009B1A37" w:rsidRDefault="00E92109" w:rsidP="00BE3D48">
      <w:pPr>
        <w:keepNext/>
        <w:widowControl w:val="0"/>
        <w:tabs>
          <w:tab w:val="clear" w:pos="567"/>
        </w:tabs>
        <w:spacing w:line="240" w:lineRule="auto"/>
        <w:ind w:left="567" w:right="-2" w:hanging="567"/>
        <w:rPr>
          <w:b/>
          <w:bCs/>
          <w:color w:val="000000"/>
        </w:rPr>
      </w:pPr>
      <w:r w:rsidRPr="009B1A37">
        <w:rPr>
          <w:b/>
          <w:bCs/>
          <w:color w:val="000000"/>
        </w:rPr>
        <w:t>5.</w:t>
      </w:r>
      <w:r w:rsidRPr="009B1A37">
        <w:rPr>
          <w:b/>
          <w:bCs/>
          <w:color w:val="000000"/>
        </w:rPr>
        <w:tab/>
        <w:t>Jak Glivec uchovávat</w:t>
      </w:r>
    </w:p>
    <w:p w14:paraId="4725B2B6" w14:textId="77777777" w:rsidR="00E92109" w:rsidRPr="009B1A37" w:rsidRDefault="00E92109" w:rsidP="00BE3D48">
      <w:pPr>
        <w:keepNext/>
        <w:widowControl w:val="0"/>
        <w:tabs>
          <w:tab w:val="clear" w:pos="567"/>
        </w:tabs>
        <w:spacing w:line="240" w:lineRule="auto"/>
        <w:ind w:right="-2"/>
        <w:rPr>
          <w:color w:val="000000"/>
        </w:rPr>
      </w:pPr>
    </w:p>
    <w:p w14:paraId="0C45D280" w14:textId="77777777" w:rsidR="00E92109" w:rsidRPr="009B1A37" w:rsidRDefault="00E92109" w:rsidP="00BE3D48">
      <w:pPr>
        <w:pStyle w:val="Text"/>
        <w:widowControl w:val="0"/>
        <w:numPr>
          <w:ilvl w:val="0"/>
          <w:numId w:val="6"/>
        </w:numPr>
        <w:tabs>
          <w:tab w:val="clear" w:pos="360"/>
          <w:tab w:val="clear" w:pos="567"/>
        </w:tabs>
        <w:spacing w:before="0"/>
        <w:ind w:left="567" w:hanging="567"/>
        <w:rPr>
          <w:color w:val="000000"/>
          <w:sz w:val="22"/>
          <w:szCs w:val="22"/>
          <w:lang w:val="cs-CZ"/>
        </w:rPr>
      </w:pPr>
      <w:r w:rsidRPr="009B1A37">
        <w:rPr>
          <w:color w:val="000000"/>
          <w:sz w:val="22"/>
          <w:szCs w:val="22"/>
          <w:lang w:val="cs-CZ"/>
        </w:rPr>
        <w:t>Uchovávejte tento přípravek mimo dohled a dosah dětí.</w:t>
      </w:r>
    </w:p>
    <w:p w14:paraId="6DA93EEE" w14:textId="77777777" w:rsidR="00E92109" w:rsidRPr="009B1A37" w:rsidRDefault="00E92109" w:rsidP="00BE3D48">
      <w:pPr>
        <w:pStyle w:val="Text"/>
        <w:widowControl w:val="0"/>
        <w:numPr>
          <w:ilvl w:val="0"/>
          <w:numId w:val="6"/>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Nepoužívejte tento přípravek po uplynutí doby použitelnosti uvedené na krabičce</w:t>
      </w:r>
      <w:r w:rsidR="008E362E" w:rsidRPr="009B1A37">
        <w:rPr>
          <w:color w:val="000000"/>
          <w:sz w:val="22"/>
          <w:szCs w:val="22"/>
          <w:lang w:val="cs-CZ"/>
        </w:rPr>
        <w:t xml:space="preserve"> za „EXP“</w:t>
      </w:r>
      <w:r w:rsidRPr="009B1A37">
        <w:rPr>
          <w:color w:val="000000"/>
          <w:sz w:val="22"/>
          <w:szCs w:val="22"/>
          <w:lang w:val="cs-CZ"/>
        </w:rPr>
        <w:t>.</w:t>
      </w:r>
    </w:p>
    <w:p w14:paraId="10E026C7" w14:textId="77777777" w:rsidR="00E92109" w:rsidRPr="009B1A37" w:rsidRDefault="00E92109" w:rsidP="00BE3D48">
      <w:pPr>
        <w:pStyle w:val="Text"/>
        <w:widowControl w:val="0"/>
        <w:numPr>
          <w:ilvl w:val="0"/>
          <w:numId w:val="6"/>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Neuchovávejte při teplotě nad 30</w:t>
      </w:r>
      <w:r w:rsidR="00F12FC8" w:rsidRPr="009B1A37">
        <w:rPr>
          <w:color w:val="000000"/>
          <w:sz w:val="22"/>
          <w:szCs w:val="22"/>
          <w:lang w:val="cs-CZ"/>
        </w:rPr>
        <w:t> </w:t>
      </w:r>
      <w:r w:rsidRPr="009B1A37">
        <w:rPr>
          <w:color w:val="000000"/>
          <w:sz w:val="22"/>
          <w:szCs w:val="22"/>
          <w:lang w:val="cs-CZ"/>
        </w:rPr>
        <w:t>°C.</w:t>
      </w:r>
    </w:p>
    <w:p w14:paraId="023C4C94" w14:textId="77777777" w:rsidR="00E92109" w:rsidRPr="009B1A37" w:rsidRDefault="00E92109" w:rsidP="00BE3D48">
      <w:pPr>
        <w:pStyle w:val="Text"/>
        <w:widowControl w:val="0"/>
        <w:numPr>
          <w:ilvl w:val="0"/>
          <w:numId w:val="6"/>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Uchovávejte v původním obalu, aby byl přípravek chráněn před vlhkostí.</w:t>
      </w:r>
    </w:p>
    <w:p w14:paraId="5E528AA7" w14:textId="77777777" w:rsidR="00AF0B73" w:rsidRPr="009B1A37" w:rsidRDefault="00E92109" w:rsidP="00BE3D48">
      <w:pPr>
        <w:pStyle w:val="Text"/>
        <w:widowControl w:val="0"/>
        <w:numPr>
          <w:ilvl w:val="0"/>
          <w:numId w:val="6"/>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Nepoužívejte, jestliže je obal poškozený nebo zaznamenáte známky jeho porušení.</w:t>
      </w:r>
    </w:p>
    <w:p w14:paraId="1F9E0E0D" w14:textId="77777777" w:rsidR="00E92109" w:rsidRPr="009B1A37" w:rsidRDefault="00AF0B73" w:rsidP="00BE3D48">
      <w:pPr>
        <w:pStyle w:val="Text"/>
        <w:widowControl w:val="0"/>
        <w:numPr>
          <w:ilvl w:val="0"/>
          <w:numId w:val="6"/>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Nevyhazujte žádné léčivé přípravky do odpadních vod nebo domácího odpadu. Zeptejte se svého lékárníka, jak naložit s přípravky, které již nepoužíváte. Tato opatření pomáhají chránit životní prostředí</w:t>
      </w:r>
      <w:r w:rsidR="00866AEE" w:rsidRPr="009B1A37">
        <w:rPr>
          <w:color w:val="000000"/>
          <w:sz w:val="22"/>
          <w:szCs w:val="22"/>
          <w:lang w:val="cs-CZ"/>
        </w:rPr>
        <w:t>.</w:t>
      </w:r>
    </w:p>
    <w:p w14:paraId="0D8DC9FD" w14:textId="77777777" w:rsidR="00E92109" w:rsidRPr="009B1A37" w:rsidRDefault="00E92109" w:rsidP="00BE3D48">
      <w:pPr>
        <w:widowControl w:val="0"/>
        <w:tabs>
          <w:tab w:val="clear" w:pos="567"/>
        </w:tabs>
        <w:spacing w:line="240" w:lineRule="auto"/>
        <w:ind w:right="-2"/>
        <w:rPr>
          <w:color w:val="000000"/>
        </w:rPr>
      </w:pPr>
    </w:p>
    <w:p w14:paraId="138AAA68" w14:textId="77777777" w:rsidR="00E92109" w:rsidRPr="009B1A37" w:rsidRDefault="00E92109" w:rsidP="00BE3D48">
      <w:pPr>
        <w:widowControl w:val="0"/>
        <w:tabs>
          <w:tab w:val="clear" w:pos="567"/>
        </w:tabs>
        <w:spacing w:line="240" w:lineRule="auto"/>
        <w:ind w:right="-2"/>
        <w:rPr>
          <w:color w:val="000000"/>
        </w:rPr>
      </w:pPr>
    </w:p>
    <w:p w14:paraId="49B813CC" w14:textId="77777777" w:rsidR="00E61A01" w:rsidRPr="009B1A37" w:rsidRDefault="00E61A01" w:rsidP="00BE3D48">
      <w:pPr>
        <w:keepNext/>
        <w:widowControl w:val="0"/>
        <w:tabs>
          <w:tab w:val="clear" w:pos="567"/>
        </w:tabs>
        <w:spacing w:line="240" w:lineRule="auto"/>
        <w:ind w:right="-2"/>
        <w:rPr>
          <w:b/>
          <w:bCs/>
          <w:caps/>
          <w:color w:val="000000"/>
        </w:rPr>
      </w:pPr>
      <w:r w:rsidRPr="009B1A37">
        <w:rPr>
          <w:b/>
          <w:bCs/>
          <w:caps/>
          <w:color w:val="000000"/>
        </w:rPr>
        <w:t>6.</w:t>
      </w:r>
      <w:r w:rsidRPr="009B1A37">
        <w:rPr>
          <w:b/>
          <w:bCs/>
          <w:caps/>
          <w:color w:val="000000"/>
        </w:rPr>
        <w:tab/>
      </w:r>
      <w:r w:rsidR="0045769F" w:rsidRPr="009B1A37">
        <w:rPr>
          <w:b/>
          <w:bCs/>
          <w:caps/>
          <w:color w:val="000000"/>
        </w:rPr>
        <w:t>O</w:t>
      </w:r>
      <w:r w:rsidR="0045769F" w:rsidRPr="009B1A37">
        <w:rPr>
          <w:b/>
          <w:bCs/>
          <w:color w:val="000000"/>
        </w:rPr>
        <w:t>bsah balení a další informace</w:t>
      </w:r>
    </w:p>
    <w:p w14:paraId="35DC65E8" w14:textId="77777777" w:rsidR="00E61A01" w:rsidRPr="009B1A37" w:rsidRDefault="00E61A01" w:rsidP="00BE3D48">
      <w:pPr>
        <w:keepNext/>
        <w:widowControl w:val="0"/>
        <w:tabs>
          <w:tab w:val="clear" w:pos="567"/>
        </w:tabs>
        <w:spacing w:line="240" w:lineRule="auto"/>
        <w:ind w:right="-2"/>
        <w:rPr>
          <w:color w:val="000000"/>
        </w:rPr>
      </w:pPr>
    </w:p>
    <w:p w14:paraId="633E453A" w14:textId="77777777" w:rsidR="00E61A01" w:rsidRPr="009B1A37" w:rsidRDefault="00E61A01" w:rsidP="00BE3D48">
      <w:pPr>
        <w:keepNext/>
        <w:widowControl w:val="0"/>
        <w:tabs>
          <w:tab w:val="clear" w:pos="567"/>
        </w:tabs>
        <w:spacing w:line="240" w:lineRule="auto"/>
        <w:ind w:right="-2"/>
        <w:rPr>
          <w:b/>
          <w:bCs/>
          <w:color w:val="000000"/>
        </w:rPr>
      </w:pPr>
      <w:r w:rsidRPr="009B1A37">
        <w:rPr>
          <w:b/>
          <w:bCs/>
          <w:color w:val="000000"/>
        </w:rPr>
        <w:t>Co Glivec obsahuje</w:t>
      </w:r>
    </w:p>
    <w:p w14:paraId="66F2BB01" w14:textId="77777777" w:rsidR="00E61A01" w:rsidRPr="009B1A37" w:rsidRDefault="00E61A01" w:rsidP="00BE3D48">
      <w:pPr>
        <w:widowControl w:val="0"/>
        <w:numPr>
          <w:ilvl w:val="0"/>
          <w:numId w:val="13"/>
        </w:numPr>
        <w:tabs>
          <w:tab w:val="clear" w:pos="567"/>
        </w:tabs>
        <w:spacing w:line="240" w:lineRule="auto"/>
        <w:ind w:left="567" w:right="-2" w:hanging="567"/>
        <w:rPr>
          <w:color w:val="000000"/>
        </w:rPr>
      </w:pPr>
      <w:r w:rsidRPr="009B1A37">
        <w:rPr>
          <w:color w:val="000000"/>
        </w:rPr>
        <w:t xml:space="preserve">Léčivou látkou je imatinibi mesilas. Jedna tobolka Glivecu obsahuje </w:t>
      </w:r>
      <w:r w:rsidR="00F12FC8" w:rsidRPr="009B1A37">
        <w:rPr>
          <w:color w:val="000000"/>
        </w:rPr>
        <w:t xml:space="preserve">imatinibum </w:t>
      </w:r>
      <w:r w:rsidRPr="009B1A37">
        <w:rPr>
          <w:color w:val="000000"/>
        </w:rPr>
        <w:t xml:space="preserve">100 mg </w:t>
      </w:r>
      <w:r w:rsidR="0045769F" w:rsidRPr="009B1A37">
        <w:rPr>
          <w:color w:val="000000"/>
        </w:rPr>
        <w:t xml:space="preserve">(jako </w:t>
      </w:r>
      <w:r w:rsidR="00F12FC8" w:rsidRPr="009B1A37">
        <w:rPr>
          <w:color w:val="000000"/>
        </w:rPr>
        <w:t xml:space="preserve">imatinibi </w:t>
      </w:r>
      <w:r w:rsidRPr="009B1A37">
        <w:rPr>
          <w:color w:val="000000"/>
        </w:rPr>
        <w:t>mes</w:t>
      </w:r>
      <w:r w:rsidR="00F12FC8" w:rsidRPr="009B1A37">
        <w:rPr>
          <w:color w:val="000000"/>
        </w:rPr>
        <w:t>ilas</w:t>
      </w:r>
      <w:r w:rsidR="0045769F" w:rsidRPr="009B1A37">
        <w:rPr>
          <w:color w:val="000000"/>
        </w:rPr>
        <w:t>)</w:t>
      </w:r>
      <w:r w:rsidRPr="009B1A37">
        <w:rPr>
          <w:color w:val="000000"/>
        </w:rPr>
        <w:t>.</w:t>
      </w:r>
    </w:p>
    <w:p w14:paraId="08FCF5A6" w14:textId="77777777" w:rsidR="00E61A01" w:rsidRPr="009B1A37" w:rsidRDefault="0045769F" w:rsidP="00BE3D48">
      <w:pPr>
        <w:widowControl w:val="0"/>
        <w:numPr>
          <w:ilvl w:val="0"/>
          <w:numId w:val="13"/>
        </w:numPr>
        <w:tabs>
          <w:tab w:val="clear" w:pos="567"/>
        </w:tabs>
        <w:spacing w:line="240" w:lineRule="auto"/>
        <w:ind w:left="567" w:right="-2" w:hanging="567"/>
        <w:rPr>
          <w:color w:val="000000"/>
        </w:rPr>
      </w:pPr>
      <w:r w:rsidRPr="009B1A37">
        <w:rPr>
          <w:color w:val="000000"/>
        </w:rPr>
        <w:t xml:space="preserve">Dalšími složkami </w:t>
      </w:r>
      <w:r w:rsidR="00E61A01" w:rsidRPr="009B1A37">
        <w:rPr>
          <w:color w:val="000000"/>
        </w:rPr>
        <w:t>jsou mikrokrystalická celulosa, krospovidon, magnesium-stearát</w:t>
      </w:r>
      <w:r w:rsidR="00F12FC8" w:rsidRPr="009B1A37">
        <w:rPr>
          <w:color w:val="000000"/>
        </w:rPr>
        <w:t xml:space="preserve"> a koloidní </w:t>
      </w:r>
      <w:r w:rsidR="00E61A01" w:rsidRPr="009B1A37">
        <w:rPr>
          <w:color w:val="000000"/>
        </w:rPr>
        <w:t>bezvodý oxid křemičitý. Tobolka je složena z želatiny, červeného oxidu železitého (E</w:t>
      </w:r>
      <w:r w:rsidR="0071222E" w:rsidRPr="009B1A37">
        <w:rPr>
          <w:color w:val="000000"/>
        </w:rPr>
        <w:t xml:space="preserve"> </w:t>
      </w:r>
      <w:r w:rsidR="00E61A01" w:rsidRPr="009B1A37">
        <w:rPr>
          <w:color w:val="000000"/>
        </w:rPr>
        <w:t>172), žlutého oxidu železitého (E</w:t>
      </w:r>
      <w:r w:rsidR="0071222E" w:rsidRPr="009B1A37">
        <w:rPr>
          <w:color w:val="000000"/>
        </w:rPr>
        <w:t xml:space="preserve"> </w:t>
      </w:r>
      <w:r w:rsidR="00E61A01" w:rsidRPr="009B1A37">
        <w:rPr>
          <w:color w:val="000000"/>
        </w:rPr>
        <w:t>172) a oxidu titaničitého (E</w:t>
      </w:r>
      <w:r w:rsidR="0071222E" w:rsidRPr="009B1A37">
        <w:rPr>
          <w:color w:val="000000"/>
        </w:rPr>
        <w:t xml:space="preserve"> </w:t>
      </w:r>
      <w:r w:rsidR="00E61A01" w:rsidRPr="009B1A37">
        <w:rPr>
          <w:color w:val="000000"/>
        </w:rPr>
        <w:t xml:space="preserve">171). Tiskařský inkoust je složen z červeného oxidu </w:t>
      </w:r>
      <w:r w:rsidR="00CA5E7F" w:rsidRPr="009B1A37">
        <w:rPr>
          <w:color w:val="000000"/>
        </w:rPr>
        <w:t>železitého (E</w:t>
      </w:r>
      <w:r w:rsidR="0071222E" w:rsidRPr="009B1A37">
        <w:rPr>
          <w:color w:val="000000"/>
        </w:rPr>
        <w:t xml:space="preserve"> </w:t>
      </w:r>
      <w:r w:rsidR="00CA5E7F" w:rsidRPr="009B1A37">
        <w:rPr>
          <w:color w:val="000000"/>
        </w:rPr>
        <w:t>172) a šelaku.</w:t>
      </w:r>
    </w:p>
    <w:p w14:paraId="6B68A470" w14:textId="77777777" w:rsidR="00E61A01" w:rsidRPr="009B1A37" w:rsidRDefault="00E61A01" w:rsidP="00BE3D48">
      <w:pPr>
        <w:widowControl w:val="0"/>
        <w:tabs>
          <w:tab w:val="clear" w:pos="567"/>
        </w:tabs>
        <w:spacing w:line="240" w:lineRule="auto"/>
        <w:ind w:right="-2"/>
        <w:rPr>
          <w:color w:val="000000"/>
        </w:rPr>
      </w:pPr>
    </w:p>
    <w:p w14:paraId="2879534D" w14:textId="77777777" w:rsidR="00E61A01" w:rsidRPr="009B1A37" w:rsidRDefault="00E61A01" w:rsidP="00BE3D48">
      <w:pPr>
        <w:keepNext/>
        <w:widowControl w:val="0"/>
        <w:tabs>
          <w:tab w:val="clear" w:pos="567"/>
        </w:tabs>
        <w:spacing w:line="240" w:lineRule="auto"/>
        <w:ind w:right="-2"/>
        <w:rPr>
          <w:b/>
          <w:bCs/>
          <w:color w:val="000000"/>
        </w:rPr>
      </w:pPr>
      <w:r w:rsidRPr="009B1A37">
        <w:rPr>
          <w:b/>
          <w:bCs/>
          <w:color w:val="000000"/>
        </w:rPr>
        <w:t>Jak Glivec vypadá a co obsahuje toto balení</w:t>
      </w:r>
    </w:p>
    <w:p w14:paraId="517D7921" w14:textId="77777777" w:rsidR="00E61A01" w:rsidRPr="009B1A37" w:rsidRDefault="00E61A01" w:rsidP="00BE3D48">
      <w:pPr>
        <w:widowControl w:val="0"/>
        <w:tabs>
          <w:tab w:val="clear" w:pos="567"/>
        </w:tabs>
        <w:spacing w:line="240" w:lineRule="auto"/>
        <w:ind w:right="-2"/>
        <w:rPr>
          <w:color w:val="000000"/>
        </w:rPr>
      </w:pPr>
      <w:r w:rsidRPr="009B1A37">
        <w:rPr>
          <w:color w:val="000000"/>
        </w:rPr>
        <w:t>Glivec 100 mg tvrdé tobolky jsou oranžové až šedooranžové a označené „</w:t>
      </w:r>
      <w:smartTag w:uri="urn:schemas-microsoft-com:office:smarttags" w:element="stockticker">
        <w:r w:rsidRPr="009B1A37">
          <w:rPr>
            <w:color w:val="000000"/>
          </w:rPr>
          <w:t>NVR</w:t>
        </w:r>
      </w:smartTag>
      <w:r w:rsidRPr="009B1A37">
        <w:rPr>
          <w:color w:val="000000"/>
        </w:rPr>
        <w:t xml:space="preserve"> SI“. Obsahují bílý až žlutý prášek.</w:t>
      </w:r>
    </w:p>
    <w:p w14:paraId="559CBDC1" w14:textId="77777777" w:rsidR="00E61A01" w:rsidRPr="009B1A37" w:rsidRDefault="00E61A01" w:rsidP="00BE3D48">
      <w:pPr>
        <w:widowControl w:val="0"/>
        <w:tabs>
          <w:tab w:val="clear" w:pos="567"/>
        </w:tabs>
        <w:spacing w:line="240" w:lineRule="auto"/>
        <w:ind w:right="-2"/>
        <w:rPr>
          <w:color w:val="000000"/>
        </w:rPr>
      </w:pPr>
    </w:p>
    <w:p w14:paraId="79287BFD" w14:textId="77777777" w:rsidR="00E61A01" w:rsidRPr="009B1A37" w:rsidRDefault="00E61A01" w:rsidP="00BE3D48">
      <w:pPr>
        <w:widowControl w:val="0"/>
        <w:tabs>
          <w:tab w:val="clear" w:pos="567"/>
        </w:tabs>
        <w:spacing w:line="240" w:lineRule="auto"/>
        <w:ind w:right="-2"/>
        <w:rPr>
          <w:color w:val="000000"/>
        </w:rPr>
      </w:pPr>
      <w:r w:rsidRPr="009B1A37">
        <w:rPr>
          <w:color w:val="000000"/>
        </w:rPr>
        <w:t>Dodává se v balení, které obsahuje 24, 48, 96, 120 nebo 180 tobolek, ale na trhu nemusí být dostupné všechny velikosti.</w:t>
      </w:r>
    </w:p>
    <w:p w14:paraId="212981D0" w14:textId="77777777" w:rsidR="00E61A01" w:rsidRPr="009B1A37" w:rsidRDefault="00E61A01" w:rsidP="00BE3D48">
      <w:pPr>
        <w:widowControl w:val="0"/>
        <w:tabs>
          <w:tab w:val="clear" w:pos="567"/>
        </w:tabs>
        <w:spacing w:line="240" w:lineRule="auto"/>
        <w:ind w:right="-2"/>
        <w:rPr>
          <w:color w:val="000000"/>
        </w:rPr>
      </w:pPr>
    </w:p>
    <w:p w14:paraId="5065C76D" w14:textId="77777777" w:rsidR="00E61A01" w:rsidRPr="009B1A37" w:rsidRDefault="00E61A01" w:rsidP="00BE3D48">
      <w:pPr>
        <w:pStyle w:val="Heading2"/>
        <w:widowControl w:val="0"/>
        <w:numPr>
          <w:ilvl w:val="0"/>
          <w:numId w:val="0"/>
        </w:numPr>
        <w:spacing w:before="0" w:after="0" w:line="240" w:lineRule="auto"/>
        <w:rPr>
          <w:rFonts w:ascii="Times New Roman" w:hAnsi="Times New Roman" w:cs="Times New Roman"/>
          <w:bCs w:val="0"/>
          <w:i w:val="0"/>
          <w:color w:val="000000"/>
          <w:sz w:val="22"/>
          <w:szCs w:val="22"/>
        </w:rPr>
      </w:pPr>
      <w:r w:rsidRPr="009B1A37">
        <w:rPr>
          <w:rFonts w:ascii="Times New Roman" w:hAnsi="Times New Roman" w:cs="Times New Roman"/>
          <w:bCs w:val="0"/>
          <w:i w:val="0"/>
          <w:color w:val="000000"/>
          <w:sz w:val="22"/>
          <w:szCs w:val="22"/>
        </w:rPr>
        <w:t>Držitel rozhodnutí o registraci</w:t>
      </w:r>
    </w:p>
    <w:p w14:paraId="6BA089A5" w14:textId="77777777" w:rsidR="00E61A01" w:rsidRPr="009B1A37" w:rsidRDefault="00E61A01" w:rsidP="00BE3D48">
      <w:pPr>
        <w:pStyle w:val="EndnoteText"/>
        <w:keepNext/>
        <w:widowControl w:val="0"/>
        <w:tabs>
          <w:tab w:val="clear" w:pos="567"/>
        </w:tabs>
        <w:rPr>
          <w:color w:val="000000"/>
        </w:rPr>
      </w:pPr>
      <w:r w:rsidRPr="009B1A37">
        <w:rPr>
          <w:color w:val="000000"/>
        </w:rPr>
        <w:t>Novartis Europharm Limited</w:t>
      </w:r>
    </w:p>
    <w:p w14:paraId="08CD721C" w14:textId="77777777" w:rsidR="00F05B3D" w:rsidRPr="009B1A37" w:rsidRDefault="00F05B3D" w:rsidP="00BE3D48">
      <w:pPr>
        <w:keepNext/>
        <w:widowControl w:val="0"/>
        <w:spacing w:line="240" w:lineRule="auto"/>
        <w:rPr>
          <w:color w:val="000000"/>
        </w:rPr>
      </w:pPr>
      <w:r w:rsidRPr="009B1A37">
        <w:rPr>
          <w:color w:val="000000"/>
        </w:rPr>
        <w:t>Vista Building</w:t>
      </w:r>
    </w:p>
    <w:p w14:paraId="4C9F56B1" w14:textId="77777777" w:rsidR="00F05B3D" w:rsidRPr="009B1A37" w:rsidRDefault="00F05B3D" w:rsidP="00BE3D48">
      <w:pPr>
        <w:keepNext/>
        <w:widowControl w:val="0"/>
        <w:spacing w:line="240" w:lineRule="auto"/>
        <w:rPr>
          <w:color w:val="000000"/>
        </w:rPr>
      </w:pPr>
      <w:r w:rsidRPr="009B1A37">
        <w:rPr>
          <w:color w:val="000000"/>
        </w:rPr>
        <w:t>Elm Park, Merrion Road</w:t>
      </w:r>
    </w:p>
    <w:p w14:paraId="17CD98D3" w14:textId="77777777" w:rsidR="00F05B3D" w:rsidRPr="009B1A37" w:rsidRDefault="00F05B3D" w:rsidP="00BE3D48">
      <w:pPr>
        <w:keepNext/>
        <w:widowControl w:val="0"/>
        <w:spacing w:line="240" w:lineRule="auto"/>
        <w:rPr>
          <w:color w:val="000000"/>
        </w:rPr>
      </w:pPr>
      <w:r w:rsidRPr="009B1A37">
        <w:rPr>
          <w:color w:val="000000"/>
        </w:rPr>
        <w:t>Dublin 4</w:t>
      </w:r>
    </w:p>
    <w:p w14:paraId="456C85EF" w14:textId="77777777" w:rsidR="00F05B3D" w:rsidRPr="009B1A37" w:rsidRDefault="00F05B3D" w:rsidP="00BE3D48">
      <w:pPr>
        <w:spacing w:line="240" w:lineRule="auto"/>
        <w:rPr>
          <w:color w:val="000000"/>
        </w:rPr>
      </w:pPr>
      <w:r w:rsidRPr="009B1A37">
        <w:rPr>
          <w:color w:val="000000"/>
        </w:rPr>
        <w:t>Irsko</w:t>
      </w:r>
    </w:p>
    <w:p w14:paraId="6F5AECE6" w14:textId="77777777" w:rsidR="00E61A01" w:rsidRPr="009B1A37" w:rsidRDefault="00E61A01" w:rsidP="00BE3D48">
      <w:pPr>
        <w:pStyle w:val="Text"/>
        <w:widowControl w:val="0"/>
        <w:spacing w:before="0"/>
        <w:jc w:val="left"/>
        <w:rPr>
          <w:color w:val="000000"/>
          <w:sz w:val="22"/>
          <w:szCs w:val="22"/>
          <w:lang w:val="cs-CZ"/>
        </w:rPr>
      </w:pPr>
    </w:p>
    <w:p w14:paraId="0E3F33E9" w14:textId="77777777" w:rsidR="00E61A01" w:rsidRPr="009B1A37" w:rsidRDefault="00E61A01" w:rsidP="00BE3D48">
      <w:pPr>
        <w:pStyle w:val="Heading2"/>
        <w:widowControl w:val="0"/>
        <w:numPr>
          <w:ilvl w:val="0"/>
          <w:numId w:val="0"/>
        </w:numPr>
        <w:spacing w:before="0" w:after="0" w:line="240" w:lineRule="auto"/>
        <w:rPr>
          <w:rFonts w:ascii="Times New Roman" w:hAnsi="Times New Roman" w:cs="Times New Roman"/>
          <w:bCs w:val="0"/>
          <w:i w:val="0"/>
          <w:color w:val="000000"/>
          <w:sz w:val="22"/>
          <w:szCs w:val="22"/>
        </w:rPr>
      </w:pPr>
      <w:r w:rsidRPr="009B1A37">
        <w:rPr>
          <w:rFonts w:ascii="Times New Roman" w:hAnsi="Times New Roman" w:cs="Times New Roman"/>
          <w:bCs w:val="0"/>
          <w:i w:val="0"/>
          <w:color w:val="000000"/>
          <w:sz w:val="22"/>
          <w:szCs w:val="22"/>
        </w:rPr>
        <w:t>Výrobce</w:t>
      </w:r>
    </w:p>
    <w:p w14:paraId="29B72AF7" w14:textId="77777777" w:rsidR="00E61A01" w:rsidRPr="009B1A37" w:rsidRDefault="00E61A01" w:rsidP="00BE3D48">
      <w:pPr>
        <w:keepNext/>
        <w:widowControl w:val="0"/>
        <w:spacing w:line="240" w:lineRule="auto"/>
        <w:rPr>
          <w:color w:val="000000"/>
        </w:rPr>
      </w:pPr>
      <w:r w:rsidRPr="009B1A37">
        <w:rPr>
          <w:color w:val="000000"/>
        </w:rPr>
        <w:t>Novartis Pharma GmbH</w:t>
      </w:r>
    </w:p>
    <w:p w14:paraId="72F81DD8" w14:textId="77777777" w:rsidR="00E61A01" w:rsidRPr="009B1A37" w:rsidRDefault="00E61A01" w:rsidP="00BE3D48">
      <w:pPr>
        <w:keepNext/>
        <w:widowControl w:val="0"/>
        <w:spacing w:line="240" w:lineRule="auto"/>
        <w:ind w:left="709" w:hanging="709"/>
        <w:rPr>
          <w:color w:val="000000"/>
        </w:rPr>
      </w:pPr>
      <w:r w:rsidRPr="009B1A37">
        <w:rPr>
          <w:color w:val="000000"/>
        </w:rPr>
        <w:t>Roonstrasse 25</w:t>
      </w:r>
    </w:p>
    <w:p w14:paraId="339DD8B0" w14:textId="77777777" w:rsidR="00E61A01" w:rsidRPr="009B1A37" w:rsidRDefault="00E61A01" w:rsidP="00BE3D48">
      <w:pPr>
        <w:keepNext/>
        <w:widowControl w:val="0"/>
        <w:spacing w:line="240" w:lineRule="auto"/>
        <w:ind w:left="709" w:hanging="709"/>
        <w:rPr>
          <w:color w:val="000000"/>
        </w:rPr>
      </w:pPr>
      <w:r w:rsidRPr="009B1A37">
        <w:rPr>
          <w:color w:val="000000"/>
        </w:rPr>
        <w:t>D-90429 Norimberk</w:t>
      </w:r>
    </w:p>
    <w:p w14:paraId="498E9D19" w14:textId="77777777" w:rsidR="00E61A01" w:rsidRPr="009B1A37" w:rsidRDefault="00E61A01" w:rsidP="00BE3D48">
      <w:pPr>
        <w:widowControl w:val="0"/>
        <w:tabs>
          <w:tab w:val="clear" w:pos="567"/>
        </w:tabs>
        <w:spacing w:line="240" w:lineRule="auto"/>
        <w:ind w:right="-2"/>
        <w:rPr>
          <w:color w:val="000000"/>
        </w:rPr>
      </w:pPr>
      <w:r w:rsidRPr="009B1A37">
        <w:rPr>
          <w:color w:val="000000"/>
        </w:rPr>
        <w:t>Německo</w:t>
      </w:r>
    </w:p>
    <w:p w14:paraId="7F2D94A8" w14:textId="7D032870" w:rsidR="00E61A01" w:rsidRDefault="00E61A01" w:rsidP="00BE3D48">
      <w:pPr>
        <w:widowControl w:val="0"/>
        <w:tabs>
          <w:tab w:val="clear" w:pos="567"/>
        </w:tabs>
        <w:spacing w:line="240" w:lineRule="auto"/>
        <w:ind w:right="-2"/>
        <w:rPr>
          <w:color w:val="000000"/>
        </w:rPr>
      </w:pPr>
    </w:p>
    <w:p w14:paraId="3A4A3CE3" w14:textId="77777777" w:rsidR="00E247AA" w:rsidRPr="00E247AA" w:rsidRDefault="00E247AA" w:rsidP="00E247AA">
      <w:pPr>
        <w:keepNext/>
        <w:widowControl w:val="0"/>
        <w:spacing w:line="240" w:lineRule="auto"/>
        <w:rPr>
          <w:color w:val="000000"/>
          <w:shd w:val="pct15" w:color="auto" w:fill="auto"/>
        </w:rPr>
      </w:pPr>
      <w:r w:rsidRPr="00E247AA">
        <w:rPr>
          <w:color w:val="000000"/>
          <w:shd w:val="pct15" w:color="auto" w:fill="auto"/>
        </w:rPr>
        <w:t>Sandoz S.R.L.</w:t>
      </w:r>
    </w:p>
    <w:p w14:paraId="4D0EB086" w14:textId="77777777" w:rsidR="00E247AA" w:rsidRPr="00E247AA" w:rsidRDefault="00E247AA" w:rsidP="00E247AA">
      <w:pPr>
        <w:keepNext/>
        <w:widowControl w:val="0"/>
        <w:spacing w:line="240" w:lineRule="auto"/>
        <w:rPr>
          <w:color w:val="000000"/>
          <w:shd w:val="pct15" w:color="auto" w:fill="auto"/>
        </w:rPr>
      </w:pPr>
      <w:r w:rsidRPr="00E247AA">
        <w:rPr>
          <w:color w:val="000000"/>
          <w:shd w:val="pct15" w:color="auto" w:fill="auto"/>
        </w:rPr>
        <w:t>Str. Livezeni nr. 7A</w:t>
      </w:r>
    </w:p>
    <w:p w14:paraId="4796D946" w14:textId="77777777" w:rsidR="00E247AA" w:rsidRPr="00E247AA" w:rsidRDefault="00E247AA" w:rsidP="00E247AA">
      <w:pPr>
        <w:keepNext/>
        <w:widowControl w:val="0"/>
        <w:spacing w:line="240" w:lineRule="auto"/>
        <w:rPr>
          <w:color w:val="000000"/>
          <w:shd w:val="pct15" w:color="auto" w:fill="auto"/>
        </w:rPr>
      </w:pPr>
      <w:r w:rsidRPr="00E247AA">
        <w:rPr>
          <w:color w:val="000000"/>
          <w:shd w:val="pct15" w:color="auto" w:fill="auto"/>
        </w:rPr>
        <w:t>540472, Targu Mures</w:t>
      </w:r>
    </w:p>
    <w:p w14:paraId="011A2F0C" w14:textId="77777777" w:rsidR="00E247AA" w:rsidRPr="00E247AA" w:rsidRDefault="00E247AA" w:rsidP="00E247AA">
      <w:pPr>
        <w:widowControl w:val="0"/>
        <w:spacing w:line="240" w:lineRule="auto"/>
        <w:rPr>
          <w:color w:val="000000"/>
          <w:shd w:val="pct15" w:color="auto" w:fill="auto"/>
        </w:rPr>
      </w:pPr>
      <w:r w:rsidRPr="00E247AA">
        <w:rPr>
          <w:color w:val="000000"/>
          <w:shd w:val="pct15" w:color="auto" w:fill="auto"/>
        </w:rPr>
        <w:t>Rumunsko</w:t>
      </w:r>
    </w:p>
    <w:p w14:paraId="7D3352FC" w14:textId="77777777" w:rsidR="00E247AA" w:rsidRPr="009B1A37" w:rsidRDefault="00E247AA" w:rsidP="00BE3D48">
      <w:pPr>
        <w:widowControl w:val="0"/>
        <w:tabs>
          <w:tab w:val="clear" w:pos="567"/>
        </w:tabs>
        <w:spacing w:line="240" w:lineRule="auto"/>
        <w:ind w:right="-2"/>
        <w:rPr>
          <w:color w:val="000000"/>
        </w:rPr>
      </w:pPr>
    </w:p>
    <w:p w14:paraId="12ACE34D" w14:textId="77777777" w:rsidR="00E61A01" w:rsidRPr="009B1A37" w:rsidRDefault="00E61A01" w:rsidP="00BE3D48">
      <w:pPr>
        <w:keepNext/>
        <w:widowControl w:val="0"/>
        <w:tabs>
          <w:tab w:val="clear" w:pos="567"/>
        </w:tabs>
        <w:spacing w:line="240" w:lineRule="auto"/>
        <w:ind w:right="-2"/>
        <w:rPr>
          <w:color w:val="000000"/>
        </w:rPr>
      </w:pPr>
      <w:r w:rsidRPr="009B1A37">
        <w:rPr>
          <w:color w:val="000000"/>
        </w:rPr>
        <w:t>Další informace o tomto přípravku získáte u místního zástupce držitele rozhodnutí o registraci:</w:t>
      </w:r>
    </w:p>
    <w:p w14:paraId="0D98B49A" w14:textId="77777777" w:rsidR="00762D0E" w:rsidRPr="009B1A37" w:rsidRDefault="00762D0E" w:rsidP="00BE3D48">
      <w:pPr>
        <w:keepNext/>
        <w:widowControl w:val="0"/>
        <w:tabs>
          <w:tab w:val="clear" w:pos="567"/>
        </w:tabs>
        <w:spacing w:line="240" w:lineRule="auto"/>
        <w:ind w:right="-449"/>
        <w:rPr>
          <w:color w:val="000000"/>
        </w:rPr>
      </w:pPr>
    </w:p>
    <w:tbl>
      <w:tblPr>
        <w:tblW w:w="9300" w:type="dxa"/>
        <w:tblLayout w:type="fixed"/>
        <w:tblLook w:val="0000" w:firstRow="0" w:lastRow="0" w:firstColumn="0" w:lastColumn="0" w:noHBand="0" w:noVBand="0"/>
      </w:tblPr>
      <w:tblGrid>
        <w:gridCol w:w="4650"/>
        <w:gridCol w:w="4650"/>
      </w:tblGrid>
      <w:tr w:rsidR="00762D0E" w:rsidRPr="009B1A37" w14:paraId="0AFA4FE4" w14:textId="77777777" w:rsidTr="00795E60">
        <w:trPr>
          <w:cantSplit/>
        </w:trPr>
        <w:tc>
          <w:tcPr>
            <w:tcW w:w="4650" w:type="dxa"/>
          </w:tcPr>
          <w:p w14:paraId="36553131" w14:textId="77777777" w:rsidR="00762D0E" w:rsidRPr="009B1A37" w:rsidRDefault="00762D0E" w:rsidP="00BE3D48">
            <w:pPr>
              <w:widowControl w:val="0"/>
              <w:spacing w:line="240" w:lineRule="auto"/>
              <w:rPr>
                <w:b/>
                <w:color w:val="000000"/>
              </w:rPr>
            </w:pPr>
            <w:r w:rsidRPr="009B1A37">
              <w:rPr>
                <w:b/>
                <w:color w:val="000000"/>
              </w:rPr>
              <w:t>België/Belgique/Belgien</w:t>
            </w:r>
          </w:p>
          <w:p w14:paraId="7D4CF5F2" w14:textId="77777777" w:rsidR="00762D0E" w:rsidRPr="009B1A37" w:rsidRDefault="00762D0E" w:rsidP="00BE3D48">
            <w:pPr>
              <w:widowControl w:val="0"/>
              <w:spacing w:line="240" w:lineRule="auto"/>
              <w:rPr>
                <w:color w:val="000000"/>
              </w:rPr>
            </w:pPr>
            <w:r w:rsidRPr="009B1A37">
              <w:rPr>
                <w:color w:val="000000"/>
              </w:rPr>
              <w:t>Novartis Pharma N.V.</w:t>
            </w:r>
          </w:p>
          <w:p w14:paraId="0C843A41" w14:textId="77777777" w:rsidR="00762D0E" w:rsidRPr="009B1A37" w:rsidRDefault="00762D0E" w:rsidP="00BE3D48">
            <w:pPr>
              <w:widowControl w:val="0"/>
              <w:spacing w:line="240" w:lineRule="auto"/>
              <w:rPr>
                <w:color w:val="000000"/>
              </w:rPr>
            </w:pPr>
            <w:r w:rsidRPr="009B1A37">
              <w:rPr>
                <w:color w:val="000000"/>
              </w:rPr>
              <w:t>Tél/Tel: +32 2 246 16 11</w:t>
            </w:r>
          </w:p>
          <w:p w14:paraId="47BB9479" w14:textId="77777777" w:rsidR="00762D0E" w:rsidRPr="009B1A37" w:rsidRDefault="00762D0E" w:rsidP="00BE3D48">
            <w:pPr>
              <w:widowControl w:val="0"/>
              <w:spacing w:line="240" w:lineRule="auto"/>
              <w:rPr>
                <w:b/>
                <w:color w:val="000000"/>
              </w:rPr>
            </w:pPr>
          </w:p>
        </w:tc>
        <w:tc>
          <w:tcPr>
            <w:tcW w:w="4650" w:type="dxa"/>
          </w:tcPr>
          <w:p w14:paraId="023BBD07" w14:textId="77777777" w:rsidR="00762D0E" w:rsidRPr="009B1A37" w:rsidRDefault="00762D0E" w:rsidP="00BE3D48">
            <w:pPr>
              <w:widowControl w:val="0"/>
              <w:spacing w:line="240" w:lineRule="auto"/>
              <w:rPr>
                <w:b/>
                <w:color w:val="000000"/>
              </w:rPr>
            </w:pPr>
            <w:r w:rsidRPr="009B1A37">
              <w:rPr>
                <w:b/>
                <w:color w:val="000000"/>
              </w:rPr>
              <w:t>Lietuva</w:t>
            </w:r>
          </w:p>
          <w:p w14:paraId="48CF6B91" w14:textId="01A74A49" w:rsidR="00762D0E" w:rsidRPr="009B1A37" w:rsidRDefault="007F7E28" w:rsidP="00BE3D48">
            <w:pPr>
              <w:widowControl w:val="0"/>
              <w:spacing w:line="240" w:lineRule="auto"/>
              <w:rPr>
                <w:color w:val="000000"/>
              </w:rPr>
            </w:pPr>
            <w:r w:rsidRPr="009B1A37">
              <w:t>SIA Novartis Baltics Lietuvos filialas</w:t>
            </w:r>
          </w:p>
          <w:p w14:paraId="585E7218" w14:textId="77777777" w:rsidR="00762D0E" w:rsidRPr="009B1A37" w:rsidRDefault="00762D0E" w:rsidP="00BE3D48">
            <w:pPr>
              <w:widowControl w:val="0"/>
              <w:spacing w:line="240" w:lineRule="auto"/>
              <w:rPr>
                <w:color w:val="000000"/>
              </w:rPr>
            </w:pPr>
            <w:r w:rsidRPr="009B1A37">
              <w:rPr>
                <w:color w:val="000000"/>
              </w:rPr>
              <w:t>Tel: +370 5 269 16 50</w:t>
            </w:r>
          </w:p>
          <w:p w14:paraId="3A4BDA16" w14:textId="77777777" w:rsidR="00762D0E" w:rsidRPr="009B1A37" w:rsidRDefault="00762D0E" w:rsidP="00BE3D48">
            <w:pPr>
              <w:widowControl w:val="0"/>
              <w:spacing w:line="240" w:lineRule="auto"/>
              <w:rPr>
                <w:color w:val="000000"/>
              </w:rPr>
            </w:pPr>
          </w:p>
        </w:tc>
      </w:tr>
      <w:tr w:rsidR="00762D0E" w:rsidRPr="009B1A37" w14:paraId="6866055C" w14:textId="77777777" w:rsidTr="00795E60">
        <w:trPr>
          <w:cantSplit/>
        </w:trPr>
        <w:tc>
          <w:tcPr>
            <w:tcW w:w="4650" w:type="dxa"/>
          </w:tcPr>
          <w:p w14:paraId="3FD7A5C2" w14:textId="77777777" w:rsidR="00762D0E" w:rsidRPr="009B1A37" w:rsidRDefault="00762D0E" w:rsidP="00BE3D48">
            <w:pPr>
              <w:widowControl w:val="0"/>
              <w:spacing w:line="240" w:lineRule="auto"/>
              <w:rPr>
                <w:b/>
                <w:noProof/>
                <w:color w:val="000000"/>
              </w:rPr>
            </w:pPr>
            <w:r w:rsidRPr="009B1A37">
              <w:rPr>
                <w:b/>
                <w:noProof/>
                <w:color w:val="000000"/>
              </w:rPr>
              <w:t>България</w:t>
            </w:r>
          </w:p>
          <w:p w14:paraId="4EFEEBB4" w14:textId="77777777" w:rsidR="00762D0E" w:rsidRPr="009B1A37" w:rsidRDefault="008E362E" w:rsidP="00BE3D48">
            <w:pPr>
              <w:widowControl w:val="0"/>
              <w:spacing w:line="240" w:lineRule="auto"/>
              <w:rPr>
                <w:noProof/>
                <w:color w:val="000000"/>
              </w:rPr>
            </w:pPr>
            <w:r w:rsidRPr="009B1A37">
              <w:t>Novartis Bulgaria EOOD</w:t>
            </w:r>
          </w:p>
          <w:p w14:paraId="24A52545" w14:textId="77777777" w:rsidR="00762D0E" w:rsidRPr="009B1A37" w:rsidRDefault="00762D0E" w:rsidP="00BE3D48">
            <w:pPr>
              <w:widowControl w:val="0"/>
              <w:spacing w:line="240" w:lineRule="auto"/>
              <w:rPr>
                <w:noProof/>
                <w:color w:val="000000"/>
              </w:rPr>
            </w:pPr>
            <w:r w:rsidRPr="009B1A37">
              <w:rPr>
                <w:noProof/>
                <w:color w:val="000000"/>
              </w:rPr>
              <w:t>Тел.: +359 2 489 98 28</w:t>
            </w:r>
          </w:p>
          <w:p w14:paraId="6E93897A" w14:textId="77777777" w:rsidR="00762D0E" w:rsidRPr="009B1A37" w:rsidRDefault="00762D0E" w:rsidP="00BE3D48">
            <w:pPr>
              <w:widowControl w:val="0"/>
              <w:spacing w:line="240" w:lineRule="auto"/>
              <w:rPr>
                <w:b/>
                <w:color w:val="000000"/>
              </w:rPr>
            </w:pPr>
          </w:p>
        </w:tc>
        <w:tc>
          <w:tcPr>
            <w:tcW w:w="4650" w:type="dxa"/>
          </w:tcPr>
          <w:p w14:paraId="2D0DFD1D" w14:textId="77777777" w:rsidR="00762D0E" w:rsidRPr="009B1A37" w:rsidRDefault="00762D0E" w:rsidP="00BE3D48">
            <w:pPr>
              <w:widowControl w:val="0"/>
              <w:spacing w:line="240" w:lineRule="auto"/>
              <w:rPr>
                <w:b/>
                <w:color w:val="000000"/>
              </w:rPr>
            </w:pPr>
            <w:r w:rsidRPr="009B1A37">
              <w:rPr>
                <w:b/>
                <w:color w:val="000000"/>
              </w:rPr>
              <w:t>Luxembourg/Luxemburg</w:t>
            </w:r>
          </w:p>
          <w:p w14:paraId="0CB41BAD" w14:textId="77777777" w:rsidR="00762D0E" w:rsidRPr="009B1A37" w:rsidRDefault="00762D0E" w:rsidP="00BE3D48">
            <w:pPr>
              <w:widowControl w:val="0"/>
              <w:spacing w:line="240" w:lineRule="auto"/>
              <w:rPr>
                <w:color w:val="000000"/>
              </w:rPr>
            </w:pPr>
            <w:r w:rsidRPr="009B1A37">
              <w:rPr>
                <w:color w:val="000000"/>
              </w:rPr>
              <w:t>Novartis Pharma N.V.</w:t>
            </w:r>
          </w:p>
          <w:p w14:paraId="74968307" w14:textId="77777777" w:rsidR="00762D0E" w:rsidRPr="009B1A37" w:rsidRDefault="00762D0E" w:rsidP="00BE3D48">
            <w:pPr>
              <w:widowControl w:val="0"/>
              <w:spacing w:line="240" w:lineRule="auto"/>
              <w:rPr>
                <w:color w:val="000000"/>
              </w:rPr>
            </w:pPr>
            <w:r w:rsidRPr="009B1A37">
              <w:rPr>
                <w:color w:val="000000"/>
              </w:rPr>
              <w:t>Tél/Tel: +32 2 246 16 11</w:t>
            </w:r>
          </w:p>
          <w:p w14:paraId="4D2D92D0" w14:textId="77777777" w:rsidR="00762D0E" w:rsidRPr="009B1A37" w:rsidRDefault="00762D0E" w:rsidP="00BE3D48">
            <w:pPr>
              <w:widowControl w:val="0"/>
              <w:spacing w:line="240" w:lineRule="auto"/>
              <w:rPr>
                <w:color w:val="000000"/>
              </w:rPr>
            </w:pPr>
          </w:p>
        </w:tc>
      </w:tr>
      <w:tr w:rsidR="00762D0E" w:rsidRPr="009B1A37" w14:paraId="53A9C208" w14:textId="77777777" w:rsidTr="00795E60">
        <w:trPr>
          <w:cantSplit/>
        </w:trPr>
        <w:tc>
          <w:tcPr>
            <w:tcW w:w="4650" w:type="dxa"/>
          </w:tcPr>
          <w:p w14:paraId="2CE8856C" w14:textId="77777777" w:rsidR="00762D0E" w:rsidRPr="009B1A37" w:rsidRDefault="00762D0E" w:rsidP="00BE3D48">
            <w:pPr>
              <w:widowControl w:val="0"/>
              <w:spacing w:line="240" w:lineRule="auto"/>
              <w:rPr>
                <w:b/>
                <w:color w:val="000000"/>
              </w:rPr>
            </w:pPr>
            <w:r w:rsidRPr="009B1A37">
              <w:rPr>
                <w:b/>
                <w:color w:val="000000"/>
              </w:rPr>
              <w:t>Česká republika</w:t>
            </w:r>
          </w:p>
          <w:p w14:paraId="6F534265" w14:textId="77777777" w:rsidR="00762D0E" w:rsidRPr="009B1A37" w:rsidRDefault="00762D0E" w:rsidP="00BE3D48">
            <w:pPr>
              <w:widowControl w:val="0"/>
              <w:spacing w:line="240" w:lineRule="auto"/>
              <w:rPr>
                <w:color w:val="000000"/>
              </w:rPr>
            </w:pPr>
            <w:r w:rsidRPr="009B1A37">
              <w:rPr>
                <w:color w:val="000000"/>
              </w:rPr>
              <w:t>Novartis s.r.o.</w:t>
            </w:r>
          </w:p>
          <w:p w14:paraId="68270570" w14:textId="77777777" w:rsidR="00762D0E" w:rsidRPr="009B1A37" w:rsidRDefault="00762D0E" w:rsidP="00BE3D48">
            <w:pPr>
              <w:widowControl w:val="0"/>
              <w:spacing w:line="240" w:lineRule="auto"/>
              <w:rPr>
                <w:color w:val="000000"/>
              </w:rPr>
            </w:pPr>
            <w:r w:rsidRPr="009B1A37">
              <w:rPr>
                <w:color w:val="000000"/>
              </w:rPr>
              <w:t>Tel: +420 225 775 111</w:t>
            </w:r>
          </w:p>
          <w:p w14:paraId="3C08977E" w14:textId="77777777" w:rsidR="00762D0E" w:rsidRPr="009B1A37" w:rsidRDefault="00762D0E" w:rsidP="00BE3D48">
            <w:pPr>
              <w:widowControl w:val="0"/>
              <w:spacing w:line="240" w:lineRule="auto"/>
              <w:rPr>
                <w:b/>
                <w:color w:val="000000"/>
              </w:rPr>
            </w:pPr>
          </w:p>
        </w:tc>
        <w:tc>
          <w:tcPr>
            <w:tcW w:w="4650" w:type="dxa"/>
          </w:tcPr>
          <w:p w14:paraId="30A895A4" w14:textId="77777777" w:rsidR="00762D0E" w:rsidRPr="009B1A37" w:rsidRDefault="00762D0E" w:rsidP="00BE3D48">
            <w:pPr>
              <w:widowControl w:val="0"/>
              <w:spacing w:line="240" w:lineRule="auto"/>
              <w:rPr>
                <w:b/>
                <w:color w:val="000000"/>
              </w:rPr>
            </w:pPr>
            <w:r w:rsidRPr="009B1A37">
              <w:rPr>
                <w:b/>
                <w:color w:val="000000"/>
              </w:rPr>
              <w:t>Magyarország</w:t>
            </w:r>
          </w:p>
          <w:p w14:paraId="4E817863" w14:textId="77777777" w:rsidR="00762D0E" w:rsidRPr="009B1A37" w:rsidRDefault="00762D0E" w:rsidP="00BE3D48">
            <w:pPr>
              <w:widowControl w:val="0"/>
              <w:spacing w:line="240" w:lineRule="auto"/>
              <w:rPr>
                <w:color w:val="000000"/>
              </w:rPr>
            </w:pPr>
            <w:r w:rsidRPr="009B1A37">
              <w:rPr>
                <w:color w:val="000000"/>
              </w:rPr>
              <w:t>Novartis Hungária Kft.</w:t>
            </w:r>
          </w:p>
          <w:p w14:paraId="57F45690" w14:textId="77777777" w:rsidR="00762D0E" w:rsidRPr="009B1A37" w:rsidRDefault="00762D0E" w:rsidP="00BE3D48">
            <w:pPr>
              <w:widowControl w:val="0"/>
              <w:spacing w:line="240" w:lineRule="auto"/>
              <w:rPr>
                <w:color w:val="000000"/>
              </w:rPr>
            </w:pPr>
            <w:r w:rsidRPr="009B1A37">
              <w:rPr>
                <w:color w:val="000000"/>
              </w:rPr>
              <w:t>Tel.: +36 1 457 65 00</w:t>
            </w:r>
          </w:p>
        </w:tc>
      </w:tr>
      <w:tr w:rsidR="00762D0E" w:rsidRPr="009B1A37" w14:paraId="491219C2" w14:textId="77777777" w:rsidTr="00795E60">
        <w:trPr>
          <w:cantSplit/>
        </w:trPr>
        <w:tc>
          <w:tcPr>
            <w:tcW w:w="4650" w:type="dxa"/>
          </w:tcPr>
          <w:p w14:paraId="32858014" w14:textId="77777777" w:rsidR="00762D0E" w:rsidRPr="009B1A37" w:rsidRDefault="00762D0E" w:rsidP="00BE3D48">
            <w:pPr>
              <w:widowControl w:val="0"/>
              <w:spacing w:line="240" w:lineRule="auto"/>
              <w:rPr>
                <w:b/>
                <w:color w:val="000000"/>
              </w:rPr>
            </w:pPr>
            <w:r w:rsidRPr="009B1A37">
              <w:rPr>
                <w:b/>
                <w:color w:val="000000"/>
              </w:rPr>
              <w:t>Danmark</w:t>
            </w:r>
          </w:p>
          <w:p w14:paraId="468F4A92" w14:textId="77777777" w:rsidR="00762D0E" w:rsidRPr="009B1A37" w:rsidRDefault="00762D0E" w:rsidP="00BE3D48">
            <w:pPr>
              <w:widowControl w:val="0"/>
              <w:spacing w:line="240" w:lineRule="auto"/>
              <w:rPr>
                <w:color w:val="000000"/>
              </w:rPr>
            </w:pPr>
            <w:r w:rsidRPr="009B1A37">
              <w:rPr>
                <w:color w:val="000000"/>
              </w:rPr>
              <w:t>Novartis Healthcare A/S</w:t>
            </w:r>
          </w:p>
          <w:p w14:paraId="022C8B93" w14:textId="77777777" w:rsidR="00762D0E" w:rsidRPr="009B1A37" w:rsidRDefault="00762D0E" w:rsidP="00BE3D48">
            <w:pPr>
              <w:widowControl w:val="0"/>
              <w:spacing w:line="240" w:lineRule="auto"/>
              <w:rPr>
                <w:color w:val="000000"/>
              </w:rPr>
            </w:pPr>
            <w:r w:rsidRPr="009B1A37">
              <w:rPr>
                <w:color w:val="000000"/>
              </w:rPr>
              <w:t>Tlf: +45 39 16 84 00</w:t>
            </w:r>
          </w:p>
          <w:p w14:paraId="01F3334A" w14:textId="77777777" w:rsidR="00762D0E" w:rsidRPr="009B1A37" w:rsidRDefault="00762D0E" w:rsidP="00BE3D48">
            <w:pPr>
              <w:widowControl w:val="0"/>
              <w:spacing w:line="240" w:lineRule="auto"/>
              <w:rPr>
                <w:b/>
                <w:color w:val="000000"/>
              </w:rPr>
            </w:pPr>
          </w:p>
        </w:tc>
        <w:tc>
          <w:tcPr>
            <w:tcW w:w="4650" w:type="dxa"/>
          </w:tcPr>
          <w:p w14:paraId="6A0349CA" w14:textId="77777777" w:rsidR="00762D0E" w:rsidRPr="009B1A37" w:rsidRDefault="00762D0E" w:rsidP="00BE3D48">
            <w:pPr>
              <w:widowControl w:val="0"/>
              <w:spacing w:line="240" w:lineRule="auto"/>
              <w:rPr>
                <w:b/>
                <w:color w:val="000000"/>
              </w:rPr>
            </w:pPr>
            <w:r w:rsidRPr="009B1A37">
              <w:rPr>
                <w:b/>
                <w:color w:val="000000"/>
              </w:rPr>
              <w:t>Malta</w:t>
            </w:r>
          </w:p>
          <w:p w14:paraId="1B32CC28" w14:textId="77777777" w:rsidR="00762D0E" w:rsidRPr="009B1A37" w:rsidRDefault="00762D0E" w:rsidP="00BE3D48">
            <w:pPr>
              <w:widowControl w:val="0"/>
              <w:spacing w:line="240" w:lineRule="auto"/>
              <w:rPr>
                <w:color w:val="000000"/>
              </w:rPr>
            </w:pPr>
            <w:r w:rsidRPr="009B1A37">
              <w:rPr>
                <w:color w:val="000000"/>
              </w:rPr>
              <w:t>Novartis Pharma Services Inc.</w:t>
            </w:r>
          </w:p>
          <w:p w14:paraId="06CEDD72" w14:textId="77777777" w:rsidR="00762D0E" w:rsidRPr="009B1A37" w:rsidRDefault="00762D0E" w:rsidP="00BE3D48">
            <w:pPr>
              <w:widowControl w:val="0"/>
              <w:spacing w:line="240" w:lineRule="auto"/>
              <w:rPr>
                <w:color w:val="000000"/>
              </w:rPr>
            </w:pPr>
            <w:r w:rsidRPr="009B1A37">
              <w:rPr>
                <w:color w:val="000000"/>
              </w:rPr>
              <w:t>Tel: +356 2122 2872</w:t>
            </w:r>
          </w:p>
        </w:tc>
      </w:tr>
      <w:tr w:rsidR="00762D0E" w:rsidRPr="009B1A37" w14:paraId="73DEA5A9" w14:textId="77777777" w:rsidTr="00795E60">
        <w:trPr>
          <w:cantSplit/>
        </w:trPr>
        <w:tc>
          <w:tcPr>
            <w:tcW w:w="4650" w:type="dxa"/>
          </w:tcPr>
          <w:p w14:paraId="5672FBEB" w14:textId="77777777" w:rsidR="00762D0E" w:rsidRPr="009B1A37" w:rsidRDefault="00762D0E" w:rsidP="00BE3D48">
            <w:pPr>
              <w:widowControl w:val="0"/>
              <w:spacing w:line="240" w:lineRule="auto"/>
              <w:rPr>
                <w:b/>
                <w:color w:val="000000"/>
              </w:rPr>
            </w:pPr>
            <w:r w:rsidRPr="009B1A37">
              <w:rPr>
                <w:b/>
                <w:color w:val="000000"/>
              </w:rPr>
              <w:t>Deutschland</w:t>
            </w:r>
          </w:p>
          <w:p w14:paraId="14375B69" w14:textId="77777777" w:rsidR="00762D0E" w:rsidRPr="009B1A37" w:rsidRDefault="00762D0E" w:rsidP="00BE3D48">
            <w:pPr>
              <w:widowControl w:val="0"/>
              <w:spacing w:line="240" w:lineRule="auto"/>
              <w:rPr>
                <w:color w:val="000000"/>
              </w:rPr>
            </w:pPr>
            <w:r w:rsidRPr="009B1A37">
              <w:rPr>
                <w:color w:val="000000"/>
              </w:rPr>
              <w:t>Novartis Pharma GmbH</w:t>
            </w:r>
          </w:p>
          <w:p w14:paraId="2ABA9A58" w14:textId="77777777" w:rsidR="00762D0E" w:rsidRPr="009B1A37" w:rsidRDefault="00762D0E" w:rsidP="00BE3D48">
            <w:pPr>
              <w:widowControl w:val="0"/>
              <w:spacing w:line="240" w:lineRule="auto"/>
              <w:rPr>
                <w:color w:val="000000"/>
              </w:rPr>
            </w:pPr>
            <w:r w:rsidRPr="009B1A37">
              <w:rPr>
                <w:color w:val="000000"/>
              </w:rPr>
              <w:t>Tel: +49 911 273 0</w:t>
            </w:r>
          </w:p>
          <w:p w14:paraId="53BFFB95" w14:textId="77777777" w:rsidR="00762D0E" w:rsidRPr="009B1A37" w:rsidRDefault="00762D0E" w:rsidP="00BE3D48">
            <w:pPr>
              <w:widowControl w:val="0"/>
              <w:spacing w:line="240" w:lineRule="auto"/>
              <w:rPr>
                <w:b/>
                <w:color w:val="000000"/>
              </w:rPr>
            </w:pPr>
          </w:p>
        </w:tc>
        <w:tc>
          <w:tcPr>
            <w:tcW w:w="4650" w:type="dxa"/>
          </w:tcPr>
          <w:p w14:paraId="07236643" w14:textId="77777777" w:rsidR="00762D0E" w:rsidRPr="009B1A37" w:rsidRDefault="00762D0E" w:rsidP="00BE3D48">
            <w:pPr>
              <w:widowControl w:val="0"/>
              <w:spacing w:line="240" w:lineRule="auto"/>
              <w:rPr>
                <w:b/>
                <w:color w:val="000000"/>
              </w:rPr>
            </w:pPr>
            <w:r w:rsidRPr="009B1A37">
              <w:rPr>
                <w:b/>
                <w:color w:val="000000"/>
              </w:rPr>
              <w:t>Nederland</w:t>
            </w:r>
          </w:p>
          <w:p w14:paraId="7416D7BA" w14:textId="77777777" w:rsidR="00762D0E" w:rsidRPr="009B1A37" w:rsidRDefault="00762D0E" w:rsidP="00BE3D48">
            <w:pPr>
              <w:widowControl w:val="0"/>
              <w:spacing w:line="240" w:lineRule="auto"/>
              <w:rPr>
                <w:color w:val="000000"/>
              </w:rPr>
            </w:pPr>
            <w:r w:rsidRPr="009B1A37">
              <w:rPr>
                <w:color w:val="000000"/>
              </w:rPr>
              <w:t>Novartis Pharma B.V.</w:t>
            </w:r>
          </w:p>
          <w:p w14:paraId="2B5EEE09" w14:textId="09D99090" w:rsidR="00762D0E" w:rsidRPr="009B1A37" w:rsidRDefault="00762D0E" w:rsidP="00BE3D48">
            <w:pPr>
              <w:widowControl w:val="0"/>
              <w:spacing w:line="240" w:lineRule="auto"/>
              <w:rPr>
                <w:color w:val="000000"/>
              </w:rPr>
            </w:pPr>
            <w:r w:rsidRPr="009B1A37">
              <w:rPr>
                <w:color w:val="000000"/>
              </w:rPr>
              <w:t xml:space="preserve">Tel: +31 </w:t>
            </w:r>
            <w:r w:rsidR="00897AA8">
              <w:rPr>
                <w:color w:val="000000"/>
              </w:rPr>
              <w:t>88 04 52</w:t>
            </w:r>
            <w:r w:rsidRPr="009B1A37">
              <w:rPr>
                <w:color w:val="000000"/>
              </w:rPr>
              <w:t xml:space="preserve"> </w:t>
            </w:r>
            <w:r w:rsidR="00F35C9B" w:rsidRPr="009B1A37">
              <w:rPr>
                <w:color w:val="000000"/>
              </w:rPr>
              <w:t>555</w:t>
            </w:r>
          </w:p>
        </w:tc>
      </w:tr>
      <w:tr w:rsidR="00762D0E" w:rsidRPr="009B1A37" w14:paraId="79CD747B" w14:textId="77777777" w:rsidTr="00795E60">
        <w:trPr>
          <w:cantSplit/>
        </w:trPr>
        <w:tc>
          <w:tcPr>
            <w:tcW w:w="4650" w:type="dxa"/>
          </w:tcPr>
          <w:p w14:paraId="3F862ECB" w14:textId="77777777" w:rsidR="00762D0E" w:rsidRPr="009B1A37" w:rsidRDefault="00762D0E" w:rsidP="00BE3D48">
            <w:pPr>
              <w:widowControl w:val="0"/>
              <w:spacing w:line="240" w:lineRule="auto"/>
              <w:rPr>
                <w:b/>
                <w:color w:val="000000"/>
              </w:rPr>
            </w:pPr>
            <w:r w:rsidRPr="009B1A37">
              <w:rPr>
                <w:b/>
                <w:color w:val="000000"/>
              </w:rPr>
              <w:t>Eesti</w:t>
            </w:r>
          </w:p>
          <w:p w14:paraId="19BDF8E4" w14:textId="77777777" w:rsidR="00762D0E" w:rsidRPr="009B1A37" w:rsidRDefault="007F7E28" w:rsidP="00BE3D48">
            <w:pPr>
              <w:widowControl w:val="0"/>
              <w:spacing w:line="240" w:lineRule="auto"/>
              <w:rPr>
                <w:color w:val="000000"/>
              </w:rPr>
            </w:pPr>
            <w:r w:rsidRPr="009B1A37">
              <w:t>SIA Novartis Baltics Eesti filiaal</w:t>
            </w:r>
          </w:p>
          <w:p w14:paraId="2801FFD2" w14:textId="77777777" w:rsidR="00762D0E" w:rsidRPr="009B1A37" w:rsidRDefault="00762D0E" w:rsidP="00BE3D48">
            <w:pPr>
              <w:widowControl w:val="0"/>
              <w:spacing w:line="240" w:lineRule="auto"/>
              <w:rPr>
                <w:color w:val="000000"/>
              </w:rPr>
            </w:pPr>
            <w:r w:rsidRPr="009B1A37">
              <w:rPr>
                <w:color w:val="000000"/>
              </w:rPr>
              <w:t>Tel: +372 66 30 810</w:t>
            </w:r>
          </w:p>
          <w:p w14:paraId="6FBFEF95" w14:textId="77777777" w:rsidR="00762D0E" w:rsidRPr="009B1A37" w:rsidRDefault="00762D0E" w:rsidP="00BE3D48">
            <w:pPr>
              <w:widowControl w:val="0"/>
              <w:spacing w:line="240" w:lineRule="auto"/>
              <w:rPr>
                <w:b/>
                <w:color w:val="000000"/>
              </w:rPr>
            </w:pPr>
          </w:p>
        </w:tc>
        <w:tc>
          <w:tcPr>
            <w:tcW w:w="4650" w:type="dxa"/>
          </w:tcPr>
          <w:p w14:paraId="31570E3B" w14:textId="77777777" w:rsidR="00762D0E" w:rsidRPr="009B1A37" w:rsidRDefault="00762D0E" w:rsidP="00BE3D48">
            <w:pPr>
              <w:widowControl w:val="0"/>
              <w:spacing w:line="240" w:lineRule="auto"/>
              <w:rPr>
                <w:b/>
                <w:color w:val="000000"/>
              </w:rPr>
            </w:pPr>
            <w:r w:rsidRPr="009B1A37">
              <w:rPr>
                <w:b/>
                <w:color w:val="000000"/>
              </w:rPr>
              <w:t>Norge</w:t>
            </w:r>
          </w:p>
          <w:p w14:paraId="73C9C4DF" w14:textId="77777777" w:rsidR="00762D0E" w:rsidRPr="009B1A37" w:rsidRDefault="00762D0E" w:rsidP="00BE3D48">
            <w:pPr>
              <w:widowControl w:val="0"/>
              <w:spacing w:line="240" w:lineRule="auto"/>
              <w:rPr>
                <w:color w:val="000000"/>
              </w:rPr>
            </w:pPr>
            <w:r w:rsidRPr="009B1A37">
              <w:rPr>
                <w:color w:val="000000"/>
              </w:rPr>
              <w:t>Novartis Norge AS</w:t>
            </w:r>
          </w:p>
          <w:p w14:paraId="1E929E3E" w14:textId="77777777" w:rsidR="00762D0E" w:rsidRPr="009B1A37" w:rsidRDefault="00762D0E" w:rsidP="00BE3D48">
            <w:pPr>
              <w:widowControl w:val="0"/>
              <w:spacing w:line="240" w:lineRule="auto"/>
              <w:rPr>
                <w:color w:val="000000"/>
              </w:rPr>
            </w:pPr>
            <w:r w:rsidRPr="009B1A37">
              <w:rPr>
                <w:color w:val="000000"/>
              </w:rPr>
              <w:t>Tlf: +47 23 05 20 00</w:t>
            </w:r>
          </w:p>
        </w:tc>
      </w:tr>
      <w:tr w:rsidR="00762D0E" w:rsidRPr="009B1A37" w14:paraId="0F23A333" w14:textId="77777777" w:rsidTr="00795E60">
        <w:trPr>
          <w:cantSplit/>
        </w:trPr>
        <w:tc>
          <w:tcPr>
            <w:tcW w:w="4650" w:type="dxa"/>
          </w:tcPr>
          <w:p w14:paraId="59FA8938" w14:textId="77777777" w:rsidR="00762D0E" w:rsidRPr="009B1A37" w:rsidRDefault="00762D0E" w:rsidP="00BE3D48">
            <w:pPr>
              <w:widowControl w:val="0"/>
              <w:spacing w:line="240" w:lineRule="auto"/>
              <w:rPr>
                <w:b/>
                <w:color w:val="000000"/>
              </w:rPr>
            </w:pPr>
            <w:r w:rsidRPr="009B1A37">
              <w:rPr>
                <w:b/>
                <w:color w:val="000000"/>
              </w:rPr>
              <w:t>Ελλάδα</w:t>
            </w:r>
          </w:p>
          <w:p w14:paraId="7B6F10F7" w14:textId="77777777" w:rsidR="00762D0E" w:rsidRPr="009B1A37" w:rsidRDefault="00762D0E" w:rsidP="00BE3D48">
            <w:pPr>
              <w:widowControl w:val="0"/>
              <w:spacing w:line="240" w:lineRule="auto"/>
              <w:rPr>
                <w:color w:val="000000"/>
              </w:rPr>
            </w:pPr>
            <w:r w:rsidRPr="009B1A37">
              <w:rPr>
                <w:color w:val="000000"/>
              </w:rPr>
              <w:t>Novartis (Hellas) A.E.B.E.</w:t>
            </w:r>
          </w:p>
          <w:p w14:paraId="6EEADBF3" w14:textId="77777777" w:rsidR="00762D0E" w:rsidRPr="009B1A37" w:rsidRDefault="00762D0E" w:rsidP="00BE3D48">
            <w:pPr>
              <w:widowControl w:val="0"/>
              <w:spacing w:line="240" w:lineRule="auto"/>
              <w:rPr>
                <w:color w:val="000000"/>
              </w:rPr>
            </w:pPr>
            <w:r w:rsidRPr="009B1A37">
              <w:rPr>
                <w:color w:val="000000"/>
              </w:rPr>
              <w:t>Τηλ: +30 210 281 17 12</w:t>
            </w:r>
          </w:p>
          <w:p w14:paraId="4304DBCF" w14:textId="77777777" w:rsidR="00762D0E" w:rsidRPr="009B1A37" w:rsidRDefault="00762D0E" w:rsidP="00BE3D48">
            <w:pPr>
              <w:widowControl w:val="0"/>
              <w:spacing w:line="240" w:lineRule="auto"/>
              <w:rPr>
                <w:b/>
                <w:color w:val="000000"/>
              </w:rPr>
            </w:pPr>
          </w:p>
        </w:tc>
        <w:tc>
          <w:tcPr>
            <w:tcW w:w="4650" w:type="dxa"/>
          </w:tcPr>
          <w:p w14:paraId="2C7168A5" w14:textId="77777777" w:rsidR="00762D0E" w:rsidRPr="009B1A37" w:rsidRDefault="00762D0E" w:rsidP="00BE3D48">
            <w:pPr>
              <w:widowControl w:val="0"/>
              <w:spacing w:line="240" w:lineRule="auto"/>
              <w:rPr>
                <w:b/>
                <w:color w:val="000000"/>
              </w:rPr>
            </w:pPr>
            <w:r w:rsidRPr="009B1A37">
              <w:rPr>
                <w:b/>
                <w:color w:val="000000"/>
              </w:rPr>
              <w:t>Österreich</w:t>
            </w:r>
          </w:p>
          <w:p w14:paraId="15C8509E" w14:textId="77777777" w:rsidR="00762D0E" w:rsidRPr="009B1A37" w:rsidRDefault="00762D0E" w:rsidP="00BE3D48">
            <w:pPr>
              <w:widowControl w:val="0"/>
              <w:spacing w:line="240" w:lineRule="auto"/>
              <w:rPr>
                <w:color w:val="000000"/>
              </w:rPr>
            </w:pPr>
            <w:r w:rsidRPr="009B1A37">
              <w:rPr>
                <w:color w:val="000000"/>
              </w:rPr>
              <w:t>Novartis Pharma GmbH</w:t>
            </w:r>
          </w:p>
          <w:p w14:paraId="40C98C99" w14:textId="77777777" w:rsidR="00762D0E" w:rsidRPr="009B1A37" w:rsidRDefault="00762D0E" w:rsidP="00BE3D48">
            <w:pPr>
              <w:widowControl w:val="0"/>
              <w:spacing w:line="240" w:lineRule="auto"/>
              <w:rPr>
                <w:color w:val="000000"/>
              </w:rPr>
            </w:pPr>
            <w:r w:rsidRPr="009B1A37">
              <w:rPr>
                <w:color w:val="000000"/>
              </w:rPr>
              <w:t>Tel: +43 1 86 6570</w:t>
            </w:r>
          </w:p>
        </w:tc>
      </w:tr>
      <w:tr w:rsidR="00762D0E" w:rsidRPr="009B1A37" w14:paraId="243F7240" w14:textId="77777777" w:rsidTr="00795E60">
        <w:trPr>
          <w:cantSplit/>
        </w:trPr>
        <w:tc>
          <w:tcPr>
            <w:tcW w:w="4650" w:type="dxa"/>
          </w:tcPr>
          <w:p w14:paraId="6538984B" w14:textId="77777777" w:rsidR="00762D0E" w:rsidRPr="009B1A37" w:rsidRDefault="00762D0E" w:rsidP="00BE3D48">
            <w:pPr>
              <w:widowControl w:val="0"/>
              <w:spacing w:line="240" w:lineRule="auto"/>
              <w:rPr>
                <w:b/>
                <w:color w:val="000000"/>
              </w:rPr>
            </w:pPr>
            <w:r w:rsidRPr="009B1A37">
              <w:rPr>
                <w:b/>
                <w:color w:val="000000"/>
              </w:rPr>
              <w:t>España</w:t>
            </w:r>
          </w:p>
          <w:p w14:paraId="47375B00" w14:textId="77777777" w:rsidR="00762D0E" w:rsidRPr="009B1A37" w:rsidRDefault="00762D0E" w:rsidP="00BE3D48">
            <w:pPr>
              <w:widowControl w:val="0"/>
              <w:spacing w:line="240" w:lineRule="auto"/>
              <w:rPr>
                <w:color w:val="000000"/>
              </w:rPr>
            </w:pPr>
            <w:r w:rsidRPr="009B1A37">
              <w:rPr>
                <w:color w:val="000000"/>
              </w:rPr>
              <w:t>Novartis Farmacéutica, S.A.</w:t>
            </w:r>
          </w:p>
          <w:p w14:paraId="31AADC1A" w14:textId="77777777" w:rsidR="00762D0E" w:rsidRPr="009B1A37" w:rsidRDefault="00762D0E" w:rsidP="00BE3D48">
            <w:pPr>
              <w:widowControl w:val="0"/>
              <w:spacing w:line="240" w:lineRule="auto"/>
              <w:rPr>
                <w:color w:val="000000"/>
              </w:rPr>
            </w:pPr>
            <w:r w:rsidRPr="009B1A37">
              <w:rPr>
                <w:color w:val="000000"/>
              </w:rPr>
              <w:t>Tel: +34 93 306 42 00</w:t>
            </w:r>
          </w:p>
          <w:p w14:paraId="02CAA7C4" w14:textId="77777777" w:rsidR="00762D0E" w:rsidRPr="009B1A37" w:rsidRDefault="00762D0E" w:rsidP="00BE3D48">
            <w:pPr>
              <w:widowControl w:val="0"/>
              <w:spacing w:line="240" w:lineRule="auto"/>
              <w:rPr>
                <w:b/>
                <w:color w:val="000000"/>
              </w:rPr>
            </w:pPr>
          </w:p>
        </w:tc>
        <w:tc>
          <w:tcPr>
            <w:tcW w:w="4650" w:type="dxa"/>
          </w:tcPr>
          <w:p w14:paraId="3392C745" w14:textId="77777777" w:rsidR="00762D0E" w:rsidRPr="009B1A37" w:rsidRDefault="00762D0E" w:rsidP="00BE3D48">
            <w:pPr>
              <w:widowControl w:val="0"/>
              <w:spacing w:line="240" w:lineRule="auto"/>
              <w:rPr>
                <w:b/>
                <w:color w:val="000000"/>
              </w:rPr>
            </w:pPr>
            <w:r w:rsidRPr="009B1A37">
              <w:rPr>
                <w:b/>
                <w:color w:val="000000"/>
              </w:rPr>
              <w:t>Polska</w:t>
            </w:r>
          </w:p>
          <w:p w14:paraId="20F37D55" w14:textId="77777777" w:rsidR="00762D0E" w:rsidRPr="009B1A37" w:rsidRDefault="00762D0E" w:rsidP="00BE3D48">
            <w:pPr>
              <w:widowControl w:val="0"/>
              <w:spacing w:line="240" w:lineRule="auto"/>
              <w:rPr>
                <w:color w:val="000000"/>
              </w:rPr>
            </w:pPr>
            <w:r w:rsidRPr="009B1A37">
              <w:rPr>
                <w:color w:val="000000"/>
              </w:rPr>
              <w:t>Novartis Poland Sp. z o.o.</w:t>
            </w:r>
          </w:p>
          <w:p w14:paraId="381BF980" w14:textId="77777777" w:rsidR="00762D0E" w:rsidRPr="009B1A37" w:rsidRDefault="00762D0E" w:rsidP="00BE3D48">
            <w:pPr>
              <w:widowControl w:val="0"/>
              <w:spacing w:line="240" w:lineRule="auto"/>
              <w:rPr>
                <w:color w:val="000000"/>
              </w:rPr>
            </w:pPr>
            <w:r w:rsidRPr="009B1A37">
              <w:rPr>
                <w:color w:val="000000"/>
              </w:rPr>
              <w:t xml:space="preserve">Tel.: +48 22 </w:t>
            </w:r>
            <w:r w:rsidRPr="009B1A37">
              <w:t>375 4888</w:t>
            </w:r>
          </w:p>
        </w:tc>
      </w:tr>
      <w:tr w:rsidR="00762D0E" w:rsidRPr="009B1A37" w14:paraId="2ED3D9B7" w14:textId="77777777" w:rsidTr="00795E60">
        <w:trPr>
          <w:cantSplit/>
        </w:trPr>
        <w:tc>
          <w:tcPr>
            <w:tcW w:w="4650" w:type="dxa"/>
          </w:tcPr>
          <w:p w14:paraId="310ED76B" w14:textId="77777777" w:rsidR="00762D0E" w:rsidRPr="009B1A37" w:rsidRDefault="00762D0E" w:rsidP="00BE3D48">
            <w:pPr>
              <w:widowControl w:val="0"/>
              <w:spacing w:line="240" w:lineRule="auto"/>
              <w:rPr>
                <w:b/>
                <w:color w:val="000000"/>
              </w:rPr>
            </w:pPr>
            <w:r w:rsidRPr="009B1A37">
              <w:rPr>
                <w:b/>
                <w:color w:val="000000"/>
              </w:rPr>
              <w:t>France</w:t>
            </w:r>
          </w:p>
          <w:p w14:paraId="216AF95E" w14:textId="77777777" w:rsidR="00762D0E" w:rsidRPr="009B1A37" w:rsidRDefault="00762D0E" w:rsidP="00BE3D48">
            <w:pPr>
              <w:widowControl w:val="0"/>
              <w:spacing w:line="240" w:lineRule="auto"/>
              <w:rPr>
                <w:color w:val="000000"/>
              </w:rPr>
            </w:pPr>
            <w:r w:rsidRPr="009B1A37">
              <w:rPr>
                <w:color w:val="000000"/>
              </w:rPr>
              <w:t>Novartis Pharma S.A.S.</w:t>
            </w:r>
          </w:p>
          <w:p w14:paraId="1FED484B" w14:textId="77777777" w:rsidR="00762D0E" w:rsidRPr="009B1A37" w:rsidRDefault="00762D0E" w:rsidP="00BE3D48">
            <w:pPr>
              <w:widowControl w:val="0"/>
              <w:spacing w:line="240" w:lineRule="auto"/>
              <w:rPr>
                <w:color w:val="000000"/>
              </w:rPr>
            </w:pPr>
            <w:r w:rsidRPr="009B1A37">
              <w:rPr>
                <w:color w:val="000000"/>
              </w:rPr>
              <w:t>Tél: +33 1 55 47 66 00</w:t>
            </w:r>
          </w:p>
          <w:p w14:paraId="6CFB211D" w14:textId="77777777" w:rsidR="00762D0E" w:rsidRPr="009B1A37" w:rsidRDefault="00762D0E" w:rsidP="00BE3D48">
            <w:pPr>
              <w:widowControl w:val="0"/>
              <w:spacing w:line="240" w:lineRule="auto"/>
              <w:rPr>
                <w:b/>
                <w:color w:val="000000"/>
              </w:rPr>
            </w:pPr>
          </w:p>
        </w:tc>
        <w:tc>
          <w:tcPr>
            <w:tcW w:w="4650" w:type="dxa"/>
          </w:tcPr>
          <w:p w14:paraId="79323464" w14:textId="77777777" w:rsidR="00762D0E" w:rsidRPr="009B1A37" w:rsidRDefault="00762D0E" w:rsidP="00BE3D48">
            <w:pPr>
              <w:widowControl w:val="0"/>
              <w:spacing w:line="240" w:lineRule="auto"/>
              <w:rPr>
                <w:b/>
                <w:color w:val="000000"/>
              </w:rPr>
            </w:pPr>
            <w:r w:rsidRPr="009B1A37">
              <w:rPr>
                <w:b/>
                <w:color w:val="000000"/>
              </w:rPr>
              <w:t>Portugal</w:t>
            </w:r>
          </w:p>
          <w:p w14:paraId="1610DF09" w14:textId="77777777" w:rsidR="00762D0E" w:rsidRPr="009B1A37" w:rsidRDefault="00762D0E" w:rsidP="00BE3D48">
            <w:pPr>
              <w:widowControl w:val="0"/>
              <w:spacing w:line="240" w:lineRule="auto"/>
              <w:rPr>
                <w:color w:val="000000"/>
              </w:rPr>
            </w:pPr>
            <w:r w:rsidRPr="009B1A37">
              <w:rPr>
                <w:color w:val="000000"/>
              </w:rPr>
              <w:t>Novartis Farma - Produtos Farmacêuticos, S.A.</w:t>
            </w:r>
          </w:p>
          <w:p w14:paraId="204915BE" w14:textId="77777777" w:rsidR="00762D0E" w:rsidRPr="009B1A37" w:rsidRDefault="00762D0E" w:rsidP="00BE3D48">
            <w:pPr>
              <w:widowControl w:val="0"/>
              <w:spacing w:line="240" w:lineRule="auto"/>
              <w:rPr>
                <w:color w:val="000000"/>
              </w:rPr>
            </w:pPr>
            <w:r w:rsidRPr="009B1A37">
              <w:rPr>
                <w:color w:val="000000"/>
              </w:rPr>
              <w:t>Tel: +351 21 000 8600</w:t>
            </w:r>
          </w:p>
        </w:tc>
      </w:tr>
      <w:tr w:rsidR="00762D0E" w:rsidRPr="009B1A37" w14:paraId="7FCD815E" w14:textId="77777777" w:rsidTr="00795E60">
        <w:trPr>
          <w:cantSplit/>
        </w:trPr>
        <w:tc>
          <w:tcPr>
            <w:tcW w:w="4650" w:type="dxa"/>
          </w:tcPr>
          <w:p w14:paraId="10540418" w14:textId="77777777" w:rsidR="00762D0E" w:rsidRPr="009B1A37" w:rsidRDefault="00762D0E" w:rsidP="00BE3D48">
            <w:pPr>
              <w:widowControl w:val="0"/>
              <w:spacing w:line="240" w:lineRule="auto"/>
              <w:rPr>
                <w:rFonts w:eastAsia="PMingLiU"/>
                <w:b/>
              </w:rPr>
            </w:pPr>
            <w:r w:rsidRPr="009B1A37">
              <w:rPr>
                <w:rFonts w:eastAsia="PMingLiU"/>
                <w:b/>
              </w:rPr>
              <w:t>Hrvatska</w:t>
            </w:r>
          </w:p>
          <w:p w14:paraId="022DD28E" w14:textId="77777777" w:rsidR="00762D0E" w:rsidRPr="009B1A37" w:rsidRDefault="00762D0E" w:rsidP="00BE3D48">
            <w:pPr>
              <w:widowControl w:val="0"/>
              <w:spacing w:line="240" w:lineRule="auto"/>
            </w:pPr>
            <w:r w:rsidRPr="009B1A37">
              <w:t>Novartis Hrvatska d.o.o.</w:t>
            </w:r>
          </w:p>
          <w:p w14:paraId="32F35027" w14:textId="77777777" w:rsidR="00762D0E" w:rsidRPr="009B1A37" w:rsidRDefault="00762D0E" w:rsidP="00BE3D48">
            <w:pPr>
              <w:widowControl w:val="0"/>
              <w:spacing w:line="240" w:lineRule="auto"/>
            </w:pPr>
            <w:r w:rsidRPr="009B1A37">
              <w:t>Tel. +385 1 6274 220</w:t>
            </w:r>
          </w:p>
          <w:p w14:paraId="3B56B559" w14:textId="77777777" w:rsidR="00762D0E" w:rsidRPr="009B1A37" w:rsidRDefault="00762D0E" w:rsidP="00BE3D48">
            <w:pPr>
              <w:widowControl w:val="0"/>
              <w:spacing w:line="240" w:lineRule="auto"/>
              <w:rPr>
                <w:b/>
                <w:color w:val="000000"/>
              </w:rPr>
            </w:pPr>
          </w:p>
        </w:tc>
        <w:tc>
          <w:tcPr>
            <w:tcW w:w="4650" w:type="dxa"/>
          </w:tcPr>
          <w:p w14:paraId="0877E543" w14:textId="77777777" w:rsidR="00762D0E" w:rsidRPr="009B1A37" w:rsidRDefault="00762D0E" w:rsidP="00BE3D48">
            <w:pPr>
              <w:widowControl w:val="0"/>
              <w:spacing w:line="240" w:lineRule="auto"/>
              <w:rPr>
                <w:b/>
                <w:noProof/>
                <w:color w:val="000000"/>
              </w:rPr>
            </w:pPr>
            <w:r w:rsidRPr="009B1A37">
              <w:rPr>
                <w:b/>
                <w:noProof/>
                <w:color w:val="000000"/>
              </w:rPr>
              <w:t>România</w:t>
            </w:r>
          </w:p>
          <w:p w14:paraId="7AA2EB37" w14:textId="77777777" w:rsidR="00762D0E" w:rsidRPr="009B1A37" w:rsidRDefault="00762D0E" w:rsidP="00BE3D48">
            <w:pPr>
              <w:widowControl w:val="0"/>
              <w:spacing w:line="240" w:lineRule="auto"/>
              <w:rPr>
                <w:noProof/>
                <w:color w:val="000000"/>
              </w:rPr>
            </w:pPr>
            <w:r w:rsidRPr="009B1A37">
              <w:rPr>
                <w:noProof/>
                <w:color w:val="000000"/>
              </w:rPr>
              <w:t xml:space="preserve">Novartis Pharma Services </w:t>
            </w:r>
            <w:r w:rsidRPr="009B1A37">
              <w:rPr>
                <w:color w:val="2F2F2F"/>
              </w:rPr>
              <w:t>Romania SRL</w:t>
            </w:r>
          </w:p>
          <w:p w14:paraId="57269FCE" w14:textId="77777777" w:rsidR="00762D0E" w:rsidRPr="009B1A37" w:rsidRDefault="00762D0E" w:rsidP="00BE3D48">
            <w:pPr>
              <w:widowControl w:val="0"/>
              <w:spacing w:line="240" w:lineRule="auto"/>
              <w:rPr>
                <w:color w:val="000000"/>
              </w:rPr>
            </w:pPr>
            <w:r w:rsidRPr="009B1A37">
              <w:rPr>
                <w:noProof/>
                <w:color w:val="000000"/>
              </w:rPr>
              <w:t>Tel: +40 21 31299 01</w:t>
            </w:r>
          </w:p>
        </w:tc>
      </w:tr>
      <w:tr w:rsidR="00762D0E" w:rsidRPr="009B1A37" w14:paraId="52823D2B" w14:textId="77777777" w:rsidTr="00795E60">
        <w:trPr>
          <w:cantSplit/>
        </w:trPr>
        <w:tc>
          <w:tcPr>
            <w:tcW w:w="4650" w:type="dxa"/>
          </w:tcPr>
          <w:p w14:paraId="09E8E3B2" w14:textId="77777777" w:rsidR="00762D0E" w:rsidRPr="009B1A37" w:rsidRDefault="00762D0E" w:rsidP="00BE3D48">
            <w:pPr>
              <w:widowControl w:val="0"/>
              <w:spacing w:line="240" w:lineRule="auto"/>
              <w:rPr>
                <w:b/>
                <w:color w:val="000000"/>
              </w:rPr>
            </w:pPr>
            <w:r w:rsidRPr="009B1A37">
              <w:rPr>
                <w:b/>
                <w:color w:val="000000"/>
              </w:rPr>
              <w:t>Ireland</w:t>
            </w:r>
          </w:p>
          <w:p w14:paraId="4673D08C" w14:textId="77777777" w:rsidR="00762D0E" w:rsidRPr="009B1A37" w:rsidRDefault="00762D0E" w:rsidP="00BE3D48">
            <w:pPr>
              <w:widowControl w:val="0"/>
              <w:spacing w:line="240" w:lineRule="auto"/>
              <w:rPr>
                <w:color w:val="000000"/>
              </w:rPr>
            </w:pPr>
            <w:r w:rsidRPr="009B1A37">
              <w:rPr>
                <w:color w:val="000000"/>
              </w:rPr>
              <w:t>Novartis Ireland Limited</w:t>
            </w:r>
          </w:p>
          <w:p w14:paraId="64145D21" w14:textId="77777777" w:rsidR="00762D0E" w:rsidRPr="009B1A37" w:rsidRDefault="00762D0E" w:rsidP="00BE3D48">
            <w:pPr>
              <w:widowControl w:val="0"/>
              <w:spacing w:line="240" w:lineRule="auto"/>
              <w:rPr>
                <w:color w:val="000000"/>
              </w:rPr>
            </w:pPr>
            <w:r w:rsidRPr="009B1A37">
              <w:rPr>
                <w:color w:val="000000"/>
              </w:rPr>
              <w:t>Tel: +353 1 260 12 55</w:t>
            </w:r>
          </w:p>
          <w:p w14:paraId="7C45A5C2" w14:textId="77777777" w:rsidR="00762D0E" w:rsidRPr="009B1A37" w:rsidRDefault="00762D0E" w:rsidP="00BE3D48">
            <w:pPr>
              <w:widowControl w:val="0"/>
              <w:spacing w:line="240" w:lineRule="auto"/>
              <w:rPr>
                <w:b/>
                <w:color w:val="000000"/>
              </w:rPr>
            </w:pPr>
          </w:p>
        </w:tc>
        <w:tc>
          <w:tcPr>
            <w:tcW w:w="4650" w:type="dxa"/>
          </w:tcPr>
          <w:p w14:paraId="16F4FD76" w14:textId="77777777" w:rsidR="00762D0E" w:rsidRPr="009B1A37" w:rsidRDefault="00762D0E" w:rsidP="00BE3D48">
            <w:pPr>
              <w:widowControl w:val="0"/>
              <w:spacing w:line="240" w:lineRule="auto"/>
              <w:rPr>
                <w:b/>
                <w:color w:val="000000"/>
              </w:rPr>
            </w:pPr>
            <w:r w:rsidRPr="009B1A37">
              <w:rPr>
                <w:b/>
                <w:color w:val="000000"/>
              </w:rPr>
              <w:t>Slovenija</w:t>
            </w:r>
          </w:p>
          <w:p w14:paraId="4FAC669E" w14:textId="77777777" w:rsidR="00762D0E" w:rsidRPr="009B1A37" w:rsidRDefault="00762D0E" w:rsidP="00BE3D48">
            <w:pPr>
              <w:widowControl w:val="0"/>
              <w:spacing w:line="240" w:lineRule="auto"/>
              <w:rPr>
                <w:color w:val="000000"/>
              </w:rPr>
            </w:pPr>
            <w:r w:rsidRPr="009B1A37">
              <w:rPr>
                <w:color w:val="000000"/>
              </w:rPr>
              <w:t>Novartis Pharma Services Inc.</w:t>
            </w:r>
          </w:p>
          <w:p w14:paraId="23E99191" w14:textId="77777777" w:rsidR="00762D0E" w:rsidRPr="009B1A37" w:rsidRDefault="00762D0E" w:rsidP="00BE3D48">
            <w:pPr>
              <w:widowControl w:val="0"/>
              <w:spacing w:line="240" w:lineRule="auto"/>
              <w:rPr>
                <w:color w:val="000000"/>
              </w:rPr>
            </w:pPr>
            <w:r w:rsidRPr="009B1A37">
              <w:rPr>
                <w:color w:val="000000"/>
              </w:rPr>
              <w:t>Tel: +386 1 300 75 50</w:t>
            </w:r>
          </w:p>
        </w:tc>
      </w:tr>
      <w:tr w:rsidR="00762D0E" w:rsidRPr="009B1A37" w14:paraId="067E5E8F" w14:textId="77777777" w:rsidTr="00795E60">
        <w:trPr>
          <w:cantSplit/>
        </w:trPr>
        <w:tc>
          <w:tcPr>
            <w:tcW w:w="4650" w:type="dxa"/>
          </w:tcPr>
          <w:p w14:paraId="69717E20" w14:textId="77777777" w:rsidR="00762D0E" w:rsidRPr="009B1A37" w:rsidRDefault="00762D0E" w:rsidP="00BE3D48">
            <w:pPr>
              <w:widowControl w:val="0"/>
              <w:spacing w:line="240" w:lineRule="auto"/>
              <w:rPr>
                <w:b/>
                <w:color w:val="000000"/>
              </w:rPr>
            </w:pPr>
            <w:r w:rsidRPr="009B1A37">
              <w:rPr>
                <w:b/>
                <w:color w:val="000000"/>
              </w:rPr>
              <w:t>Ísland</w:t>
            </w:r>
          </w:p>
          <w:p w14:paraId="420073DB" w14:textId="77777777" w:rsidR="00762D0E" w:rsidRPr="009B1A37" w:rsidRDefault="00762D0E" w:rsidP="00BE3D48">
            <w:pPr>
              <w:widowControl w:val="0"/>
              <w:spacing w:line="240" w:lineRule="auto"/>
              <w:rPr>
                <w:color w:val="000000"/>
              </w:rPr>
            </w:pPr>
            <w:r w:rsidRPr="009B1A37">
              <w:rPr>
                <w:color w:val="000000"/>
              </w:rPr>
              <w:t>Vistor hf.</w:t>
            </w:r>
          </w:p>
          <w:p w14:paraId="2669776B" w14:textId="77777777" w:rsidR="00762D0E" w:rsidRPr="009B1A37" w:rsidRDefault="00762D0E" w:rsidP="00BE3D48">
            <w:pPr>
              <w:widowControl w:val="0"/>
              <w:spacing w:line="240" w:lineRule="auto"/>
              <w:rPr>
                <w:color w:val="000000"/>
              </w:rPr>
            </w:pPr>
            <w:r w:rsidRPr="009B1A37">
              <w:rPr>
                <w:noProof/>
                <w:color w:val="000000"/>
              </w:rPr>
              <w:t>Sími</w:t>
            </w:r>
            <w:r w:rsidRPr="009B1A37">
              <w:rPr>
                <w:color w:val="000000"/>
              </w:rPr>
              <w:t>: +354 535 7000</w:t>
            </w:r>
          </w:p>
          <w:p w14:paraId="37171C10" w14:textId="77777777" w:rsidR="00762D0E" w:rsidRPr="009B1A37" w:rsidRDefault="00762D0E" w:rsidP="00BE3D48">
            <w:pPr>
              <w:widowControl w:val="0"/>
              <w:spacing w:line="240" w:lineRule="auto"/>
              <w:rPr>
                <w:b/>
                <w:color w:val="000000"/>
              </w:rPr>
            </w:pPr>
          </w:p>
        </w:tc>
        <w:tc>
          <w:tcPr>
            <w:tcW w:w="4650" w:type="dxa"/>
          </w:tcPr>
          <w:p w14:paraId="0C9C63A3" w14:textId="77777777" w:rsidR="00762D0E" w:rsidRPr="009B1A37" w:rsidRDefault="00762D0E" w:rsidP="00BE3D48">
            <w:pPr>
              <w:widowControl w:val="0"/>
              <w:spacing w:line="240" w:lineRule="auto"/>
              <w:rPr>
                <w:b/>
                <w:color w:val="000000"/>
              </w:rPr>
            </w:pPr>
            <w:r w:rsidRPr="009B1A37">
              <w:rPr>
                <w:b/>
                <w:color w:val="000000"/>
              </w:rPr>
              <w:t>Slovenská republika</w:t>
            </w:r>
          </w:p>
          <w:p w14:paraId="66A7252D" w14:textId="77777777" w:rsidR="00762D0E" w:rsidRPr="009B1A37" w:rsidRDefault="00762D0E" w:rsidP="00BE3D48">
            <w:pPr>
              <w:widowControl w:val="0"/>
              <w:spacing w:line="240" w:lineRule="auto"/>
              <w:rPr>
                <w:color w:val="000000"/>
              </w:rPr>
            </w:pPr>
            <w:r w:rsidRPr="009B1A37">
              <w:rPr>
                <w:color w:val="000000"/>
              </w:rPr>
              <w:t>Novartis Slovakia s.r.o.</w:t>
            </w:r>
          </w:p>
          <w:p w14:paraId="354A1BB2" w14:textId="77777777" w:rsidR="00762D0E" w:rsidRPr="009B1A37" w:rsidRDefault="00762D0E" w:rsidP="00BE3D48">
            <w:pPr>
              <w:widowControl w:val="0"/>
              <w:spacing w:line="240" w:lineRule="auto"/>
              <w:rPr>
                <w:color w:val="000000"/>
              </w:rPr>
            </w:pPr>
            <w:r w:rsidRPr="009B1A37">
              <w:rPr>
                <w:color w:val="000000"/>
              </w:rPr>
              <w:t>Tel: +421 2 5542 5439</w:t>
            </w:r>
          </w:p>
          <w:p w14:paraId="7715482A" w14:textId="77777777" w:rsidR="00762D0E" w:rsidRPr="009B1A37" w:rsidRDefault="00762D0E" w:rsidP="00BE3D48">
            <w:pPr>
              <w:widowControl w:val="0"/>
              <w:spacing w:line="240" w:lineRule="auto"/>
              <w:rPr>
                <w:color w:val="000000"/>
              </w:rPr>
            </w:pPr>
          </w:p>
        </w:tc>
      </w:tr>
      <w:tr w:rsidR="00762D0E" w:rsidRPr="009B1A37" w14:paraId="15C4801E" w14:textId="77777777" w:rsidTr="00795E60">
        <w:trPr>
          <w:cantSplit/>
        </w:trPr>
        <w:tc>
          <w:tcPr>
            <w:tcW w:w="4650" w:type="dxa"/>
          </w:tcPr>
          <w:p w14:paraId="38FE4B9F" w14:textId="77777777" w:rsidR="00762D0E" w:rsidRPr="009B1A37" w:rsidRDefault="00762D0E" w:rsidP="00BE3D48">
            <w:pPr>
              <w:widowControl w:val="0"/>
              <w:spacing w:line="240" w:lineRule="auto"/>
              <w:rPr>
                <w:b/>
                <w:color w:val="000000"/>
              </w:rPr>
            </w:pPr>
            <w:r w:rsidRPr="009B1A37">
              <w:rPr>
                <w:b/>
                <w:color w:val="000000"/>
              </w:rPr>
              <w:t>Italia</w:t>
            </w:r>
          </w:p>
          <w:p w14:paraId="0EA7EB08" w14:textId="77777777" w:rsidR="00762D0E" w:rsidRPr="009B1A37" w:rsidRDefault="00762D0E" w:rsidP="00BE3D48">
            <w:pPr>
              <w:widowControl w:val="0"/>
              <w:spacing w:line="240" w:lineRule="auto"/>
              <w:rPr>
                <w:color w:val="000000"/>
              </w:rPr>
            </w:pPr>
            <w:r w:rsidRPr="009B1A37">
              <w:rPr>
                <w:color w:val="000000"/>
              </w:rPr>
              <w:t>Novartis Farma S.p.A.</w:t>
            </w:r>
          </w:p>
          <w:p w14:paraId="5AF04455" w14:textId="77777777" w:rsidR="00762D0E" w:rsidRPr="009B1A37" w:rsidRDefault="00762D0E" w:rsidP="00BE3D48">
            <w:pPr>
              <w:widowControl w:val="0"/>
              <w:spacing w:line="240" w:lineRule="auto"/>
              <w:rPr>
                <w:b/>
                <w:color w:val="000000"/>
              </w:rPr>
            </w:pPr>
            <w:r w:rsidRPr="009B1A37">
              <w:rPr>
                <w:color w:val="000000"/>
              </w:rPr>
              <w:t>Tel: +39 02 96 54 1</w:t>
            </w:r>
          </w:p>
        </w:tc>
        <w:tc>
          <w:tcPr>
            <w:tcW w:w="4650" w:type="dxa"/>
          </w:tcPr>
          <w:p w14:paraId="4E7A5415" w14:textId="77777777" w:rsidR="00762D0E" w:rsidRPr="009B1A37" w:rsidRDefault="00762D0E" w:rsidP="00BE3D48">
            <w:pPr>
              <w:widowControl w:val="0"/>
              <w:spacing w:line="240" w:lineRule="auto"/>
              <w:rPr>
                <w:b/>
                <w:color w:val="000000"/>
              </w:rPr>
            </w:pPr>
            <w:r w:rsidRPr="009B1A37">
              <w:rPr>
                <w:b/>
                <w:color w:val="000000"/>
              </w:rPr>
              <w:t>Suomi/Finland</w:t>
            </w:r>
          </w:p>
          <w:p w14:paraId="45F8965A" w14:textId="77777777" w:rsidR="00762D0E" w:rsidRPr="009B1A37" w:rsidRDefault="00762D0E" w:rsidP="00BE3D48">
            <w:pPr>
              <w:widowControl w:val="0"/>
              <w:spacing w:line="240" w:lineRule="auto"/>
              <w:rPr>
                <w:color w:val="000000"/>
              </w:rPr>
            </w:pPr>
            <w:r w:rsidRPr="009B1A37">
              <w:rPr>
                <w:color w:val="000000"/>
              </w:rPr>
              <w:t>Novartis Finland Oy</w:t>
            </w:r>
          </w:p>
          <w:p w14:paraId="6CACC3AC" w14:textId="77777777" w:rsidR="00762D0E" w:rsidRPr="009B1A37" w:rsidRDefault="00762D0E" w:rsidP="00BE3D48">
            <w:pPr>
              <w:widowControl w:val="0"/>
              <w:spacing w:line="240" w:lineRule="auto"/>
              <w:rPr>
                <w:color w:val="000000"/>
              </w:rPr>
            </w:pPr>
            <w:r w:rsidRPr="009B1A37">
              <w:rPr>
                <w:color w:val="000000"/>
              </w:rPr>
              <w:t xml:space="preserve">Puh/Tel: </w:t>
            </w:r>
            <w:r w:rsidRPr="009B1A37">
              <w:rPr>
                <w:color w:val="000000"/>
                <w:lang w:bidi="he-IL"/>
              </w:rPr>
              <w:t>+358 (0)10 6133 200</w:t>
            </w:r>
          </w:p>
          <w:p w14:paraId="3ADB9A8A" w14:textId="77777777" w:rsidR="00762D0E" w:rsidRPr="009B1A37" w:rsidRDefault="00762D0E" w:rsidP="00BE3D48">
            <w:pPr>
              <w:widowControl w:val="0"/>
              <w:spacing w:line="240" w:lineRule="auto"/>
              <w:rPr>
                <w:color w:val="000000"/>
              </w:rPr>
            </w:pPr>
          </w:p>
        </w:tc>
      </w:tr>
      <w:tr w:rsidR="00762D0E" w:rsidRPr="009B1A37" w14:paraId="1D543A3E" w14:textId="77777777" w:rsidTr="00795E60">
        <w:trPr>
          <w:cantSplit/>
        </w:trPr>
        <w:tc>
          <w:tcPr>
            <w:tcW w:w="4650" w:type="dxa"/>
          </w:tcPr>
          <w:p w14:paraId="2E73CC87" w14:textId="77777777" w:rsidR="00762D0E" w:rsidRPr="009B1A37" w:rsidRDefault="00762D0E" w:rsidP="00BE3D48">
            <w:pPr>
              <w:widowControl w:val="0"/>
              <w:spacing w:line="240" w:lineRule="auto"/>
              <w:rPr>
                <w:b/>
                <w:color w:val="000000"/>
              </w:rPr>
            </w:pPr>
            <w:r w:rsidRPr="009B1A37">
              <w:rPr>
                <w:b/>
                <w:color w:val="000000"/>
              </w:rPr>
              <w:t>Κύπρος</w:t>
            </w:r>
          </w:p>
          <w:p w14:paraId="2B7A116A" w14:textId="77777777" w:rsidR="00762D0E" w:rsidRPr="009B1A37" w:rsidRDefault="00762D0E" w:rsidP="00BE3D48">
            <w:pPr>
              <w:widowControl w:val="0"/>
              <w:spacing w:line="240" w:lineRule="auto"/>
              <w:rPr>
                <w:color w:val="000000"/>
              </w:rPr>
            </w:pPr>
            <w:r w:rsidRPr="009B1A37">
              <w:rPr>
                <w:color w:val="000000"/>
                <w:lang w:bidi="he-IL"/>
              </w:rPr>
              <w:t>Novartis Pharma Services Inc.</w:t>
            </w:r>
          </w:p>
          <w:p w14:paraId="04FAD618" w14:textId="77777777" w:rsidR="00762D0E" w:rsidRPr="009B1A37" w:rsidRDefault="00762D0E" w:rsidP="00BE3D48">
            <w:pPr>
              <w:widowControl w:val="0"/>
              <w:spacing w:line="240" w:lineRule="auto"/>
              <w:rPr>
                <w:color w:val="000000"/>
              </w:rPr>
            </w:pPr>
            <w:r w:rsidRPr="009B1A37">
              <w:rPr>
                <w:color w:val="000000"/>
              </w:rPr>
              <w:t>Τηλ: +357 22 690 690</w:t>
            </w:r>
          </w:p>
          <w:p w14:paraId="25F40E3E" w14:textId="77777777" w:rsidR="00762D0E" w:rsidRPr="009B1A37" w:rsidRDefault="00762D0E" w:rsidP="00BE3D48">
            <w:pPr>
              <w:widowControl w:val="0"/>
              <w:spacing w:line="240" w:lineRule="auto"/>
              <w:rPr>
                <w:b/>
                <w:color w:val="000000"/>
              </w:rPr>
            </w:pPr>
          </w:p>
        </w:tc>
        <w:tc>
          <w:tcPr>
            <w:tcW w:w="4650" w:type="dxa"/>
          </w:tcPr>
          <w:p w14:paraId="1ED32ADB" w14:textId="77777777" w:rsidR="00762D0E" w:rsidRPr="009B1A37" w:rsidRDefault="00762D0E" w:rsidP="00BE3D48">
            <w:pPr>
              <w:widowControl w:val="0"/>
              <w:spacing w:line="240" w:lineRule="auto"/>
              <w:rPr>
                <w:b/>
                <w:color w:val="000000"/>
              </w:rPr>
            </w:pPr>
            <w:r w:rsidRPr="009B1A37">
              <w:rPr>
                <w:b/>
                <w:color w:val="000000"/>
              </w:rPr>
              <w:t>Sverige</w:t>
            </w:r>
          </w:p>
          <w:p w14:paraId="261FCE3B" w14:textId="77777777" w:rsidR="00762D0E" w:rsidRPr="009B1A37" w:rsidRDefault="00762D0E" w:rsidP="00BE3D48">
            <w:pPr>
              <w:widowControl w:val="0"/>
              <w:spacing w:line="240" w:lineRule="auto"/>
              <w:rPr>
                <w:color w:val="000000"/>
              </w:rPr>
            </w:pPr>
            <w:r w:rsidRPr="009B1A37">
              <w:rPr>
                <w:color w:val="000000"/>
              </w:rPr>
              <w:t>Novartis Sverige AB</w:t>
            </w:r>
          </w:p>
          <w:p w14:paraId="2D376987" w14:textId="77777777" w:rsidR="00762D0E" w:rsidRPr="009B1A37" w:rsidRDefault="00762D0E" w:rsidP="00BE3D48">
            <w:pPr>
              <w:widowControl w:val="0"/>
              <w:spacing w:line="240" w:lineRule="auto"/>
              <w:rPr>
                <w:color w:val="000000"/>
              </w:rPr>
            </w:pPr>
            <w:r w:rsidRPr="009B1A37">
              <w:rPr>
                <w:color w:val="000000"/>
              </w:rPr>
              <w:t>Tel: +46 8 732 32 00</w:t>
            </w:r>
          </w:p>
          <w:p w14:paraId="41D82D72" w14:textId="77777777" w:rsidR="00762D0E" w:rsidRPr="009B1A37" w:rsidRDefault="00762D0E" w:rsidP="00BE3D48">
            <w:pPr>
              <w:widowControl w:val="0"/>
              <w:spacing w:line="240" w:lineRule="auto"/>
              <w:rPr>
                <w:color w:val="000000"/>
              </w:rPr>
            </w:pPr>
          </w:p>
        </w:tc>
      </w:tr>
      <w:tr w:rsidR="00762D0E" w:rsidRPr="009B1A37" w14:paraId="1E2BB776" w14:textId="77777777" w:rsidTr="00795E60">
        <w:trPr>
          <w:cantSplit/>
        </w:trPr>
        <w:tc>
          <w:tcPr>
            <w:tcW w:w="4650" w:type="dxa"/>
          </w:tcPr>
          <w:p w14:paraId="434B2F78" w14:textId="77777777" w:rsidR="00762D0E" w:rsidRPr="009B1A37" w:rsidRDefault="00762D0E" w:rsidP="00BE3D48">
            <w:pPr>
              <w:widowControl w:val="0"/>
              <w:spacing w:line="240" w:lineRule="auto"/>
              <w:rPr>
                <w:b/>
                <w:color w:val="000000"/>
              </w:rPr>
            </w:pPr>
            <w:r w:rsidRPr="009B1A37">
              <w:rPr>
                <w:b/>
                <w:color w:val="000000"/>
              </w:rPr>
              <w:t>Latvija</w:t>
            </w:r>
          </w:p>
          <w:p w14:paraId="3668EB5B" w14:textId="5A95632C" w:rsidR="00762D0E" w:rsidRPr="009B1A37" w:rsidRDefault="008E362E" w:rsidP="00BE3D48">
            <w:pPr>
              <w:widowControl w:val="0"/>
              <w:spacing w:line="240" w:lineRule="auto"/>
              <w:rPr>
                <w:color w:val="000000"/>
              </w:rPr>
            </w:pPr>
            <w:r w:rsidRPr="009B1A37">
              <w:t>SIA Novartis Baltics</w:t>
            </w:r>
          </w:p>
          <w:p w14:paraId="7219D6F3" w14:textId="77777777" w:rsidR="00762D0E" w:rsidRPr="009B1A37" w:rsidRDefault="00762D0E" w:rsidP="00BE3D48">
            <w:pPr>
              <w:widowControl w:val="0"/>
              <w:spacing w:line="240" w:lineRule="auto"/>
              <w:rPr>
                <w:color w:val="000000"/>
              </w:rPr>
            </w:pPr>
            <w:r w:rsidRPr="009B1A37">
              <w:rPr>
                <w:color w:val="000000"/>
              </w:rPr>
              <w:t>Tel: +371 67 887 070</w:t>
            </w:r>
          </w:p>
          <w:p w14:paraId="645820C3" w14:textId="77777777" w:rsidR="00762D0E" w:rsidRPr="009B1A37" w:rsidRDefault="00762D0E" w:rsidP="00BE3D48">
            <w:pPr>
              <w:widowControl w:val="0"/>
              <w:spacing w:line="240" w:lineRule="auto"/>
              <w:rPr>
                <w:b/>
                <w:color w:val="000000"/>
              </w:rPr>
            </w:pPr>
          </w:p>
        </w:tc>
        <w:tc>
          <w:tcPr>
            <w:tcW w:w="4650" w:type="dxa"/>
          </w:tcPr>
          <w:p w14:paraId="23EDB5AE" w14:textId="77777777" w:rsidR="00762D0E" w:rsidRPr="009B1A37" w:rsidRDefault="00762D0E" w:rsidP="00BE3D48">
            <w:pPr>
              <w:widowControl w:val="0"/>
              <w:spacing w:line="240" w:lineRule="auto"/>
              <w:rPr>
                <w:b/>
                <w:color w:val="000000"/>
              </w:rPr>
            </w:pPr>
            <w:r w:rsidRPr="009B1A37">
              <w:rPr>
                <w:b/>
                <w:color w:val="000000"/>
              </w:rPr>
              <w:t>United Kingdom</w:t>
            </w:r>
          </w:p>
          <w:p w14:paraId="715F89B5" w14:textId="77777777" w:rsidR="00762D0E" w:rsidRPr="009B1A37" w:rsidRDefault="00762D0E" w:rsidP="00BE3D48">
            <w:pPr>
              <w:widowControl w:val="0"/>
              <w:spacing w:line="240" w:lineRule="auto"/>
              <w:rPr>
                <w:color w:val="000000"/>
              </w:rPr>
            </w:pPr>
            <w:r w:rsidRPr="009B1A37">
              <w:rPr>
                <w:color w:val="000000"/>
              </w:rPr>
              <w:t>Novartis Pharmaceuticals UK Ltd.</w:t>
            </w:r>
          </w:p>
          <w:p w14:paraId="7932D91D" w14:textId="77777777" w:rsidR="00762D0E" w:rsidRPr="009B1A37" w:rsidRDefault="00762D0E" w:rsidP="00BE3D48">
            <w:pPr>
              <w:widowControl w:val="0"/>
              <w:spacing w:line="240" w:lineRule="auto"/>
              <w:rPr>
                <w:color w:val="000000"/>
              </w:rPr>
            </w:pPr>
            <w:r w:rsidRPr="009B1A37">
              <w:rPr>
                <w:color w:val="000000"/>
              </w:rPr>
              <w:t>Tel: +44 1276 698370</w:t>
            </w:r>
          </w:p>
          <w:p w14:paraId="2EC0312F" w14:textId="77777777" w:rsidR="00762D0E" w:rsidRPr="009B1A37" w:rsidRDefault="00762D0E" w:rsidP="00BE3D48">
            <w:pPr>
              <w:widowControl w:val="0"/>
              <w:spacing w:line="240" w:lineRule="auto"/>
              <w:rPr>
                <w:color w:val="000000"/>
              </w:rPr>
            </w:pPr>
          </w:p>
        </w:tc>
      </w:tr>
    </w:tbl>
    <w:p w14:paraId="0E29E61D" w14:textId="77777777" w:rsidR="00762D0E" w:rsidRPr="009B1A37" w:rsidRDefault="00762D0E" w:rsidP="00BE3D48">
      <w:pPr>
        <w:widowControl w:val="0"/>
        <w:tabs>
          <w:tab w:val="clear" w:pos="567"/>
        </w:tabs>
        <w:spacing w:line="240" w:lineRule="auto"/>
        <w:ind w:right="-449"/>
        <w:rPr>
          <w:color w:val="000000"/>
        </w:rPr>
      </w:pPr>
    </w:p>
    <w:p w14:paraId="786D9B82" w14:textId="77777777" w:rsidR="00E61A01" w:rsidRPr="009B1A37" w:rsidRDefault="00E61A01" w:rsidP="00BE3D48">
      <w:pPr>
        <w:widowControl w:val="0"/>
        <w:tabs>
          <w:tab w:val="clear" w:pos="567"/>
        </w:tabs>
        <w:spacing w:line="240" w:lineRule="auto"/>
        <w:ind w:right="-2"/>
        <w:rPr>
          <w:b/>
          <w:bCs/>
          <w:color w:val="000000"/>
        </w:rPr>
      </w:pPr>
      <w:r w:rsidRPr="009B1A37">
        <w:rPr>
          <w:b/>
          <w:bCs/>
          <w:color w:val="000000"/>
        </w:rPr>
        <w:t xml:space="preserve">Tato příbalová informace byla naposledy </w:t>
      </w:r>
      <w:r w:rsidR="0045769F" w:rsidRPr="009B1A37">
        <w:rPr>
          <w:b/>
          <w:bCs/>
          <w:color w:val="000000"/>
        </w:rPr>
        <w:t>revidována</w:t>
      </w:r>
    </w:p>
    <w:p w14:paraId="1FF3B42D" w14:textId="77777777" w:rsidR="0045769F" w:rsidRPr="009B1A37" w:rsidRDefault="0045769F" w:rsidP="00BE3D48">
      <w:pPr>
        <w:widowControl w:val="0"/>
        <w:tabs>
          <w:tab w:val="clear" w:pos="567"/>
        </w:tabs>
        <w:spacing w:line="240" w:lineRule="auto"/>
        <w:ind w:right="-2"/>
        <w:rPr>
          <w:color w:val="000000"/>
        </w:rPr>
      </w:pPr>
    </w:p>
    <w:p w14:paraId="6353F631" w14:textId="77777777" w:rsidR="0045769F" w:rsidRPr="009B1A37" w:rsidRDefault="0045769F" w:rsidP="00BE3D48">
      <w:pPr>
        <w:keepNext/>
        <w:widowControl w:val="0"/>
        <w:tabs>
          <w:tab w:val="clear" w:pos="567"/>
        </w:tabs>
        <w:spacing w:line="240" w:lineRule="auto"/>
        <w:rPr>
          <w:b/>
          <w:color w:val="000000"/>
        </w:rPr>
      </w:pPr>
      <w:r w:rsidRPr="009B1A37">
        <w:rPr>
          <w:b/>
          <w:color w:val="000000"/>
        </w:rPr>
        <w:t>Další zdroje informací</w:t>
      </w:r>
    </w:p>
    <w:p w14:paraId="27189975" w14:textId="77777777" w:rsidR="00E61A01" w:rsidRPr="009B1A37" w:rsidRDefault="00E61A01" w:rsidP="00BE3D48">
      <w:pPr>
        <w:widowControl w:val="0"/>
        <w:tabs>
          <w:tab w:val="clear" w:pos="567"/>
        </w:tabs>
        <w:spacing w:line="240" w:lineRule="auto"/>
        <w:ind w:right="-2"/>
        <w:rPr>
          <w:color w:val="000000"/>
        </w:rPr>
      </w:pPr>
      <w:r w:rsidRPr="009B1A37">
        <w:rPr>
          <w:color w:val="000000"/>
        </w:rPr>
        <w:t xml:space="preserve">Podrobné informace o tomto </w:t>
      </w:r>
      <w:r w:rsidR="0045769F" w:rsidRPr="009B1A37">
        <w:rPr>
          <w:color w:val="000000"/>
        </w:rPr>
        <w:t xml:space="preserve">léčivém </w:t>
      </w:r>
      <w:r w:rsidRPr="009B1A37">
        <w:rPr>
          <w:color w:val="000000"/>
        </w:rPr>
        <w:t xml:space="preserve">přípravku jsou </w:t>
      </w:r>
      <w:r w:rsidR="0045769F" w:rsidRPr="009B1A37">
        <w:rPr>
          <w:color w:val="000000"/>
        </w:rPr>
        <w:t xml:space="preserve">k dispozici </w:t>
      </w:r>
      <w:r w:rsidRPr="009B1A37">
        <w:rPr>
          <w:color w:val="000000"/>
        </w:rPr>
        <w:t>na webových stránkách Evropské agentury</w:t>
      </w:r>
      <w:r w:rsidR="0045769F" w:rsidRPr="009B1A37">
        <w:rPr>
          <w:color w:val="000000"/>
        </w:rPr>
        <w:t xml:space="preserve"> pro léčivé přípravky</w:t>
      </w:r>
      <w:r w:rsidRPr="009B1A37">
        <w:rPr>
          <w:color w:val="000000"/>
        </w:rPr>
        <w:t xml:space="preserve"> http://www.ema.europa.eu</w:t>
      </w:r>
    </w:p>
    <w:p w14:paraId="75C3E74E" w14:textId="77777777" w:rsidR="00E61A01" w:rsidRPr="009B1A37" w:rsidRDefault="00E61A01" w:rsidP="00BE3D48">
      <w:pPr>
        <w:widowControl w:val="0"/>
        <w:tabs>
          <w:tab w:val="clear" w:pos="567"/>
        </w:tabs>
        <w:spacing w:line="240" w:lineRule="auto"/>
        <w:ind w:right="-2"/>
        <w:rPr>
          <w:color w:val="000000"/>
        </w:rPr>
      </w:pPr>
    </w:p>
    <w:p w14:paraId="778D9850" w14:textId="77777777" w:rsidR="00E61A01" w:rsidRPr="009B1A37" w:rsidRDefault="00E61A01" w:rsidP="00BE3D48">
      <w:pPr>
        <w:widowControl w:val="0"/>
        <w:tabs>
          <w:tab w:val="clear" w:pos="567"/>
        </w:tabs>
        <w:spacing w:line="240" w:lineRule="auto"/>
        <w:ind w:right="-2"/>
        <w:jc w:val="center"/>
        <w:rPr>
          <w:b/>
          <w:bCs/>
          <w:color w:val="000000"/>
        </w:rPr>
      </w:pPr>
      <w:r w:rsidRPr="009B1A37">
        <w:rPr>
          <w:b/>
          <w:bCs/>
          <w:color w:val="000000"/>
        </w:rPr>
        <w:br w:type="page"/>
        <w:t>P</w:t>
      </w:r>
      <w:r w:rsidR="007D331A" w:rsidRPr="009B1A37">
        <w:rPr>
          <w:b/>
          <w:bCs/>
          <w:color w:val="000000"/>
        </w:rPr>
        <w:t>říbalová informace: informace pro uživatele</w:t>
      </w:r>
    </w:p>
    <w:p w14:paraId="0E19345E" w14:textId="77777777" w:rsidR="00E61A01" w:rsidRPr="009B1A37" w:rsidRDefault="00E61A01" w:rsidP="00BE3D48">
      <w:pPr>
        <w:widowControl w:val="0"/>
        <w:tabs>
          <w:tab w:val="clear" w:pos="567"/>
        </w:tabs>
        <w:spacing w:line="240" w:lineRule="auto"/>
        <w:jc w:val="center"/>
        <w:rPr>
          <w:color w:val="000000"/>
        </w:rPr>
      </w:pPr>
    </w:p>
    <w:p w14:paraId="77FAC500" w14:textId="2D55ED37" w:rsidR="00E61A01" w:rsidRDefault="00E61A01" w:rsidP="00BE3D48">
      <w:pPr>
        <w:widowControl w:val="0"/>
        <w:tabs>
          <w:tab w:val="clear" w:pos="567"/>
        </w:tabs>
        <w:spacing w:line="240" w:lineRule="auto"/>
        <w:jc w:val="center"/>
        <w:rPr>
          <w:b/>
          <w:bCs/>
          <w:color w:val="000000"/>
        </w:rPr>
      </w:pPr>
      <w:r w:rsidRPr="009B1A37">
        <w:rPr>
          <w:b/>
          <w:bCs/>
          <w:color w:val="000000"/>
        </w:rPr>
        <w:t>Glivec 100 mg potahované tablety</w:t>
      </w:r>
    </w:p>
    <w:p w14:paraId="547A3158" w14:textId="435ADB73" w:rsidR="00897AA8" w:rsidRPr="009B1A37" w:rsidRDefault="00897AA8" w:rsidP="00BE3D48">
      <w:pPr>
        <w:widowControl w:val="0"/>
        <w:tabs>
          <w:tab w:val="clear" w:pos="567"/>
        </w:tabs>
        <w:spacing w:line="240" w:lineRule="auto"/>
        <w:jc w:val="center"/>
        <w:rPr>
          <w:b/>
          <w:bCs/>
          <w:color w:val="000000"/>
        </w:rPr>
      </w:pPr>
      <w:r>
        <w:rPr>
          <w:b/>
          <w:bCs/>
          <w:color w:val="000000"/>
        </w:rPr>
        <w:t>Glivec 400 mg potahované tablety</w:t>
      </w:r>
    </w:p>
    <w:p w14:paraId="6A647C72" w14:textId="22C2F5D0" w:rsidR="00E61A01" w:rsidRPr="009B1A37" w:rsidRDefault="00FB23CC" w:rsidP="00BE3D48">
      <w:pPr>
        <w:widowControl w:val="0"/>
        <w:tabs>
          <w:tab w:val="clear" w:pos="567"/>
        </w:tabs>
        <w:spacing w:line="240" w:lineRule="auto"/>
        <w:jc w:val="center"/>
        <w:rPr>
          <w:color w:val="000000"/>
        </w:rPr>
      </w:pPr>
      <w:r w:rsidRPr="009B1A37">
        <w:rPr>
          <w:color w:val="000000"/>
        </w:rPr>
        <w:t>imatinibum</w:t>
      </w:r>
    </w:p>
    <w:p w14:paraId="2C070D8A" w14:textId="77777777" w:rsidR="00E61A01" w:rsidRPr="009B1A37" w:rsidRDefault="00E61A01" w:rsidP="00BE3D48">
      <w:pPr>
        <w:widowControl w:val="0"/>
        <w:tabs>
          <w:tab w:val="clear" w:pos="567"/>
        </w:tabs>
        <w:spacing w:line="240" w:lineRule="auto"/>
        <w:rPr>
          <w:color w:val="000000"/>
        </w:rPr>
      </w:pPr>
    </w:p>
    <w:p w14:paraId="259F1EBB" w14:textId="77777777" w:rsidR="002218F7" w:rsidRPr="009B1A37" w:rsidRDefault="001B24B9" w:rsidP="00BE3D48">
      <w:pPr>
        <w:widowControl w:val="0"/>
        <w:tabs>
          <w:tab w:val="clear" w:pos="567"/>
        </w:tabs>
        <w:suppressAutoHyphens w:val="0"/>
        <w:spacing w:line="240" w:lineRule="auto"/>
        <w:rPr>
          <w:lang w:eastAsia="fr-LU"/>
        </w:rPr>
      </w:pPr>
      <w:r w:rsidRPr="009B1A37">
        <w:rPr>
          <w:noProof/>
          <w:lang w:val="en-GB" w:eastAsia="en-GB"/>
        </w:rPr>
        <w:drawing>
          <wp:inline distT="0" distB="0" distL="0" distR="0" wp14:anchorId="1DBCB3B0" wp14:editId="6B462A85">
            <wp:extent cx="198755" cy="174625"/>
            <wp:effectExtent l="0" t="0" r="0" b="0"/>
            <wp:docPr id="9" name="Picture 4"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remansk\AppData\Local\Microsoft\Windows\Temporary Internet Files\Content.Word\BT_1000x858p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2218F7" w:rsidRPr="009B1A37">
        <w:rPr>
          <w:noProof/>
          <w:lang w:eastAsia="fr-LU"/>
        </w:rPr>
        <w:t xml:space="preserve">Tento </w:t>
      </w:r>
      <w:r w:rsidR="002218F7" w:rsidRPr="009B1A37">
        <w:rPr>
          <w:lang w:eastAsia="fr-LU"/>
        </w:rPr>
        <w:t>přípravek</w:t>
      </w:r>
      <w:r w:rsidR="002218F7" w:rsidRPr="009B1A37">
        <w:rPr>
          <w:noProof/>
          <w:lang w:eastAsia="fr-LU"/>
        </w:rPr>
        <w:t xml:space="preserve"> </w:t>
      </w:r>
      <w:r w:rsidR="002218F7" w:rsidRPr="009B1A37">
        <w:rPr>
          <w:lang w:eastAsia="fr-LU"/>
        </w:rPr>
        <w:t>podléhá dalšímu</w:t>
      </w:r>
      <w:r w:rsidR="002218F7" w:rsidRPr="009B1A37">
        <w:rPr>
          <w:noProof/>
          <w:lang w:eastAsia="fr-LU"/>
        </w:rPr>
        <w:t xml:space="preserve"> sledování.</w:t>
      </w:r>
      <w:r w:rsidR="002218F7" w:rsidRPr="009B1A37">
        <w:rPr>
          <w:lang w:eastAsia="fr-LU"/>
        </w:rPr>
        <w:t xml:space="preserve"> </w:t>
      </w:r>
      <w:r w:rsidR="002218F7" w:rsidRPr="009B1A37">
        <w:rPr>
          <w:noProof/>
          <w:lang w:eastAsia="fr-LU"/>
        </w:rPr>
        <w:t>To umožní rychlé získání nových informací o bezpečnosti.</w:t>
      </w:r>
      <w:r w:rsidR="002218F7" w:rsidRPr="009B1A37">
        <w:rPr>
          <w:lang w:eastAsia="fr-LU"/>
        </w:rPr>
        <w:t xml:space="preserve"> Můžete přispět</w:t>
      </w:r>
      <w:r w:rsidR="002218F7" w:rsidRPr="009B1A37">
        <w:rPr>
          <w:noProof/>
          <w:lang w:eastAsia="fr-LU"/>
        </w:rPr>
        <w:t xml:space="preserve"> tím, že nahlásíte jakékoli nežádoucí účinky, které se u Vás vyskytnou</w:t>
      </w:r>
      <w:r w:rsidR="002218F7" w:rsidRPr="009B1A37">
        <w:rPr>
          <w:lang w:eastAsia="fr-LU"/>
        </w:rPr>
        <w:t>. Jak hlásit nežádoucí účinky je popsáno v závěru bodu 4.</w:t>
      </w:r>
    </w:p>
    <w:p w14:paraId="646ABD3B" w14:textId="77777777" w:rsidR="00E61A01" w:rsidRPr="009B1A37" w:rsidRDefault="00E61A01" w:rsidP="00BE3D48">
      <w:pPr>
        <w:widowControl w:val="0"/>
        <w:tabs>
          <w:tab w:val="clear" w:pos="567"/>
        </w:tabs>
        <w:spacing w:line="240" w:lineRule="auto"/>
        <w:rPr>
          <w:color w:val="000000"/>
        </w:rPr>
      </w:pPr>
    </w:p>
    <w:p w14:paraId="6DEA5D58" w14:textId="77777777" w:rsidR="00E92109" w:rsidRPr="009B1A37" w:rsidRDefault="00E92109" w:rsidP="00BE3D48">
      <w:pPr>
        <w:widowControl w:val="0"/>
        <w:tabs>
          <w:tab w:val="clear" w:pos="567"/>
        </w:tabs>
        <w:snapToGrid w:val="0"/>
        <w:spacing w:line="240" w:lineRule="auto"/>
        <w:ind w:right="-2"/>
        <w:rPr>
          <w:b/>
          <w:bCs/>
          <w:color w:val="000000"/>
        </w:rPr>
      </w:pPr>
      <w:r w:rsidRPr="009B1A37">
        <w:rPr>
          <w:b/>
          <w:bCs/>
          <w:color w:val="000000"/>
        </w:rPr>
        <w:t>Přečtěte si pozorně celou příbalovou informaci dříve, než začnete tento přípravek užívat, protože obsahuje pro Vás důležité údaje.</w:t>
      </w:r>
    </w:p>
    <w:p w14:paraId="530BDBCC" w14:textId="77777777" w:rsidR="00E92109" w:rsidRPr="009B1A37" w:rsidRDefault="00E92109" w:rsidP="00BE3D48">
      <w:pPr>
        <w:widowControl w:val="0"/>
        <w:numPr>
          <w:ilvl w:val="0"/>
          <w:numId w:val="13"/>
        </w:numPr>
        <w:tabs>
          <w:tab w:val="clear" w:pos="567"/>
        </w:tabs>
        <w:spacing w:line="240" w:lineRule="auto"/>
        <w:ind w:left="567" w:right="-2" w:hanging="567"/>
        <w:rPr>
          <w:color w:val="000000"/>
        </w:rPr>
      </w:pPr>
      <w:r w:rsidRPr="009B1A37">
        <w:rPr>
          <w:color w:val="000000"/>
        </w:rPr>
        <w:t>Ponechte si příbalovou informaci pro případ, že si ji budete potřebovat přečíst znovu.</w:t>
      </w:r>
    </w:p>
    <w:p w14:paraId="08FC116E" w14:textId="77777777" w:rsidR="00E92109" w:rsidRPr="009B1A37" w:rsidRDefault="00E92109" w:rsidP="00BE3D48">
      <w:pPr>
        <w:widowControl w:val="0"/>
        <w:numPr>
          <w:ilvl w:val="0"/>
          <w:numId w:val="13"/>
        </w:numPr>
        <w:tabs>
          <w:tab w:val="clear" w:pos="567"/>
        </w:tabs>
        <w:spacing w:line="240" w:lineRule="auto"/>
        <w:ind w:left="567" w:right="-2" w:hanging="567"/>
        <w:rPr>
          <w:color w:val="000000"/>
        </w:rPr>
      </w:pPr>
      <w:r w:rsidRPr="009B1A37">
        <w:rPr>
          <w:color w:val="000000"/>
        </w:rPr>
        <w:t>Máte-li jakékoli další otázky, zeptejte se svého lékaře, lékárníka nebo zdravotní sestry.</w:t>
      </w:r>
    </w:p>
    <w:p w14:paraId="49356727" w14:textId="77777777" w:rsidR="00E92109" w:rsidRPr="009B1A37" w:rsidRDefault="00E92109" w:rsidP="00BE3D48">
      <w:pPr>
        <w:widowControl w:val="0"/>
        <w:numPr>
          <w:ilvl w:val="0"/>
          <w:numId w:val="13"/>
        </w:numPr>
        <w:tabs>
          <w:tab w:val="clear" w:pos="567"/>
        </w:tabs>
        <w:spacing w:line="240" w:lineRule="auto"/>
        <w:ind w:left="567" w:right="-2" w:hanging="567"/>
        <w:rPr>
          <w:color w:val="000000"/>
        </w:rPr>
      </w:pPr>
      <w:r w:rsidRPr="009B1A37">
        <w:rPr>
          <w:color w:val="000000"/>
        </w:rPr>
        <w:t>Tento přípravek byl předepsán výhradně Vám. Nedávejte jej žádné další osobě. Mohl by jí ublížit, a to i tehdy, má-li stejné známky onemocnění jako Vy.</w:t>
      </w:r>
    </w:p>
    <w:p w14:paraId="20C313DE" w14:textId="77777777" w:rsidR="00E92109" w:rsidRPr="009B1A37" w:rsidRDefault="00E92109" w:rsidP="00BE3D48">
      <w:pPr>
        <w:widowControl w:val="0"/>
        <w:numPr>
          <w:ilvl w:val="0"/>
          <w:numId w:val="13"/>
        </w:numPr>
        <w:tabs>
          <w:tab w:val="clear" w:pos="567"/>
        </w:tabs>
        <w:spacing w:line="240" w:lineRule="auto"/>
        <w:ind w:left="567" w:right="-2" w:hanging="567"/>
        <w:rPr>
          <w:color w:val="000000"/>
        </w:rPr>
      </w:pPr>
      <w:r w:rsidRPr="009B1A37">
        <w:rPr>
          <w:color w:val="000000"/>
        </w:rPr>
        <w:t>Pokud se u Vás vyskytne kterýkoli z nežádoucích účinků, sdělte to svému lékaři, lékárníkovi nebo zdravotní sestře. Stejně postupujte v případě jakýchkoli nežádoucích účinků, které nejsou uvedeny v této příbalové informaci.</w:t>
      </w:r>
      <w:r w:rsidR="00F35C9B" w:rsidRPr="009B1A37">
        <w:rPr>
          <w:color w:val="000000"/>
        </w:rPr>
        <w:t xml:space="preserve"> Viz bod</w:t>
      </w:r>
      <w:r w:rsidR="002C04B1" w:rsidRPr="009B1A37">
        <w:rPr>
          <w:color w:val="000000"/>
        </w:rPr>
        <w:t> </w:t>
      </w:r>
      <w:r w:rsidR="00F35C9B" w:rsidRPr="009B1A37">
        <w:rPr>
          <w:color w:val="000000"/>
        </w:rPr>
        <w:t>4.</w:t>
      </w:r>
    </w:p>
    <w:p w14:paraId="76DDF72C" w14:textId="77777777" w:rsidR="00E92109" w:rsidRPr="009B1A37" w:rsidRDefault="00E92109" w:rsidP="00BE3D48">
      <w:pPr>
        <w:widowControl w:val="0"/>
        <w:tabs>
          <w:tab w:val="clear" w:pos="567"/>
        </w:tabs>
        <w:spacing w:line="240" w:lineRule="auto"/>
        <w:ind w:right="-2"/>
      </w:pPr>
    </w:p>
    <w:p w14:paraId="3C6056C9" w14:textId="77777777" w:rsidR="00E92109" w:rsidRPr="009B1A37" w:rsidRDefault="00E92109" w:rsidP="00BE3D48">
      <w:pPr>
        <w:widowControl w:val="0"/>
        <w:tabs>
          <w:tab w:val="clear" w:pos="567"/>
        </w:tabs>
        <w:spacing w:line="240" w:lineRule="auto"/>
        <w:ind w:right="-2"/>
        <w:rPr>
          <w:color w:val="000000"/>
        </w:rPr>
      </w:pPr>
    </w:p>
    <w:p w14:paraId="56EE23FA" w14:textId="77777777" w:rsidR="00E92109" w:rsidRPr="009B1A37" w:rsidRDefault="00E92109" w:rsidP="00BE3D48">
      <w:pPr>
        <w:widowControl w:val="0"/>
        <w:tabs>
          <w:tab w:val="clear" w:pos="567"/>
        </w:tabs>
        <w:spacing w:line="240" w:lineRule="auto"/>
        <w:ind w:right="-2"/>
        <w:rPr>
          <w:color w:val="000000"/>
        </w:rPr>
      </w:pPr>
      <w:r w:rsidRPr="009B1A37">
        <w:rPr>
          <w:b/>
          <w:bCs/>
          <w:color w:val="000000"/>
        </w:rPr>
        <w:t>Co naleznete v této příbalové informaci</w:t>
      </w:r>
    </w:p>
    <w:p w14:paraId="08E70830" w14:textId="77777777" w:rsidR="00E92109" w:rsidRPr="009B1A37" w:rsidRDefault="00E92109" w:rsidP="00BE3D48">
      <w:pPr>
        <w:widowControl w:val="0"/>
        <w:spacing w:line="240" w:lineRule="auto"/>
        <w:ind w:right="-29"/>
        <w:rPr>
          <w:color w:val="000000"/>
        </w:rPr>
      </w:pPr>
      <w:r w:rsidRPr="009B1A37">
        <w:rPr>
          <w:color w:val="000000"/>
        </w:rPr>
        <w:t>1.</w:t>
      </w:r>
      <w:r w:rsidRPr="009B1A37">
        <w:rPr>
          <w:color w:val="000000"/>
        </w:rPr>
        <w:tab/>
        <w:t>Co je Glivec a k čemu se používá</w:t>
      </w:r>
    </w:p>
    <w:p w14:paraId="2231CF2A" w14:textId="77777777" w:rsidR="00E92109" w:rsidRPr="009B1A37" w:rsidRDefault="00E92109" w:rsidP="00BE3D48">
      <w:pPr>
        <w:widowControl w:val="0"/>
        <w:spacing w:line="240" w:lineRule="auto"/>
        <w:ind w:right="-29"/>
        <w:rPr>
          <w:color w:val="000000"/>
        </w:rPr>
      </w:pPr>
      <w:r w:rsidRPr="009B1A37">
        <w:rPr>
          <w:color w:val="000000"/>
        </w:rPr>
        <w:t>2.</w:t>
      </w:r>
      <w:r w:rsidRPr="009B1A37">
        <w:rPr>
          <w:color w:val="000000"/>
        </w:rPr>
        <w:tab/>
        <w:t>Čemu musíte věnovat pozornost, než začnete Glivec užívat</w:t>
      </w:r>
    </w:p>
    <w:p w14:paraId="6BE53ACC" w14:textId="77777777" w:rsidR="00E92109" w:rsidRPr="009B1A37" w:rsidRDefault="00E92109" w:rsidP="00BE3D48">
      <w:pPr>
        <w:widowControl w:val="0"/>
        <w:spacing w:line="240" w:lineRule="auto"/>
        <w:ind w:right="-29"/>
        <w:rPr>
          <w:color w:val="000000"/>
        </w:rPr>
      </w:pPr>
      <w:r w:rsidRPr="009B1A37">
        <w:rPr>
          <w:color w:val="000000"/>
        </w:rPr>
        <w:t>3.</w:t>
      </w:r>
      <w:r w:rsidRPr="009B1A37">
        <w:rPr>
          <w:color w:val="000000"/>
        </w:rPr>
        <w:tab/>
        <w:t>Jak se Glivec užívá</w:t>
      </w:r>
    </w:p>
    <w:p w14:paraId="540D9B52" w14:textId="77777777" w:rsidR="00E92109" w:rsidRPr="009B1A37" w:rsidRDefault="00E92109" w:rsidP="00BE3D48">
      <w:pPr>
        <w:widowControl w:val="0"/>
        <w:spacing w:line="240" w:lineRule="auto"/>
        <w:ind w:right="-29"/>
        <w:rPr>
          <w:color w:val="000000"/>
        </w:rPr>
      </w:pPr>
      <w:r w:rsidRPr="009B1A37">
        <w:rPr>
          <w:color w:val="000000"/>
        </w:rPr>
        <w:t>4.</w:t>
      </w:r>
      <w:r w:rsidRPr="009B1A37">
        <w:rPr>
          <w:color w:val="000000"/>
        </w:rPr>
        <w:tab/>
        <w:t>Možné nežádoucí účinky</w:t>
      </w:r>
    </w:p>
    <w:p w14:paraId="290C7255" w14:textId="77777777" w:rsidR="00E92109" w:rsidRPr="009B1A37" w:rsidRDefault="00E92109" w:rsidP="00BE3D48">
      <w:pPr>
        <w:widowControl w:val="0"/>
        <w:tabs>
          <w:tab w:val="clear" w:pos="567"/>
        </w:tabs>
        <w:spacing w:line="240" w:lineRule="auto"/>
        <w:ind w:left="567" w:right="-29" w:hanging="567"/>
        <w:rPr>
          <w:color w:val="000000"/>
        </w:rPr>
      </w:pPr>
      <w:r w:rsidRPr="009B1A37">
        <w:rPr>
          <w:color w:val="000000"/>
        </w:rPr>
        <w:t>5.</w:t>
      </w:r>
      <w:r w:rsidRPr="009B1A37">
        <w:rPr>
          <w:color w:val="000000"/>
        </w:rPr>
        <w:tab/>
        <w:t>Jak Glivec uchovávat</w:t>
      </w:r>
    </w:p>
    <w:p w14:paraId="5D8ADCAD" w14:textId="77777777" w:rsidR="00E92109" w:rsidRPr="009B1A37" w:rsidRDefault="00E92109" w:rsidP="00BE3D48">
      <w:pPr>
        <w:widowControl w:val="0"/>
        <w:spacing w:line="240" w:lineRule="auto"/>
        <w:ind w:right="-29"/>
        <w:rPr>
          <w:color w:val="000000"/>
        </w:rPr>
      </w:pPr>
      <w:r w:rsidRPr="009B1A37">
        <w:rPr>
          <w:color w:val="000000"/>
        </w:rPr>
        <w:t>6.</w:t>
      </w:r>
      <w:r w:rsidRPr="009B1A37">
        <w:rPr>
          <w:color w:val="000000"/>
        </w:rPr>
        <w:tab/>
        <w:t>Obsah balení a další informace</w:t>
      </w:r>
    </w:p>
    <w:p w14:paraId="3340C2B9" w14:textId="77777777" w:rsidR="00E92109" w:rsidRPr="009B1A37" w:rsidRDefault="00E92109" w:rsidP="00BE3D48">
      <w:pPr>
        <w:widowControl w:val="0"/>
        <w:tabs>
          <w:tab w:val="clear" w:pos="567"/>
        </w:tabs>
        <w:spacing w:line="240" w:lineRule="auto"/>
        <w:ind w:right="-29"/>
        <w:rPr>
          <w:color w:val="000000"/>
        </w:rPr>
      </w:pPr>
    </w:p>
    <w:p w14:paraId="567AFFEF" w14:textId="77777777" w:rsidR="00E92109" w:rsidRPr="009B1A37" w:rsidRDefault="00E92109" w:rsidP="00BE3D48">
      <w:pPr>
        <w:widowControl w:val="0"/>
        <w:tabs>
          <w:tab w:val="clear" w:pos="567"/>
        </w:tabs>
        <w:spacing w:line="240" w:lineRule="auto"/>
        <w:ind w:right="-29"/>
        <w:rPr>
          <w:color w:val="000000"/>
        </w:rPr>
      </w:pPr>
    </w:p>
    <w:p w14:paraId="47B94DAA" w14:textId="77777777" w:rsidR="00E92109" w:rsidRPr="009B1A37" w:rsidRDefault="00E92109" w:rsidP="00BE3D48">
      <w:pPr>
        <w:keepNext/>
        <w:widowControl w:val="0"/>
        <w:tabs>
          <w:tab w:val="clear" w:pos="567"/>
        </w:tabs>
        <w:spacing w:line="240" w:lineRule="auto"/>
        <w:ind w:left="567" w:right="-2" w:hanging="567"/>
        <w:rPr>
          <w:b/>
          <w:bCs/>
          <w:color w:val="000000"/>
        </w:rPr>
      </w:pPr>
      <w:r w:rsidRPr="009B1A37">
        <w:rPr>
          <w:b/>
          <w:bCs/>
          <w:color w:val="000000"/>
        </w:rPr>
        <w:t>1.</w:t>
      </w:r>
      <w:r w:rsidRPr="009B1A37">
        <w:rPr>
          <w:b/>
          <w:bCs/>
          <w:color w:val="000000"/>
        </w:rPr>
        <w:tab/>
        <w:t>Co je Glivec a k čemu se používá</w:t>
      </w:r>
    </w:p>
    <w:p w14:paraId="2AE5446E" w14:textId="77777777" w:rsidR="00E92109" w:rsidRPr="009B1A37" w:rsidRDefault="00E92109" w:rsidP="00BE3D48">
      <w:pPr>
        <w:pStyle w:val="EndnoteText"/>
        <w:keepNext/>
        <w:widowControl w:val="0"/>
        <w:tabs>
          <w:tab w:val="clear" w:pos="567"/>
        </w:tabs>
        <w:rPr>
          <w:color w:val="000000"/>
        </w:rPr>
      </w:pPr>
    </w:p>
    <w:p w14:paraId="387F095A" w14:textId="77777777" w:rsidR="00E92109" w:rsidRPr="009B1A37" w:rsidRDefault="00E92109" w:rsidP="00BE3D48">
      <w:pPr>
        <w:pStyle w:val="EndnoteText"/>
        <w:widowControl w:val="0"/>
        <w:tabs>
          <w:tab w:val="clear" w:pos="567"/>
        </w:tabs>
        <w:rPr>
          <w:color w:val="000000"/>
        </w:rPr>
      </w:pPr>
      <w:r w:rsidRPr="009B1A37">
        <w:rPr>
          <w:color w:val="000000"/>
        </w:rPr>
        <w:t>Glivec je lék obsahující léčivou látku imatinib. Tento lék tlumí růst abnormálních buněk u níže uvedených onemocnění, zahrnujících některé typy nádorů.</w:t>
      </w:r>
    </w:p>
    <w:p w14:paraId="7C968FEB" w14:textId="77777777" w:rsidR="00E92109" w:rsidRPr="009B1A37" w:rsidRDefault="00E92109" w:rsidP="00BE3D48">
      <w:pPr>
        <w:pStyle w:val="Text"/>
        <w:widowControl w:val="0"/>
        <w:spacing w:before="0"/>
        <w:jc w:val="left"/>
        <w:rPr>
          <w:color w:val="000000"/>
          <w:sz w:val="22"/>
          <w:szCs w:val="22"/>
          <w:lang w:val="cs-CZ"/>
        </w:rPr>
      </w:pPr>
    </w:p>
    <w:p w14:paraId="371C1C7D" w14:textId="77777777" w:rsidR="00E92109" w:rsidRPr="009B1A37" w:rsidRDefault="00E92109" w:rsidP="00BE3D48">
      <w:pPr>
        <w:pStyle w:val="Text"/>
        <w:keepNext/>
        <w:widowControl w:val="0"/>
        <w:spacing w:before="0"/>
        <w:jc w:val="left"/>
        <w:rPr>
          <w:b/>
          <w:bCs/>
          <w:color w:val="000000"/>
          <w:sz w:val="22"/>
          <w:szCs w:val="22"/>
          <w:lang w:val="cs-CZ"/>
        </w:rPr>
      </w:pPr>
      <w:r w:rsidRPr="009B1A37">
        <w:rPr>
          <w:b/>
          <w:bCs/>
          <w:color w:val="000000"/>
          <w:sz w:val="22"/>
          <w:szCs w:val="22"/>
          <w:lang w:val="cs-CZ"/>
        </w:rPr>
        <w:t xml:space="preserve">Glivec se </w:t>
      </w:r>
      <w:r w:rsidR="00427BA1" w:rsidRPr="009B1A37">
        <w:rPr>
          <w:b/>
          <w:bCs/>
          <w:color w:val="000000"/>
          <w:sz w:val="22"/>
          <w:szCs w:val="22"/>
          <w:lang w:val="cs-CZ"/>
        </w:rPr>
        <w:t>po</w:t>
      </w:r>
      <w:r w:rsidRPr="009B1A37">
        <w:rPr>
          <w:b/>
          <w:bCs/>
          <w:color w:val="000000"/>
          <w:sz w:val="22"/>
          <w:szCs w:val="22"/>
          <w:lang w:val="cs-CZ"/>
        </w:rPr>
        <w:t>užívá k léčbě dospělých a dětí s:</w:t>
      </w:r>
    </w:p>
    <w:p w14:paraId="4C7DB376" w14:textId="77777777" w:rsidR="00E92109" w:rsidRPr="009B1A37" w:rsidRDefault="00E92109" w:rsidP="00BE3D48">
      <w:pPr>
        <w:pStyle w:val="Text"/>
        <w:keepNext/>
        <w:widowControl w:val="0"/>
        <w:spacing w:before="0"/>
        <w:jc w:val="left"/>
        <w:rPr>
          <w:color w:val="000000"/>
          <w:sz w:val="22"/>
          <w:szCs w:val="22"/>
          <w:lang w:val="cs-CZ"/>
        </w:rPr>
      </w:pPr>
    </w:p>
    <w:p w14:paraId="0D5A9DB9" w14:textId="77777777" w:rsidR="00E92109" w:rsidRPr="009B1A37" w:rsidRDefault="00E92109" w:rsidP="00BE3D48">
      <w:pPr>
        <w:pStyle w:val="Text"/>
        <w:widowControl w:val="0"/>
        <w:spacing w:before="0"/>
        <w:ind w:left="600" w:hanging="600"/>
        <w:jc w:val="left"/>
        <w:rPr>
          <w:color w:val="000000"/>
          <w:sz w:val="22"/>
          <w:szCs w:val="22"/>
          <w:lang w:val="cs-CZ"/>
        </w:rPr>
      </w:pPr>
      <w:r w:rsidRPr="009B1A37">
        <w:rPr>
          <w:color w:val="000000"/>
          <w:sz w:val="22"/>
          <w:szCs w:val="22"/>
          <w:lang w:val="cs-CZ"/>
        </w:rPr>
        <w:t>-</w:t>
      </w:r>
      <w:r w:rsidRPr="009B1A37">
        <w:rPr>
          <w:color w:val="000000"/>
          <w:sz w:val="22"/>
          <w:szCs w:val="22"/>
          <w:lang w:val="cs-CZ"/>
        </w:rPr>
        <w:tab/>
      </w:r>
      <w:r w:rsidRPr="009B1A37">
        <w:rPr>
          <w:b/>
          <w:bCs/>
          <w:color w:val="000000"/>
          <w:sz w:val="22"/>
          <w:szCs w:val="22"/>
          <w:lang w:val="cs-CZ"/>
        </w:rPr>
        <w:t>Chronickou myeloidní leukemií (CML).</w:t>
      </w:r>
      <w:r w:rsidRPr="009B1A37">
        <w:rPr>
          <w:color w:val="000000"/>
          <w:sz w:val="22"/>
          <w:szCs w:val="22"/>
          <w:lang w:val="cs-CZ"/>
        </w:rPr>
        <w:t xml:space="preserve"> Leukemie je nádorové onemocnění bílých krvinek. Bílé krvinky obvykle pomáhají organismu bojovat proti infekci. Chronická myeloidní leukemie je forma leukemie, při které určité abnormální bílé krvinky (nazvané myeloidní buňky) začnou růst nekontrolovaně.</w:t>
      </w:r>
    </w:p>
    <w:p w14:paraId="68616C3D" w14:textId="77777777" w:rsidR="00AF0B73" w:rsidRPr="009B1A37" w:rsidRDefault="00AF0B73" w:rsidP="00BE3D48">
      <w:pPr>
        <w:pStyle w:val="Text"/>
        <w:widowControl w:val="0"/>
        <w:numPr>
          <w:ilvl w:val="0"/>
          <w:numId w:val="13"/>
        </w:numPr>
        <w:tabs>
          <w:tab w:val="clear" w:pos="0"/>
          <w:tab w:val="clear" w:pos="567"/>
        </w:tabs>
        <w:spacing w:before="0"/>
        <w:ind w:left="567" w:hanging="567"/>
        <w:jc w:val="left"/>
        <w:rPr>
          <w:color w:val="000000"/>
          <w:sz w:val="22"/>
          <w:szCs w:val="22"/>
          <w:lang w:val="cs-CZ"/>
        </w:rPr>
      </w:pPr>
      <w:r w:rsidRPr="009B1A37">
        <w:rPr>
          <w:b/>
          <w:bCs/>
          <w:color w:val="000000"/>
          <w:sz w:val="22"/>
          <w:szCs w:val="22"/>
          <w:lang w:val="cs-CZ"/>
        </w:rPr>
        <w:t xml:space="preserve">Philadelphia chromozom pozitivní akutní lymfatickou leukemií (Ph-pozitivní </w:t>
      </w:r>
      <w:smartTag w:uri="urn:schemas-microsoft-com:office:smarttags" w:element="stockticker">
        <w:r w:rsidRPr="009B1A37">
          <w:rPr>
            <w:b/>
            <w:bCs/>
            <w:color w:val="000000"/>
            <w:sz w:val="22"/>
            <w:szCs w:val="22"/>
            <w:lang w:val="cs-CZ"/>
          </w:rPr>
          <w:t>ALL</w:t>
        </w:r>
      </w:smartTag>
      <w:r w:rsidRPr="009B1A37">
        <w:rPr>
          <w:b/>
          <w:bCs/>
          <w:color w:val="000000"/>
          <w:sz w:val="22"/>
          <w:szCs w:val="22"/>
          <w:lang w:val="cs-CZ"/>
        </w:rPr>
        <w:t>).</w:t>
      </w:r>
      <w:r w:rsidRPr="009B1A37">
        <w:rPr>
          <w:color w:val="000000"/>
          <w:sz w:val="22"/>
          <w:szCs w:val="22"/>
          <w:lang w:val="cs-CZ"/>
        </w:rPr>
        <w:t xml:space="preserve"> Leukemie je nádorové onemocnění bílých krvinek. Tyto bílé krvinky obvykle pomáhají tělu bojovat proti infekci. Akutní lymfatická leukemie je forma leukemie, při které určité abnormální bílé krvinky (nazvané lymfoblasty) začnou nekontrolovaně růst. Glivec tlumí růst těchto buněk.</w:t>
      </w:r>
    </w:p>
    <w:p w14:paraId="7C825C8A" w14:textId="77777777" w:rsidR="00E92109" w:rsidRPr="009B1A37" w:rsidRDefault="00E92109" w:rsidP="00BE3D48">
      <w:pPr>
        <w:pStyle w:val="Text"/>
        <w:widowControl w:val="0"/>
        <w:spacing w:before="0"/>
        <w:jc w:val="left"/>
        <w:rPr>
          <w:color w:val="000000"/>
          <w:sz w:val="22"/>
          <w:szCs w:val="22"/>
          <w:lang w:val="cs-CZ"/>
        </w:rPr>
      </w:pPr>
    </w:p>
    <w:p w14:paraId="3025080E" w14:textId="77777777" w:rsidR="00E92109" w:rsidRPr="009B1A37" w:rsidRDefault="00E92109" w:rsidP="00BE3D48">
      <w:pPr>
        <w:pStyle w:val="Text"/>
        <w:keepNext/>
        <w:widowControl w:val="0"/>
        <w:spacing w:before="0"/>
        <w:jc w:val="left"/>
        <w:rPr>
          <w:b/>
          <w:bCs/>
          <w:color w:val="000000"/>
          <w:sz w:val="22"/>
          <w:szCs w:val="22"/>
          <w:lang w:val="cs-CZ"/>
        </w:rPr>
      </w:pPr>
      <w:r w:rsidRPr="009B1A37">
        <w:rPr>
          <w:b/>
          <w:bCs/>
          <w:color w:val="000000"/>
          <w:sz w:val="22"/>
          <w:szCs w:val="22"/>
          <w:lang w:val="cs-CZ"/>
        </w:rPr>
        <w:t xml:space="preserve">Glivec se také </w:t>
      </w:r>
      <w:r w:rsidR="00427BA1" w:rsidRPr="009B1A37">
        <w:rPr>
          <w:b/>
          <w:bCs/>
          <w:color w:val="000000"/>
          <w:sz w:val="22"/>
          <w:szCs w:val="22"/>
          <w:lang w:val="cs-CZ"/>
        </w:rPr>
        <w:t>po</w:t>
      </w:r>
      <w:r w:rsidRPr="009B1A37">
        <w:rPr>
          <w:b/>
          <w:bCs/>
          <w:color w:val="000000"/>
          <w:sz w:val="22"/>
          <w:szCs w:val="22"/>
          <w:lang w:val="cs-CZ"/>
        </w:rPr>
        <w:t>užívá k léčbě dospělých s:</w:t>
      </w:r>
    </w:p>
    <w:p w14:paraId="17B2C68C" w14:textId="77777777" w:rsidR="00E92109" w:rsidRPr="009B1A37" w:rsidRDefault="00E92109" w:rsidP="00BE3D48">
      <w:pPr>
        <w:pStyle w:val="Text"/>
        <w:keepNext/>
        <w:widowControl w:val="0"/>
        <w:spacing w:before="0"/>
        <w:jc w:val="left"/>
        <w:rPr>
          <w:color w:val="000000"/>
          <w:sz w:val="22"/>
          <w:szCs w:val="22"/>
          <w:lang w:val="cs-CZ"/>
        </w:rPr>
      </w:pPr>
    </w:p>
    <w:p w14:paraId="4077AAF2" w14:textId="77777777" w:rsidR="00E92109" w:rsidRPr="009B1A37" w:rsidRDefault="00E92109" w:rsidP="00BE3D48">
      <w:pPr>
        <w:pStyle w:val="Text"/>
        <w:widowControl w:val="0"/>
        <w:numPr>
          <w:ilvl w:val="0"/>
          <w:numId w:val="13"/>
        </w:numPr>
        <w:tabs>
          <w:tab w:val="clear" w:pos="0"/>
          <w:tab w:val="clear" w:pos="567"/>
        </w:tabs>
        <w:spacing w:before="0"/>
        <w:ind w:left="567" w:hanging="567"/>
        <w:jc w:val="left"/>
        <w:rPr>
          <w:color w:val="000000"/>
          <w:sz w:val="22"/>
          <w:szCs w:val="22"/>
          <w:lang w:val="cs-CZ"/>
        </w:rPr>
      </w:pPr>
      <w:r w:rsidRPr="009B1A37">
        <w:rPr>
          <w:b/>
          <w:bCs/>
          <w:color w:val="000000"/>
          <w:sz w:val="22"/>
          <w:szCs w:val="22"/>
          <w:lang w:val="cs-CZ"/>
        </w:rPr>
        <w:t>Myelodysplatickým/myeloproliferativním onemocněním (</w:t>
      </w:r>
      <w:smartTag w:uri="urn:schemas-microsoft-com:office:smarttags" w:element="stockticker">
        <w:r w:rsidRPr="009B1A37">
          <w:rPr>
            <w:b/>
            <w:bCs/>
            <w:color w:val="000000"/>
            <w:sz w:val="22"/>
            <w:szCs w:val="22"/>
            <w:lang w:val="cs-CZ"/>
          </w:rPr>
          <w:t>MDS</w:t>
        </w:r>
      </w:smartTag>
      <w:r w:rsidRPr="009B1A37">
        <w:rPr>
          <w:b/>
          <w:bCs/>
          <w:color w:val="000000"/>
          <w:sz w:val="22"/>
          <w:szCs w:val="22"/>
          <w:lang w:val="cs-CZ"/>
        </w:rPr>
        <w:t>/MPD).</w:t>
      </w:r>
      <w:r w:rsidRPr="009B1A37">
        <w:rPr>
          <w:color w:val="000000"/>
          <w:sz w:val="22"/>
          <w:szCs w:val="22"/>
          <w:lang w:val="cs-CZ"/>
        </w:rPr>
        <w:t xml:space="preserve"> Jde o </w:t>
      </w:r>
      <w:r w:rsidR="00427BA1" w:rsidRPr="009B1A37">
        <w:rPr>
          <w:color w:val="000000"/>
          <w:sz w:val="22"/>
          <w:szCs w:val="22"/>
          <w:lang w:val="cs-CZ"/>
        </w:rPr>
        <w:t xml:space="preserve">skupinu </w:t>
      </w:r>
      <w:r w:rsidRPr="009B1A37">
        <w:rPr>
          <w:color w:val="000000"/>
          <w:sz w:val="22"/>
          <w:szCs w:val="22"/>
          <w:lang w:val="cs-CZ"/>
        </w:rPr>
        <w:t xml:space="preserve">onemocnění krve, </w:t>
      </w:r>
      <w:r w:rsidR="00427BA1" w:rsidRPr="009B1A37">
        <w:rPr>
          <w:color w:val="000000"/>
          <w:sz w:val="22"/>
          <w:szCs w:val="22"/>
          <w:lang w:val="cs-CZ"/>
        </w:rPr>
        <w:t>u kterých</w:t>
      </w:r>
      <w:r w:rsidRPr="009B1A37">
        <w:rPr>
          <w:color w:val="000000"/>
          <w:sz w:val="22"/>
          <w:szCs w:val="22"/>
          <w:lang w:val="cs-CZ"/>
        </w:rPr>
        <w:t xml:space="preserve"> některé bílé krvinky začnou růst nekontrolovaně. Glivec tlumí růst těchto buněk u </w:t>
      </w:r>
      <w:r w:rsidR="002B49C5" w:rsidRPr="009B1A37">
        <w:rPr>
          <w:color w:val="000000"/>
          <w:sz w:val="22"/>
          <w:szCs w:val="22"/>
          <w:lang w:val="cs-CZ"/>
        </w:rPr>
        <w:t>určitého</w:t>
      </w:r>
      <w:r w:rsidRPr="009B1A37">
        <w:rPr>
          <w:color w:val="000000"/>
          <w:sz w:val="22"/>
          <w:szCs w:val="22"/>
          <w:lang w:val="cs-CZ"/>
        </w:rPr>
        <w:t xml:space="preserve"> </w:t>
      </w:r>
      <w:r w:rsidR="002B49C5" w:rsidRPr="009B1A37">
        <w:rPr>
          <w:color w:val="000000"/>
          <w:sz w:val="22"/>
          <w:szCs w:val="22"/>
          <w:lang w:val="cs-CZ"/>
        </w:rPr>
        <w:t>pod</w:t>
      </w:r>
      <w:r w:rsidRPr="009B1A37">
        <w:rPr>
          <w:color w:val="000000"/>
          <w:sz w:val="22"/>
          <w:szCs w:val="22"/>
          <w:lang w:val="cs-CZ"/>
        </w:rPr>
        <w:t>typu těchto onemocnění.</w:t>
      </w:r>
    </w:p>
    <w:p w14:paraId="49E5E7B2" w14:textId="77777777" w:rsidR="00E92109" w:rsidRPr="009B1A37" w:rsidRDefault="00E92109" w:rsidP="00BE3D48">
      <w:pPr>
        <w:pStyle w:val="Text"/>
        <w:widowControl w:val="0"/>
        <w:numPr>
          <w:ilvl w:val="0"/>
          <w:numId w:val="13"/>
        </w:numPr>
        <w:tabs>
          <w:tab w:val="clear" w:pos="0"/>
          <w:tab w:val="clear" w:pos="567"/>
        </w:tabs>
        <w:spacing w:before="0"/>
        <w:ind w:left="567" w:hanging="567"/>
        <w:jc w:val="left"/>
        <w:rPr>
          <w:color w:val="000000"/>
          <w:sz w:val="22"/>
          <w:szCs w:val="22"/>
          <w:lang w:val="cs-CZ"/>
        </w:rPr>
      </w:pPr>
      <w:r w:rsidRPr="009B1A37">
        <w:rPr>
          <w:b/>
          <w:bCs/>
          <w:color w:val="000000"/>
          <w:sz w:val="22"/>
          <w:szCs w:val="22"/>
          <w:lang w:val="cs-CZ"/>
        </w:rPr>
        <w:t>Syndromem hypereozinofilie (HES) a/nebo chronickou eozinofilní leukemií (</w:t>
      </w:r>
      <w:smartTag w:uri="urn:schemas-microsoft-com:office:smarttags" w:element="stockticker">
        <w:r w:rsidRPr="009B1A37">
          <w:rPr>
            <w:b/>
            <w:bCs/>
            <w:color w:val="000000"/>
            <w:sz w:val="22"/>
            <w:szCs w:val="22"/>
            <w:lang w:val="cs-CZ"/>
          </w:rPr>
          <w:t>CEL</w:t>
        </w:r>
      </w:smartTag>
      <w:r w:rsidRPr="009B1A37">
        <w:rPr>
          <w:b/>
          <w:bCs/>
          <w:color w:val="000000"/>
          <w:sz w:val="22"/>
          <w:szCs w:val="22"/>
          <w:lang w:val="cs-CZ"/>
        </w:rPr>
        <w:t>).</w:t>
      </w:r>
      <w:r w:rsidRPr="009B1A37">
        <w:rPr>
          <w:color w:val="000000"/>
          <w:sz w:val="22"/>
          <w:szCs w:val="22"/>
          <w:lang w:val="cs-CZ"/>
        </w:rPr>
        <w:t xml:space="preserve"> Jsou to krevní onemocnění, při nichž určité krvinky (nazvané eozinofily) začnou růst nekontrolovaně. Glivec tlumí růst těchto buněk u </w:t>
      </w:r>
      <w:r w:rsidR="002B49C5" w:rsidRPr="009B1A37">
        <w:rPr>
          <w:color w:val="000000"/>
          <w:sz w:val="22"/>
          <w:szCs w:val="22"/>
          <w:lang w:val="cs-CZ"/>
        </w:rPr>
        <w:t>určitého pod</w:t>
      </w:r>
      <w:r w:rsidRPr="009B1A37">
        <w:rPr>
          <w:color w:val="000000"/>
          <w:sz w:val="22"/>
          <w:szCs w:val="22"/>
          <w:lang w:val="cs-CZ"/>
        </w:rPr>
        <w:t>typu těchto onemocnění.</w:t>
      </w:r>
    </w:p>
    <w:p w14:paraId="13F67314" w14:textId="77777777" w:rsidR="00E92109" w:rsidRPr="009B1A37" w:rsidRDefault="00E92109" w:rsidP="00BE3D48">
      <w:pPr>
        <w:pStyle w:val="Text"/>
        <w:widowControl w:val="0"/>
        <w:numPr>
          <w:ilvl w:val="0"/>
          <w:numId w:val="21"/>
        </w:numPr>
        <w:tabs>
          <w:tab w:val="clear" w:pos="0"/>
          <w:tab w:val="clear" w:pos="567"/>
        </w:tabs>
        <w:spacing w:before="0"/>
        <w:ind w:left="567" w:hanging="567"/>
        <w:jc w:val="left"/>
        <w:rPr>
          <w:color w:val="000000"/>
          <w:sz w:val="22"/>
          <w:szCs w:val="22"/>
          <w:lang w:val="cs-CZ"/>
        </w:rPr>
      </w:pPr>
      <w:r w:rsidRPr="009B1A37">
        <w:rPr>
          <w:b/>
          <w:bCs/>
          <w:color w:val="000000"/>
          <w:sz w:val="22"/>
          <w:szCs w:val="22"/>
          <w:lang w:val="cs-CZ"/>
        </w:rPr>
        <w:t>Zhoubnými, stromálními nádory zažívacího traktu (GIST).</w:t>
      </w:r>
      <w:r w:rsidRPr="009B1A37">
        <w:rPr>
          <w:color w:val="000000"/>
          <w:sz w:val="22"/>
          <w:szCs w:val="22"/>
          <w:lang w:val="cs-CZ"/>
        </w:rPr>
        <w:t xml:space="preserve"> GIST je nádorové onemocnění žaludku a střev. Vzniká nekontrolovaným růstem podpůrné tkáně těchto orgánů.</w:t>
      </w:r>
    </w:p>
    <w:p w14:paraId="70A990D1" w14:textId="77777777" w:rsidR="00E92109" w:rsidRPr="009B1A37" w:rsidRDefault="00E92109" w:rsidP="00BE3D48">
      <w:pPr>
        <w:pStyle w:val="Text"/>
        <w:widowControl w:val="0"/>
        <w:numPr>
          <w:ilvl w:val="0"/>
          <w:numId w:val="13"/>
        </w:numPr>
        <w:tabs>
          <w:tab w:val="clear" w:pos="0"/>
          <w:tab w:val="clear" w:pos="567"/>
        </w:tabs>
        <w:spacing w:before="0"/>
        <w:ind w:left="567" w:hanging="567"/>
        <w:jc w:val="left"/>
        <w:rPr>
          <w:color w:val="000000"/>
          <w:sz w:val="22"/>
          <w:szCs w:val="22"/>
          <w:lang w:val="cs-CZ"/>
        </w:rPr>
      </w:pPr>
      <w:r w:rsidRPr="009B1A37">
        <w:rPr>
          <w:b/>
          <w:bCs/>
          <w:color w:val="000000"/>
          <w:sz w:val="22"/>
          <w:szCs w:val="22"/>
          <w:lang w:val="cs-CZ"/>
        </w:rPr>
        <w:t>Dermatofibrosarkomem protuberans (DFSP).</w:t>
      </w:r>
      <w:r w:rsidRPr="009B1A37">
        <w:rPr>
          <w:color w:val="000000"/>
          <w:sz w:val="22"/>
          <w:szCs w:val="22"/>
          <w:lang w:val="cs-CZ"/>
        </w:rPr>
        <w:t xml:space="preserve"> DFSP je nádorové onemocnění </w:t>
      </w:r>
      <w:r w:rsidR="002B49C5" w:rsidRPr="009B1A37">
        <w:rPr>
          <w:color w:val="000000"/>
          <w:sz w:val="22"/>
          <w:szCs w:val="22"/>
          <w:lang w:val="cs-CZ"/>
        </w:rPr>
        <w:t>podkožní</w:t>
      </w:r>
      <w:r w:rsidRPr="009B1A37">
        <w:rPr>
          <w:color w:val="000000"/>
          <w:sz w:val="22"/>
          <w:szCs w:val="22"/>
          <w:lang w:val="cs-CZ"/>
        </w:rPr>
        <w:t xml:space="preserve"> tkáně, při kterém některé buňky začnou růst nekontrolovaně. Glivec tlumí růst těchto buněk.</w:t>
      </w:r>
    </w:p>
    <w:p w14:paraId="342597DD" w14:textId="77777777" w:rsidR="00E92109" w:rsidRPr="009B1A37" w:rsidRDefault="00E92109" w:rsidP="00BE3D48">
      <w:pPr>
        <w:pStyle w:val="Text"/>
        <w:widowControl w:val="0"/>
        <w:spacing w:before="0"/>
        <w:jc w:val="left"/>
        <w:rPr>
          <w:color w:val="000000"/>
          <w:sz w:val="22"/>
          <w:szCs w:val="22"/>
          <w:lang w:val="cs-CZ"/>
        </w:rPr>
      </w:pPr>
      <w:r w:rsidRPr="009B1A37">
        <w:rPr>
          <w:color w:val="000000"/>
          <w:sz w:val="22"/>
          <w:szCs w:val="22"/>
          <w:lang w:val="cs-CZ"/>
        </w:rPr>
        <w:t>V následujícím textu této příbalové informace budeme pro tato onemocnění používat zkratky</w:t>
      </w:r>
    </w:p>
    <w:p w14:paraId="213FCF88" w14:textId="77777777" w:rsidR="00E92109" w:rsidRPr="009B1A37" w:rsidRDefault="00E92109" w:rsidP="00BE3D48">
      <w:pPr>
        <w:pStyle w:val="Text"/>
        <w:widowControl w:val="0"/>
        <w:spacing w:before="0"/>
        <w:jc w:val="left"/>
        <w:rPr>
          <w:color w:val="000000"/>
          <w:sz w:val="22"/>
          <w:szCs w:val="22"/>
          <w:lang w:val="cs-CZ"/>
        </w:rPr>
      </w:pPr>
    </w:p>
    <w:p w14:paraId="28094A82" w14:textId="77777777" w:rsidR="00E92109" w:rsidRPr="009B1A37" w:rsidRDefault="00E92109" w:rsidP="00BE3D48">
      <w:pPr>
        <w:pStyle w:val="Text"/>
        <w:widowControl w:val="0"/>
        <w:spacing w:before="0"/>
        <w:jc w:val="left"/>
        <w:rPr>
          <w:color w:val="000000"/>
          <w:sz w:val="22"/>
          <w:szCs w:val="22"/>
          <w:lang w:val="cs-CZ"/>
        </w:rPr>
      </w:pPr>
      <w:r w:rsidRPr="009B1A37">
        <w:rPr>
          <w:color w:val="000000"/>
          <w:sz w:val="22"/>
          <w:szCs w:val="22"/>
          <w:lang w:val="cs-CZ"/>
        </w:rPr>
        <w:t>Jestliže máte nějaké dotazy, jak Glivec působí, nebo proč byl tento lék předepsán právě Vám, zeptejte se svého lékaře.</w:t>
      </w:r>
    </w:p>
    <w:p w14:paraId="077C1640" w14:textId="77777777" w:rsidR="00E92109" w:rsidRPr="009B1A37" w:rsidRDefault="00E92109" w:rsidP="00BE3D48">
      <w:pPr>
        <w:pStyle w:val="EndnoteText"/>
        <w:widowControl w:val="0"/>
        <w:tabs>
          <w:tab w:val="clear" w:pos="567"/>
        </w:tabs>
        <w:rPr>
          <w:color w:val="000000"/>
        </w:rPr>
      </w:pPr>
    </w:p>
    <w:p w14:paraId="3E6E517E" w14:textId="77777777" w:rsidR="00E92109" w:rsidRPr="009B1A37" w:rsidRDefault="00E92109" w:rsidP="00BE3D48">
      <w:pPr>
        <w:pStyle w:val="EndnoteText"/>
        <w:widowControl w:val="0"/>
        <w:tabs>
          <w:tab w:val="clear" w:pos="567"/>
        </w:tabs>
        <w:rPr>
          <w:color w:val="000000"/>
        </w:rPr>
      </w:pPr>
    </w:p>
    <w:p w14:paraId="29392A1D" w14:textId="77777777" w:rsidR="00E92109" w:rsidRPr="009B1A37" w:rsidRDefault="00E92109" w:rsidP="00BE3D48">
      <w:pPr>
        <w:keepNext/>
        <w:widowControl w:val="0"/>
        <w:tabs>
          <w:tab w:val="clear" w:pos="567"/>
        </w:tabs>
        <w:spacing w:line="240" w:lineRule="auto"/>
        <w:ind w:left="567" w:right="-2" w:hanging="567"/>
        <w:rPr>
          <w:b/>
          <w:bCs/>
          <w:color w:val="000000"/>
        </w:rPr>
      </w:pPr>
      <w:r w:rsidRPr="009B1A37">
        <w:rPr>
          <w:b/>
          <w:bCs/>
          <w:color w:val="000000"/>
        </w:rPr>
        <w:t>2.</w:t>
      </w:r>
      <w:r w:rsidRPr="009B1A37">
        <w:rPr>
          <w:b/>
          <w:bCs/>
          <w:color w:val="000000"/>
        </w:rPr>
        <w:tab/>
        <w:t>Čemu musíte věnovat pozornost, než začnete Glivec užívat</w:t>
      </w:r>
    </w:p>
    <w:p w14:paraId="11115E20" w14:textId="77777777" w:rsidR="00E92109" w:rsidRPr="009B1A37" w:rsidRDefault="00E92109" w:rsidP="00BE3D48">
      <w:pPr>
        <w:keepNext/>
        <w:widowControl w:val="0"/>
        <w:tabs>
          <w:tab w:val="clear" w:pos="567"/>
        </w:tabs>
        <w:spacing w:line="240" w:lineRule="auto"/>
        <w:ind w:left="567" w:right="-2" w:hanging="567"/>
        <w:rPr>
          <w:color w:val="000000"/>
        </w:rPr>
      </w:pPr>
    </w:p>
    <w:p w14:paraId="62549EF4" w14:textId="77777777" w:rsidR="00E92109" w:rsidRPr="009B1A37" w:rsidRDefault="00E92109" w:rsidP="00BE3D48">
      <w:pPr>
        <w:pStyle w:val="Text"/>
        <w:widowControl w:val="0"/>
        <w:spacing w:before="0"/>
        <w:jc w:val="left"/>
        <w:rPr>
          <w:color w:val="000000"/>
          <w:sz w:val="22"/>
          <w:szCs w:val="22"/>
          <w:lang w:val="cs-CZ"/>
        </w:rPr>
      </w:pPr>
      <w:r w:rsidRPr="009B1A37">
        <w:rPr>
          <w:color w:val="000000"/>
          <w:sz w:val="22"/>
          <w:szCs w:val="22"/>
          <w:lang w:val="cs-CZ"/>
        </w:rPr>
        <w:t>Glivec Vám bude předepsán pouze lékařem, který má zkušenosti s léčbou nádorov</w:t>
      </w:r>
      <w:r w:rsidR="002B49C5" w:rsidRPr="009B1A37">
        <w:rPr>
          <w:color w:val="000000"/>
          <w:sz w:val="22"/>
          <w:szCs w:val="22"/>
          <w:lang w:val="cs-CZ"/>
        </w:rPr>
        <w:t>ých</w:t>
      </w:r>
      <w:r w:rsidRPr="009B1A37">
        <w:rPr>
          <w:color w:val="000000"/>
          <w:sz w:val="22"/>
          <w:szCs w:val="22"/>
          <w:lang w:val="cs-CZ"/>
        </w:rPr>
        <w:t xml:space="preserve"> onemocnění krve nebo solidních nádorů (pevných ohraničených nádorů).</w:t>
      </w:r>
    </w:p>
    <w:p w14:paraId="6362F2B8" w14:textId="77777777" w:rsidR="00E92109" w:rsidRPr="009B1A37" w:rsidRDefault="00E92109" w:rsidP="00BE3D48">
      <w:pPr>
        <w:widowControl w:val="0"/>
        <w:tabs>
          <w:tab w:val="clear" w:pos="567"/>
        </w:tabs>
        <w:spacing w:line="240" w:lineRule="auto"/>
        <w:ind w:right="-2"/>
        <w:rPr>
          <w:color w:val="000000"/>
        </w:rPr>
      </w:pPr>
    </w:p>
    <w:p w14:paraId="66067540" w14:textId="77777777" w:rsidR="00E92109" w:rsidRPr="009B1A37" w:rsidRDefault="00E92109" w:rsidP="00BE3D48">
      <w:pPr>
        <w:widowControl w:val="0"/>
        <w:tabs>
          <w:tab w:val="clear" w:pos="567"/>
        </w:tabs>
        <w:spacing w:line="240" w:lineRule="auto"/>
        <w:ind w:right="-2"/>
        <w:rPr>
          <w:color w:val="000000"/>
        </w:rPr>
      </w:pPr>
      <w:r w:rsidRPr="009B1A37">
        <w:rPr>
          <w:color w:val="000000"/>
        </w:rPr>
        <w:t>Dodržujte pečlivě všechna doporučení lékaře, i když se budou lišit od obecných informací uvedených v této příbalové informaci.</w:t>
      </w:r>
    </w:p>
    <w:p w14:paraId="20CD147C" w14:textId="77777777" w:rsidR="00E92109" w:rsidRPr="009B1A37" w:rsidRDefault="00E92109" w:rsidP="00BE3D48">
      <w:pPr>
        <w:widowControl w:val="0"/>
        <w:tabs>
          <w:tab w:val="clear" w:pos="567"/>
        </w:tabs>
        <w:spacing w:line="240" w:lineRule="auto"/>
        <w:ind w:right="-2"/>
        <w:rPr>
          <w:color w:val="000000"/>
        </w:rPr>
      </w:pPr>
    </w:p>
    <w:p w14:paraId="769792AA" w14:textId="77777777" w:rsidR="00E92109" w:rsidRPr="009B1A37" w:rsidRDefault="00E92109" w:rsidP="00BE3D48">
      <w:pPr>
        <w:keepNext/>
        <w:widowControl w:val="0"/>
        <w:tabs>
          <w:tab w:val="clear" w:pos="567"/>
        </w:tabs>
        <w:spacing w:line="240" w:lineRule="auto"/>
        <w:rPr>
          <w:b/>
          <w:bCs/>
          <w:color w:val="000000"/>
        </w:rPr>
      </w:pPr>
      <w:r w:rsidRPr="009B1A37">
        <w:rPr>
          <w:b/>
          <w:bCs/>
          <w:color w:val="000000"/>
        </w:rPr>
        <w:t>Neužívejte Glivec:</w:t>
      </w:r>
    </w:p>
    <w:p w14:paraId="2FE277C0" w14:textId="77777777" w:rsidR="00E92109" w:rsidRPr="009B1A37" w:rsidRDefault="00E92109" w:rsidP="00182086">
      <w:pPr>
        <w:keepNext/>
        <w:widowControl w:val="0"/>
        <w:numPr>
          <w:ilvl w:val="0"/>
          <w:numId w:val="13"/>
        </w:numPr>
        <w:tabs>
          <w:tab w:val="clear" w:pos="0"/>
          <w:tab w:val="clear" w:pos="567"/>
        </w:tabs>
        <w:spacing w:line="240" w:lineRule="auto"/>
        <w:ind w:left="567" w:hanging="567"/>
        <w:rPr>
          <w:color w:val="000000"/>
        </w:rPr>
      </w:pPr>
      <w:r w:rsidRPr="009B1A37">
        <w:rPr>
          <w:color w:val="000000"/>
        </w:rPr>
        <w:t>jestliže jste alergický(á) na imatinib nebo na kteroukoli další složku tohoto přípravku (uvedenou v bodě 6).</w:t>
      </w:r>
    </w:p>
    <w:p w14:paraId="1E18BB1F" w14:textId="77777777" w:rsidR="00E92109" w:rsidRPr="009B1A37" w:rsidRDefault="00E92109" w:rsidP="00BE3D48">
      <w:pPr>
        <w:widowControl w:val="0"/>
        <w:tabs>
          <w:tab w:val="clear" w:pos="567"/>
        </w:tabs>
        <w:spacing w:line="240" w:lineRule="auto"/>
        <w:ind w:right="-2"/>
        <w:rPr>
          <w:color w:val="000000"/>
        </w:rPr>
      </w:pPr>
      <w:r w:rsidRPr="009B1A37">
        <w:rPr>
          <w:color w:val="000000"/>
        </w:rPr>
        <w:t xml:space="preserve">Pokud se Vás to týká, </w:t>
      </w:r>
      <w:r w:rsidRPr="009B1A37">
        <w:rPr>
          <w:b/>
          <w:bCs/>
          <w:color w:val="000000"/>
        </w:rPr>
        <w:t>oznamte to svému lékaři, aniž byste Glivec užíval(a)</w:t>
      </w:r>
      <w:r w:rsidRPr="009B1A37">
        <w:rPr>
          <w:color w:val="000000"/>
        </w:rPr>
        <w:t>.</w:t>
      </w:r>
    </w:p>
    <w:p w14:paraId="35CF5AD8" w14:textId="77777777" w:rsidR="00E92109" w:rsidRPr="009B1A37" w:rsidRDefault="00E92109" w:rsidP="00BE3D48">
      <w:pPr>
        <w:widowControl w:val="0"/>
        <w:tabs>
          <w:tab w:val="clear" w:pos="567"/>
        </w:tabs>
        <w:spacing w:line="240" w:lineRule="auto"/>
        <w:ind w:right="-2"/>
        <w:rPr>
          <w:color w:val="000000"/>
        </w:rPr>
      </w:pPr>
    </w:p>
    <w:p w14:paraId="6EDCEE5A" w14:textId="77777777" w:rsidR="00E92109" w:rsidRPr="009B1A37" w:rsidRDefault="00E92109" w:rsidP="00BE3D48">
      <w:pPr>
        <w:widowControl w:val="0"/>
        <w:tabs>
          <w:tab w:val="clear" w:pos="567"/>
        </w:tabs>
        <w:spacing w:line="240" w:lineRule="auto"/>
        <w:ind w:right="-2"/>
        <w:rPr>
          <w:color w:val="000000"/>
        </w:rPr>
      </w:pPr>
      <w:r w:rsidRPr="009B1A37">
        <w:rPr>
          <w:color w:val="000000"/>
        </w:rPr>
        <w:t xml:space="preserve">Jestliže si myslíte, že můžete být alergický(á) ale nejste si tím jistý(á), </w:t>
      </w:r>
      <w:r w:rsidR="002B49C5" w:rsidRPr="009B1A37">
        <w:rPr>
          <w:color w:val="000000"/>
        </w:rPr>
        <w:t>poraďte se se svým lékařem</w:t>
      </w:r>
      <w:r w:rsidRPr="009B1A37">
        <w:rPr>
          <w:color w:val="000000"/>
        </w:rPr>
        <w:t>.</w:t>
      </w:r>
    </w:p>
    <w:p w14:paraId="2CB0E364" w14:textId="77777777" w:rsidR="00E92109" w:rsidRPr="009B1A37" w:rsidRDefault="00E92109" w:rsidP="00BE3D48">
      <w:pPr>
        <w:widowControl w:val="0"/>
        <w:tabs>
          <w:tab w:val="clear" w:pos="567"/>
        </w:tabs>
        <w:spacing w:line="240" w:lineRule="auto"/>
        <w:ind w:right="-2"/>
        <w:rPr>
          <w:color w:val="000000"/>
        </w:rPr>
      </w:pPr>
    </w:p>
    <w:p w14:paraId="19102E00" w14:textId="77777777" w:rsidR="00E92109" w:rsidRPr="009B1A37" w:rsidRDefault="00E92109" w:rsidP="00BE3D48">
      <w:pPr>
        <w:keepNext/>
        <w:widowControl w:val="0"/>
        <w:tabs>
          <w:tab w:val="clear" w:pos="567"/>
        </w:tabs>
        <w:spacing w:line="240" w:lineRule="auto"/>
        <w:ind w:right="-2"/>
        <w:rPr>
          <w:b/>
          <w:color w:val="000000"/>
        </w:rPr>
      </w:pPr>
      <w:r w:rsidRPr="009B1A37">
        <w:rPr>
          <w:b/>
          <w:color w:val="000000"/>
        </w:rPr>
        <w:t>Upozornění a opatření</w:t>
      </w:r>
    </w:p>
    <w:p w14:paraId="1CC17218" w14:textId="77777777" w:rsidR="00E92109" w:rsidRPr="009B1A37" w:rsidRDefault="00E92109" w:rsidP="00BE3D48">
      <w:pPr>
        <w:keepNext/>
        <w:widowControl w:val="0"/>
        <w:tabs>
          <w:tab w:val="clear" w:pos="567"/>
        </w:tabs>
        <w:spacing w:line="240" w:lineRule="auto"/>
        <w:ind w:right="-2"/>
        <w:rPr>
          <w:color w:val="000000"/>
        </w:rPr>
      </w:pPr>
      <w:r w:rsidRPr="009B1A37">
        <w:rPr>
          <w:bCs/>
          <w:color w:val="000000"/>
        </w:rPr>
        <w:t>Před užitím</w:t>
      </w:r>
      <w:r w:rsidRPr="009B1A37">
        <w:rPr>
          <w:color w:val="000000"/>
        </w:rPr>
        <w:t xml:space="preserve"> Glivecu se poraďte se svým lékařem:</w:t>
      </w:r>
    </w:p>
    <w:p w14:paraId="4442D01F" w14:textId="77777777" w:rsidR="00E92109" w:rsidRPr="009B1A37" w:rsidRDefault="00E92109" w:rsidP="00BE3D48">
      <w:pPr>
        <w:widowControl w:val="0"/>
        <w:tabs>
          <w:tab w:val="clear" w:pos="567"/>
        </w:tabs>
        <w:spacing w:line="240" w:lineRule="auto"/>
        <w:ind w:left="600" w:hanging="600"/>
        <w:rPr>
          <w:color w:val="000000"/>
        </w:rPr>
      </w:pPr>
      <w:r w:rsidRPr="009B1A37">
        <w:rPr>
          <w:color w:val="000000"/>
        </w:rPr>
        <w:t>-</w:t>
      </w:r>
      <w:r w:rsidRPr="009B1A37">
        <w:rPr>
          <w:color w:val="000000"/>
        </w:rPr>
        <w:tab/>
      </w:r>
      <w:r w:rsidR="002B49C5" w:rsidRPr="009B1A37">
        <w:rPr>
          <w:color w:val="000000"/>
        </w:rPr>
        <w:t>jestliže</w:t>
      </w:r>
      <w:r w:rsidRPr="009B1A37">
        <w:rPr>
          <w:color w:val="000000"/>
        </w:rPr>
        <w:t xml:space="preserve"> máte nebo jste v minulosti měl(a) potíže s játry, ledvinami nebo se srdcem </w:t>
      </w:r>
    </w:p>
    <w:p w14:paraId="52370117" w14:textId="77777777" w:rsidR="00E92109" w:rsidRPr="009B1A37" w:rsidRDefault="00E92109" w:rsidP="00BE3D48">
      <w:pPr>
        <w:widowControl w:val="0"/>
        <w:tabs>
          <w:tab w:val="clear" w:pos="567"/>
        </w:tabs>
        <w:spacing w:line="240" w:lineRule="auto"/>
        <w:rPr>
          <w:color w:val="000000"/>
        </w:rPr>
      </w:pPr>
      <w:r w:rsidRPr="009B1A37">
        <w:rPr>
          <w:color w:val="000000"/>
        </w:rPr>
        <w:t>-</w:t>
      </w:r>
      <w:r w:rsidRPr="009B1A37">
        <w:rPr>
          <w:color w:val="000000"/>
        </w:rPr>
        <w:tab/>
        <w:t>jestliže užíváte levothyroxin</w:t>
      </w:r>
      <w:r w:rsidR="002B49C5" w:rsidRPr="009B1A37">
        <w:rPr>
          <w:color w:val="000000"/>
        </w:rPr>
        <w:t>, protože Vám byla odstraněna</w:t>
      </w:r>
      <w:r w:rsidRPr="009B1A37">
        <w:rPr>
          <w:color w:val="000000"/>
        </w:rPr>
        <w:t xml:space="preserve"> štítn</w:t>
      </w:r>
      <w:r w:rsidR="002B49C5" w:rsidRPr="009B1A37">
        <w:rPr>
          <w:color w:val="000000"/>
        </w:rPr>
        <w:t>á</w:t>
      </w:r>
      <w:r w:rsidRPr="009B1A37">
        <w:rPr>
          <w:color w:val="000000"/>
        </w:rPr>
        <w:t xml:space="preserve"> žláz</w:t>
      </w:r>
      <w:r w:rsidR="002B49C5" w:rsidRPr="009B1A37">
        <w:rPr>
          <w:color w:val="000000"/>
        </w:rPr>
        <w:t>a</w:t>
      </w:r>
      <w:r w:rsidRPr="009B1A37">
        <w:rPr>
          <w:color w:val="000000"/>
        </w:rPr>
        <w:t>.</w:t>
      </w:r>
    </w:p>
    <w:p w14:paraId="2331A24E" w14:textId="77777777" w:rsidR="004A788B" w:rsidRPr="009B1A37" w:rsidRDefault="004A788B" w:rsidP="00BE3D48">
      <w:pPr>
        <w:widowControl w:val="0"/>
        <w:tabs>
          <w:tab w:val="clear" w:pos="567"/>
        </w:tabs>
        <w:spacing w:line="240" w:lineRule="auto"/>
        <w:ind w:left="567" w:hanging="567"/>
        <w:rPr>
          <w:color w:val="000000"/>
        </w:rPr>
      </w:pPr>
      <w:r w:rsidRPr="009B1A37">
        <w:rPr>
          <w:color w:val="000000"/>
        </w:rPr>
        <w:t>-</w:t>
      </w:r>
      <w:r w:rsidRPr="009B1A37">
        <w:rPr>
          <w:color w:val="000000"/>
        </w:rPr>
        <w:tab/>
        <w:t>pokud jste někdy měl (a) infekční hepatitidu B (žloutenka typu B) nebo toto onemocnění máte v současné době. Přípravek G</w:t>
      </w:r>
      <w:r w:rsidR="002B49C5" w:rsidRPr="009B1A37">
        <w:rPr>
          <w:color w:val="000000"/>
        </w:rPr>
        <w:t>livec</w:t>
      </w:r>
      <w:r w:rsidRPr="009B1A37">
        <w:rPr>
          <w:color w:val="000000"/>
        </w:rPr>
        <w:t xml:space="preserve"> může hepatitidu B znovu aktivovat, což může v některých případech vést k úmrtí. Před zahájením léčby lékař pacienty pečlivě vyšetří s ohledem na možný výskyt známek této infekce.</w:t>
      </w:r>
    </w:p>
    <w:p w14:paraId="422C40BC" w14:textId="77777777" w:rsidR="0071222E" w:rsidRPr="009B1A37" w:rsidRDefault="00894B06" w:rsidP="00182086">
      <w:pPr>
        <w:keepNext/>
        <w:keepLines/>
        <w:widowControl w:val="0"/>
        <w:tabs>
          <w:tab w:val="clear" w:pos="567"/>
        </w:tabs>
        <w:spacing w:line="240" w:lineRule="auto"/>
        <w:ind w:left="567" w:hanging="567"/>
        <w:rPr>
          <w:color w:val="000000"/>
        </w:rPr>
      </w:pPr>
      <w:r w:rsidRPr="009B1A37">
        <w:rPr>
          <w:color w:val="000000"/>
        </w:rPr>
        <w:t>-</w:t>
      </w:r>
      <w:r w:rsidRPr="009B1A37">
        <w:rPr>
          <w:color w:val="000000"/>
        </w:rPr>
        <w:tab/>
      </w:r>
      <w:r w:rsidR="0071222E" w:rsidRPr="009B1A37">
        <w:rPr>
          <w:color w:val="000000"/>
        </w:rPr>
        <w:t>jestliže se u Vás během léčby přípravkem Glivec objeví modřiny, krvácení, horečka, únava a zmatenost, kontaktujte svého lékaře. Může to být známka poškození krevních cév známá jako trombotická mikroangiopatie (TMA).</w:t>
      </w:r>
    </w:p>
    <w:p w14:paraId="36BC4131" w14:textId="77777777" w:rsidR="00E92109" w:rsidRPr="009B1A37" w:rsidRDefault="00E92109" w:rsidP="00BE3D48">
      <w:pPr>
        <w:pStyle w:val="Text"/>
        <w:widowControl w:val="0"/>
        <w:spacing w:before="0"/>
        <w:jc w:val="left"/>
        <w:rPr>
          <w:b/>
          <w:bCs/>
          <w:color w:val="000000"/>
          <w:sz w:val="22"/>
          <w:szCs w:val="22"/>
          <w:lang w:val="cs-CZ"/>
        </w:rPr>
      </w:pPr>
      <w:r w:rsidRPr="009B1A37">
        <w:rPr>
          <w:color w:val="000000"/>
          <w:sz w:val="22"/>
          <w:szCs w:val="22"/>
          <w:lang w:val="cs-CZ"/>
        </w:rPr>
        <w:t xml:space="preserve">Jestliže se Vás cokoliv z výše uvedeného týká, </w:t>
      </w:r>
      <w:r w:rsidRPr="009B1A37">
        <w:rPr>
          <w:b/>
          <w:bCs/>
          <w:color w:val="000000"/>
          <w:sz w:val="22"/>
          <w:szCs w:val="22"/>
          <w:lang w:val="cs-CZ"/>
        </w:rPr>
        <w:t>oznamte to lékaři před užíváním Glivecu.</w:t>
      </w:r>
    </w:p>
    <w:p w14:paraId="6F1DC6EB" w14:textId="77777777" w:rsidR="00F01DF4" w:rsidRPr="009B1A37" w:rsidRDefault="00F01DF4" w:rsidP="00BE3D48">
      <w:pPr>
        <w:pStyle w:val="Text"/>
        <w:widowControl w:val="0"/>
        <w:spacing w:before="0"/>
        <w:jc w:val="left"/>
        <w:rPr>
          <w:bCs/>
          <w:sz w:val="22"/>
          <w:szCs w:val="22"/>
          <w:lang w:val="cs-CZ"/>
        </w:rPr>
      </w:pPr>
    </w:p>
    <w:p w14:paraId="64652892" w14:textId="77777777" w:rsidR="00F01DF4" w:rsidRPr="009B1A37" w:rsidRDefault="00F01DF4" w:rsidP="00BE3D48">
      <w:pPr>
        <w:pStyle w:val="Text"/>
        <w:widowControl w:val="0"/>
        <w:spacing w:before="0"/>
        <w:jc w:val="left"/>
        <w:rPr>
          <w:bCs/>
          <w:sz w:val="22"/>
          <w:szCs w:val="22"/>
          <w:lang w:val="cs-CZ"/>
        </w:rPr>
      </w:pPr>
      <w:r w:rsidRPr="009B1A37">
        <w:rPr>
          <w:sz w:val="22"/>
          <w:szCs w:val="22"/>
          <w:lang w:val="cs-CZ"/>
        </w:rPr>
        <w:t>Během užívání přípravku Glivec můžete být citlivější na sluneční záření. Je důležité, abyste používal</w:t>
      </w:r>
      <w:r w:rsidR="00691A97" w:rsidRPr="009B1A37">
        <w:rPr>
          <w:sz w:val="22"/>
          <w:szCs w:val="22"/>
          <w:lang w:val="cs-CZ"/>
        </w:rPr>
        <w:t>(a)</w:t>
      </w:r>
      <w:r w:rsidRPr="009B1A37">
        <w:rPr>
          <w:sz w:val="22"/>
          <w:szCs w:val="22"/>
          <w:lang w:val="cs-CZ"/>
        </w:rPr>
        <w:t xml:space="preserve"> ochranný oděv a opalovací krém s vysokým ochranným faktorem proti slunečnímu záření (OF). Tato bezpečnostní opatření jsou platná i pro děti.</w:t>
      </w:r>
    </w:p>
    <w:p w14:paraId="17D244FB" w14:textId="77777777" w:rsidR="00E92109" w:rsidRPr="009B1A37" w:rsidRDefault="00E92109" w:rsidP="00BE3D48">
      <w:pPr>
        <w:pStyle w:val="Text"/>
        <w:widowControl w:val="0"/>
        <w:spacing w:before="0"/>
        <w:jc w:val="left"/>
        <w:rPr>
          <w:color w:val="000000"/>
          <w:sz w:val="22"/>
          <w:szCs w:val="22"/>
          <w:lang w:val="cs-CZ"/>
        </w:rPr>
      </w:pPr>
    </w:p>
    <w:p w14:paraId="78ACFFC9" w14:textId="77777777" w:rsidR="00E92109" w:rsidRPr="009B1A37" w:rsidRDefault="00E92109" w:rsidP="00BE3D48">
      <w:pPr>
        <w:pStyle w:val="Text"/>
        <w:widowControl w:val="0"/>
        <w:spacing w:before="0"/>
        <w:jc w:val="left"/>
        <w:rPr>
          <w:color w:val="000000"/>
          <w:sz w:val="22"/>
          <w:szCs w:val="22"/>
          <w:lang w:val="cs-CZ"/>
        </w:rPr>
      </w:pPr>
      <w:r w:rsidRPr="009B1A37">
        <w:rPr>
          <w:color w:val="000000"/>
          <w:sz w:val="22"/>
          <w:szCs w:val="22"/>
          <w:lang w:val="cs-CZ"/>
        </w:rPr>
        <w:t>Pokud začnete velmi rychle přibývat na váze</w:t>
      </w:r>
      <w:r w:rsidRPr="009B1A37">
        <w:rPr>
          <w:b/>
          <w:bCs/>
          <w:color w:val="000000"/>
          <w:sz w:val="22"/>
          <w:szCs w:val="22"/>
          <w:lang w:val="cs-CZ"/>
        </w:rPr>
        <w:t xml:space="preserve"> během léčby Glivecem, sdělte to ihned svému lékaři</w:t>
      </w:r>
      <w:r w:rsidRPr="009B1A37">
        <w:rPr>
          <w:color w:val="000000"/>
          <w:sz w:val="22"/>
          <w:szCs w:val="22"/>
          <w:lang w:val="cs-CZ"/>
        </w:rPr>
        <w:t>. Glivec může způsobit zadržování vody ve Vašem těle (závažnou retenci tekutin).</w:t>
      </w:r>
    </w:p>
    <w:p w14:paraId="1FDDC17A" w14:textId="77777777" w:rsidR="00E92109" w:rsidRPr="009B1A37" w:rsidRDefault="00E92109" w:rsidP="00BE3D48">
      <w:pPr>
        <w:pStyle w:val="Text"/>
        <w:widowControl w:val="0"/>
        <w:spacing w:before="0"/>
        <w:jc w:val="left"/>
        <w:rPr>
          <w:color w:val="000000"/>
          <w:sz w:val="22"/>
          <w:szCs w:val="22"/>
          <w:lang w:val="cs-CZ"/>
        </w:rPr>
      </w:pPr>
    </w:p>
    <w:p w14:paraId="195417C0" w14:textId="77777777" w:rsidR="00E92109" w:rsidRPr="009B1A37" w:rsidRDefault="00E92109" w:rsidP="00BE3D48">
      <w:pPr>
        <w:pStyle w:val="Text"/>
        <w:widowControl w:val="0"/>
        <w:spacing w:before="0"/>
        <w:jc w:val="left"/>
        <w:rPr>
          <w:color w:val="000000"/>
          <w:sz w:val="22"/>
          <w:szCs w:val="22"/>
          <w:lang w:val="cs-CZ"/>
        </w:rPr>
      </w:pPr>
      <w:r w:rsidRPr="009B1A37">
        <w:rPr>
          <w:color w:val="000000"/>
          <w:sz w:val="22"/>
          <w:szCs w:val="22"/>
          <w:lang w:val="cs-CZ"/>
        </w:rPr>
        <w:t>Během užívání Glivecu bude Váš lékař pravidelně sledovat, zda lék účinkuje. Také Vám bude pravidelně kontrolován krevní obraz a tělesná hmotnost.</w:t>
      </w:r>
    </w:p>
    <w:p w14:paraId="4A1FDD97" w14:textId="77777777" w:rsidR="00E92109" w:rsidRPr="009B1A37" w:rsidRDefault="00E92109" w:rsidP="00BE3D48">
      <w:pPr>
        <w:pStyle w:val="Text"/>
        <w:widowControl w:val="0"/>
        <w:spacing w:before="0"/>
        <w:jc w:val="left"/>
        <w:rPr>
          <w:color w:val="000000"/>
          <w:sz w:val="22"/>
          <w:szCs w:val="22"/>
          <w:lang w:val="cs-CZ"/>
        </w:rPr>
      </w:pPr>
    </w:p>
    <w:p w14:paraId="4384D694" w14:textId="77777777" w:rsidR="00E92109" w:rsidRPr="009B1A37" w:rsidRDefault="00E92109" w:rsidP="00BE3D48">
      <w:pPr>
        <w:pStyle w:val="Text"/>
        <w:keepNext/>
        <w:widowControl w:val="0"/>
        <w:spacing w:before="0"/>
        <w:jc w:val="left"/>
        <w:rPr>
          <w:b/>
          <w:color w:val="000000"/>
          <w:sz w:val="22"/>
          <w:szCs w:val="22"/>
          <w:lang w:val="cs-CZ"/>
        </w:rPr>
      </w:pPr>
      <w:r w:rsidRPr="009B1A37">
        <w:rPr>
          <w:b/>
          <w:color w:val="000000"/>
          <w:sz w:val="22"/>
          <w:szCs w:val="22"/>
          <w:lang w:val="cs-CZ"/>
        </w:rPr>
        <w:t>Děti a dospívající</w:t>
      </w:r>
    </w:p>
    <w:p w14:paraId="5A28B4BF" w14:textId="77777777" w:rsidR="004B0671" w:rsidRPr="009B1A37" w:rsidRDefault="00E92109" w:rsidP="00BE3D48">
      <w:pPr>
        <w:pStyle w:val="EndnoteText"/>
        <w:widowControl w:val="0"/>
        <w:tabs>
          <w:tab w:val="clear" w:pos="567"/>
        </w:tabs>
        <w:rPr>
          <w:color w:val="000000"/>
        </w:rPr>
      </w:pPr>
      <w:r w:rsidRPr="009B1A37">
        <w:rPr>
          <w:color w:val="000000"/>
        </w:rPr>
        <w:t xml:space="preserve">Glivec je také léčba pro děti s CML. Nejsou žádné zkušenosti s podáváním u dětí s CML mladších než 2 roky. Zkušenosti s podáváním u dětí s Ph-pozitivní </w:t>
      </w:r>
      <w:smartTag w:uri="urn:schemas-microsoft-com:office:smarttags" w:element="stockticker">
        <w:r w:rsidRPr="009B1A37">
          <w:rPr>
            <w:color w:val="000000"/>
          </w:rPr>
          <w:t>ALL</w:t>
        </w:r>
      </w:smartTag>
      <w:r w:rsidRPr="009B1A37">
        <w:rPr>
          <w:color w:val="000000"/>
        </w:rPr>
        <w:t xml:space="preserve"> jsou omezené</w:t>
      </w:r>
      <w:r w:rsidR="004B0671" w:rsidRPr="009B1A37">
        <w:rPr>
          <w:color w:val="000000"/>
        </w:rPr>
        <w:t xml:space="preserve"> a u dětí s MDS/MPD, DFSP, GIST a HES/CEL jsou velmi omezené.</w:t>
      </w:r>
    </w:p>
    <w:p w14:paraId="66AADA14" w14:textId="77777777" w:rsidR="004B0671" w:rsidRPr="009B1A37" w:rsidRDefault="004B0671" w:rsidP="00BE3D48">
      <w:pPr>
        <w:pStyle w:val="EndnoteText"/>
        <w:widowControl w:val="0"/>
        <w:tabs>
          <w:tab w:val="clear" w:pos="567"/>
        </w:tabs>
        <w:rPr>
          <w:color w:val="000000"/>
        </w:rPr>
      </w:pPr>
    </w:p>
    <w:p w14:paraId="437D112D" w14:textId="77777777" w:rsidR="00E92109" w:rsidRPr="009B1A37" w:rsidRDefault="00E92109" w:rsidP="00BE3D48">
      <w:pPr>
        <w:pStyle w:val="EndnoteText"/>
        <w:widowControl w:val="0"/>
        <w:tabs>
          <w:tab w:val="clear" w:pos="567"/>
        </w:tabs>
        <w:rPr>
          <w:color w:val="000000"/>
        </w:rPr>
      </w:pPr>
      <w:r w:rsidRPr="009B1A37">
        <w:rPr>
          <w:color w:val="000000"/>
        </w:rPr>
        <w:t>U některých dětí a dospívajících, kteří užívají Glivec, se může projevit pomalejší tělesný růst, než je běžné. Lékař bude sledovat růst při pravidelných návštěvách.</w:t>
      </w:r>
    </w:p>
    <w:p w14:paraId="3008B202" w14:textId="77777777" w:rsidR="00E92109" w:rsidRPr="009B1A37" w:rsidRDefault="00E92109" w:rsidP="00BE3D48">
      <w:pPr>
        <w:pStyle w:val="EndnoteText"/>
        <w:widowControl w:val="0"/>
        <w:tabs>
          <w:tab w:val="clear" w:pos="567"/>
        </w:tabs>
        <w:rPr>
          <w:color w:val="000000"/>
        </w:rPr>
      </w:pPr>
    </w:p>
    <w:p w14:paraId="58A1B537" w14:textId="77777777" w:rsidR="00E92109" w:rsidRPr="009B1A37" w:rsidRDefault="00E92109" w:rsidP="00BE3D48">
      <w:pPr>
        <w:pStyle w:val="EndnoteText"/>
        <w:keepNext/>
        <w:widowControl w:val="0"/>
        <w:tabs>
          <w:tab w:val="clear" w:pos="567"/>
        </w:tabs>
        <w:rPr>
          <w:b/>
          <w:bCs/>
          <w:color w:val="000000"/>
        </w:rPr>
      </w:pPr>
      <w:r w:rsidRPr="009B1A37">
        <w:rPr>
          <w:b/>
          <w:bCs/>
          <w:color w:val="000000"/>
        </w:rPr>
        <w:t>Další léčivé přípravky a Glivec</w:t>
      </w:r>
    </w:p>
    <w:p w14:paraId="4EB1EB8D" w14:textId="77777777" w:rsidR="00A72E60" w:rsidRPr="009B1A37" w:rsidRDefault="00E92109" w:rsidP="00BE3D48">
      <w:pPr>
        <w:widowControl w:val="0"/>
        <w:tabs>
          <w:tab w:val="clear" w:pos="567"/>
        </w:tabs>
        <w:spacing w:line="240" w:lineRule="auto"/>
        <w:ind w:right="-2"/>
        <w:rPr>
          <w:color w:val="000000"/>
        </w:rPr>
      </w:pPr>
      <w:r w:rsidRPr="009B1A37">
        <w:rPr>
          <w:color w:val="000000"/>
        </w:rPr>
        <w:t xml:space="preserve">Informujte svého lékaře nebo lékárníka o všech lécích, které užíváte, které jste v nedávné době užíval(a) nebo které možná budete užívat, a to i o lécích, které jsou dostupné bez lékařského předpisu (jako je paracetamol), včetně </w:t>
      </w:r>
      <w:r w:rsidR="002B49C5" w:rsidRPr="009B1A37">
        <w:rPr>
          <w:color w:val="000000"/>
        </w:rPr>
        <w:t>rostlinných přípravků</w:t>
      </w:r>
      <w:r w:rsidRPr="009B1A37">
        <w:rPr>
          <w:color w:val="000000"/>
        </w:rPr>
        <w:t xml:space="preserve"> (jako je třezalka tečkovaná). Některé léky, pokud jsou užívány společně s Glivecem, mohou účinek Glivecu ovlivňovat. Mohou zvýšit nebo naopak snížit účinnost Glivecu, což vede buď ke zvýšení jeho nežádoucích účinků</w:t>
      </w:r>
      <w:r w:rsidR="0071222E" w:rsidRPr="009B1A37">
        <w:rPr>
          <w:color w:val="000000"/>
        </w:rPr>
        <w:t>,</w:t>
      </w:r>
      <w:r w:rsidRPr="009B1A37">
        <w:rPr>
          <w:color w:val="000000"/>
        </w:rPr>
        <w:t xml:space="preserve"> nebo ke snížení jeho účinnosti. Stejně tak může Glivec ovlivňovat i některé jiné léky.</w:t>
      </w:r>
    </w:p>
    <w:p w14:paraId="1AA661A2" w14:textId="77777777" w:rsidR="005C33E1" w:rsidRPr="009B1A37" w:rsidRDefault="005C33E1" w:rsidP="00BE3D48">
      <w:pPr>
        <w:widowControl w:val="0"/>
        <w:numPr>
          <w:ilvl w:val="12"/>
          <w:numId w:val="0"/>
        </w:numPr>
        <w:tabs>
          <w:tab w:val="clear" w:pos="567"/>
        </w:tabs>
        <w:spacing w:line="240" w:lineRule="auto"/>
        <w:ind w:right="-2"/>
        <w:rPr>
          <w:color w:val="000000"/>
        </w:rPr>
      </w:pPr>
    </w:p>
    <w:p w14:paraId="7BFC3C6B" w14:textId="77777777" w:rsidR="005C33E1" w:rsidRPr="009B1A37" w:rsidRDefault="005C33E1" w:rsidP="00BE3D48">
      <w:pPr>
        <w:widowControl w:val="0"/>
        <w:numPr>
          <w:ilvl w:val="12"/>
          <w:numId w:val="0"/>
        </w:numPr>
        <w:tabs>
          <w:tab w:val="clear" w:pos="567"/>
        </w:tabs>
        <w:spacing w:line="240" w:lineRule="auto"/>
        <w:ind w:right="-2"/>
        <w:rPr>
          <w:color w:val="000000"/>
        </w:rPr>
      </w:pPr>
      <w:r w:rsidRPr="009B1A37">
        <w:rPr>
          <w:color w:val="000000"/>
        </w:rPr>
        <w:t>Informujte svého lékaře, pokud užíváte léky zamezující tvorbě krevních sraženin.</w:t>
      </w:r>
    </w:p>
    <w:p w14:paraId="16A6DA65" w14:textId="77777777" w:rsidR="00E92109" w:rsidRPr="009B1A37" w:rsidRDefault="00E92109" w:rsidP="00BE3D48">
      <w:pPr>
        <w:pStyle w:val="EndnoteText"/>
        <w:widowControl w:val="0"/>
        <w:tabs>
          <w:tab w:val="clear" w:pos="567"/>
        </w:tabs>
        <w:rPr>
          <w:color w:val="000000"/>
        </w:rPr>
      </w:pPr>
    </w:p>
    <w:p w14:paraId="1A15228B" w14:textId="77777777" w:rsidR="00E92109" w:rsidRPr="009B1A37" w:rsidRDefault="00E92109" w:rsidP="00BE3D48">
      <w:pPr>
        <w:pStyle w:val="EndnoteText"/>
        <w:keepNext/>
        <w:widowControl w:val="0"/>
        <w:tabs>
          <w:tab w:val="clear" w:pos="567"/>
        </w:tabs>
        <w:rPr>
          <w:bCs/>
          <w:color w:val="000000"/>
        </w:rPr>
      </w:pPr>
      <w:r w:rsidRPr="009B1A37">
        <w:rPr>
          <w:b/>
          <w:bCs/>
          <w:color w:val="000000"/>
        </w:rPr>
        <w:t xml:space="preserve">Těhotenství, kojení a </w:t>
      </w:r>
      <w:r w:rsidR="002B49C5" w:rsidRPr="009B1A37">
        <w:rPr>
          <w:b/>
          <w:bCs/>
          <w:color w:val="000000"/>
        </w:rPr>
        <w:t>plodnost</w:t>
      </w:r>
    </w:p>
    <w:p w14:paraId="37DAFDC5" w14:textId="77777777" w:rsidR="00E92109" w:rsidRPr="009B1A37" w:rsidRDefault="00E92109" w:rsidP="00BE3D48">
      <w:pPr>
        <w:widowControl w:val="0"/>
        <w:numPr>
          <w:ilvl w:val="0"/>
          <w:numId w:val="13"/>
        </w:numPr>
        <w:tabs>
          <w:tab w:val="clear" w:pos="0"/>
          <w:tab w:val="clear" w:pos="567"/>
        </w:tabs>
        <w:spacing w:line="240" w:lineRule="auto"/>
        <w:ind w:left="567" w:hanging="567"/>
        <w:rPr>
          <w:color w:val="000000"/>
        </w:rPr>
      </w:pPr>
      <w:r w:rsidRPr="009B1A37">
        <w:rPr>
          <w:bCs/>
          <w:color w:val="000000"/>
        </w:rPr>
        <w:t>Pokud jste těhotná nebo kojíte, domníváte se, že můžete být těhotná, nebo plánujete otěhotnět, poraďte se se svým lékařem dříve, než začnete tento přípravek užívat.</w:t>
      </w:r>
    </w:p>
    <w:p w14:paraId="67464F26" w14:textId="77777777" w:rsidR="00E92109" w:rsidRPr="009B1A37" w:rsidRDefault="00E92109" w:rsidP="00BE3D48">
      <w:pPr>
        <w:widowControl w:val="0"/>
        <w:numPr>
          <w:ilvl w:val="0"/>
          <w:numId w:val="13"/>
        </w:numPr>
        <w:tabs>
          <w:tab w:val="clear" w:pos="0"/>
          <w:tab w:val="clear" w:pos="567"/>
        </w:tabs>
        <w:spacing w:line="240" w:lineRule="auto"/>
        <w:ind w:left="567" w:hanging="567"/>
        <w:rPr>
          <w:color w:val="000000"/>
        </w:rPr>
      </w:pPr>
      <w:r w:rsidRPr="009B1A37">
        <w:rPr>
          <w:color w:val="000000"/>
        </w:rPr>
        <w:t xml:space="preserve">Užívání Glivecu během těhotenství se nedoporučuje, pokud to není nezbytně nutné, protože může poškodit Vaše dítě. </w:t>
      </w:r>
      <w:r w:rsidR="002B49C5" w:rsidRPr="009B1A37">
        <w:rPr>
          <w:color w:val="000000"/>
        </w:rPr>
        <w:t>L</w:t>
      </w:r>
      <w:r w:rsidRPr="009B1A37">
        <w:rPr>
          <w:color w:val="000000"/>
        </w:rPr>
        <w:t>ékař Vám vysvětlí možná rizika užívání Glivecu během těhotenství.</w:t>
      </w:r>
    </w:p>
    <w:p w14:paraId="0F5743D1" w14:textId="46B12206" w:rsidR="00E92109" w:rsidRPr="009B1A37" w:rsidRDefault="00E92109" w:rsidP="00BE3D48">
      <w:pPr>
        <w:widowControl w:val="0"/>
        <w:numPr>
          <w:ilvl w:val="0"/>
          <w:numId w:val="13"/>
        </w:numPr>
        <w:tabs>
          <w:tab w:val="clear" w:pos="0"/>
          <w:tab w:val="clear" w:pos="567"/>
        </w:tabs>
        <w:spacing w:line="240" w:lineRule="auto"/>
        <w:ind w:left="567" w:hanging="567"/>
        <w:rPr>
          <w:color w:val="000000"/>
        </w:rPr>
      </w:pPr>
      <w:r w:rsidRPr="009B1A37">
        <w:rPr>
          <w:color w:val="000000"/>
        </w:rPr>
        <w:t xml:space="preserve">Ženám, které by mohly otěhotnět, se doporučuje během léčby </w:t>
      </w:r>
      <w:r w:rsidR="00AF1990" w:rsidRPr="009B1A37">
        <w:rPr>
          <w:color w:val="000000"/>
        </w:rPr>
        <w:t>a po dobu 15</w:t>
      </w:r>
      <w:r w:rsidR="00577E6F" w:rsidRPr="009B1A37">
        <w:rPr>
          <w:color w:val="000000"/>
        </w:rPr>
        <w:t> </w:t>
      </w:r>
      <w:r w:rsidR="00AF1990" w:rsidRPr="009B1A37">
        <w:rPr>
          <w:color w:val="000000"/>
        </w:rPr>
        <w:t xml:space="preserve">dnů po ukončení léčby </w:t>
      </w:r>
      <w:r w:rsidRPr="009B1A37">
        <w:rPr>
          <w:color w:val="000000"/>
        </w:rPr>
        <w:t>účinná antikoncepce.</w:t>
      </w:r>
    </w:p>
    <w:p w14:paraId="21D168B1" w14:textId="2C5CF073" w:rsidR="00E92109" w:rsidRPr="009B1A37" w:rsidRDefault="00E92109" w:rsidP="00BE3D48">
      <w:pPr>
        <w:widowControl w:val="0"/>
        <w:numPr>
          <w:ilvl w:val="0"/>
          <w:numId w:val="13"/>
        </w:numPr>
        <w:tabs>
          <w:tab w:val="clear" w:pos="0"/>
          <w:tab w:val="clear" w:pos="567"/>
        </w:tabs>
        <w:spacing w:line="240" w:lineRule="auto"/>
        <w:ind w:left="567" w:hanging="567"/>
        <w:rPr>
          <w:color w:val="000000"/>
        </w:rPr>
      </w:pPr>
      <w:r w:rsidRPr="009B1A37">
        <w:rPr>
          <w:color w:val="000000"/>
        </w:rPr>
        <w:t xml:space="preserve">Během léčby </w:t>
      </w:r>
      <w:r w:rsidR="00AF1990" w:rsidRPr="009B1A37">
        <w:rPr>
          <w:color w:val="000000"/>
        </w:rPr>
        <w:t>a po dobu 15</w:t>
      </w:r>
      <w:r w:rsidR="00577E6F" w:rsidRPr="009B1A37">
        <w:rPr>
          <w:color w:val="000000"/>
        </w:rPr>
        <w:t> </w:t>
      </w:r>
      <w:r w:rsidR="00AF1990" w:rsidRPr="009B1A37">
        <w:rPr>
          <w:color w:val="000000"/>
        </w:rPr>
        <w:t xml:space="preserve">dnů po ukončení léčby přípravkem </w:t>
      </w:r>
      <w:r w:rsidRPr="009B1A37">
        <w:rPr>
          <w:color w:val="000000"/>
        </w:rPr>
        <w:t>Glivec nekojte</w:t>
      </w:r>
      <w:r w:rsidR="00AF1990" w:rsidRPr="009B1A37">
        <w:rPr>
          <w:color w:val="000000"/>
        </w:rPr>
        <w:t>, protože to může poškodit Vaše dítě</w:t>
      </w:r>
      <w:r w:rsidRPr="009B1A37">
        <w:rPr>
          <w:color w:val="000000"/>
        </w:rPr>
        <w:t>.</w:t>
      </w:r>
    </w:p>
    <w:p w14:paraId="79AA17E1" w14:textId="77777777" w:rsidR="00E92109" w:rsidRPr="009B1A37" w:rsidRDefault="00E92109" w:rsidP="00BE3D48">
      <w:pPr>
        <w:widowControl w:val="0"/>
        <w:numPr>
          <w:ilvl w:val="0"/>
          <w:numId w:val="13"/>
        </w:numPr>
        <w:tabs>
          <w:tab w:val="clear" w:pos="0"/>
          <w:tab w:val="clear" w:pos="567"/>
        </w:tabs>
        <w:spacing w:line="240" w:lineRule="auto"/>
        <w:ind w:left="567" w:hanging="567"/>
        <w:rPr>
          <w:color w:val="000000"/>
        </w:rPr>
      </w:pPr>
      <w:r w:rsidRPr="009B1A37">
        <w:rPr>
          <w:color w:val="000000"/>
        </w:rPr>
        <w:t xml:space="preserve">Pacienti, kteří se obávají o svou </w:t>
      </w:r>
      <w:r w:rsidR="002B49C5" w:rsidRPr="009B1A37">
        <w:rPr>
          <w:color w:val="000000"/>
        </w:rPr>
        <w:t xml:space="preserve">plodnost </w:t>
      </w:r>
      <w:r w:rsidRPr="009B1A37">
        <w:rPr>
          <w:color w:val="000000"/>
        </w:rPr>
        <w:t>během užívání Glivecu, by se měli poradit se svým lékařem.</w:t>
      </w:r>
    </w:p>
    <w:p w14:paraId="0D62FAD1" w14:textId="77777777" w:rsidR="00E92109" w:rsidRPr="009B1A37" w:rsidRDefault="00E92109" w:rsidP="00BE3D48">
      <w:pPr>
        <w:widowControl w:val="0"/>
        <w:tabs>
          <w:tab w:val="clear" w:pos="567"/>
        </w:tabs>
        <w:spacing w:line="240" w:lineRule="auto"/>
        <w:rPr>
          <w:color w:val="000000"/>
        </w:rPr>
      </w:pPr>
    </w:p>
    <w:p w14:paraId="293CE2F1" w14:textId="77777777" w:rsidR="00E92109" w:rsidRPr="009B1A37" w:rsidRDefault="00E92109" w:rsidP="00BE3D48">
      <w:pPr>
        <w:keepNext/>
        <w:widowControl w:val="0"/>
        <w:tabs>
          <w:tab w:val="clear" w:pos="567"/>
        </w:tabs>
        <w:spacing w:line="240" w:lineRule="auto"/>
        <w:ind w:right="-2"/>
        <w:rPr>
          <w:b/>
          <w:bCs/>
          <w:color w:val="000000"/>
        </w:rPr>
      </w:pPr>
      <w:r w:rsidRPr="009B1A37">
        <w:rPr>
          <w:b/>
          <w:bCs/>
          <w:color w:val="000000"/>
        </w:rPr>
        <w:t>Řízení dopravních prostředků a obsluha strojů</w:t>
      </w:r>
    </w:p>
    <w:p w14:paraId="1FDB082D" w14:textId="77777777" w:rsidR="00E92109" w:rsidRPr="009B1A37" w:rsidRDefault="00E92109" w:rsidP="00BE3D48">
      <w:pPr>
        <w:widowControl w:val="0"/>
        <w:tabs>
          <w:tab w:val="clear" w:pos="567"/>
        </w:tabs>
        <w:spacing w:line="240" w:lineRule="auto"/>
        <w:ind w:right="-29"/>
        <w:rPr>
          <w:color w:val="000000"/>
        </w:rPr>
      </w:pPr>
      <w:r w:rsidRPr="009B1A37">
        <w:rPr>
          <w:color w:val="000000"/>
        </w:rPr>
        <w:t xml:space="preserve">Při užívání tohoto léku můžete pociťovat závrať nebo ospalost nebo </w:t>
      </w:r>
      <w:r w:rsidR="002B49C5" w:rsidRPr="009B1A37">
        <w:rPr>
          <w:color w:val="000000"/>
        </w:rPr>
        <w:t>se objeví rozmazané vidění</w:t>
      </w:r>
      <w:r w:rsidRPr="009B1A37">
        <w:rPr>
          <w:color w:val="000000"/>
        </w:rPr>
        <w:t>, Pokud se to stane, neřiďte nebo neobsluhujte žádné přístroje nebo stroje, dokud se nebudete opět cítit dobře.</w:t>
      </w:r>
    </w:p>
    <w:p w14:paraId="30D56AE9" w14:textId="77777777" w:rsidR="00E92109" w:rsidRPr="009B1A37" w:rsidRDefault="00E92109" w:rsidP="00BE3D48">
      <w:pPr>
        <w:pStyle w:val="EndnoteText"/>
        <w:widowControl w:val="0"/>
        <w:tabs>
          <w:tab w:val="clear" w:pos="567"/>
        </w:tabs>
        <w:rPr>
          <w:color w:val="000000"/>
        </w:rPr>
      </w:pPr>
    </w:p>
    <w:p w14:paraId="067327D7" w14:textId="77777777" w:rsidR="00E92109" w:rsidRPr="009B1A37" w:rsidRDefault="00E92109" w:rsidP="00BE3D48">
      <w:pPr>
        <w:pStyle w:val="EndnoteText"/>
        <w:widowControl w:val="0"/>
        <w:tabs>
          <w:tab w:val="clear" w:pos="567"/>
        </w:tabs>
        <w:rPr>
          <w:color w:val="000000"/>
        </w:rPr>
      </w:pPr>
    </w:p>
    <w:p w14:paraId="0ACC299E" w14:textId="77777777" w:rsidR="00E61A01" w:rsidRPr="009B1A37" w:rsidRDefault="00E61A01" w:rsidP="00BE3D48">
      <w:pPr>
        <w:keepNext/>
        <w:widowControl w:val="0"/>
        <w:tabs>
          <w:tab w:val="clear" w:pos="567"/>
        </w:tabs>
        <w:spacing w:line="240" w:lineRule="auto"/>
        <w:ind w:left="567" w:right="-2" w:hanging="567"/>
        <w:rPr>
          <w:b/>
          <w:bCs/>
          <w:color w:val="000000"/>
        </w:rPr>
      </w:pPr>
      <w:r w:rsidRPr="009B1A37">
        <w:rPr>
          <w:b/>
          <w:bCs/>
          <w:color w:val="000000"/>
        </w:rPr>
        <w:t>3.</w:t>
      </w:r>
      <w:r w:rsidRPr="009B1A37">
        <w:rPr>
          <w:b/>
          <w:bCs/>
          <w:color w:val="000000"/>
        </w:rPr>
        <w:tab/>
        <w:t>J</w:t>
      </w:r>
      <w:r w:rsidR="0064015F" w:rsidRPr="009B1A37">
        <w:rPr>
          <w:b/>
          <w:bCs/>
          <w:color w:val="000000"/>
        </w:rPr>
        <w:t>ak se Glivec užívá</w:t>
      </w:r>
    </w:p>
    <w:p w14:paraId="556542F3" w14:textId="77777777" w:rsidR="00E61A01" w:rsidRPr="009B1A37" w:rsidRDefault="00E61A01" w:rsidP="00BE3D48">
      <w:pPr>
        <w:pStyle w:val="EndnoteText"/>
        <w:keepNext/>
        <w:widowControl w:val="0"/>
        <w:tabs>
          <w:tab w:val="clear" w:pos="567"/>
        </w:tabs>
        <w:rPr>
          <w:color w:val="000000"/>
        </w:rPr>
      </w:pPr>
    </w:p>
    <w:p w14:paraId="28C65918" w14:textId="77777777" w:rsidR="00E61A01" w:rsidRPr="009B1A37" w:rsidRDefault="00E61A01" w:rsidP="00BE3D48">
      <w:pPr>
        <w:pStyle w:val="Text"/>
        <w:widowControl w:val="0"/>
        <w:spacing w:before="0"/>
        <w:jc w:val="left"/>
        <w:rPr>
          <w:color w:val="000000"/>
          <w:sz w:val="22"/>
          <w:szCs w:val="22"/>
          <w:lang w:val="cs-CZ"/>
        </w:rPr>
      </w:pPr>
      <w:r w:rsidRPr="009B1A37">
        <w:rPr>
          <w:color w:val="000000"/>
          <w:sz w:val="22"/>
          <w:szCs w:val="22"/>
          <w:lang w:val="cs-CZ"/>
        </w:rPr>
        <w:t>Váš lékař Vám předepsal Glivec, protože máte závažné onemocnění. Glivec Vám může pomoci v</w:t>
      </w:r>
      <w:r w:rsidR="00B56C43" w:rsidRPr="009B1A37">
        <w:rPr>
          <w:color w:val="000000"/>
          <w:sz w:val="22"/>
          <w:szCs w:val="22"/>
          <w:lang w:val="cs-CZ"/>
        </w:rPr>
        <w:t> </w:t>
      </w:r>
      <w:r w:rsidRPr="009B1A37">
        <w:rPr>
          <w:color w:val="000000"/>
          <w:sz w:val="22"/>
          <w:szCs w:val="22"/>
          <w:lang w:val="cs-CZ"/>
        </w:rPr>
        <w:t>boji</w:t>
      </w:r>
      <w:r w:rsidR="00B56C43" w:rsidRPr="009B1A37">
        <w:rPr>
          <w:color w:val="000000"/>
          <w:sz w:val="22"/>
          <w:szCs w:val="22"/>
          <w:lang w:val="cs-CZ"/>
        </w:rPr>
        <w:t xml:space="preserve"> s tímto onemocněním</w:t>
      </w:r>
      <w:r w:rsidRPr="009B1A37">
        <w:rPr>
          <w:color w:val="000000"/>
          <w:sz w:val="22"/>
          <w:szCs w:val="22"/>
          <w:lang w:val="cs-CZ"/>
        </w:rPr>
        <w:t>.</w:t>
      </w:r>
    </w:p>
    <w:p w14:paraId="5C54A803" w14:textId="77777777" w:rsidR="00E61A01" w:rsidRPr="009B1A37" w:rsidRDefault="00E61A01" w:rsidP="00BE3D48">
      <w:pPr>
        <w:pStyle w:val="Text"/>
        <w:widowControl w:val="0"/>
        <w:spacing w:before="0"/>
        <w:jc w:val="left"/>
        <w:rPr>
          <w:color w:val="000000"/>
          <w:sz w:val="22"/>
          <w:szCs w:val="22"/>
          <w:lang w:val="cs-CZ"/>
        </w:rPr>
      </w:pPr>
    </w:p>
    <w:p w14:paraId="36BE6111" w14:textId="77777777" w:rsidR="00E61A01" w:rsidRPr="009B1A37" w:rsidRDefault="00E61A01" w:rsidP="00BE3D48">
      <w:pPr>
        <w:pStyle w:val="Text"/>
        <w:widowControl w:val="0"/>
        <w:spacing w:before="0"/>
        <w:jc w:val="left"/>
        <w:rPr>
          <w:color w:val="000000"/>
          <w:sz w:val="22"/>
          <w:szCs w:val="22"/>
          <w:lang w:val="cs-CZ"/>
        </w:rPr>
      </w:pPr>
      <w:r w:rsidRPr="009B1A37">
        <w:rPr>
          <w:color w:val="000000"/>
          <w:sz w:val="22"/>
          <w:szCs w:val="22"/>
          <w:lang w:val="cs-CZ"/>
        </w:rPr>
        <w:t xml:space="preserve">Vždy užívejte </w:t>
      </w:r>
      <w:r w:rsidR="0064015F" w:rsidRPr="009B1A37">
        <w:rPr>
          <w:color w:val="000000"/>
          <w:sz w:val="22"/>
          <w:szCs w:val="22"/>
          <w:lang w:val="cs-CZ"/>
        </w:rPr>
        <w:t>tento přípravek</w:t>
      </w:r>
      <w:r w:rsidRPr="009B1A37">
        <w:rPr>
          <w:color w:val="000000"/>
          <w:sz w:val="22"/>
          <w:szCs w:val="22"/>
          <w:lang w:val="cs-CZ"/>
        </w:rPr>
        <w:t xml:space="preserve"> přesně podle pokynů svého lékaře</w:t>
      </w:r>
      <w:r w:rsidR="0064015F" w:rsidRPr="009B1A37">
        <w:rPr>
          <w:color w:val="000000"/>
          <w:sz w:val="22"/>
          <w:szCs w:val="22"/>
          <w:lang w:val="cs-CZ"/>
        </w:rPr>
        <w:t xml:space="preserve"> nebo lékárníka</w:t>
      </w:r>
      <w:r w:rsidRPr="009B1A37">
        <w:rPr>
          <w:color w:val="000000"/>
          <w:sz w:val="22"/>
          <w:szCs w:val="22"/>
          <w:lang w:val="cs-CZ"/>
        </w:rPr>
        <w:t xml:space="preserve">. Je důležité pokračovat v léčbě tak dlouho, jak Vám </w:t>
      </w:r>
      <w:r w:rsidR="00B56C43" w:rsidRPr="009B1A37">
        <w:rPr>
          <w:color w:val="000000"/>
          <w:sz w:val="22"/>
          <w:szCs w:val="22"/>
          <w:lang w:val="cs-CZ"/>
        </w:rPr>
        <w:t xml:space="preserve">řekl </w:t>
      </w:r>
      <w:r w:rsidRPr="009B1A37">
        <w:rPr>
          <w:color w:val="000000"/>
          <w:sz w:val="22"/>
          <w:szCs w:val="22"/>
          <w:lang w:val="cs-CZ"/>
        </w:rPr>
        <w:t xml:space="preserve">lékař </w:t>
      </w:r>
      <w:r w:rsidR="0064015F" w:rsidRPr="009B1A37">
        <w:rPr>
          <w:color w:val="000000"/>
          <w:sz w:val="22"/>
          <w:szCs w:val="22"/>
          <w:lang w:val="cs-CZ"/>
        </w:rPr>
        <w:t>nebo lékárník</w:t>
      </w:r>
      <w:r w:rsidRPr="009B1A37">
        <w:rPr>
          <w:color w:val="000000"/>
          <w:sz w:val="22"/>
          <w:szCs w:val="22"/>
          <w:lang w:val="cs-CZ"/>
        </w:rPr>
        <w:t>. Pokud si nejste jistý(á), poraďte se se svým lékařem nebo lékárníkem.</w:t>
      </w:r>
    </w:p>
    <w:p w14:paraId="409EAB2F" w14:textId="77777777" w:rsidR="00E61A01" w:rsidRPr="009B1A37" w:rsidRDefault="00E61A01" w:rsidP="00BE3D48">
      <w:pPr>
        <w:pStyle w:val="Text"/>
        <w:widowControl w:val="0"/>
        <w:spacing w:before="0"/>
        <w:jc w:val="left"/>
        <w:rPr>
          <w:color w:val="000000"/>
          <w:sz w:val="22"/>
          <w:szCs w:val="22"/>
          <w:lang w:val="cs-CZ"/>
        </w:rPr>
      </w:pPr>
    </w:p>
    <w:p w14:paraId="2219F408" w14:textId="77777777" w:rsidR="00E61A01" w:rsidRPr="009B1A37" w:rsidRDefault="00E61A01" w:rsidP="00BE3D48">
      <w:pPr>
        <w:pStyle w:val="Text"/>
        <w:widowControl w:val="0"/>
        <w:spacing w:before="0"/>
        <w:jc w:val="left"/>
        <w:rPr>
          <w:color w:val="000000"/>
          <w:sz w:val="22"/>
          <w:szCs w:val="22"/>
          <w:lang w:val="cs-CZ"/>
        </w:rPr>
      </w:pPr>
      <w:r w:rsidRPr="009B1A37">
        <w:rPr>
          <w:color w:val="000000"/>
          <w:sz w:val="22"/>
          <w:szCs w:val="22"/>
          <w:lang w:val="cs-CZ"/>
        </w:rPr>
        <w:t xml:space="preserve">Nepřerušujte užívání Glivecu, dokud Vám to Váš lékař neřekne. Pokud nemůžete užívat lék podle pokynů </w:t>
      </w:r>
      <w:r w:rsidR="00B56C43" w:rsidRPr="009B1A37">
        <w:rPr>
          <w:color w:val="000000"/>
          <w:sz w:val="22"/>
          <w:szCs w:val="22"/>
          <w:lang w:val="cs-CZ"/>
        </w:rPr>
        <w:t>svého</w:t>
      </w:r>
      <w:r w:rsidRPr="009B1A37">
        <w:rPr>
          <w:color w:val="000000"/>
          <w:sz w:val="22"/>
          <w:szCs w:val="22"/>
          <w:lang w:val="cs-CZ"/>
        </w:rPr>
        <w:t xml:space="preserve"> lékaře nebo si myslíte, že ho již nepotřebujete, kontaktujte okamžitě svého lékaře.</w:t>
      </w:r>
    </w:p>
    <w:p w14:paraId="58B39518" w14:textId="77777777" w:rsidR="00E61A01" w:rsidRPr="009B1A37" w:rsidRDefault="00E61A01" w:rsidP="00BE3D48">
      <w:pPr>
        <w:pStyle w:val="Text"/>
        <w:widowControl w:val="0"/>
        <w:spacing w:before="0"/>
        <w:jc w:val="left"/>
        <w:rPr>
          <w:color w:val="000000"/>
          <w:sz w:val="22"/>
          <w:szCs w:val="22"/>
          <w:lang w:val="cs-CZ"/>
        </w:rPr>
      </w:pPr>
    </w:p>
    <w:p w14:paraId="7C6BB0C7" w14:textId="77777777" w:rsidR="00E61A01" w:rsidRPr="009B1A37" w:rsidRDefault="00E61A01" w:rsidP="00BE3D48">
      <w:pPr>
        <w:pStyle w:val="Heading2"/>
        <w:widowControl w:val="0"/>
        <w:numPr>
          <w:ilvl w:val="0"/>
          <w:numId w:val="0"/>
        </w:numPr>
        <w:spacing w:before="0" w:after="0" w:line="240" w:lineRule="auto"/>
        <w:rPr>
          <w:rFonts w:ascii="Times New Roman" w:hAnsi="Times New Roman" w:cs="Times New Roman"/>
          <w:bCs w:val="0"/>
          <w:i w:val="0"/>
          <w:color w:val="000000"/>
          <w:sz w:val="22"/>
          <w:szCs w:val="22"/>
        </w:rPr>
      </w:pPr>
      <w:r w:rsidRPr="009B1A37">
        <w:rPr>
          <w:rFonts w:ascii="Times New Roman" w:hAnsi="Times New Roman" w:cs="Times New Roman"/>
          <w:bCs w:val="0"/>
          <w:i w:val="0"/>
          <w:color w:val="000000"/>
          <w:sz w:val="22"/>
          <w:szCs w:val="22"/>
        </w:rPr>
        <w:t>Kolik Glivecu máte užívat</w:t>
      </w:r>
    </w:p>
    <w:p w14:paraId="4A69B42F" w14:textId="77777777" w:rsidR="00E61A01" w:rsidRPr="009B1A37" w:rsidRDefault="00E61A01" w:rsidP="00BE3D48">
      <w:pPr>
        <w:pStyle w:val="Text"/>
        <w:keepNext/>
        <w:widowControl w:val="0"/>
        <w:spacing w:before="0"/>
        <w:jc w:val="left"/>
        <w:rPr>
          <w:bCs/>
          <w:color w:val="000000"/>
          <w:sz w:val="22"/>
          <w:szCs w:val="22"/>
          <w:lang w:val="cs-CZ"/>
        </w:rPr>
      </w:pPr>
    </w:p>
    <w:p w14:paraId="54324C82" w14:textId="77777777" w:rsidR="00E61A01" w:rsidRPr="009B1A37" w:rsidRDefault="00E61A01" w:rsidP="00BE3D48">
      <w:pPr>
        <w:pStyle w:val="Text"/>
        <w:keepNext/>
        <w:widowControl w:val="0"/>
        <w:spacing w:before="0"/>
        <w:jc w:val="left"/>
        <w:rPr>
          <w:b/>
          <w:color w:val="000000"/>
          <w:sz w:val="22"/>
          <w:szCs w:val="22"/>
          <w:lang w:val="cs-CZ"/>
        </w:rPr>
      </w:pPr>
      <w:r w:rsidRPr="009B1A37">
        <w:rPr>
          <w:b/>
          <w:color w:val="000000"/>
          <w:sz w:val="22"/>
          <w:szCs w:val="22"/>
          <w:lang w:val="cs-CZ"/>
        </w:rPr>
        <w:t>Použití u dospělých</w:t>
      </w:r>
    </w:p>
    <w:p w14:paraId="28AE0479" w14:textId="77777777" w:rsidR="00E61A01" w:rsidRPr="009B1A37" w:rsidRDefault="00B56C43" w:rsidP="00BE3D48">
      <w:pPr>
        <w:pStyle w:val="Text"/>
        <w:widowControl w:val="0"/>
        <w:spacing w:before="0"/>
        <w:jc w:val="left"/>
        <w:rPr>
          <w:color w:val="000000"/>
          <w:sz w:val="22"/>
          <w:szCs w:val="22"/>
          <w:lang w:val="cs-CZ"/>
        </w:rPr>
      </w:pPr>
      <w:r w:rsidRPr="009B1A37">
        <w:rPr>
          <w:color w:val="000000"/>
          <w:sz w:val="22"/>
          <w:szCs w:val="22"/>
          <w:lang w:val="cs-CZ"/>
        </w:rPr>
        <w:t>L</w:t>
      </w:r>
      <w:r w:rsidR="00E61A01" w:rsidRPr="009B1A37">
        <w:rPr>
          <w:color w:val="000000"/>
          <w:sz w:val="22"/>
          <w:szCs w:val="22"/>
          <w:lang w:val="cs-CZ"/>
        </w:rPr>
        <w:t>ékař Vám přesně sdělí, kolik tablet Glivecu máte užívat.</w:t>
      </w:r>
    </w:p>
    <w:p w14:paraId="36EE695A" w14:textId="77777777" w:rsidR="00E61A01" w:rsidRPr="009B1A37" w:rsidRDefault="00E61A01" w:rsidP="00BE3D48">
      <w:pPr>
        <w:pStyle w:val="Text"/>
        <w:widowControl w:val="0"/>
        <w:spacing w:before="0"/>
        <w:jc w:val="left"/>
        <w:rPr>
          <w:color w:val="000000"/>
          <w:sz w:val="22"/>
          <w:szCs w:val="22"/>
          <w:lang w:val="cs-CZ"/>
        </w:rPr>
      </w:pPr>
    </w:p>
    <w:p w14:paraId="734C81E7" w14:textId="77777777" w:rsidR="00E61A01" w:rsidRPr="009B1A37" w:rsidRDefault="00E61A01" w:rsidP="00BE3D48">
      <w:pPr>
        <w:pStyle w:val="Text"/>
        <w:keepNext/>
        <w:widowControl w:val="0"/>
        <w:spacing w:before="0"/>
        <w:jc w:val="left"/>
        <w:rPr>
          <w:color w:val="000000"/>
          <w:sz w:val="22"/>
          <w:szCs w:val="22"/>
          <w:lang w:val="cs-CZ"/>
        </w:rPr>
      </w:pPr>
      <w:r w:rsidRPr="009B1A37">
        <w:rPr>
          <w:color w:val="000000"/>
          <w:sz w:val="22"/>
          <w:szCs w:val="22"/>
          <w:lang w:val="cs-CZ"/>
        </w:rPr>
        <w:t>-</w:t>
      </w:r>
      <w:r w:rsidRPr="009B1A37">
        <w:rPr>
          <w:color w:val="000000"/>
          <w:sz w:val="22"/>
          <w:szCs w:val="22"/>
          <w:lang w:val="cs-CZ"/>
        </w:rPr>
        <w:tab/>
      </w:r>
      <w:r w:rsidRPr="009B1A37">
        <w:rPr>
          <w:b/>
          <w:color w:val="000000"/>
          <w:sz w:val="22"/>
          <w:szCs w:val="22"/>
          <w:lang w:val="cs-CZ"/>
        </w:rPr>
        <w:t>Jestliže jste léčen(a) pro CML:</w:t>
      </w:r>
    </w:p>
    <w:p w14:paraId="59205D73" w14:textId="39E82F75" w:rsidR="00E61A01" w:rsidRPr="009B1A37" w:rsidRDefault="00E61A01" w:rsidP="00BE3D48">
      <w:pPr>
        <w:pStyle w:val="Text"/>
        <w:keepNext/>
        <w:widowControl w:val="0"/>
        <w:spacing w:before="0"/>
        <w:ind w:left="600"/>
        <w:jc w:val="left"/>
        <w:rPr>
          <w:color w:val="000000"/>
          <w:sz w:val="22"/>
          <w:szCs w:val="22"/>
          <w:lang w:val="cs-CZ"/>
        </w:rPr>
      </w:pPr>
      <w:r w:rsidRPr="009B1A37">
        <w:rPr>
          <w:color w:val="000000"/>
          <w:sz w:val="22"/>
          <w:szCs w:val="22"/>
          <w:lang w:val="cs-CZ"/>
        </w:rPr>
        <w:t xml:space="preserve">Podle stavu Vašeho onemocnění je obvyklá počáteční dávka </w:t>
      </w:r>
      <w:r w:rsidRPr="00A1501E">
        <w:rPr>
          <w:b/>
          <w:color w:val="000000"/>
          <w:sz w:val="22"/>
          <w:szCs w:val="22"/>
          <w:lang w:val="cs-CZ"/>
        </w:rPr>
        <w:t>400 mg</w:t>
      </w:r>
      <w:r w:rsidRPr="009B1A37">
        <w:rPr>
          <w:color w:val="000000"/>
          <w:sz w:val="22"/>
          <w:szCs w:val="22"/>
          <w:lang w:val="cs-CZ"/>
        </w:rPr>
        <w:t xml:space="preserve"> nebo </w:t>
      </w:r>
      <w:r w:rsidRPr="00A1501E">
        <w:rPr>
          <w:b/>
          <w:color w:val="000000"/>
          <w:sz w:val="22"/>
          <w:szCs w:val="22"/>
          <w:lang w:val="cs-CZ"/>
        </w:rPr>
        <w:t>600 mg</w:t>
      </w:r>
      <w:r w:rsidR="00897AA8">
        <w:rPr>
          <w:color w:val="000000"/>
          <w:sz w:val="22"/>
          <w:szCs w:val="22"/>
          <w:lang w:val="cs-CZ"/>
        </w:rPr>
        <w:t xml:space="preserve"> užitých </w:t>
      </w:r>
      <w:r w:rsidR="00897AA8" w:rsidRPr="00A1501E">
        <w:rPr>
          <w:b/>
          <w:color w:val="000000"/>
          <w:sz w:val="22"/>
          <w:szCs w:val="22"/>
          <w:lang w:val="cs-CZ"/>
        </w:rPr>
        <w:t>jednou</w:t>
      </w:r>
      <w:r w:rsidR="00897AA8">
        <w:rPr>
          <w:color w:val="000000"/>
          <w:sz w:val="22"/>
          <w:szCs w:val="22"/>
          <w:lang w:val="cs-CZ"/>
        </w:rPr>
        <w:t xml:space="preserve"> denně</w:t>
      </w:r>
      <w:r w:rsidRPr="009B1A37">
        <w:rPr>
          <w:color w:val="000000"/>
          <w:sz w:val="22"/>
          <w:szCs w:val="22"/>
          <w:lang w:val="cs-CZ"/>
        </w:rPr>
        <w:t>.</w:t>
      </w:r>
    </w:p>
    <w:p w14:paraId="36C734CD" w14:textId="77777777" w:rsidR="00E61A01" w:rsidRPr="009B1A37" w:rsidRDefault="00E61A01" w:rsidP="00FD6FD4">
      <w:pPr>
        <w:pStyle w:val="Text"/>
        <w:widowControl w:val="0"/>
        <w:spacing w:before="0"/>
        <w:jc w:val="left"/>
        <w:rPr>
          <w:color w:val="000000"/>
          <w:sz w:val="22"/>
          <w:szCs w:val="22"/>
          <w:lang w:val="cs-CZ"/>
        </w:rPr>
      </w:pPr>
    </w:p>
    <w:p w14:paraId="13417617" w14:textId="77777777" w:rsidR="00E61A01" w:rsidRPr="009B1A37" w:rsidRDefault="00E61A01" w:rsidP="00BE3D48">
      <w:pPr>
        <w:pStyle w:val="Text"/>
        <w:keepNext/>
        <w:widowControl w:val="0"/>
        <w:spacing w:before="0"/>
        <w:jc w:val="left"/>
        <w:rPr>
          <w:color w:val="000000"/>
          <w:sz w:val="22"/>
          <w:szCs w:val="22"/>
          <w:lang w:val="cs-CZ"/>
        </w:rPr>
      </w:pPr>
      <w:r w:rsidRPr="009B1A37">
        <w:rPr>
          <w:b/>
          <w:color w:val="000000"/>
          <w:sz w:val="22"/>
          <w:szCs w:val="22"/>
          <w:lang w:val="cs-CZ"/>
        </w:rPr>
        <w:t>-</w:t>
      </w:r>
      <w:r w:rsidRPr="009B1A37">
        <w:rPr>
          <w:b/>
          <w:color w:val="000000"/>
          <w:sz w:val="22"/>
          <w:szCs w:val="22"/>
          <w:lang w:val="cs-CZ"/>
        </w:rPr>
        <w:tab/>
        <w:t>Jestliže jste léčen(a) pro GIST:</w:t>
      </w:r>
    </w:p>
    <w:p w14:paraId="515C0D1F" w14:textId="4B32A7E9" w:rsidR="00E61A01" w:rsidRPr="009B1A37" w:rsidRDefault="00E61A01" w:rsidP="00BE3D48">
      <w:pPr>
        <w:pStyle w:val="Text"/>
        <w:widowControl w:val="0"/>
        <w:spacing w:before="0"/>
        <w:ind w:firstLine="600"/>
        <w:jc w:val="left"/>
        <w:rPr>
          <w:color w:val="000000"/>
          <w:sz w:val="22"/>
          <w:szCs w:val="22"/>
          <w:lang w:val="cs-CZ"/>
        </w:rPr>
      </w:pPr>
      <w:r w:rsidRPr="009B1A37">
        <w:rPr>
          <w:color w:val="000000"/>
          <w:sz w:val="22"/>
          <w:szCs w:val="22"/>
          <w:lang w:val="cs-CZ"/>
        </w:rPr>
        <w:t xml:space="preserve">Počáteční dávka je 400 mg užitá </w:t>
      </w:r>
      <w:r w:rsidRPr="009B1A37">
        <w:rPr>
          <w:b/>
          <w:color w:val="000000"/>
          <w:sz w:val="22"/>
          <w:szCs w:val="22"/>
          <w:lang w:val="cs-CZ"/>
        </w:rPr>
        <w:t>jednou</w:t>
      </w:r>
      <w:r w:rsidRPr="009B1A37">
        <w:rPr>
          <w:color w:val="000000"/>
          <w:sz w:val="22"/>
          <w:szCs w:val="22"/>
          <w:lang w:val="cs-CZ"/>
        </w:rPr>
        <w:t xml:space="preserve"> denně.</w:t>
      </w:r>
    </w:p>
    <w:p w14:paraId="53704403" w14:textId="77777777" w:rsidR="00E61A01" w:rsidRPr="009B1A37" w:rsidRDefault="00E61A01" w:rsidP="00BE3D48">
      <w:pPr>
        <w:pStyle w:val="Text"/>
        <w:widowControl w:val="0"/>
        <w:spacing w:before="0"/>
        <w:jc w:val="left"/>
        <w:rPr>
          <w:color w:val="000000"/>
          <w:sz w:val="22"/>
          <w:szCs w:val="22"/>
          <w:lang w:val="cs-CZ"/>
        </w:rPr>
      </w:pPr>
    </w:p>
    <w:p w14:paraId="14EE1A8F" w14:textId="69581482" w:rsidR="00E61A01" w:rsidRPr="009B1A37" w:rsidRDefault="00E61A01" w:rsidP="00BE3D48">
      <w:pPr>
        <w:pStyle w:val="Text"/>
        <w:widowControl w:val="0"/>
        <w:spacing w:before="0"/>
        <w:jc w:val="left"/>
        <w:rPr>
          <w:color w:val="000000"/>
          <w:sz w:val="22"/>
          <w:szCs w:val="22"/>
          <w:lang w:val="cs-CZ"/>
        </w:rPr>
      </w:pPr>
      <w:r w:rsidRPr="009B1A37">
        <w:rPr>
          <w:color w:val="000000"/>
          <w:sz w:val="22"/>
          <w:szCs w:val="22"/>
          <w:lang w:val="cs-CZ"/>
        </w:rPr>
        <w:t xml:space="preserve">Pro CML a GIST </w:t>
      </w:r>
      <w:r w:rsidR="00FB23CC" w:rsidRPr="009B1A37">
        <w:rPr>
          <w:color w:val="000000"/>
          <w:sz w:val="22"/>
          <w:szCs w:val="22"/>
          <w:lang w:val="cs-CZ"/>
        </w:rPr>
        <w:t xml:space="preserve">Vám </w:t>
      </w:r>
      <w:r w:rsidRPr="009B1A37">
        <w:rPr>
          <w:color w:val="000000"/>
          <w:sz w:val="22"/>
          <w:szCs w:val="22"/>
          <w:lang w:val="cs-CZ"/>
        </w:rPr>
        <w:t xml:space="preserve">může lékař podle odpovědi na léčbu předepsat </w:t>
      </w:r>
      <w:r w:rsidR="00B56C43" w:rsidRPr="009B1A37">
        <w:rPr>
          <w:color w:val="000000"/>
          <w:sz w:val="22"/>
          <w:szCs w:val="22"/>
          <w:lang w:val="cs-CZ"/>
        </w:rPr>
        <w:t>vyšší</w:t>
      </w:r>
      <w:r w:rsidRPr="009B1A37">
        <w:rPr>
          <w:color w:val="000000"/>
          <w:sz w:val="22"/>
          <w:szCs w:val="22"/>
          <w:lang w:val="cs-CZ"/>
        </w:rPr>
        <w:t xml:space="preserve"> nebo </w:t>
      </w:r>
      <w:r w:rsidR="00B56C43" w:rsidRPr="009B1A37">
        <w:rPr>
          <w:color w:val="000000"/>
          <w:sz w:val="22"/>
          <w:szCs w:val="22"/>
          <w:lang w:val="cs-CZ"/>
        </w:rPr>
        <w:t>nižší</w:t>
      </w:r>
      <w:r w:rsidRPr="009B1A37">
        <w:rPr>
          <w:color w:val="000000"/>
          <w:sz w:val="22"/>
          <w:szCs w:val="22"/>
          <w:lang w:val="cs-CZ"/>
        </w:rPr>
        <w:t xml:space="preserve"> dávky. Jestliže je Vaše denní dávka 800 mg, měl(a) byste užívat </w:t>
      </w:r>
      <w:r w:rsidR="00897AA8">
        <w:rPr>
          <w:color w:val="000000"/>
          <w:sz w:val="22"/>
          <w:szCs w:val="22"/>
          <w:lang w:val="cs-CZ"/>
        </w:rPr>
        <w:t>400 mg</w:t>
      </w:r>
      <w:r w:rsidRPr="009B1A37">
        <w:rPr>
          <w:color w:val="000000"/>
          <w:sz w:val="22"/>
          <w:szCs w:val="22"/>
          <w:lang w:val="cs-CZ"/>
        </w:rPr>
        <w:t xml:space="preserve"> ráno a </w:t>
      </w:r>
      <w:r w:rsidR="00B22BC3">
        <w:rPr>
          <w:color w:val="000000"/>
          <w:sz w:val="22"/>
          <w:szCs w:val="22"/>
          <w:lang w:val="cs-CZ"/>
        </w:rPr>
        <w:t>400 mg</w:t>
      </w:r>
      <w:r w:rsidRPr="009B1A37">
        <w:rPr>
          <w:color w:val="000000"/>
          <w:sz w:val="22"/>
          <w:szCs w:val="22"/>
          <w:lang w:val="cs-CZ"/>
        </w:rPr>
        <w:t xml:space="preserve"> večer.</w:t>
      </w:r>
    </w:p>
    <w:p w14:paraId="0D7D8FE8" w14:textId="77777777" w:rsidR="00E61A01" w:rsidRPr="009B1A37" w:rsidRDefault="00E61A01" w:rsidP="00BE3D48">
      <w:pPr>
        <w:pStyle w:val="Text"/>
        <w:widowControl w:val="0"/>
        <w:spacing w:before="0"/>
        <w:jc w:val="left"/>
        <w:rPr>
          <w:color w:val="000000"/>
          <w:sz w:val="22"/>
          <w:szCs w:val="22"/>
          <w:lang w:val="cs-CZ"/>
        </w:rPr>
      </w:pPr>
    </w:p>
    <w:p w14:paraId="2506745A" w14:textId="77777777" w:rsidR="00E61A01" w:rsidRPr="009B1A37" w:rsidRDefault="00E61A01" w:rsidP="00BE3D48">
      <w:pPr>
        <w:pStyle w:val="Text"/>
        <w:keepNext/>
        <w:widowControl w:val="0"/>
        <w:spacing w:before="0"/>
        <w:jc w:val="left"/>
        <w:rPr>
          <w:color w:val="000000"/>
          <w:sz w:val="22"/>
          <w:szCs w:val="22"/>
          <w:lang w:val="cs-CZ"/>
        </w:rPr>
      </w:pPr>
      <w:r w:rsidRPr="009B1A37">
        <w:rPr>
          <w:b/>
          <w:color w:val="000000"/>
          <w:sz w:val="22"/>
          <w:szCs w:val="22"/>
          <w:lang w:val="cs-CZ"/>
        </w:rPr>
        <w:t>-</w:t>
      </w:r>
      <w:r w:rsidRPr="009B1A37">
        <w:rPr>
          <w:b/>
          <w:color w:val="000000"/>
          <w:sz w:val="22"/>
          <w:szCs w:val="22"/>
          <w:lang w:val="cs-CZ"/>
        </w:rPr>
        <w:tab/>
        <w:t xml:space="preserve">Jestliže jste léčen(a) pro Ph-pozitivní </w:t>
      </w:r>
      <w:smartTag w:uri="urn:schemas-microsoft-com:office:smarttags" w:element="stockticker">
        <w:r w:rsidRPr="009B1A37">
          <w:rPr>
            <w:b/>
            <w:color w:val="000000"/>
            <w:sz w:val="22"/>
            <w:szCs w:val="22"/>
            <w:lang w:val="cs-CZ"/>
          </w:rPr>
          <w:t>ALL</w:t>
        </w:r>
      </w:smartTag>
      <w:r w:rsidRPr="009B1A37">
        <w:rPr>
          <w:b/>
          <w:color w:val="000000"/>
          <w:sz w:val="22"/>
          <w:szCs w:val="22"/>
          <w:lang w:val="cs-CZ"/>
        </w:rPr>
        <w:t>:</w:t>
      </w:r>
    </w:p>
    <w:p w14:paraId="03AA5599" w14:textId="7317B6A9" w:rsidR="00E61A01" w:rsidRPr="009B1A37" w:rsidRDefault="00E61A01" w:rsidP="00BE3D48">
      <w:pPr>
        <w:pStyle w:val="Text"/>
        <w:widowControl w:val="0"/>
        <w:spacing w:before="0"/>
        <w:ind w:firstLine="600"/>
        <w:jc w:val="left"/>
        <w:rPr>
          <w:color w:val="000000"/>
          <w:sz w:val="22"/>
          <w:szCs w:val="22"/>
          <w:lang w:val="cs-CZ"/>
        </w:rPr>
      </w:pPr>
      <w:r w:rsidRPr="009B1A37">
        <w:rPr>
          <w:color w:val="000000"/>
          <w:sz w:val="22"/>
          <w:szCs w:val="22"/>
          <w:lang w:val="cs-CZ"/>
        </w:rPr>
        <w:t xml:space="preserve">Počáteční dávka je 600 mg užitá </w:t>
      </w:r>
      <w:r w:rsidRPr="009B1A37">
        <w:rPr>
          <w:b/>
          <w:color w:val="000000"/>
          <w:sz w:val="22"/>
          <w:szCs w:val="22"/>
          <w:lang w:val="cs-CZ"/>
        </w:rPr>
        <w:t>jednou</w:t>
      </w:r>
      <w:r w:rsidRPr="009B1A37">
        <w:rPr>
          <w:color w:val="000000"/>
          <w:sz w:val="22"/>
          <w:szCs w:val="22"/>
          <w:lang w:val="cs-CZ"/>
        </w:rPr>
        <w:t xml:space="preserve"> denně.</w:t>
      </w:r>
    </w:p>
    <w:p w14:paraId="38A28B33" w14:textId="77777777" w:rsidR="00E61A01" w:rsidRPr="009B1A37" w:rsidRDefault="00E61A01" w:rsidP="00BE3D48">
      <w:pPr>
        <w:pStyle w:val="Text"/>
        <w:widowControl w:val="0"/>
        <w:spacing w:before="0"/>
        <w:jc w:val="left"/>
        <w:rPr>
          <w:color w:val="000000"/>
          <w:sz w:val="22"/>
          <w:szCs w:val="22"/>
          <w:lang w:val="cs-CZ"/>
        </w:rPr>
      </w:pPr>
    </w:p>
    <w:p w14:paraId="4EC2FB58" w14:textId="77777777" w:rsidR="00E61A01" w:rsidRPr="009B1A37" w:rsidRDefault="00E61A01" w:rsidP="00BE3D48">
      <w:pPr>
        <w:pStyle w:val="Text"/>
        <w:keepNext/>
        <w:widowControl w:val="0"/>
        <w:spacing w:before="0"/>
        <w:jc w:val="left"/>
        <w:rPr>
          <w:b/>
          <w:color w:val="000000"/>
          <w:sz w:val="22"/>
          <w:szCs w:val="22"/>
          <w:lang w:val="cs-CZ"/>
        </w:rPr>
      </w:pPr>
      <w:r w:rsidRPr="009B1A37">
        <w:rPr>
          <w:b/>
          <w:color w:val="000000"/>
          <w:sz w:val="22"/>
          <w:szCs w:val="22"/>
          <w:lang w:val="cs-CZ"/>
        </w:rPr>
        <w:t>-</w:t>
      </w:r>
      <w:r w:rsidRPr="009B1A37">
        <w:rPr>
          <w:b/>
          <w:color w:val="000000"/>
          <w:sz w:val="22"/>
          <w:szCs w:val="22"/>
          <w:lang w:val="cs-CZ"/>
        </w:rPr>
        <w:tab/>
        <w:t xml:space="preserve">Jestliže jste léčen(a) pro </w:t>
      </w:r>
      <w:smartTag w:uri="urn:schemas-microsoft-com:office:smarttags" w:element="stockticker">
        <w:r w:rsidRPr="009B1A37">
          <w:rPr>
            <w:b/>
            <w:color w:val="000000"/>
            <w:sz w:val="22"/>
            <w:szCs w:val="22"/>
            <w:lang w:val="cs-CZ"/>
          </w:rPr>
          <w:t>MDS</w:t>
        </w:r>
      </w:smartTag>
      <w:r w:rsidRPr="009B1A37">
        <w:rPr>
          <w:b/>
          <w:color w:val="000000"/>
          <w:sz w:val="22"/>
          <w:szCs w:val="22"/>
          <w:lang w:val="cs-CZ"/>
        </w:rPr>
        <w:t>/MPD:</w:t>
      </w:r>
    </w:p>
    <w:p w14:paraId="29313450" w14:textId="4EB1AB1C" w:rsidR="00E61A01" w:rsidRPr="009B1A37" w:rsidRDefault="00E61A01" w:rsidP="00BE3D48">
      <w:pPr>
        <w:pStyle w:val="Text"/>
        <w:widowControl w:val="0"/>
        <w:spacing w:before="0"/>
        <w:ind w:firstLine="600"/>
        <w:jc w:val="left"/>
        <w:rPr>
          <w:color w:val="000000"/>
          <w:sz w:val="22"/>
          <w:szCs w:val="22"/>
          <w:lang w:val="cs-CZ"/>
        </w:rPr>
      </w:pPr>
      <w:r w:rsidRPr="009B1A37">
        <w:rPr>
          <w:color w:val="000000"/>
          <w:sz w:val="22"/>
          <w:szCs w:val="22"/>
          <w:lang w:val="cs-CZ"/>
        </w:rPr>
        <w:t xml:space="preserve">Počáteční dávka je 400 mg užitá </w:t>
      </w:r>
      <w:r w:rsidRPr="009B1A37">
        <w:rPr>
          <w:b/>
          <w:color w:val="000000"/>
          <w:sz w:val="22"/>
          <w:szCs w:val="22"/>
          <w:lang w:val="cs-CZ"/>
        </w:rPr>
        <w:t xml:space="preserve">jednou </w:t>
      </w:r>
      <w:r w:rsidRPr="009B1A37">
        <w:rPr>
          <w:color w:val="000000"/>
          <w:sz w:val="22"/>
          <w:szCs w:val="22"/>
          <w:lang w:val="cs-CZ"/>
        </w:rPr>
        <w:t>denně.</w:t>
      </w:r>
    </w:p>
    <w:p w14:paraId="5FB0B6A1" w14:textId="77777777" w:rsidR="00E61A01" w:rsidRPr="009B1A37" w:rsidRDefault="00E61A01" w:rsidP="00BE3D48">
      <w:pPr>
        <w:pStyle w:val="Text"/>
        <w:widowControl w:val="0"/>
        <w:spacing w:before="0"/>
        <w:jc w:val="left"/>
        <w:rPr>
          <w:color w:val="000000"/>
          <w:sz w:val="22"/>
          <w:szCs w:val="22"/>
          <w:lang w:val="cs-CZ"/>
        </w:rPr>
      </w:pPr>
    </w:p>
    <w:p w14:paraId="195B28F7" w14:textId="77777777" w:rsidR="00E61A01" w:rsidRPr="009B1A37" w:rsidRDefault="00E61A01" w:rsidP="00BE3D48">
      <w:pPr>
        <w:pStyle w:val="Text"/>
        <w:keepNext/>
        <w:widowControl w:val="0"/>
        <w:spacing w:before="0"/>
        <w:jc w:val="left"/>
        <w:rPr>
          <w:b/>
          <w:color w:val="000000"/>
          <w:sz w:val="22"/>
          <w:szCs w:val="22"/>
          <w:lang w:val="cs-CZ"/>
        </w:rPr>
      </w:pPr>
      <w:r w:rsidRPr="009B1A37">
        <w:rPr>
          <w:color w:val="000000"/>
          <w:sz w:val="22"/>
          <w:szCs w:val="22"/>
          <w:lang w:val="cs-CZ"/>
        </w:rPr>
        <w:t>-</w:t>
      </w:r>
      <w:r w:rsidRPr="009B1A37">
        <w:rPr>
          <w:color w:val="000000"/>
          <w:sz w:val="22"/>
          <w:szCs w:val="22"/>
          <w:lang w:val="cs-CZ"/>
        </w:rPr>
        <w:tab/>
      </w:r>
      <w:r w:rsidRPr="009B1A37">
        <w:rPr>
          <w:b/>
          <w:color w:val="000000"/>
          <w:sz w:val="22"/>
          <w:szCs w:val="22"/>
          <w:lang w:val="cs-CZ"/>
        </w:rPr>
        <w:t>Jestliže jste léčen(a) pro HES/</w:t>
      </w:r>
      <w:smartTag w:uri="urn:schemas-microsoft-com:office:smarttags" w:element="stockticker">
        <w:r w:rsidRPr="009B1A37">
          <w:rPr>
            <w:b/>
            <w:color w:val="000000"/>
            <w:sz w:val="22"/>
            <w:szCs w:val="22"/>
            <w:lang w:val="cs-CZ"/>
          </w:rPr>
          <w:t>CEL</w:t>
        </w:r>
      </w:smartTag>
      <w:r w:rsidRPr="009B1A37">
        <w:rPr>
          <w:b/>
          <w:color w:val="000000"/>
          <w:sz w:val="22"/>
          <w:szCs w:val="22"/>
          <w:lang w:val="cs-CZ"/>
        </w:rPr>
        <w:t>:</w:t>
      </w:r>
    </w:p>
    <w:p w14:paraId="593F437A" w14:textId="0043B518" w:rsidR="00E61A01" w:rsidRPr="009B1A37" w:rsidRDefault="00E61A01" w:rsidP="00BE3D48">
      <w:pPr>
        <w:pStyle w:val="Text"/>
        <w:widowControl w:val="0"/>
        <w:spacing w:before="0"/>
        <w:ind w:left="600"/>
        <w:jc w:val="left"/>
        <w:rPr>
          <w:color w:val="000000"/>
          <w:sz w:val="22"/>
          <w:szCs w:val="22"/>
          <w:lang w:val="cs-CZ"/>
        </w:rPr>
      </w:pPr>
      <w:r w:rsidRPr="009B1A37">
        <w:rPr>
          <w:color w:val="000000"/>
          <w:sz w:val="22"/>
          <w:szCs w:val="22"/>
          <w:lang w:val="cs-CZ"/>
        </w:rPr>
        <w:t xml:space="preserve">Počáteční dávka 100 mg užitá </w:t>
      </w:r>
      <w:r w:rsidRPr="009B1A37">
        <w:rPr>
          <w:b/>
          <w:color w:val="000000"/>
          <w:sz w:val="22"/>
          <w:szCs w:val="22"/>
          <w:lang w:val="cs-CZ"/>
        </w:rPr>
        <w:t>jednou</w:t>
      </w:r>
      <w:r w:rsidRPr="009B1A37">
        <w:rPr>
          <w:color w:val="000000"/>
          <w:sz w:val="22"/>
          <w:szCs w:val="22"/>
          <w:lang w:val="cs-CZ"/>
        </w:rPr>
        <w:t xml:space="preserve"> denně. Podle Vaší odpovědi na léčbu může lékař zvážit zvýšení dávky na 400 mg užité </w:t>
      </w:r>
      <w:r w:rsidRPr="009B1A37">
        <w:rPr>
          <w:b/>
          <w:color w:val="000000"/>
          <w:sz w:val="22"/>
          <w:szCs w:val="22"/>
          <w:lang w:val="cs-CZ"/>
        </w:rPr>
        <w:t>jednou</w:t>
      </w:r>
      <w:r w:rsidRPr="009B1A37">
        <w:rPr>
          <w:color w:val="000000"/>
          <w:sz w:val="22"/>
          <w:szCs w:val="22"/>
          <w:lang w:val="cs-CZ"/>
        </w:rPr>
        <w:t xml:space="preserve"> denně.</w:t>
      </w:r>
    </w:p>
    <w:p w14:paraId="6B0C7E8D" w14:textId="77777777" w:rsidR="00E61A01" w:rsidRPr="009B1A37" w:rsidRDefault="00E61A01" w:rsidP="00BE3D48">
      <w:pPr>
        <w:pStyle w:val="Text"/>
        <w:widowControl w:val="0"/>
        <w:spacing w:before="0"/>
        <w:jc w:val="left"/>
        <w:rPr>
          <w:color w:val="000000"/>
          <w:sz w:val="22"/>
          <w:szCs w:val="22"/>
          <w:lang w:val="cs-CZ"/>
        </w:rPr>
      </w:pPr>
    </w:p>
    <w:p w14:paraId="595FE241" w14:textId="77777777" w:rsidR="00E61A01" w:rsidRPr="009B1A37" w:rsidRDefault="00E61A01" w:rsidP="00182086">
      <w:pPr>
        <w:pStyle w:val="Text"/>
        <w:keepNext/>
        <w:widowControl w:val="0"/>
        <w:numPr>
          <w:ilvl w:val="0"/>
          <w:numId w:val="13"/>
        </w:numPr>
        <w:spacing w:before="0"/>
        <w:ind w:left="567" w:hanging="567"/>
        <w:jc w:val="left"/>
        <w:rPr>
          <w:color w:val="000000"/>
          <w:sz w:val="22"/>
          <w:szCs w:val="22"/>
          <w:lang w:val="cs-CZ"/>
        </w:rPr>
      </w:pPr>
      <w:r w:rsidRPr="009B1A37">
        <w:rPr>
          <w:b/>
          <w:color w:val="000000"/>
          <w:sz w:val="22"/>
          <w:szCs w:val="22"/>
          <w:lang w:val="cs-CZ"/>
        </w:rPr>
        <w:t>Jestliže jste léčen(a) pro DFSP:</w:t>
      </w:r>
    </w:p>
    <w:p w14:paraId="4E77BB58" w14:textId="74D2F416" w:rsidR="00E61A01" w:rsidRDefault="00E61A01" w:rsidP="00BE3D48">
      <w:pPr>
        <w:pStyle w:val="Text"/>
        <w:widowControl w:val="0"/>
        <w:spacing w:before="0"/>
        <w:ind w:left="600"/>
        <w:jc w:val="left"/>
        <w:rPr>
          <w:color w:val="000000"/>
          <w:sz w:val="22"/>
          <w:szCs w:val="22"/>
          <w:lang w:val="cs-CZ"/>
        </w:rPr>
      </w:pPr>
      <w:r w:rsidRPr="009B1A37">
        <w:rPr>
          <w:color w:val="000000"/>
          <w:sz w:val="22"/>
          <w:szCs w:val="22"/>
          <w:lang w:val="cs-CZ"/>
        </w:rPr>
        <w:t xml:space="preserve">Dávka je 800 mg denně užitá jako </w:t>
      </w:r>
      <w:r w:rsidR="00B22BC3">
        <w:rPr>
          <w:color w:val="000000"/>
          <w:sz w:val="22"/>
          <w:szCs w:val="22"/>
          <w:lang w:val="cs-CZ"/>
        </w:rPr>
        <w:t>400 mg</w:t>
      </w:r>
      <w:r w:rsidRPr="009B1A37">
        <w:rPr>
          <w:color w:val="000000"/>
          <w:sz w:val="22"/>
          <w:szCs w:val="22"/>
          <w:lang w:val="cs-CZ"/>
        </w:rPr>
        <w:t xml:space="preserve"> ráno a </w:t>
      </w:r>
      <w:r w:rsidR="00B22BC3">
        <w:rPr>
          <w:color w:val="000000"/>
          <w:sz w:val="22"/>
          <w:szCs w:val="22"/>
          <w:lang w:val="cs-CZ"/>
        </w:rPr>
        <w:t>400 mg</w:t>
      </w:r>
      <w:r w:rsidRPr="009B1A37">
        <w:rPr>
          <w:color w:val="000000"/>
          <w:sz w:val="22"/>
          <w:szCs w:val="22"/>
          <w:lang w:val="cs-CZ"/>
        </w:rPr>
        <w:t xml:space="preserve"> večer.</w:t>
      </w:r>
    </w:p>
    <w:p w14:paraId="3B7EAEC6" w14:textId="77777777" w:rsidR="00782572" w:rsidRPr="009B1A37" w:rsidRDefault="00782572" w:rsidP="00A1501E">
      <w:pPr>
        <w:pStyle w:val="Text"/>
        <w:widowControl w:val="0"/>
        <w:spacing w:before="0"/>
        <w:jc w:val="left"/>
        <w:rPr>
          <w:color w:val="000000"/>
          <w:sz w:val="22"/>
          <w:szCs w:val="22"/>
          <w:lang w:val="cs-CZ"/>
        </w:rPr>
      </w:pPr>
    </w:p>
    <w:p w14:paraId="625AEFBD" w14:textId="3994AF58" w:rsidR="00E61A01" w:rsidRDefault="00782572" w:rsidP="00BE3D48">
      <w:pPr>
        <w:pStyle w:val="Text"/>
        <w:widowControl w:val="0"/>
        <w:spacing w:before="0"/>
        <w:jc w:val="left"/>
        <w:rPr>
          <w:color w:val="000000"/>
          <w:sz w:val="22"/>
          <w:szCs w:val="22"/>
          <w:lang w:val="cs-CZ"/>
        </w:rPr>
      </w:pPr>
      <w:r>
        <w:rPr>
          <w:color w:val="000000"/>
          <w:sz w:val="22"/>
          <w:szCs w:val="22"/>
          <w:lang w:val="cs-CZ"/>
        </w:rPr>
        <w:t>Dávka 400 mg může být užita jako 1 tableta po 400 mg nebo 4 tablety po 100 mg.</w:t>
      </w:r>
    </w:p>
    <w:p w14:paraId="18179E4F" w14:textId="395FF9D6" w:rsidR="00782572" w:rsidRDefault="00782572" w:rsidP="00BE3D48">
      <w:pPr>
        <w:pStyle w:val="Text"/>
        <w:widowControl w:val="0"/>
        <w:spacing w:before="0"/>
        <w:jc w:val="left"/>
        <w:rPr>
          <w:color w:val="000000"/>
          <w:sz w:val="22"/>
          <w:szCs w:val="22"/>
          <w:lang w:val="cs-CZ"/>
        </w:rPr>
      </w:pPr>
      <w:r>
        <w:rPr>
          <w:color w:val="000000"/>
          <w:sz w:val="22"/>
          <w:szCs w:val="22"/>
          <w:lang w:val="cs-CZ"/>
        </w:rPr>
        <w:t>Dávka 600 mg se užívá jako 1 tableta po 400 mg plus 2 tablety po 100 mg.</w:t>
      </w:r>
    </w:p>
    <w:p w14:paraId="32005F89" w14:textId="77777777" w:rsidR="002920DB" w:rsidRPr="009B1A37" w:rsidRDefault="002920DB" w:rsidP="00BE3D48">
      <w:pPr>
        <w:pStyle w:val="Text"/>
        <w:widowControl w:val="0"/>
        <w:spacing w:before="0"/>
        <w:jc w:val="left"/>
        <w:rPr>
          <w:color w:val="000000"/>
          <w:sz w:val="22"/>
          <w:szCs w:val="22"/>
          <w:lang w:val="cs-CZ"/>
        </w:rPr>
      </w:pPr>
    </w:p>
    <w:p w14:paraId="55AC1E85" w14:textId="77777777" w:rsidR="00E61A01" w:rsidRPr="009B1A37" w:rsidRDefault="00E61A01" w:rsidP="00BE3D48">
      <w:pPr>
        <w:pStyle w:val="Text"/>
        <w:keepNext/>
        <w:widowControl w:val="0"/>
        <w:spacing w:before="0"/>
        <w:jc w:val="left"/>
        <w:rPr>
          <w:color w:val="000000"/>
          <w:sz w:val="22"/>
          <w:szCs w:val="22"/>
          <w:lang w:val="cs-CZ"/>
        </w:rPr>
      </w:pPr>
      <w:r w:rsidRPr="009B1A37">
        <w:rPr>
          <w:b/>
          <w:color w:val="000000"/>
          <w:sz w:val="22"/>
          <w:szCs w:val="22"/>
          <w:lang w:val="cs-CZ"/>
        </w:rPr>
        <w:t>Použití u dětí</w:t>
      </w:r>
      <w:r w:rsidR="0064015F" w:rsidRPr="009B1A37">
        <w:rPr>
          <w:b/>
          <w:color w:val="000000"/>
          <w:sz w:val="22"/>
          <w:szCs w:val="22"/>
          <w:lang w:val="cs-CZ"/>
        </w:rPr>
        <w:t xml:space="preserve"> a dospívajících</w:t>
      </w:r>
    </w:p>
    <w:p w14:paraId="471BADA1" w14:textId="58237ABF" w:rsidR="00E61A01" w:rsidRPr="009B1A37" w:rsidRDefault="00E61A01" w:rsidP="00BE3D48">
      <w:pPr>
        <w:pStyle w:val="Text"/>
        <w:widowControl w:val="0"/>
        <w:spacing w:before="0"/>
        <w:jc w:val="left"/>
        <w:rPr>
          <w:color w:val="000000"/>
          <w:sz w:val="22"/>
          <w:szCs w:val="22"/>
          <w:lang w:val="cs-CZ"/>
        </w:rPr>
      </w:pPr>
      <w:r w:rsidRPr="009B1A37">
        <w:rPr>
          <w:color w:val="000000"/>
          <w:sz w:val="22"/>
          <w:szCs w:val="22"/>
          <w:lang w:val="cs-CZ"/>
        </w:rPr>
        <w:t xml:space="preserve">Lékař Vám řekne, kolik tablet Glivecu </w:t>
      </w:r>
      <w:r w:rsidR="00B56C43" w:rsidRPr="009B1A37">
        <w:rPr>
          <w:color w:val="000000"/>
          <w:sz w:val="22"/>
          <w:szCs w:val="22"/>
          <w:lang w:val="cs-CZ"/>
        </w:rPr>
        <w:t>má</w:t>
      </w:r>
      <w:r w:rsidRPr="009B1A37">
        <w:rPr>
          <w:color w:val="000000"/>
          <w:sz w:val="22"/>
          <w:szCs w:val="22"/>
          <w:lang w:val="cs-CZ"/>
        </w:rPr>
        <w:t xml:space="preserve"> být Vašemu dítěti </w:t>
      </w:r>
      <w:r w:rsidR="00B56C43" w:rsidRPr="009B1A37">
        <w:rPr>
          <w:color w:val="000000"/>
          <w:sz w:val="22"/>
          <w:szCs w:val="22"/>
          <w:lang w:val="cs-CZ"/>
        </w:rPr>
        <w:t>podáno</w:t>
      </w:r>
      <w:r w:rsidRPr="009B1A37">
        <w:rPr>
          <w:color w:val="000000"/>
          <w:sz w:val="22"/>
          <w:szCs w:val="22"/>
          <w:lang w:val="cs-CZ"/>
        </w:rPr>
        <w:t>. Množství podaného Glivecu závisí na zdravotním stavu Vašeho dítěte, na jeho tělesné hmotnosti a výšce. Celková podaná denní dávka u dětí nesmí překročit dávku 800 mg</w:t>
      </w:r>
      <w:r w:rsidR="004B719A" w:rsidRPr="009B1A37">
        <w:rPr>
          <w:color w:val="000000"/>
          <w:sz w:val="22"/>
          <w:szCs w:val="22"/>
          <w:lang w:val="cs-CZ"/>
        </w:rPr>
        <w:t xml:space="preserve"> pro CML a 600 mg pro </w:t>
      </w:r>
      <w:r w:rsidR="004B719A" w:rsidRPr="009B1A37">
        <w:rPr>
          <w:bCs/>
          <w:color w:val="000000"/>
          <w:sz w:val="22"/>
          <w:szCs w:val="22"/>
          <w:lang w:val="cs-CZ"/>
        </w:rPr>
        <w:t xml:space="preserve">Ph-pozitivní </w:t>
      </w:r>
      <w:smartTag w:uri="urn:schemas-microsoft-com:office:smarttags" w:element="stockticker">
        <w:r w:rsidR="004B719A" w:rsidRPr="009B1A37">
          <w:rPr>
            <w:bCs/>
            <w:color w:val="000000"/>
            <w:sz w:val="22"/>
            <w:szCs w:val="22"/>
            <w:lang w:val="cs-CZ"/>
          </w:rPr>
          <w:t>ALL</w:t>
        </w:r>
      </w:smartTag>
      <w:r w:rsidRPr="009B1A37">
        <w:rPr>
          <w:color w:val="000000"/>
          <w:sz w:val="22"/>
          <w:szCs w:val="22"/>
          <w:lang w:val="cs-CZ"/>
        </w:rPr>
        <w:t>. Léčba může být Vašemu dítěti podávána buď jednou denně, nebo může být dávka rozdělena do dvou podání (polovina dávky ráno a polovina večer).</w:t>
      </w:r>
    </w:p>
    <w:p w14:paraId="0BE0E71D" w14:textId="77777777" w:rsidR="00E61A01" w:rsidRPr="009B1A37" w:rsidRDefault="00E61A01" w:rsidP="00BE3D48">
      <w:pPr>
        <w:pStyle w:val="Heading2"/>
        <w:keepNext w:val="0"/>
        <w:widowControl w:val="0"/>
        <w:numPr>
          <w:ilvl w:val="0"/>
          <w:numId w:val="0"/>
        </w:numPr>
        <w:spacing w:before="0" w:after="0" w:line="240" w:lineRule="auto"/>
        <w:rPr>
          <w:rFonts w:ascii="Times New Roman" w:hAnsi="Times New Roman" w:cs="Times New Roman"/>
          <w:b w:val="0"/>
          <w:bCs w:val="0"/>
          <w:i w:val="0"/>
          <w:iCs w:val="0"/>
          <w:color w:val="000000"/>
          <w:sz w:val="22"/>
          <w:szCs w:val="22"/>
        </w:rPr>
      </w:pPr>
    </w:p>
    <w:p w14:paraId="4E0EED0B" w14:textId="77777777" w:rsidR="00E61A01" w:rsidRPr="009B1A37" w:rsidRDefault="00E61A01" w:rsidP="00BE3D48">
      <w:pPr>
        <w:pStyle w:val="Text"/>
        <w:keepNext/>
        <w:widowControl w:val="0"/>
        <w:spacing w:before="0"/>
        <w:jc w:val="left"/>
        <w:rPr>
          <w:b/>
          <w:bCs/>
          <w:color w:val="000000"/>
          <w:sz w:val="22"/>
          <w:szCs w:val="22"/>
          <w:lang w:val="cs-CZ"/>
        </w:rPr>
      </w:pPr>
      <w:r w:rsidRPr="009B1A37">
        <w:rPr>
          <w:b/>
          <w:bCs/>
          <w:color w:val="000000"/>
          <w:sz w:val="22"/>
          <w:szCs w:val="22"/>
          <w:lang w:val="cs-CZ"/>
        </w:rPr>
        <w:t>Kdy a jak užívat Glivec</w:t>
      </w:r>
    </w:p>
    <w:p w14:paraId="2DA8B0F7" w14:textId="77777777" w:rsidR="00E61A01" w:rsidRPr="009B1A37" w:rsidRDefault="00E61A01" w:rsidP="00BE3D48">
      <w:pPr>
        <w:pStyle w:val="Text"/>
        <w:widowControl w:val="0"/>
        <w:numPr>
          <w:ilvl w:val="0"/>
          <w:numId w:val="13"/>
        </w:numPr>
        <w:spacing w:before="0"/>
        <w:ind w:left="600" w:hanging="600"/>
        <w:jc w:val="left"/>
        <w:rPr>
          <w:color w:val="000000"/>
          <w:sz w:val="22"/>
          <w:szCs w:val="22"/>
          <w:lang w:val="cs-CZ"/>
        </w:rPr>
      </w:pPr>
      <w:r w:rsidRPr="009B1A37">
        <w:rPr>
          <w:b/>
          <w:bCs/>
          <w:color w:val="000000"/>
          <w:sz w:val="22"/>
          <w:szCs w:val="22"/>
          <w:lang w:val="cs-CZ"/>
        </w:rPr>
        <w:t xml:space="preserve">Glivec užívejte s jídlem. </w:t>
      </w:r>
      <w:r w:rsidRPr="009B1A37">
        <w:rPr>
          <w:color w:val="000000"/>
          <w:sz w:val="22"/>
          <w:szCs w:val="22"/>
          <w:lang w:val="cs-CZ"/>
        </w:rPr>
        <w:t>Můžete tak předejít žaludečním potížím při užívání Glivecu.</w:t>
      </w:r>
    </w:p>
    <w:p w14:paraId="3B99B1C6" w14:textId="77777777" w:rsidR="00E61A01" w:rsidRPr="009B1A37" w:rsidRDefault="00E61A01" w:rsidP="00BE3D48">
      <w:pPr>
        <w:pStyle w:val="Text"/>
        <w:widowControl w:val="0"/>
        <w:spacing w:before="0"/>
        <w:ind w:left="600" w:hanging="600"/>
        <w:jc w:val="left"/>
        <w:rPr>
          <w:b/>
          <w:bCs/>
          <w:color w:val="000000"/>
          <w:sz w:val="22"/>
          <w:szCs w:val="22"/>
          <w:lang w:val="cs-CZ"/>
        </w:rPr>
      </w:pPr>
      <w:r w:rsidRPr="009B1A37">
        <w:rPr>
          <w:b/>
          <w:bCs/>
          <w:color w:val="000000"/>
          <w:sz w:val="22"/>
          <w:szCs w:val="22"/>
          <w:lang w:val="cs-CZ"/>
        </w:rPr>
        <w:t>-</w:t>
      </w:r>
      <w:r w:rsidRPr="009B1A37">
        <w:rPr>
          <w:b/>
          <w:bCs/>
          <w:color w:val="000000"/>
          <w:sz w:val="22"/>
          <w:szCs w:val="22"/>
          <w:lang w:val="cs-CZ"/>
        </w:rPr>
        <w:tab/>
        <w:t>Tablety polykejte celé a zapijte je velkou sklenicí vody.</w:t>
      </w:r>
    </w:p>
    <w:p w14:paraId="1245BBB2" w14:textId="77777777" w:rsidR="00E61A01" w:rsidRPr="009B1A37" w:rsidRDefault="00E61A01" w:rsidP="00BE3D48">
      <w:pPr>
        <w:pStyle w:val="Text"/>
        <w:widowControl w:val="0"/>
        <w:spacing w:before="0"/>
        <w:ind w:left="600" w:hanging="600"/>
        <w:jc w:val="left"/>
        <w:rPr>
          <w:color w:val="000000"/>
          <w:sz w:val="22"/>
          <w:szCs w:val="22"/>
          <w:lang w:val="cs-CZ"/>
        </w:rPr>
      </w:pPr>
    </w:p>
    <w:p w14:paraId="183E4913" w14:textId="77777777" w:rsidR="00E61A01" w:rsidRPr="009B1A37" w:rsidRDefault="00E61A01" w:rsidP="00BE3D48">
      <w:pPr>
        <w:pStyle w:val="Text"/>
        <w:keepNext/>
        <w:widowControl w:val="0"/>
        <w:tabs>
          <w:tab w:val="clear" w:pos="567"/>
          <w:tab w:val="left" w:pos="0"/>
        </w:tabs>
        <w:spacing w:before="0"/>
        <w:jc w:val="left"/>
        <w:rPr>
          <w:color w:val="000000"/>
          <w:sz w:val="22"/>
          <w:szCs w:val="22"/>
          <w:lang w:val="cs-CZ"/>
        </w:rPr>
      </w:pPr>
      <w:r w:rsidRPr="009B1A37">
        <w:rPr>
          <w:color w:val="000000"/>
          <w:sz w:val="22"/>
          <w:szCs w:val="22"/>
          <w:lang w:val="cs-CZ"/>
        </w:rPr>
        <w:t>Jestliže nemůžete tablety polykat celé, můžete je rozpustit ve sklenici neperlivé vody nebo v jablečném džusu.</w:t>
      </w:r>
    </w:p>
    <w:p w14:paraId="2886143A" w14:textId="3A2290F9" w:rsidR="00E61A01" w:rsidRPr="009B1A37" w:rsidRDefault="00E61A01" w:rsidP="00BE3D48">
      <w:pPr>
        <w:pStyle w:val="Text"/>
        <w:widowControl w:val="0"/>
        <w:numPr>
          <w:ilvl w:val="0"/>
          <w:numId w:val="9"/>
        </w:numPr>
        <w:tabs>
          <w:tab w:val="clear" w:pos="360"/>
        </w:tabs>
        <w:spacing w:before="0"/>
        <w:ind w:left="567" w:hanging="567"/>
        <w:jc w:val="left"/>
        <w:rPr>
          <w:color w:val="000000"/>
          <w:sz w:val="22"/>
          <w:szCs w:val="22"/>
          <w:lang w:val="cs-CZ"/>
        </w:rPr>
      </w:pPr>
      <w:r w:rsidRPr="009B1A37">
        <w:rPr>
          <w:color w:val="000000"/>
          <w:sz w:val="22"/>
          <w:szCs w:val="22"/>
          <w:lang w:val="cs-CZ"/>
        </w:rPr>
        <w:t>Použijte přibližně 50 ml pro každou 100mg tabletu</w:t>
      </w:r>
      <w:r w:rsidR="002920DB">
        <w:rPr>
          <w:color w:val="000000"/>
          <w:sz w:val="22"/>
          <w:szCs w:val="22"/>
          <w:lang w:val="cs-CZ"/>
        </w:rPr>
        <w:t xml:space="preserve"> nebo 200 ml pro každou 400mg tabletu</w:t>
      </w:r>
      <w:r w:rsidRPr="009B1A37">
        <w:rPr>
          <w:color w:val="000000"/>
          <w:sz w:val="22"/>
          <w:szCs w:val="22"/>
          <w:lang w:val="cs-CZ"/>
        </w:rPr>
        <w:t>.</w:t>
      </w:r>
    </w:p>
    <w:p w14:paraId="3AC2C2FF" w14:textId="77777777" w:rsidR="00E61A01" w:rsidRPr="009B1A37" w:rsidRDefault="00E61A01" w:rsidP="00BE3D48">
      <w:pPr>
        <w:pStyle w:val="Text"/>
        <w:widowControl w:val="0"/>
        <w:numPr>
          <w:ilvl w:val="0"/>
          <w:numId w:val="9"/>
        </w:numPr>
        <w:tabs>
          <w:tab w:val="clear" w:pos="360"/>
        </w:tabs>
        <w:spacing w:before="0"/>
        <w:ind w:left="567" w:hanging="567"/>
        <w:jc w:val="left"/>
        <w:rPr>
          <w:color w:val="000000"/>
          <w:sz w:val="22"/>
          <w:szCs w:val="22"/>
          <w:lang w:val="cs-CZ"/>
        </w:rPr>
      </w:pPr>
      <w:r w:rsidRPr="009B1A37">
        <w:rPr>
          <w:color w:val="000000"/>
          <w:sz w:val="22"/>
          <w:szCs w:val="22"/>
          <w:lang w:val="cs-CZ"/>
        </w:rPr>
        <w:t>Míchejte lžící, dokud se tablety zcela nerozpustí.</w:t>
      </w:r>
    </w:p>
    <w:p w14:paraId="5CBF86E1" w14:textId="77777777" w:rsidR="00E61A01" w:rsidRPr="009B1A37" w:rsidRDefault="00E61A01" w:rsidP="00BE3D48">
      <w:pPr>
        <w:pStyle w:val="Text"/>
        <w:widowControl w:val="0"/>
        <w:numPr>
          <w:ilvl w:val="0"/>
          <w:numId w:val="9"/>
        </w:numPr>
        <w:tabs>
          <w:tab w:val="clear" w:pos="360"/>
        </w:tabs>
        <w:spacing w:before="0"/>
        <w:ind w:left="567" w:hanging="567"/>
        <w:jc w:val="left"/>
        <w:rPr>
          <w:color w:val="000000"/>
          <w:sz w:val="22"/>
          <w:szCs w:val="22"/>
          <w:lang w:val="cs-CZ"/>
        </w:rPr>
      </w:pPr>
      <w:r w:rsidRPr="009B1A37">
        <w:rPr>
          <w:color w:val="000000"/>
          <w:sz w:val="22"/>
          <w:szCs w:val="22"/>
          <w:lang w:val="cs-CZ"/>
        </w:rPr>
        <w:t>Když je tableta rozpuštěná, vypijte ihned celý obsah sklenice. Stopy rozpuštěných tablet mohou zůstat na sklenici.</w:t>
      </w:r>
    </w:p>
    <w:p w14:paraId="3AA64233" w14:textId="77777777" w:rsidR="00E61A01" w:rsidRPr="009B1A37" w:rsidRDefault="00E61A01" w:rsidP="00BE3D48">
      <w:pPr>
        <w:pStyle w:val="Text"/>
        <w:widowControl w:val="0"/>
        <w:spacing w:before="0"/>
        <w:jc w:val="left"/>
        <w:rPr>
          <w:color w:val="000000"/>
          <w:sz w:val="22"/>
          <w:szCs w:val="22"/>
          <w:lang w:val="cs-CZ"/>
        </w:rPr>
      </w:pPr>
    </w:p>
    <w:p w14:paraId="17467DEA" w14:textId="77777777" w:rsidR="00E61A01" w:rsidRPr="009B1A37" w:rsidRDefault="00E61A01" w:rsidP="00BE3D48">
      <w:pPr>
        <w:pStyle w:val="Heading2"/>
        <w:widowControl w:val="0"/>
        <w:numPr>
          <w:ilvl w:val="0"/>
          <w:numId w:val="0"/>
        </w:numPr>
        <w:spacing w:before="0" w:after="0" w:line="240" w:lineRule="auto"/>
        <w:rPr>
          <w:rFonts w:ascii="Times New Roman" w:hAnsi="Times New Roman" w:cs="Times New Roman"/>
          <w:bCs w:val="0"/>
          <w:i w:val="0"/>
          <w:color w:val="000000"/>
          <w:sz w:val="22"/>
          <w:szCs w:val="22"/>
        </w:rPr>
      </w:pPr>
      <w:r w:rsidRPr="009B1A37">
        <w:rPr>
          <w:rFonts w:ascii="Times New Roman" w:hAnsi="Times New Roman" w:cs="Times New Roman"/>
          <w:bCs w:val="0"/>
          <w:i w:val="0"/>
          <w:color w:val="000000"/>
          <w:sz w:val="22"/>
          <w:szCs w:val="22"/>
        </w:rPr>
        <w:t>Jak dlouho se Glivec užívá</w:t>
      </w:r>
    </w:p>
    <w:p w14:paraId="06593641" w14:textId="77777777" w:rsidR="00E61A01" w:rsidRPr="009B1A37" w:rsidRDefault="00E61A01" w:rsidP="00BE3D48">
      <w:pPr>
        <w:pStyle w:val="Text"/>
        <w:widowControl w:val="0"/>
        <w:spacing w:before="0"/>
        <w:jc w:val="left"/>
        <w:rPr>
          <w:color w:val="000000"/>
          <w:sz w:val="22"/>
          <w:szCs w:val="22"/>
          <w:lang w:val="cs-CZ"/>
        </w:rPr>
      </w:pPr>
      <w:r w:rsidRPr="009B1A37">
        <w:rPr>
          <w:color w:val="000000"/>
          <w:sz w:val="22"/>
          <w:szCs w:val="22"/>
          <w:lang w:val="cs-CZ"/>
        </w:rPr>
        <w:t>Glivec užívejte denně tak dlouho, jak Vám lékař sdělí.</w:t>
      </w:r>
    </w:p>
    <w:p w14:paraId="27831097" w14:textId="77777777" w:rsidR="00E61A01" w:rsidRPr="009B1A37" w:rsidRDefault="00E61A01" w:rsidP="00BE3D48">
      <w:pPr>
        <w:pStyle w:val="Text"/>
        <w:widowControl w:val="0"/>
        <w:spacing w:before="0"/>
        <w:jc w:val="left"/>
        <w:rPr>
          <w:color w:val="000000"/>
          <w:sz w:val="22"/>
          <w:szCs w:val="22"/>
          <w:lang w:val="cs-CZ"/>
        </w:rPr>
      </w:pPr>
    </w:p>
    <w:p w14:paraId="6A203470" w14:textId="77777777" w:rsidR="00E61A01" w:rsidRPr="009B1A37" w:rsidRDefault="00E61A01" w:rsidP="00BE3D48">
      <w:pPr>
        <w:pStyle w:val="Text"/>
        <w:keepNext/>
        <w:widowControl w:val="0"/>
        <w:spacing w:before="0"/>
        <w:jc w:val="left"/>
        <w:rPr>
          <w:b/>
          <w:lang w:val="cs-CZ"/>
        </w:rPr>
      </w:pPr>
      <w:r w:rsidRPr="009B1A37">
        <w:rPr>
          <w:b/>
          <w:lang w:val="cs-CZ"/>
        </w:rPr>
        <w:t>Jestliže jste užil(a) více Glivecu, než jste měl(a)</w:t>
      </w:r>
    </w:p>
    <w:p w14:paraId="7088A6BE" w14:textId="77777777" w:rsidR="00E61A01" w:rsidRPr="009B1A37" w:rsidRDefault="00E61A01" w:rsidP="00BE3D48">
      <w:pPr>
        <w:pStyle w:val="Text"/>
        <w:widowControl w:val="0"/>
        <w:spacing w:before="0"/>
        <w:jc w:val="left"/>
        <w:rPr>
          <w:color w:val="000000"/>
          <w:sz w:val="22"/>
          <w:szCs w:val="22"/>
          <w:lang w:val="cs-CZ"/>
        </w:rPr>
      </w:pPr>
      <w:r w:rsidRPr="009B1A37">
        <w:rPr>
          <w:color w:val="000000"/>
          <w:sz w:val="22"/>
          <w:szCs w:val="22"/>
          <w:lang w:val="cs-CZ"/>
        </w:rPr>
        <w:t xml:space="preserve">Jestliže jste nedopatřením užil(a) příliš mnoho tablet, sdělte to </w:t>
      </w:r>
      <w:r w:rsidRPr="009B1A37">
        <w:rPr>
          <w:b/>
          <w:bCs/>
          <w:color w:val="000000"/>
          <w:sz w:val="22"/>
          <w:szCs w:val="22"/>
          <w:lang w:val="cs-CZ"/>
        </w:rPr>
        <w:t>ihned svému lékaři.</w:t>
      </w:r>
      <w:r w:rsidRPr="009B1A37">
        <w:rPr>
          <w:color w:val="000000"/>
          <w:sz w:val="22"/>
          <w:szCs w:val="22"/>
          <w:lang w:val="cs-CZ"/>
        </w:rPr>
        <w:t xml:space="preserve"> Můžete potřebovat lékařskou pomoc. </w:t>
      </w:r>
      <w:r w:rsidR="00517330" w:rsidRPr="009B1A37">
        <w:rPr>
          <w:color w:val="000000"/>
          <w:sz w:val="22"/>
          <w:szCs w:val="22"/>
          <w:lang w:val="cs-CZ"/>
        </w:rPr>
        <w:t>Vezměte</w:t>
      </w:r>
      <w:r w:rsidRPr="009B1A37">
        <w:rPr>
          <w:color w:val="000000"/>
          <w:sz w:val="22"/>
          <w:szCs w:val="22"/>
          <w:lang w:val="cs-CZ"/>
        </w:rPr>
        <w:t xml:space="preserve"> balení léku </w:t>
      </w:r>
      <w:r w:rsidR="00517330" w:rsidRPr="009B1A37">
        <w:rPr>
          <w:color w:val="000000"/>
          <w:sz w:val="22"/>
          <w:szCs w:val="22"/>
          <w:lang w:val="cs-CZ"/>
        </w:rPr>
        <w:t xml:space="preserve">s </w:t>
      </w:r>
      <w:r w:rsidRPr="009B1A37">
        <w:rPr>
          <w:color w:val="000000"/>
          <w:sz w:val="22"/>
          <w:szCs w:val="22"/>
          <w:lang w:val="cs-CZ"/>
        </w:rPr>
        <w:t>sebou.</w:t>
      </w:r>
    </w:p>
    <w:p w14:paraId="4571C31B" w14:textId="77777777" w:rsidR="00E61A01" w:rsidRPr="009B1A37" w:rsidRDefault="00E61A01" w:rsidP="00BE3D48">
      <w:pPr>
        <w:widowControl w:val="0"/>
        <w:tabs>
          <w:tab w:val="clear" w:pos="567"/>
        </w:tabs>
        <w:spacing w:line="240" w:lineRule="auto"/>
        <w:ind w:right="-2"/>
        <w:rPr>
          <w:color w:val="000000"/>
        </w:rPr>
      </w:pPr>
    </w:p>
    <w:p w14:paraId="3856B4DB" w14:textId="77777777" w:rsidR="00E61A01" w:rsidRPr="009B1A37" w:rsidRDefault="00E61A01" w:rsidP="00BE3D48">
      <w:pPr>
        <w:pStyle w:val="Text"/>
        <w:keepNext/>
        <w:widowControl w:val="0"/>
        <w:spacing w:before="0"/>
        <w:jc w:val="left"/>
        <w:rPr>
          <w:b/>
          <w:bCs/>
          <w:color w:val="000000"/>
          <w:sz w:val="22"/>
          <w:szCs w:val="22"/>
          <w:lang w:val="cs-CZ"/>
        </w:rPr>
      </w:pPr>
      <w:r w:rsidRPr="009B1A37">
        <w:rPr>
          <w:b/>
          <w:bCs/>
          <w:color w:val="000000"/>
          <w:sz w:val="22"/>
          <w:szCs w:val="22"/>
          <w:lang w:val="cs-CZ"/>
        </w:rPr>
        <w:t>Jestliže jste zapomněl(a) užít Glivec</w:t>
      </w:r>
    </w:p>
    <w:p w14:paraId="71650B6C" w14:textId="77777777" w:rsidR="00E61A01" w:rsidRPr="009B1A37" w:rsidRDefault="00E61A01" w:rsidP="00BE3D48">
      <w:pPr>
        <w:pStyle w:val="Text"/>
        <w:widowControl w:val="0"/>
        <w:spacing w:before="0"/>
        <w:ind w:left="600" w:hanging="600"/>
        <w:jc w:val="left"/>
        <w:rPr>
          <w:color w:val="000000"/>
          <w:sz w:val="22"/>
          <w:szCs w:val="22"/>
          <w:lang w:val="cs-CZ"/>
        </w:rPr>
      </w:pPr>
      <w:r w:rsidRPr="009B1A37">
        <w:rPr>
          <w:color w:val="000000"/>
          <w:sz w:val="22"/>
          <w:szCs w:val="22"/>
          <w:lang w:val="cs-CZ"/>
        </w:rPr>
        <w:t>-</w:t>
      </w:r>
      <w:r w:rsidRPr="009B1A37">
        <w:rPr>
          <w:color w:val="000000"/>
          <w:sz w:val="22"/>
          <w:szCs w:val="22"/>
          <w:lang w:val="cs-CZ"/>
        </w:rPr>
        <w:tab/>
        <w:t>Jestliže jste zapomněl</w:t>
      </w:r>
      <w:r w:rsidR="00517330" w:rsidRPr="009B1A37">
        <w:rPr>
          <w:color w:val="000000"/>
          <w:sz w:val="22"/>
          <w:szCs w:val="22"/>
          <w:lang w:val="cs-CZ"/>
        </w:rPr>
        <w:t>(a)</w:t>
      </w:r>
      <w:r w:rsidRPr="009B1A37">
        <w:rPr>
          <w:color w:val="000000"/>
          <w:sz w:val="22"/>
          <w:szCs w:val="22"/>
          <w:lang w:val="cs-CZ"/>
        </w:rPr>
        <w:t xml:space="preserve"> užít dávku, užijte ji ihned, jakmile si vzpomenete. Pokud se však blíží doba další dávky, vynechte zapomenutou dávku.</w:t>
      </w:r>
    </w:p>
    <w:p w14:paraId="4C743495" w14:textId="77777777" w:rsidR="00E61A01" w:rsidRPr="009B1A37" w:rsidRDefault="00E61A01" w:rsidP="00BE3D48">
      <w:pPr>
        <w:pStyle w:val="Text"/>
        <w:widowControl w:val="0"/>
        <w:spacing w:before="0"/>
        <w:jc w:val="left"/>
        <w:rPr>
          <w:color w:val="000000"/>
          <w:sz w:val="22"/>
          <w:szCs w:val="22"/>
          <w:lang w:val="cs-CZ"/>
        </w:rPr>
      </w:pPr>
      <w:r w:rsidRPr="009B1A37">
        <w:rPr>
          <w:color w:val="000000"/>
          <w:sz w:val="22"/>
          <w:szCs w:val="22"/>
          <w:lang w:val="cs-CZ"/>
        </w:rPr>
        <w:t>-</w:t>
      </w:r>
      <w:r w:rsidRPr="009B1A37">
        <w:rPr>
          <w:color w:val="000000"/>
          <w:sz w:val="22"/>
          <w:szCs w:val="22"/>
          <w:lang w:val="cs-CZ"/>
        </w:rPr>
        <w:tab/>
        <w:t>Poté pokračujte v obvyklém rozvrhu.</w:t>
      </w:r>
    </w:p>
    <w:p w14:paraId="211205D5" w14:textId="77777777" w:rsidR="00E61A01" w:rsidRPr="009B1A37" w:rsidRDefault="00E61A01" w:rsidP="00BE3D48">
      <w:pPr>
        <w:pStyle w:val="Text"/>
        <w:widowControl w:val="0"/>
        <w:spacing w:before="0"/>
        <w:jc w:val="left"/>
        <w:rPr>
          <w:color w:val="000000"/>
          <w:sz w:val="22"/>
          <w:szCs w:val="22"/>
          <w:lang w:val="cs-CZ"/>
        </w:rPr>
      </w:pPr>
      <w:r w:rsidRPr="009B1A37">
        <w:rPr>
          <w:color w:val="000000"/>
          <w:sz w:val="22"/>
          <w:szCs w:val="22"/>
          <w:lang w:val="cs-CZ"/>
        </w:rPr>
        <w:t>-</w:t>
      </w:r>
      <w:r w:rsidRPr="009B1A37">
        <w:rPr>
          <w:color w:val="000000"/>
          <w:sz w:val="22"/>
          <w:szCs w:val="22"/>
          <w:lang w:val="cs-CZ"/>
        </w:rPr>
        <w:tab/>
        <w:t>Nezdvoj</w:t>
      </w:r>
      <w:r w:rsidR="0064015F" w:rsidRPr="009B1A37">
        <w:rPr>
          <w:color w:val="000000"/>
          <w:sz w:val="22"/>
          <w:szCs w:val="22"/>
          <w:lang w:val="cs-CZ"/>
        </w:rPr>
        <w:t>násob</w:t>
      </w:r>
      <w:r w:rsidRPr="009B1A37">
        <w:rPr>
          <w:color w:val="000000"/>
          <w:sz w:val="22"/>
          <w:szCs w:val="22"/>
          <w:lang w:val="cs-CZ"/>
        </w:rPr>
        <w:t>ujte následující dávku, abyste nahradil(a) vynechanou dávku.</w:t>
      </w:r>
    </w:p>
    <w:p w14:paraId="4B767DB7" w14:textId="77777777" w:rsidR="00E61A01" w:rsidRPr="009B1A37" w:rsidRDefault="00E61A01" w:rsidP="00BE3D48">
      <w:pPr>
        <w:pStyle w:val="Text"/>
        <w:widowControl w:val="0"/>
        <w:spacing w:before="0"/>
        <w:jc w:val="left"/>
        <w:rPr>
          <w:color w:val="000000"/>
          <w:sz w:val="22"/>
          <w:szCs w:val="22"/>
          <w:lang w:val="cs-CZ"/>
        </w:rPr>
      </w:pPr>
    </w:p>
    <w:p w14:paraId="1BC1BE4F" w14:textId="77777777" w:rsidR="00E61A01" w:rsidRPr="009B1A37" w:rsidRDefault="00E61A01" w:rsidP="00BE3D48">
      <w:pPr>
        <w:pStyle w:val="Text"/>
        <w:widowControl w:val="0"/>
        <w:spacing w:before="0"/>
        <w:jc w:val="left"/>
        <w:rPr>
          <w:color w:val="000000"/>
          <w:sz w:val="22"/>
          <w:szCs w:val="22"/>
          <w:lang w:val="cs-CZ"/>
        </w:rPr>
      </w:pPr>
      <w:r w:rsidRPr="009B1A37">
        <w:rPr>
          <w:color w:val="000000"/>
          <w:sz w:val="22"/>
          <w:szCs w:val="22"/>
          <w:lang w:val="cs-CZ"/>
        </w:rPr>
        <w:t>Máte-li jakékoli další otázky týkající se užívání tohoto přípravku, zeptejte se svého lékaře</w:t>
      </w:r>
      <w:r w:rsidR="0064015F" w:rsidRPr="009B1A37">
        <w:rPr>
          <w:color w:val="000000"/>
          <w:sz w:val="22"/>
          <w:szCs w:val="22"/>
          <w:lang w:val="cs-CZ"/>
        </w:rPr>
        <w:t>,</w:t>
      </w:r>
      <w:r w:rsidRPr="009B1A37">
        <w:rPr>
          <w:color w:val="000000"/>
          <w:sz w:val="22"/>
          <w:szCs w:val="22"/>
          <w:lang w:val="cs-CZ"/>
        </w:rPr>
        <w:t xml:space="preserve"> lékárníka</w:t>
      </w:r>
      <w:r w:rsidR="0064015F" w:rsidRPr="009B1A37">
        <w:rPr>
          <w:color w:val="000000"/>
          <w:sz w:val="22"/>
          <w:szCs w:val="22"/>
          <w:lang w:val="cs-CZ"/>
        </w:rPr>
        <w:t xml:space="preserve"> nebo zdravotní sestry</w:t>
      </w:r>
      <w:r w:rsidRPr="009B1A37">
        <w:rPr>
          <w:color w:val="000000"/>
          <w:sz w:val="22"/>
          <w:szCs w:val="22"/>
          <w:lang w:val="cs-CZ"/>
        </w:rPr>
        <w:t>.</w:t>
      </w:r>
    </w:p>
    <w:p w14:paraId="72AE9498" w14:textId="77777777" w:rsidR="00E61A01" w:rsidRPr="009B1A37" w:rsidRDefault="00E61A01" w:rsidP="00BE3D48">
      <w:pPr>
        <w:widowControl w:val="0"/>
        <w:tabs>
          <w:tab w:val="clear" w:pos="567"/>
        </w:tabs>
        <w:spacing w:line="240" w:lineRule="auto"/>
        <w:ind w:right="-2"/>
        <w:rPr>
          <w:color w:val="000000"/>
        </w:rPr>
      </w:pPr>
    </w:p>
    <w:p w14:paraId="2E877864" w14:textId="77777777" w:rsidR="00E61A01" w:rsidRPr="009B1A37" w:rsidRDefault="00E61A01" w:rsidP="00BE3D48">
      <w:pPr>
        <w:widowControl w:val="0"/>
        <w:tabs>
          <w:tab w:val="clear" w:pos="567"/>
        </w:tabs>
        <w:spacing w:line="240" w:lineRule="auto"/>
        <w:ind w:right="-2"/>
        <w:rPr>
          <w:color w:val="000000"/>
        </w:rPr>
      </w:pPr>
    </w:p>
    <w:p w14:paraId="1E2260D5" w14:textId="77777777" w:rsidR="00EA5993" w:rsidRPr="009B1A37" w:rsidRDefault="00EA5993" w:rsidP="00BE3D48">
      <w:pPr>
        <w:keepNext/>
        <w:widowControl w:val="0"/>
        <w:tabs>
          <w:tab w:val="clear" w:pos="567"/>
        </w:tabs>
        <w:spacing w:line="240" w:lineRule="auto"/>
        <w:ind w:left="567" w:right="-2" w:hanging="567"/>
        <w:rPr>
          <w:b/>
          <w:bCs/>
          <w:color w:val="000000"/>
        </w:rPr>
      </w:pPr>
      <w:r w:rsidRPr="009B1A37">
        <w:rPr>
          <w:b/>
          <w:bCs/>
          <w:color w:val="000000"/>
        </w:rPr>
        <w:t>4.</w:t>
      </w:r>
      <w:r w:rsidRPr="009B1A37">
        <w:rPr>
          <w:b/>
          <w:bCs/>
          <w:color w:val="000000"/>
        </w:rPr>
        <w:tab/>
        <w:t>Možné nežádoucí účinky</w:t>
      </w:r>
    </w:p>
    <w:p w14:paraId="27E99051" w14:textId="77777777" w:rsidR="00EA5993" w:rsidRPr="009B1A37" w:rsidRDefault="00EA5993" w:rsidP="00BE3D48">
      <w:pPr>
        <w:pStyle w:val="Text"/>
        <w:keepNext/>
        <w:widowControl w:val="0"/>
        <w:spacing w:before="0"/>
        <w:jc w:val="left"/>
        <w:rPr>
          <w:color w:val="000000"/>
          <w:sz w:val="22"/>
          <w:szCs w:val="22"/>
          <w:lang w:val="cs-CZ"/>
        </w:rPr>
      </w:pPr>
    </w:p>
    <w:p w14:paraId="46522B19" w14:textId="77777777" w:rsidR="00EA5993" w:rsidRPr="009B1A37" w:rsidRDefault="00EA5993" w:rsidP="00BE3D48">
      <w:pPr>
        <w:pStyle w:val="Text"/>
        <w:widowControl w:val="0"/>
        <w:spacing w:before="0"/>
        <w:jc w:val="left"/>
        <w:rPr>
          <w:color w:val="000000"/>
          <w:sz w:val="22"/>
          <w:szCs w:val="22"/>
          <w:lang w:val="cs-CZ"/>
        </w:rPr>
      </w:pPr>
      <w:r w:rsidRPr="009B1A37">
        <w:rPr>
          <w:color w:val="000000"/>
          <w:sz w:val="22"/>
          <w:szCs w:val="22"/>
          <w:lang w:val="cs-CZ"/>
        </w:rPr>
        <w:t xml:space="preserve">Podobně jako všechny léky může mít i tento přípravek nežádoucí účinky, které se ale nemusí vyskytnout u každého. </w:t>
      </w:r>
      <w:r w:rsidR="00F53030" w:rsidRPr="009B1A37">
        <w:rPr>
          <w:color w:val="000000"/>
          <w:sz w:val="22"/>
          <w:szCs w:val="22"/>
          <w:lang w:val="cs-CZ"/>
        </w:rPr>
        <w:t>J</w:t>
      </w:r>
      <w:r w:rsidRPr="009B1A37">
        <w:rPr>
          <w:color w:val="000000"/>
          <w:sz w:val="22"/>
          <w:szCs w:val="22"/>
          <w:lang w:val="cs-CZ"/>
        </w:rPr>
        <w:t xml:space="preserve">sou obvykle </w:t>
      </w:r>
      <w:r w:rsidR="00F53030" w:rsidRPr="009B1A37">
        <w:rPr>
          <w:color w:val="000000"/>
          <w:sz w:val="22"/>
          <w:szCs w:val="22"/>
          <w:lang w:val="cs-CZ"/>
        </w:rPr>
        <w:t>lehké</w:t>
      </w:r>
      <w:r w:rsidRPr="009B1A37">
        <w:rPr>
          <w:color w:val="000000"/>
          <w:sz w:val="22"/>
          <w:szCs w:val="22"/>
          <w:lang w:val="cs-CZ"/>
        </w:rPr>
        <w:t xml:space="preserve"> až středně </w:t>
      </w:r>
      <w:r w:rsidR="00F53030" w:rsidRPr="009B1A37">
        <w:rPr>
          <w:color w:val="000000"/>
          <w:sz w:val="22"/>
          <w:szCs w:val="22"/>
          <w:lang w:val="cs-CZ"/>
        </w:rPr>
        <w:t>těžké</w:t>
      </w:r>
      <w:r w:rsidRPr="009B1A37">
        <w:rPr>
          <w:color w:val="000000"/>
          <w:sz w:val="22"/>
          <w:szCs w:val="22"/>
          <w:lang w:val="cs-CZ"/>
        </w:rPr>
        <w:t>.</w:t>
      </w:r>
    </w:p>
    <w:p w14:paraId="594C3659" w14:textId="77777777" w:rsidR="00EA5993" w:rsidRPr="009B1A37" w:rsidRDefault="00EA5993" w:rsidP="00BE3D48">
      <w:pPr>
        <w:pStyle w:val="CommentText"/>
        <w:keepNext/>
        <w:widowControl w:val="0"/>
        <w:spacing w:line="240" w:lineRule="auto"/>
        <w:rPr>
          <w:color w:val="000000"/>
          <w:sz w:val="22"/>
          <w:szCs w:val="22"/>
        </w:rPr>
      </w:pPr>
    </w:p>
    <w:p w14:paraId="5BCDCD1F" w14:textId="77777777" w:rsidR="00EA5993" w:rsidRPr="009B1A37" w:rsidRDefault="00EA5993" w:rsidP="00BE3D48">
      <w:pPr>
        <w:pStyle w:val="Heading4"/>
        <w:keepNext w:val="0"/>
        <w:widowControl w:val="0"/>
        <w:numPr>
          <w:ilvl w:val="0"/>
          <w:numId w:val="0"/>
        </w:numPr>
        <w:spacing w:line="240" w:lineRule="auto"/>
        <w:jc w:val="left"/>
        <w:rPr>
          <w:color w:val="000000"/>
          <w:lang w:val="cs-CZ"/>
        </w:rPr>
      </w:pPr>
      <w:r w:rsidRPr="009B1A37">
        <w:rPr>
          <w:color w:val="000000"/>
          <w:lang w:val="cs-CZ"/>
        </w:rPr>
        <w:t>Některé nežádoucí účinky mohou být závažné</w:t>
      </w:r>
      <w:r w:rsidRPr="009B1A37">
        <w:rPr>
          <w:b w:val="0"/>
          <w:bCs w:val="0"/>
          <w:color w:val="000000"/>
          <w:lang w:val="cs-CZ"/>
        </w:rPr>
        <w:t xml:space="preserve">. </w:t>
      </w:r>
      <w:r w:rsidRPr="009B1A37">
        <w:rPr>
          <w:color w:val="000000"/>
          <w:lang w:val="cs-CZ"/>
        </w:rPr>
        <w:t xml:space="preserve">Informujte okamžitě svého lékaře, pokud se u Vás </w:t>
      </w:r>
      <w:r w:rsidR="00F53030" w:rsidRPr="009B1A37">
        <w:rPr>
          <w:color w:val="000000"/>
          <w:lang w:val="cs-CZ"/>
        </w:rPr>
        <w:t>ob</w:t>
      </w:r>
      <w:r w:rsidRPr="009B1A37">
        <w:rPr>
          <w:color w:val="000000"/>
          <w:lang w:val="cs-CZ"/>
        </w:rPr>
        <w:t>jeví.</w:t>
      </w:r>
    </w:p>
    <w:p w14:paraId="01430179" w14:textId="77777777" w:rsidR="00EA5993" w:rsidRPr="009B1A37" w:rsidRDefault="00EA5993" w:rsidP="00BE3D48">
      <w:pPr>
        <w:widowControl w:val="0"/>
        <w:spacing w:line="240" w:lineRule="auto"/>
        <w:rPr>
          <w:color w:val="000000"/>
        </w:rPr>
      </w:pPr>
    </w:p>
    <w:p w14:paraId="029C1EF5" w14:textId="77777777" w:rsidR="00EA5993" w:rsidRPr="009B1A37" w:rsidRDefault="00EA5993" w:rsidP="00BE3D48">
      <w:pPr>
        <w:keepNext/>
        <w:widowControl w:val="0"/>
        <w:spacing w:line="240" w:lineRule="auto"/>
        <w:rPr>
          <w:bCs/>
          <w:color w:val="000000"/>
        </w:rPr>
      </w:pPr>
      <w:r w:rsidRPr="009B1A37">
        <w:rPr>
          <w:b/>
          <w:bCs/>
          <w:color w:val="000000"/>
        </w:rPr>
        <w:t>Velmi časté</w:t>
      </w:r>
      <w:r w:rsidRPr="009B1A37">
        <w:rPr>
          <w:bCs/>
          <w:color w:val="000000"/>
        </w:rPr>
        <w:t xml:space="preserve"> (mohou postihnout více než 1 z 10 lidí) </w:t>
      </w:r>
      <w:r w:rsidRPr="009B1A37">
        <w:rPr>
          <w:b/>
          <w:bCs/>
          <w:color w:val="000000"/>
        </w:rPr>
        <w:t xml:space="preserve">nebo časté nežádoucí účinky </w:t>
      </w:r>
      <w:r w:rsidRPr="009B1A37">
        <w:rPr>
          <w:bCs/>
          <w:color w:val="000000"/>
        </w:rPr>
        <w:t>(mohou postihnout až 1 z 10 lidí):</w:t>
      </w:r>
    </w:p>
    <w:p w14:paraId="3A5C3F9F" w14:textId="77777777" w:rsidR="00EA5993" w:rsidRPr="009B1A37" w:rsidRDefault="00EA5993" w:rsidP="00BE3D48">
      <w:pPr>
        <w:pStyle w:val="Text"/>
        <w:widowControl w:val="0"/>
        <w:numPr>
          <w:ilvl w:val="0"/>
          <w:numId w:val="3"/>
        </w:numPr>
        <w:tabs>
          <w:tab w:val="clear" w:pos="360"/>
        </w:tabs>
        <w:spacing w:before="0"/>
        <w:ind w:left="567" w:hanging="567"/>
        <w:jc w:val="left"/>
        <w:rPr>
          <w:color w:val="000000"/>
          <w:sz w:val="22"/>
          <w:szCs w:val="22"/>
          <w:lang w:val="cs-CZ"/>
        </w:rPr>
      </w:pPr>
      <w:r w:rsidRPr="009B1A37">
        <w:rPr>
          <w:color w:val="000000"/>
          <w:sz w:val="22"/>
          <w:szCs w:val="22"/>
          <w:lang w:val="cs-CZ"/>
        </w:rPr>
        <w:t xml:space="preserve">Rychlý </w:t>
      </w:r>
      <w:r w:rsidR="00F53030" w:rsidRPr="009B1A37">
        <w:rPr>
          <w:color w:val="000000"/>
          <w:sz w:val="22"/>
          <w:szCs w:val="22"/>
          <w:lang w:val="cs-CZ"/>
        </w:rPr>
        <w:t>nárůst tělesné hmotnosti</w:t>
      </w:r>
      <w:r w:rsidRPr="009B1A37">
        <w:rPr>
          <w:color w:val="000000"/>
          <w:sz w:val="22"/>
          <w:szCs w:val="22"/>
          <w:lang w:val="cs-CZ"/>
        </w:rPr>
        <w:t>. Glivec může způsobit zadržování vody v těle (závažná retence tekutin).</w:t>
      </w:r>
    </w:p>
    <w:p w14:paraId="000198F5" w14:textId="77777777" w:rsidR="00EA5993" w:rsidRPr="009B1A37" w:rsidRDefault="00EA5993" w:rsidP="00BE3D48">
      <w:pPr>
        <w:pStyle w:val="Text"/>
        <w:widowControl w:val="0"/>
        <w:numPr>
          <w:ilvl w:val="0"/>
          <w:numId w:val="3"/>
        </w:numPr>
        <w:tabs>
          <w:tab w:val="clear" w:pos="360"/>
        </w:tabs>
        <w:spacing w:before="0"/>
        <w:ind w:left="567" w:hanging="567"/>
        <w:jc w:val="left"/>
        <w:rPr>
          <w:color w:val="000000"/>
          <w:sz w:val="22"/>
          <w:szCs w:val="22"/>
          <w:lang w:val="cs-CZ"/>
        </w:rPr>
      </w:pPr>
      <w:r w:rsidRPr="009B1A37">
        <w:rPr>
          <w:color w:val="000000"/>
          <w:sz w:val="22"/>
          <w:szCs w:val="22"/>
          <w:lang w:val="cs-CZ"/>
        </w:rPr>
        <w:t>Příznaky infekce, jako je horečka, silná zimnice, bolest v krku nebo vř</w:t>
      </w:r>
      <w:r w:rsidR="000461A1" w:rsidRPr="009B1A37">
        <w:rPr>
          <w:color w:val="000000"/>
          <w:sz w:val="22"/>
          <w:szCs w:val="22"/>
          <w:lang w:val="cs-CZ"/>
        </w:rPr>
        <w:t>edy</w:t>
      </w:r>
      <w:r w:rsidRPr="009B1A37">
        <w:rPr>
          <w:color w:val="000000"/>
          <w:sz w:val="22"/>
          <w:szCs w:val="22"/>
          <w:lang w:val="cs-CZ"/>
        </w:rPr>
        <w:t xml:space="preserve"> v ústech. Glivec může snižovat počet bílých krvinek v krvi, a tak u Vás může snáze dojít k infekci.</w:t>
      </w:r>
    </w:p>
    <w:p w14:paraId="5855A03B" w14:textId="77777777" w:rsidR="00EA5993" w:rsidRPr="009B1A37" w:rsidRDefault="00EA5993" w:rsidP="00BE3D48">
      <w:pPr>
        <w:pStyle w:val="Text"/>
        <w:widowControl w:val="0"/>
        <w:numPr>
          <w:ilvl w:val="0"/>
          <w:numId w:val="3"/>
        </w:numPr>
        <w:tabs>
          <w:tab w:val="clear" w:pos="360"/>
        </w:tabs>
        <w:spacing w:before="0"/>
        <w:ind w:left="567" w:hanging="567"/>
        <w:jc w:val="left"/>
        <w:rPr>
          <w:color w:val="000000"/>
          <w:sz w:val="22"/>
          <w:szCs w:val="22"/>
          <w:lang w:val="cs-CZ"/>
        </w:rPr>
      </w:pPr>
      <w:r w:rsidRPr="009B1A37">
        <w:rPr>
          <w:color w:val="000000"/>
          <w:sz w:val="22"/>
          <w:szCs w:val="22"/>
          <w:lang w:val="cs-CZ"/>
        </w:rPr>
        <w:t xml:space="preserve">Neočekávané krvácení nebo výskyt modřin (bez </w:t>
      </w:r>
      <w:r w:rsidR="000461A1" w:rsidRPr="009B1A37">
        <w:rPr>
          <w:color w:val="000000"/>
          <w:sz w:val="22"/>
          <w:szCs w:val="22"/>
          <w:lang w:val="cs-CZ"/>
        </w:rPr>
        <w:t>toho, abyste se poranila(a)</w:t>
      </w:r>
      <w:r w:rsidRPr="009B1A37">
        <w:rPr>
          <w:color w:val="000000"/>
          <w:sz w:val="22"/>
          <w:szCs w:val="22"/>
          <w:lang w:val="cs-CZ"/>
        </w:rPr>
        <w:t>).</w:t>
      </w:r>
    </w:p>
    <w:p w14:paraId="67F0DE3C" w14:textId="77777777" w:rsidR="00EA5993" w:rsidRPr="009B1A37" w:rsidRDefault="00EA5993" w:rsidP="00BE3D48">
      <w:pPr>
        <w:pStyle w:val="Text"/>
        <w:widowControl w:val="0"/>
        <w:spacing w:before="0"/>
        <w:jc w:val="left"/>
        <w:rPr>
          <w:color w:val="000000"/>
          <w:sz w:val="22"/>
          <w:szCs w:val="22"/>
          <w:lang w:val="cs-CZ"/>
        </w:rPr>
      </w:pPr>
    </w:p>
    <w:p w14:paraId="1E8A9398" w14:textId="77777777" w:rsidR="00EA5993" w:rsidRPr="009B1A37" w:rsidRDefault="00EA5993" w:rsidP="00182086">
      <w:pPr>
        <w:pStyle w:val="Text"/>
        <w:keepNext/>
        <w:keepLines/>
        <w:widowControl w:val="0"/>
        <w:spacing w:before="0"/>
        <w:jc w:val="left"/>
        <w:rPr>
          <w:bCs/>
          <w:color w:val="000000"/>
          <w:sz w:val="22"/>
          <w:szCs w:val="22"/>
          <w:lang w:val="cs-CZ"/>
        </w:rPr>
      </w:pPr>
      <w:r w:rsidRPr="009B1A37">
        <w:rPr>
          <w:b/>
          <w:bCs/>
          <w:color w:val="000000"/>
          <w:sz w:val="22"/>
          <w:szCs w:val="22"/>
          <w:lang w:val="cs-CZ"/>
        </w:rPr>
        <w:t xml:space="preserve">Méně časté </w:t>
      </w:r>
      <w:r w:rsidRPr="009B1A37">
        <w:rPr>
          <w:bCs/>
          <w:color w:val="000000"/>
          <w:sz w:val="22"/>
          <w:szCs w:val="22"/>
          <w:lang w:val="cs-CZ"/>
        </w:rPr>
        <w:t xml:space="preserve">(mohou postihnout až 1 ze 100 lidí) </w:t>
      </w:r>
      <w:r w:rsidRPr="009B1A37">
        <w:rPr>
          <w:b/>
          <w:bCs/>
          <w:color w:val="000000"/>
          <w:sz w:val="22"/>
          <w:szCs w:val="22"/>
          <w:lang w:val="cs-CZ"/>
        </w:rPr>
        <w:t xml:space="preserve">nebo vzácné nežádoucí účinky </w:t>
      </w:r>
      <w:r w:rsidRPr="009B1A37">
        <w:rPr>
          <w:bCs/>
          <w:color w:val="000000"/>
          <w:sz w:val="22"/>
          <w:szCs w:val="22"/>
          <w:lang w:val="cs-CZ"/>
        </w:rPr>
        <w:t>(mohou postihnout až 1 z 1000 lidí):</w:t>
      </w:r>
    </w:p>
    <w:p w14:paraId="454CE1FF" w14:textId="77777777" w:rsidR="00EA5993" w:rsidRPr="009B1A37" w:rsidRDefault="00EA5993" w:rsidP="00BE3D48">
      <w:pPr>
        <w:pStyle w:val="Text"/>
        <w:widowControl w:val="0"/>
        <w:numPr>
          <w:ilvl w:val="0"/>
          <w:numId w:val="3"/>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Bolest na hrudi, nepravidelný srdeční tep (</w:t>
      </w:r>
      <w:r w:rsidR="000461A1" w:rsidRPr="009B1A37">
        <w:rPr>
          <w:color w:val="000000"/>
          <w:sz w:val="22"/>
          <w:szCs w:val="22"/>
          <w:lang w:val="cs-CZ"/>
        </w:rPr>
        <w:t xml:space="preserve">známky </w:t>
      </w:r>
      <w:r w:rsidRPr="009B1A37">
        <w:rPr>
          <w:color w:val="000000"/>
          <w:sz w:val="22"/>
          <w:szCs w:val="22"/>
          <w:lang w:val="cs-CZ"/>
        </w:rPr>
        <w:t>srdečních potíží).</w:t>
      </w:r>
    </w:p>
    <w:p w14:paraId="3186BAD2" w14:textId="77777777" w:rsidR="00EA5993" w:rsidRPr="009B1A37" w:rsidRDefault="00EA5993" w:rsidP="00BE3D48">
      <w:pPr>
        <w:pStyle w:val="Text"/>
        <w:widowControl w:val="0"/>
        <w:numPr>
          <w:ilvl w:val="0"/>
          <w:numId w:val="3"/>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Kašel, ztížené nebo bolestivé dýchání (</w:t>
      </w:r>
      <w:r w:rsidR="000461A1" w:rsidRPr="009B1A37">
        <w:rPr>
          <w:color w:val="000000"/>
          <w:sz w:val="22"/>
          <w:szCs w:val="22"/>
          <w:lang w:val="cs-CZ"/>
        </w:rPr>
        <w:t>známky</w:t>
      </w:r>
      <w:r w:rsidRPr="009B1A37">
        <w:rPr>
          <w:color w:val="000000"/>
          <w:sz w:val="22"/>
          <w:szCs w:val="22"/>
          <w:lang w:val="cs-CZ"/>
        </w:rPr>
        <w:t xml:space="preserve"> plicních potíží).</w:t>
      </w:r>
    </w:p>
    <w:p w14:paraId="18B9D332" w14:textId="77777777" w:rsidR="00EA5993" w:rsidRPr="009B1A37" w:rsidRDefault="00EA5993" w:rsidP="00BE3D48">
      <w:pPr>
        <w:pStyle w:val="Text"/>
        <w:widowControl w:val="0"/>
        <w:numPr>
          <w:ilvl w:val="0"/>
          <w:numId w:val="3"/>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Točení hlavy, závratě nebo mdloby (</w:t>
      </w:r>
      <w:r w:rsidR="000461A1" w:rsidRPr="009B1A37">
        <w:rPr>
          <w:color w:val="000000"/>
          <w:sz w:val="22"/>
          <w:szCs w:val="22"/>
          <w:lang w:val="cs-CZ"/>
        </w:rPr>
        <w:t>známky</w:t>
      </w:r>
      <w:r w:rsidRPr="009B1A37">
        <w:rPr>
          <w:color w:val="000000"/>
          <w:sz w:val="22"/>
          <w:szCs w:val="22"/>
          <w:lang w:val="cs-CZ"/>
        </w:rPr>
        <w:t xml:space="preserve"> nízkého krevního tlaku).</w:t>
      </w:r>
    </w:p>
    <w:p w14:paraId="2BE7F4E4" w14:textId="77777777" w:rsidR="00EA5993" w:rsidRPr="009B1A37" w:rsidRDefault="000461A1"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Nevolnost (p</w:t>
      </w:r>
      <w:r w:rsidR="00EA5993" w:rsidRPr="009B1A37">
        <w:rPr>
          <w:color w:val="000000"/>
          <w:sz w:val="22"/>
          <w:szCs w:val="22"/>
          <w:lang w:val="cs-CZ"/>
        </w:rPr>
        <w:t>ocit na zvracení</w:t>
      </w:r>
      <w:r w:rsidRPr="009B1A37">
        <w:rPr>
          <w:color w:val="000000"/>
          <w:sz w:val="22"/>
          <w:szCs w:val="22"/>
          <w:lang w:val="cs-CZ"/>
        </w:rPr>
        <w:t>)</w:t>
      </w:r>
      <w:r w:rsidR="00EA5993" w:rsidRPr="009B1A37">
        <w:rPr>
          <w:color w:val="000000"/>
          <w:sz w:val="22"/>
          <w:szCs w:val="22"/>
          <w:lang w:val="cs-CZ"/>
        </w:rPr>
        <w:t>, se ztrátou chuti k jídlu, tmavě zabarvená moč, žloutnutí kůže nebo očního bělma (</w:t>
      </w:r>
      <w:r w:rsidRPr="009B1A37">
        <w:rPr>
          <w:color w:val="000000"/>
          <w:sz w:val="22"/>
          <w:szCs w:val="22"/>
          <w:lang w:val="cs-CZ"/>
        </w:rPr>
        <w:t>známky</w:t>
      </w:r>
      <w:r w:rsidR="00EA5993" w:rsidRPr="009B1A37">
        <w:rPr>
          <w:color w:val="000000"/>
          <w:sz w:val="22"/>
          <w:szCs w:val="22"/>
          <w:lang w:val="cs-CZ"/>
        </w:rPr>
        <w:t xml:space="preserve"> jaterních potíží).</w:t>
      </w:r>
    </w:p>
    <w:p w14:paraId="7CAA8C7E"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 xml:space="preserve">Vyrážka, červená kůže s puchýřky na rtech, očích, kůži nebo v ústech, olupování kůže, horečka, </w:t>
      </w:r>
      <w:r w:rsidR="000461A1" w:rsidRPr="009B1A37">
        <w:rPr>
          <w:color w:val="000000"/>
          <w:sz w:val="22"/>
          <w:szCs w:val="22"/>
          <w:lang w:val="cs-CZ"/>
        </w:rPr>
        <w:t>vystouplá červená</w:t>
      </w:r>
      <w:r w:rsidRPr="009B1A37">
        <w:rPr>
          <w:color w:val="000000"/>
          <w:sz w:val="22"/>
          <w:szCs w:val="22"/>
          <w:lang w:val="cs-CZ"/>
        </w:rPr>
        <w:t xml:space="preserve"> nebo nachová místa na kůži, svědění, pocit pálení, puchýřkovitá vyrážka (</w:t>
      </w:r>
      <w:r w:rsidR="000461A1" w:rsidRPr="009B1A37">
        <w:rPr>
          <w:color w:val="000000"/>
          <w:sz w:val="22"/>
          <w:szCs w:val="22"/>
          <w:lang w:val="cs-CZ"/>
        </w:rPr>
        <w:t>známky</w:t>
      </w:r>
      <w:r w:rsidRPr="009B1A37">
        <w:rPr>
          <w:color w:val="000000"/>
          <w:sz w:val="22"/>
          <w:szCs w:val="22"/>
          <w:lang w:val="cs-CZ"/>
        </w:rPr>
        <w:t xml:space="preserve"> kožních potíží).</w:t>
      </w:r>
    </w:p>
    <w:p w14:paraId="35DCAA6C"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Siln</w:t>
      </w:r>
      <w:r w:rsidR="000461A1" w:rsidRPr="009B1A37">
        <w:rPr>
          <w:color w:val="000000"/>
          <w:sz w:val="22"/>
          <w:szCs w:val="22"/>
          <w:lang w:val="cs-CZ"/>
        </w:rPr>
        <w:t>á</w:t>
      </w:r>
      <w:r w:rsidRPr="009B1A37">
        <w:rPr>
          <w:color w:val="000000"/>
          <w:sz w:val="22"/>
          <w:szCs w:val="22"/>
          <w:lang w:val="cs-CZ"/>
        </w:rPr>
        <w:t xml:space="preserve"> bolest břicha, krev ve zvratcích, stolici nebo v moči, černá stolice (</w:t>
      </w:r>
      <w:r w:rsidR="000461A1" w:rsidRPr="009B1A37">
        <w:rPr>
          <w:color w:val="000000"/>
          <w:sz w:val="22"/>
          <w:szCs w:val="22"/>
          <w:lang w:val="cs-CZ"/>
        </w:rPr>
        <w:t>známky</w:t>
      </w:r>
      <w:r w:rsidRPr="009B1A37">
        <w:rPr>
          <w:color w:val="000000"/>
          <w:sz w:val="22"/>
          <w:szCs w:val="22"/>
          <w:lang w:val="cs-CZ"/>
        </w:rPr>
        <w:t xml:space="preserve"> potíží zažívacího traktu).</w:t>
      </w:r>
    </w:p>
    <w:p w14:paraId="6D82B365"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Závažný pokles výdeje moči, pocit žízně (</w:t>
      </w:r>
      <w:r w:rsidR="000461A1" w:rsidRPr="009B1A37">
        <w:rPr>
          <w:color w:val="000000"/>
          <w:sz w:val="22"/>
          <w:szCs w:val="22"/>
          <w:lang w:val="cs-CZ"/>
        </w:rPr>
        <w:t>známky</w:t>
      </w:r>
      <w:r w:rsidRPr="009B1A37">
        <w:rPr>
          <w:color w:val="000000"/>
          <w:sz w:val="22"/>
          <w:szCs w:val="22"/>
          <w:lang w:val="cs-CZ"/>
        </w:rPr>
        <w:t xml:space="preserve"> potíží ledvin).</w:t>
      </w:r>
    </w:p>
    <w:p w14:paraId="4A291271" w14:textId="77777777" w:rsidR="00EA5993" w:rsidRPr="009B1A37" w:rsidRDefault="000461A1"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N</w:t>
      </w:r>
      <w:r w:rsidR="00EA5993" w:rsidRPr="009B1A37">
        <w:rPr>
          <w:color w:val="000000"/>
          <w:sz w:val="22"/>
          <w:szCs w:val="22"/>
          <w:lang w:val="cs-CZ"/>
        </w:rPr>
        <w:t>evolnost (</w:t>
      </w:r>
      <w:r w:rsidRPr="009B1A37">
        <w:rPr>
          <w:color w:val="000000"/>
          <w:sz w:val="22"/>
          <w:szCs w:val="22"/>
          <w:lang w:val="cs-CZ"/>
        </w:rPr>
        <w:t>pocit na zvracení</w:t>
      </w:r>
      <w:r w:rsidR="00EA5993" w:rsidRPr="009B1A37">
        <w:rPr>
          <w:color w:val="000000"/>
          <w:sz w:val="22"/>
          <w:szCs w:val="22"/>
          <w:lang w:val="cs-CZ"/>
        </w:rPr>
        <w:t>) s průjmem a zvracením, bolest břicha nebo horečka (</w:t>
      </w:r>
      <w:r w:rsidRPr="009B1A37">
        <w:rPr>
          <w:color w:val="000000"/>
          <w:sz w:val="22"/>
          <w:szCs w:val="22"/>
          <w:lang w:val="cs-CZ"/>
        </w:rPr>
        <w:t>známky</w:t>
      </w:r>
      <w:r w:rsidR="00EA5993" w:rsidRPr="009B1A37">
        <w:rPr>
          <w:color w:val="000000"/>
          <w:sz w:val="22"/>
          <w:szCs w:val="22"/>
          <w:lang w:val="cs-CZ"/>
        </w:rPr>
        <w:t xml:space="preserve"> střevních potíží).</w:t>
      </w:r>
    </w:p>
    <w:p w14:paraId="24B5507E"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Silné bolesti hlavy, slabost nebo ochromení končetin nebo obličeje, potíže s mluvením, náhlá ztráta vědomí (příznaky potíží nervového systému jako je krvácení nebo otoky uvnitř lebky/mozku).</w:t>
      </w:r>
    </w:p>
    <w:p w14:paraId="5ADDCAA3"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Bledá kůže, pocit únavy a dušnost a tmavá moč (</w:t>
      </w:r>
      <w:r w:rsidR="000461A1" w:rsidRPr="009B1A37">
        <w:rPr>
          <w:color w:val="000000"/>
          <w:sz w:val="22"/>
          <w:szCs w:val="22"/>
          <w:lang w:val="cs-CZ"/>
        </w:rPr>
        <w:t>známky</w:t>
      </w:r>
      <w:r w:rsidRPr="009B1A37">
        <w:rPr>
          <w:color w:val="000000"/>
          <w:sz w:val="22"/>
          <w:szCs w:val="22"/>
          <w:lang w:val="cs-CZ"/>
        </w:rPr>
        <w:t xml:space="preserve"> </w:t>
      </w:r>
      <w:r w:rsidR="000461A1" w:rsidRPr="009B1A37">
        <w:rPr>
          <w:color w:val="000000"/>
          <w:sz w:val="22"/>
          <w:szCs w:val="22"/>
          <w:lang w:val="cs-CZ"/>
        </w:rPr>
        <w:t>nízkého</w:t>
      </w:r>
      <w:r w:rsidRPr="009B1A37">
        <w:rPr>
          <w:color w:val="000000"/>
          <w:sz w:val="22"/>
          <w:szCs w:val="22"/>
          <w:lang w:val="cs-CZ"/>
        </w:rPr>
        <w:t xml:space="preserve"> množství červených krvinek).</w:t>
      </w:r>
    </w:p>
    <w:p w14:paraId="09B3B964"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Bolest očí nebo zhoršené vidění, krvácení do očí.</w:t>
      </w:r>
    </w:p>
    <w:p w14:paraId="4EDBF390"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Bolest v</w:t>
      </w:r>
      <w:r w:rsidR="000461A1" w:rsidRPr="009B1A37">
        <w:rPr>
          <w:color w:val="000000"/>
          <w:sz w:val="22"/>
          <w:szCs w:val="22"/>
          <w:lang w:val="cs-CZ"/>
        </w:rPr>
        <w:t xml:space="preserve"> oblasti </w:t>
      </w:r>
      <w:r w:rsidRPr="009B1A37">
        <w:rPr>
          <w:color w:val="000000"/>
          <w:sz w:val="22"/>
          <w:szCs w:val="22"/>
          <w:lang w:val="cs-CZ"/>
        </w:rPr>
        <w:t>kyčlí nebo potíže při chůzi.</w:t>
      </w:r>
    </w:p>
    <w:p w14:paraId="671BCB07"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Necitlivé nebo studené prsty na rukou i nohou (</w:t>
      </w:r>
      <w:r w:rsidR="000461A1" w:rsidRPr="009B1A37">
        <w:rPr>
          <w:color w:val="000000"/>
          <w:sz w:val="22"/>
          <w:szCs w:val="22"/>
          <w:lang w:val="cs-CZ"/>
        </w:rPr>
        <w:t>známky</w:t>
      </w:r>
      <w:r w:rsidRPr="009B1A37">
        <w:rPr>
          <w:color w:val="000000"/>
          <w:sz w:val="22"/>
          <w:szCs w:val="22"/>
          <w:lang w:val="cs-CZ"/>
        </w:rPr>
        <w:t xml:space="preserve"> Raynaudova syndromu).</w:t>
      </w:r>
    </w:p>
    <w:p w14:paraId="3048C514"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Náhlé otoky a zčervenání kůže (</w:t>
      </w:r>
      <w:r w:rsidR="000461A1" w:rsidRPr="009B1A37">
        <w:rPr>
          <w:color w:val="000000"/>
          <w:sz w:val="22"/>
          <w:szCs w:val="22"/>
          <w:lang w:val="cs-CZ"/>
        </w:rPr>
        <w:t>známky</w:t>
      </w:r>
      <w:r w:rsidRPr="009B1A37">
        <w:rPr>
          <w:color w:val="000000"/>
          <w:sz w:val="22"/>
          <w:szCs w:val="22"/>
          <w:lang w:val="cs-CZ"/>
        </w:rPr>
        <w:t xml:space="preserve"> kožní infekce zvané celulitida).</w:t>
      </w:r>
    </w:p>
    <w:p w14:paraId="72BD5B91"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Potíže se sluchem.</w:t>
      </w:r>
    </w:p>
    <w:p w14:paraId="656EB891"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Svalová slabost a svalové křeče s abnormálním srdečním rytmem (</w:t>
      </w:r>
      <w:r w:rsidR="000461A1" w:rsidRPr="009B1A37">
        <w:rPr>
          <w:color w:val="000000"/>
          <w:sz w:val="22"/>
          <w:szCs w:val="22"/>
          <w:lang w:val="cs-CZ"/>
        </w:rPr>
        <w:t>známky</w:t>
      </w:r>
      <w:r w:rsidRPr="009B1A37">
        <w:rPr>
          <w:color w:val="000000"/>
          <w:sz w:val="22"/>
          <w:szCs w:val="22"/>
          <w:lang w:val="cs-CZ"/>
        </w:rPr>
        <w:t xml:space="preserve"> změn hladiny draslíku v krvi).</w:t>
      </w:r>
    </w:p>
    <w:p w14:paraId="63AB8C48"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Podlitiny.</w:t>
      </w:r>
    </w:p>
    <w:p w14:paraId="47319ECA"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 xml:space="preserve">Bolest </w:t>
      </w:r>
      <w:r w:rsidR="000461A1" w:rsidRPr="009B1A37">
        <w:rPr>
          <w:color w:val="000000"/>
          <w:sz w:val="22"/>
          <w:szCs w:val="22"/>
          <w:lang w:val="cs-CZ"/>
        </w:rPr>
        <w:t>břicha</w:t>
      </w:r>
      <w:r w:rsidRPr="009B1A37">
        <w:rPr>
          <w:color w:val="000000"/>
          <w:sz w:val="22"/>
          <w:szCs w:val="22"/>
          <w:lang w:val="cs-CZ"/>
        </w:rPr>
        <w:t xml:space="preserve"> s nevolnost</w:t>
      </w:r>
      <w:r w:rsidR="000461A1" w:rsidRPr="009B1A37">
        <w:rPr>
          <w:color w:val="000000"/>
          <w:sz w:val="22"/>
          <w:szCs w:val="22"/>
          <w:lang w:val="cs-CZ"/>
        </w:rPr>
        <w:t>í</w:t>
      </w:r>
      <w:r w:rsidRPr="009B1A37">
        <w:rPr>
          <w:color w:val="000000"/>
          <w:sz w:val="22"/>
          <w:szCs w:val="22"/>
          <w:lang w:val="cs-CZ"/>
        </w:rPr>
        <w:t xml:space="preserve"> (</w:t>
      </w:r>
      <w:r w:rsidR="000461A1" w:rsidRPr="009B1A37">
        <w:rPr>
          <w:color w:val="000000"/>
          <w:sz w:val="22"/>
          <w:szCs w:val="22"/>
          <w:lang w:val="cs-CZ"/>
        </w:rPr>
        <w:t>pocit na zvracení</w:t>
      </w:r>
      <w:r w:rsidRPr="009B1A37">
        <w:rPr>
          <w:color w:val="000000"/>
          <w:sz w:val="22"/>
          <w:szCs w:val="22"/>
          <w:lang w:val="cs-CZ"/>
        </w:rPr>
        <w:t>).</w:t>
      </w:r>
    </w:p>
    <w:p w14:paraId="55A59628"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 xml:space="preserve">Svalové křeče s horečkou, </w:t>
      </w:r>
      <w:r w:rsidR="000461A1" w:rsidRPr="009B1A37">
        <w:rPr>
          <w:color w:val="000000"/>
          <w:sz w:val="22"/>
          <w:szCs w:val="22"/>
          <w:lang w:val="cs-CZ"/>
        </w:rPr>
        <w:t>červenohnědou</w:t>
      </w:r>
      <w:r w:rsidRPr="009B1A37">
        <w:rPr>
          <w:color w:val="000000"/>
          <w:sz w:val="22"/>
          <w:szCs w:val="22"/>
          <w:lang w:val="cs-CZ"/>
        </w:rPr>
        <w:t xml:space="preserve"> močí, bolestí svalů nebo svalovou ochablostí (</w:t>
      </w:r>
      <w:r w:rsidR="000461A1" w:rsidRPr="009B1A37">
        <w:rPr>
          <w:color w:val="000000"/>
          <w:sz w:val="22"/>
          <w:szCs w:val="22"/>
          <w:lang w:val="cs-CZ"/>
        </w:rPr>
        <w:t>známky</w:t>
      </w:r>
      <w:r w:rsidRPr="009B1A37">
        <w:rPr>
          <w:color w:val="000000"/>
          <w:sz w:val="22"/>
          <w:szCs w:val="22"/>
          <w:lang w:val="cs-CZ"/>
        </w:rPr>
        <w:t xml:space="preserve"> svalových potíží).</w:t>
      </w:r>
    </w:p>
    <w:p w14:paraId="4C7E5027" w14:textId="77777777" w:rsidR="00EA5993" w:rsidRPr="009B1A37" w:rsidRDefault="00EA5993"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 xml:space="preserve">Bolest </w:t>
      </w:r>
      <w:r w:rsidR="000461A1" w:rsidRPr="009B1A37">
        <w:rPr>
          <w:color w:val="000000"/>
          <w:sz w:val="22"/>
          <w:szCs w:val="22"/>
          <w:lang w:val="cs-CZ"/>
        </w:rPr>
        <w:t xml:space="preserve">v oblasti </w:t>
      </w:r>
      <w:r w:rsidRPr="009B1A37">
        <w:rPr>
          <w:color w:val="000000"/>
          <w:sz w:val="22"/>
          <w:szCs w:val="22"/>
          <w:lang w:val="cs-CZ"/>
        </w:rPr>
        <w:t xml:space="preserve">pánve někdy spojená s </w:t>
      </w:r>
      <w:r w:rsidR="000461A1" w:rsidRPr="009B1A37">
        <w:rPr>
          <w:color w:val="000000"/>
          <w:sz w:val="22"/>
          <w:szCs w:val="22"/>
          <w:lang w:val="cs-CZ"/>
        </w:rPr>
        <w:t>pocitem na zvracení</w:t>
      </w:r>
      <w:r w:rsidRPr="009B1A37">
        <w:rPr>
          <w:color w:val="000000"/>
          <w:sz w:val="22"/>
          <w:szCs w:val="22"/>
          <w:lang w:val="cs-CZ"/>
        </w:rPr>
        <w:t xml:space="preserve"> a zvracením, s neočekávaným vaginálním (poševním) krvácením, pocit závrati,</w:t>
      </w:r>
      <w:r w:rsidR="0071222E" w:rsidRPr="009B1A37">
        <w:rPr>
          <w:color w:val="000000"/>
          <w:sz w:val="22"/>
          <w:szCs w:val="22"/>
          <w:lang w:val="cs-CZ"/>
        </w:rPr>
        <w:t xml:space="preserve"> </w:t>
      </w:r>
      <w:r w:rsidRPr="009B1A37">
        <w:rPr>
          <w:color w:val="000000"/>
          <w:sz w:val="22"/>
          <w:szCs w:val="22"/>
          <w:lang w:val="cs-CZ"/>
        </w:rPr>
        <w:t>nebo mdloby z důvodu nízkého krevního tlaku (</w:t>
      </w:r>
      <w:r w:rsidR="000461A1" w:rsidRPr="009B1A37">
        <w:rPr>
          <w:color w:val="000000"/>
          <w:sz w:val="22"/>
          <w:szCs w:val="22"/>
          <w:lang w:val="cs-CZ"/>
        </w:rPr>
        <w:t>známky</w:t>
      </w:r>
      <w:r w:rsidRPr="009B1A37">
        <w:rPr>
          <w:color w:val="000000"/>
          <w:sz w:val="22"/>
          <w:szCs w:val="22"/>
          <w:lang w:val="cs-CZ"/>
        </w:rPr>
        <w:t xml:space="preserve"> potíží</w:t>
      </w:r>
      <w:r w:rsidR="000461A1" w:rsidRPr="009B1A37">
        <w:rPr>
          <w:color w:val="000000"/>
          <w:sz w:val="22"/>
          <w:szCs w:val="22"/>
          <w:lang w:val="cs-CZ"/>
        </w:rPr>
        <w:t xml:space="preserve"> s </w:t>
      </w:r>
      <w:r w:rsidRPr="009B1A37">
        <w:rPr>
          <w:color w:val="000000"/>
          <w:sz w:val="22"/>
          <w:szCs w:val="22"/>
          <w:lang w:val="cs-CZ"/>
        </w:rPr>
        <w:t>vaječník</w:t>
      </w:r>
      <w:r w:rsidR="000461A1" w:rsidRPr="009B1A37">
        <w:rPr>
          <w:color w:val="000000"/>
          <w:sz w:val="22"/>
          <w:szCs w:val="22"/>
          <w:lang w:val="cs-CZ"/>
        </w:rPr>
        <w:t>y</w:t>
      </w:r>
      <w:r w:rsidRPr="009B1A37">
        <w:rPr>
          <w:color w:val="000000"/>
          <w:sz w:val="22"/>
          <w:szCs w:val="22"/>
          <w:lang w:val="cs-CZ"/>
        </w:rPr>
        <w:t xml:space="preserve"> nebo děloh</w:t>
      </w:r>
      <w:r w:rsidR="000461A1" w:rsidRPr="009B1A37">
        <w:rPr>
          <w:color w:val="000000"/>
          <w:sz w:val="22"/>
          <w:szCs w:val="22"/>
          <w:lang w:val="cs-CZ"/>
        </w:rPr>
        <w:t>ou</w:t>
      </w:r>
      <w:r w:rsidRPr="009B1A37">
        <w:rPr>
          <w:color w:val="000000"/>
          <w:sz w:val="22"/>
          <w:szCs w:val="22"/>
          <w:lang w:val="cs-CZ"/>
        </w:rPr>
        <w:t>).</w:t>
      </w:r>
    </w:p>
    <w:p w14:paraId="24D5B6EB" w14:textId="77777777" w:rsidR="00EA5993" w:rsidRPr="009B1A37" w:rsidRDefault="000461A1"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Pocit na zvracení, dušnost</w:t>
      </w:r>
      <w:r w:rsidR="00EA5993" w:rsidRPr="009B1A37">
        <w:rPr>
          <w:color w:val="000000"/>
          <w:sz w:val="22"/>
          <w:szCs w:val="22"/>
          <w:lang w:val="cs-CZ"/>
        </w:rPr>
        <w:t xml:space="preserve">, nepravidelný srdeční tep, zakalená moč, únava a/nebo kloubní potíže spojené s neobvyklými výsledky laboratorních testů (např. vysoká hladina draslíku, kyseliny močové a </w:t>
      </w:r>
      <w:r w:rsidR="000E57B2" w:rsidRPr="009B1A37">
        <w:rPr>
          <w:color w:val="000000"/>
          <w:sz w:val="22"/>
          <w:szCs w:val="22"/>
          <w:lang w:val="cs-CZ"/>
        </w:rPr>
        <w:t>vápníku</w:t>
      </w:r>
      <w:r w:rsidR="00EA5993" w:rsidRPr="009B1A37">
        <w:rPr>
          <w:color w:val="000000"/>
          <w:sz w:val="22"/>
          <w:szCs w:val="22"/>
          <w:lang w:val="cs-CZ"/>
        </w:rPr>
        <w:t xml:space="preserve"> a nízké hladiny </w:t>
      </w:r>
      <w:r w:rsidR="000E57B2" w:rsidRPr="009B1A37">
        <w:rPr>
          <w:color w:val="000000"/>
          <w:sz w:val="22"/>
          <w:szCs w:val="22"/>
          <w:lang w:val="cs-CZ"/>
        </w:rPr>
        <w:t>fosforu</w:t>
      </w:r>
      <w:r w:rsidR="00EA5993" w:rsidRPr="009B1A37">
        <w:rPr>
          <w:color w:val="000000"/>
          <w:sz w:val="22"/>
          <w:szCs w:val="22"/>
          <w:lang w:val="cs-CZ"/>
        </w:rPr>
        <w:t xml:space="preserve"> v krvi).</w:t>
      </w:r>
    </w:p>
    <w:p w14:paraId="35D72B8A" w14:textId="77777777" w:rsidR="00894B06" w:rsidRPr="009B1A37" w:rsidRDefault="00894B06" w:rsidP="00BE3D48">
      <w:pPr>
        <w:pStyle w:val="Text"/>
        <w:widowControl w:val="0"/>
        <w:numPr>
          <w:ilvl w:val="0"/>
          <w:numId w:val="8"/>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Krevní sraženiny v malých cévách (trombotická mikroangiopatie).</w:t>
      </w:r>
    </w:p>
    <w:p w14:paraId="1AAE22A1" w14:textId="77777777" w:rsidR="004B719A" w:rsidRPr="009B1A37" w:rsidRDefault="004B719A" w:rsidP="00BE3D48">
      <w:pPr>
        <w:pStyle w:val="Text"/>
        <w:widowControl w:val="0"/>
        <w:spacing w:before="0"/>
        <w:jc w:val="left"/>
        <w:rPr>
          <w:color w:val="000000"/>
          <w:sz w:val="22"/>
          <w:szCs w:val="22"/>
          <w:lang w:val="cs-CZ"/>
        </w:rPr>
      </w:pPr>
    </w:p>
    <w:p w14:paraId="257337A2" w14:textId="77777777" w:rsidR="004B719A" w:rsidRPr="009B1A37" w:rsidRDefault="004B719A" w:rsidP="00BE3D48">
      <w:pPr>
        <w:pStyle w:val="Text"/>
        <w:keepNext/>
        <w:widowControl w:val="0"/>
        <w:spacing w:before="0"/>
        <w:jc w:val="left"/>
        <w:rPr>
          <w:color w:val="000000"/>
          <w:sz w:val="22"/>
          <w:szCs w:val="22"/>
          <w:lang w:val="cs-CZ"/>
        </w:rPr>
      </w:pPr>
      <w:r w:rsidRPr="009B1A37">
        <w:rPr>
          <w:b/>
          <w:color w:val="000000"/>
          <w:sz w:val="22"/>
          <w:szCs w:val="22"/>
          <w:lang w:val="cs-CZ"/>
        </w:rPr>
        <w:t>Není známo</w:t>
      </w:r>
      <w:r w:rsidR="000E57B2" w:rsidRPr="009B1A37">
        <w:rPr>
          <w:b/>
          <w:bCs/>
          <w:color w:val="000000"/>
          <w:sz w:val="22"/>
          <w:szCs w:val="22"/>
          <w:lang w:val="cs-CZ"/>
        </w:rPr>
        <w:t xml:space="preserve"> </w:t>
      </w:r>
      <w:r w:rsidR="000E57B2" w:rsidRPr="009B1A37">
        <w:rPr>
          <w:color w:val="000000"/>
          <w:sz w:val="22"/>
          <w:szCs w:val="22"/>
          <w:lang w:val="cs-CZ"/>
        </w:rPr>
        <w:t xml:space="preserve">(četnost </w:t>
      </w:r>
      <w:r w:rsidR="000E57B2" w:rsidRPr="009B1A37">
        <w:rPr>
          <w:sz w:val="22"/>
          <w:szCs w:val="22"/>
          <w:lang w:val="cs-CZ" w:eastAsia="zh-CN"/>
        </w:rPr>
        <w:t>z dostupných údajů nelze určit</w:t>
      </w:r>
      <w:r w:rsidR="000E57B2" w:rsidRPr="009B1A37">
        <w:rPr>
          <w:color w:val="000000"/>
          <w:sz w:val="22"/>
          <w:szCs w:val="22"/>
          <w:lang w:val="cs-CZ"/>
        </w:rPr>
        <w:t>)</w:t>
      </w:r>
      <w:r w:rsidRPr="009B1A37">
        <w:rPr>
          <w:color w:val="000000"/>
          <w:sz w:val="22"/>
          <w:szCs w:val="22"/>
          <w:lang w:val="cs-CZ"/>
        </w:rPr>
        <w:t>:</w:t>
      </w:r>
    </w:p>
    <w:p w14:paraId="5029FDB8" w14:textId="77777777" w:rsidR="004B719A" w:rsidRPr="009B1A37" w:rsidRDefault="004B719A" w:rsidP="00BE3D48">
      <w:pPr>
        <w:pStyle w:val="Text"/>
        <w:widowControl w:val="0"/>
        <w:numPr>
          <w:ilvl w:val="0"/>
          <w:numId w:val="30"/>
        </w:numPr>
        <w:tabs>
          <w:tab w:val="clear" w:pos="357"/>
          <w:tab w:val="clear" w:pos="567"/>
        </w:tabs>
        <w:suppressAutoHyphens w:val="0"/>
        <w:spacing w:before="0"/>
        <w:ind w:left="567" w:hanging="567"/>
        <w:jc w:val="left"/>
        <w:rPr>
          <w:sz w:val="22"/>
          <w:szCs w:val="22"/>
          <w:lang w:val="cs-CZ"/>
        </w:rPr>
      </w:pPr>
      <w:r w:rsidRPr="009B1A37">
        <w:rPr>
          <w:sz w:val="22"/>
          <w:szCs w:val="22"/>
          <w:lang w:val="cs-CZ"/>
        </w:rPr>
        <w:t>Kombinace závažné rozsáhlé vyrážky, pocitu nevolnosti, horečky, vysokého počtu určitého typu bílých krvinek či žlutá barva kůže nebo očí (</w:t>
      </w:r>
      <w:r w:rsidR="00EF31B4" w:rsidRPr="009B1A37">
        <w:rPr>
          <w:color w:val="000000"/>
          <w:sz w:val="22"/>
          <w:szCs w:val="22"/>
          <w:lang w:val="cs-CZ"/>
        </w:rPr>
        <w:t>známky</w:t>
      </w:r>
      <w:r w:rsidRPr="009B1A37">
        <w:rPr>
          <w:sz w:val="22"/>
          <w:szCs w:val="22"/>
          <w:lang w:val="cs-CZ"/>
        </w:rPr>
        <w:t xml:space="preserve"> žloutenky) s dušností, bolestí/nepříjemným pocitem na hrudi, výrazným snížením objemu moči a pocitem žízně atd. (</w:t>
      </w:r>
      <w:r w:rsidR="00EF31B4" w:rsidRPr="009B1A37">
        <w:rPr>
          <w:color w:val="000000"/>
          <w:sz w:val="22"/>
          <w:szCs w:val="22"/>
          <w:lang w:val="cs-CZ"/>
        </w:rPr>
        <w:t>známky</w:t>
      </w:r>
      <w:r w:rsidRPr="009B1A37">
        <w:rPr>
          <w:sz w:val="22"/>
          <w:szCs w:val="22"/>
          <w:lang w:val="cs-CZ"/>
        </w:rPr>
        <w:t xml:space="preserve"> alergické reakce spojené s léčbou).</w:t>
      </w:r>
    </w:p>
    <w:p w14:paraId="75F75AB3" w14:textId="77777777" w:rsidR="0039076B" w:rsidRPr="009B1A37" w:rsidRDefault="0039076B" w:rsidP="00182086">
      <w:pPr>
        <w:pStyle w:val="Text"/>
        <w:widowControl w:val="0"/>
        <w:numPr>
          <w:ilvl w:val="0"/>
          <w:numId w:val="30"/>
        </w:numPr>
        <w:tabs>
          <w:tab w:val="clear" w:pos="357"/>
          <w:tab w:val="clear" w:pos="567"/>
        </w:tabs>
        <w:suppressAutoHyphens w:val="0"/>
        <w:spacing w:before="0"/>
        <w:ind w:left="567" w:hanging="567"/>
        <w:jc w:val="left"/>
        <w:rPr>
          <w:sz w:val="22"/>
          <w:szCs w:val="22"/>
          <w:lang w:val="cs-CZ"/>
        </w:rPr>
      </w:pPr>
      <w:r w:rsidRPr="009B1A37">
        <w:rPr>
          <w:sz w:val="22"/>
          <w:szCs w:val="22"/>
          <w:lang w:val="cs-CZ"/>
        </w:rPr>
        <w:t>Chronické selhání ledvin.</w:t>
      </w:r>
    </w:p>
    <w:p w14:paraId="2D5F8395" w14:textId="77777777" w:rsidR="004A788B" w:rsidRPr="009B1A37" w:rsidRDefault="004A788B" w:rsidP="00BE3D48">
      <w:pPr>
        <w:pStyle w:val="Text"/>
        <w:keepNext/>
        <w:widowControl w:val="0"/>
        <w:numPr>
          <w:ilvl w:val="0"/>
          <w:numId w:val="30"/>
        </w:numPr>
        <w:tabs>
          <w:tab w:val="clear" w:pos="357"/>
          <w:tab w:val="clear" w:pos="567"/>
        </w:tabs>
        <w:suppressAutoHyphens w:val="0"/>
        <w:spacing w:before="0"/>
        <w:ind w:left="567" w:hanging="567"/>
        <w:jc w:val="left"/>
        <w:rPr>
          <w:sz w:val="22"/>
          <w:szCs w:val="22"/>
          <w:lang w:val="cs-CZ"/>
        </w:rPr>
      </w:pPr>
      <w:r w:rsidRPr="009B1A37">
        <w:rPr>
          <w:sz w:val="22"/>
          <w:szCs w:val="22"/>
          <w:lang w:val="cs-CZ"/>
        </w:rPr>
        <w:t>Recidiva (reaktivace) hepatitidy B, pokud jste v minulosti měl(a) toto onemocnění (infekce jater).</w:t>
      </w:r>
    </w:p>
    <w:p w14:paraId="4447BD07" w14:textId="77777777" w:rsidR="004B719A" w:rsidRPr="009B1A37" w:rsidRDefault="004B719A" w:rsidP="00BE3D48">
      <w:pPr>
        <w:pStyle w:val="Text"/>
        <w:widowControl w:val="0"/>
        <w:spacing w:before="0"/>
        <w:jc w:val="left"/>
        <w:rPr>
          <w:color w:val="000000"/>
          <w:sz w:val="22"/>
          <w:szCs w:val="22"/>
          <w:lang w:val="cs-CZ"/>
        </w:rPr>
      </w:pPr>
    </w:p>
    <w:p w14:paraId="0F2B7D7A" w14:textId="77777777" w:rsidR="00EA5993" w:rsidRPr="009B1A37" w:rsidRDefault="00EA5993" w:rsidP="00BE3D48">
      <w:pPr>
        <w:pStyle w:val="Text"/>
        <w:widowControl w:val="0"/>
        <w:spacing w:before="0"/>
        <w:jc w:val="left"/>
        <w:rPr>
          <w:b/>
          <w:bCs/>
          <w:color w:val="000000"/>
          <w:sz w:val="22"/>
          <w:szCs w:val="22"/>
          <w:lang w:val="cs-CZ"/>
        </w:rPr>
      </w:pPr>
      <w:r w:rsidRPr="009B1A37">
        <w:rPr>
          <w:color w:val="000000"/>
          <w:sz w:val="22"/>
          <w:szCs w:val="22"/>
          <w:lang w:val="cs-CZ"/>
        </w:rPr>
        <w:t xml:space="preserve">Pokud se u Vás projeví jakýkoli z výše uvedených nežádoucích účinků, </w:t>
      </w:r>
      <w:r w:rsidRPr="009B1A37">
        <w:rPr>
          <w:b/>
          <w:bCs/>
          <w:color w:val="000000"/>
          <w:sz w:val="22"/>
          <w:szCs w:val="22"/>
          <w:lang w:val="cs-CZ"/>
        </w:rPr>
        <w:t>oznamte to okamžitě svému lékaři.</w:t>
      </w:r>
    </w:p>
    <w:p w14:paraId="1279732F" w14:textId="77777777" w:rsidR="00EA5993" w:rsidRPr="009B1A37" w:rsidRDefault="00EA5993" w:rsidP="00BE3D48">
      <w:pPr>
        <w:pStyle w:val="Text"/>
        <w:widowControl w:val="0"/>
        <w:spacing w:before="0"/>
        <w:jc w:val="left"/>
        <w:rPr>
          <w:color w:val="000000"/>
          <w:sz w:val="22"/>
          <w:szCs w:val="22"/>
          <w:lang w:val="cs-CZ"/>
        </w:rPr>
      </w:pPr>
    </w:p>
    <w:p w14:paraId="58449EF3" w14:textId="77777777" w:rsidR="00EA5993" w:rsidRPr="009B1A37" w:rsidRDefault="00EA5993" w:rsidP="00BE3D48">
      <w:pPr>
        <w:pStyle w:val="Text"/>
        <w:keepNext/>
        <w:widowControl w:val="0"/>
        <w:spacing w:before="0"/>
        <w:jc w:val="left"/>
        <w:rPr>
          <w:b/>
          <w:bCs/>
          <w:color w:val="000000"/>
          <w:sz w:val="22"/>
          <w:szCs w:val="22"/>
          <w:lang w:val="cs-CZ"/>
        </w:rPr>
      </w:pPr>
      <w:r w:rsidRPr="009B1A37">
        <w:rPr>
          <w:b/>
          <w:bCs/>
          <w:color w:val="000000"/>
          <w:sz w:val="22"/>
          <w:szCs w:val="22"/>
          <w:lang w:val="cs-CZ"/>
        </w:rPr>
        <w:t>Jiné nežádoucí účinky mohou zahrnovat:</w:t>
      </w:r>
    </w:p>
    <w:p w14:paraId="5B92B80D" w14:textId="77777777" w:rsidR="00EA5993" w:rsidRPr="009B1A37" w:rsidRDefault="00EA5993" w:rsidP="00BE3D48">
      <w:pPr>
        <w:pStyle w:val="Text"/>
        <w:keepNext/>
        <w:widowControl w:val="0"/>
        <w:spacing w:before="0"/>
        <w:jc w:val="left"/>
        <w:rPr>
          <w:color w:val="000000"/>
          <w:sz w:val="22"/>
          <w:szCs w:val="22"/>
          <w:lang w:val="cs-CZ"/>
        </w:rPr>
      </w:pPr>
    </w:p>
    <w:p w14:paraId="26ABBA84" w14:textId="77777777" w:rsidR="00EA5993" w:rsidRPr="009B1A37" w:rsidRDefault="00EA5993" w:rsidP="00BE3D48">
      <w:pPr>
        <w:pStyle w:val="Text"/>
        <w:keepNext/>
        <w:widowControl w:val="0"/>
        <w:spacing w:before="0"/>
        <w:jc w:val="left"/>
        <w:rPr>
          <w:bCs/>
          <w:color w:val="000000"/>
          <w:sz w:val="22"/>
          <w:szCs w:val="22"/>
          <w:lang w:val="cs-CZ"/>
        </w:rPr>
      </w:pPr>
      <w:r w:rsidRPr="009B1A37">
        <w:rPr>
          <w:b/>
          <w:bCs/>
          <w:color w:val="000000"/>
          <w:sz w:val="22"/>
          <w:szCs w:val="22"/>
          <w:lang w:val="cs-CZ"/>
        </w:rPr>
        <w:t xml:space="preserve">Velmi časté </w:t>
      </w:r>
      <w:r w:rsidRPr="009B1A37">
        <w:rPr>
          <w:bCs/>
          <w:color w:val="000000"/>
          <w:sz w:val="22"/>
          <w:szCs w:val="22"/>
          <w:lang w:val="cs-CZ"/>
        </w:rPr>
        <w:t>(mohou postihnout více než 1 z 10 lidí):</w:t>
      </w:r>
    </w:p>
    <w:p w14:paraId="251F3418" w14:textId="77777777" w:rsidR="00EA5993" w:rsidRPr="009B1A37" w:rsidRDefault="00EA5993" w:rsidP="00BE3D48">
      <w:pPr>
        <w:pStyle w:val="Text"/>
        <w:widowControl w:val="0"/>
        <w:numPr>
          <w:ilvl w:val="0"/>
          <w:numId w:val="17"/>
        </w:numPr>
        <w:spacing w:before="0"/>
        <w:ind w:hanging="720"/>
        <w:jc w:val="left"/>
        <w:rPr>
          <w:color w:val="000000"/>
          <w:sz w:val="22"/>
          <w:szCs w:val="22"/>
          <w:lang w:val="cs-CZ"/>
        </w:rPr>
      </w:pPr>
      <w:r w:rsidRPr="009B1A37">
        <w:rPr>
          <w:color w:val="000000"/>
          <w:sz w:val="22"/>
          <w:szCs w:val="22"/>
          <w:lang w:val="cs-CZ"/>
        </w:rPr>
        <w:t>Bolest hlavy nebo pocit únavy.</w:t>
      </w:r>
    </w:p>
    <w:p w14:paraId="391E43E7" w14:textId="77777777" w:rsidR="00EA5993" w:rsidRPr="009B1A37" w:rsidRDefault="00EF31B4" w:rsidP="00BE3D48">
      <w:pPr>
        <w:pStyle w:val="Text"/>
        <w:widowControl w:val="0"/>
        <w:numPr>
          <w:ilvl w:val="0"/>
          <w:numId w:val="17"/>
        </w:numPr>
        <w:spacing w:before="0"/>
        <w:ind w:hanging="720"/>
        <w:jc w:val="left"/>
        <w:rPr>
          <w:color w:val="000000"/>
          <w:sz w:val="22"/>
          <w:szCs w:val="22"/>
          <w:lang w:val="cs-CZ"/>
        </w:rPr>
      </w:pPr>
      <w:r w:rsidRPr="009B1A37">
        <w:rPr>
          <w:color w:val="000000"/>
          <w:sz w:val="22"/>
          <w:szCs w:val="22"/>
          <w:lang w:val="cs-CZ"/>
        </w:rPr>
        <w:t>N</w:t>
      </w:r>
      <w:r w:rsidR="00EA5993" w:rsidRPr="009B1A37">
        <w:rPr>
          <w:color w:val="000000"/>
          <w:sz w:val="22"/>
          <w:szCs w:val="22"/>
          <w:lang w:val="cs-CZ"/>
        </w:rPr>
        <w:t>evolnost (</w:t>
      </w:r>
      <w:r w:rsidRPr="009B1A37">
        <w:rPr>
          <w:color w:val="000000"/>
          <w:sz w:val="22"/>
          <w:szCs w:val="22"/>
          <w:lang w:val="cs-CZ"/>
        </w:rPr>
        <w:t>pocit na zvracení</w:t>
      </w:r>
      <w:r w:rsidR="00EA5993" w:rsidRPr="009B1A37">
        <w:rPr>
          <w:color w:val="000000"/>
          <w:sz w:val="22"/>
          <w:szCs w:val="22"/>
          <w:lang w:val="cs-CZ"/>
        </w:rPr>
        <w:t>), zvracení, průjem nebo porucha zažívání.</w:t>
      </w:r>
    </w:p>
    <w:p w14:paraId="591FBDD2" w14:textId="77777777" w:rsidR="00EA5993" w:rsidRPr="009B1A37" w:rsidRDefault="00EA5993" w:rsidP="00BE3D48">
      <w:pPr>
        <w:pStyle w:val="Text"/>
        <w:widowControl w:val="0"/>
        <w:numPr>
          <w:ilvl w:val="0"/>
          <w:numId w:val="17"/>
        </w:numPr>
        <w:spacing w:before="0"/>
        <w:ind w:hanging="720"/>
        <w:jc w:val="left"/>
        <w:rPr>
          <w:color w:val="000000"/>
          <w:sz w:val="22"/>
          <w:szCs w:val="22"/>
          <w:lang w:val="cs-CZ"/>
        </w:rPr>
      </w:pPr>
      <w:r w:rsidRPr="009B1A37">
        <w:rPr>
          <w:color w:val="000000"/>
          <w:sz w:val="22"/>
          <w:szCs w:val="22"/>
          <w:lang w:val="cs-CZ"/>
        </w:rPr>
        <w:t>Vyrážka.</w:t>
      </w:r>
    </w:p>
    <w:p w14:paraId="31C21761" w14:textId="77777777" w:rsidR="00EA5993" w:rsidRPr="009B1A37" w:rsidRDefault="00EA5993" w:rsidP="00BE3D48">
      <w:pPr>
        <w:pStyle w:val="Text"/>
        <w:widowControl w:val="0"/>
        <w:numPr>
          <w:ilvl w:val="0"/>
          <w:numId w:val="17"/>
        </w:numPr>
        <w:tabs>
          <w:tab w:val="clear" w:pos="567"/>
          <w:tab w:val="clear" w:pos="720"/>
        </w:tabs>
        <w:spacing w:before="0"/>
        <w:ind w:left="567" w:hanging="567"/>
        <w:jc w:val="left"/>
        <w:rPr>
          <w:color w:val="000000"/>
          <w:sz w:val="22"/>
          <w:szCs w:val="22"/>
          <w:lang w:val="cs-CZ"/>
        </w:rPr>
      </w:pPr>
      <w:r w:rsidRPr="009B1A37">
        <w:rPr>
          <w:color w:val="000000"/>
          <w:sz w:val="22"/>
          <w:szCs w:val="22"/>
          <w:lang w:val="cs-CZ"/>
        </w:rPr>
        <w:t>Svalové křeče nebo bolest kloubů, svalů a kostí</w:t>
      </w:r>
      <w:r w:rsidR="00515354" w:rsidRPr="009B1A37">
        <w:rPr>
          <w:color w:val="000000"/>
          <w:sz w:val="22"/>
          <w:szCs w:val="22"/>
          <w:lang w:val="cs-CZ"/>
        </w:rPr>
        <w:t xml:space="preserve"> během užívání přípravku Glivec nebo po ukončení léčby.</w:t>
      </w:r>
    </w:p>
    <w:p w14:paraId="7E07A1E7" w14:textId="77777777" w:rsidR="00EA5993" w:rsidRPr="009B1A37" w:rsidRDefault="00EA5993" w:rsidP="00BE3D48">
      <w:pPr>
        <w:pStyle w:val="Text"/>
        <w:widowControl w:val="0"/>
        <w:numPr>
          <w:ilvl w:val="0"/>
          <w:numId w:val="17"/>
        </w:numPr>
        <w:spacing w:before="0"/>
        <w:ind w:hanging="720"/>
        <w:jc w:val="left"/>
        <w:rPr>
          <w:color w:val="000000"/>
          <w:sz w:val="22"/>
          <w:szCs w:val="22"/>
          <w:lang w:val="cs-CZ"/>
        </w:rPr>
      </w:pPr>
      <w:r w:rsidRPr="009B1A37">
        <w:rPr>
          <w:color w:val="000000"/>
          <w:sz w:val="22"/>
          <w:szCs w:val="22"/>
          <w:lang w:val="cs-CZ"/>
        </w:rPr>
        <w:t>Otoky, jako např. otoky kolem kotníků nebo oteklé oči.</w:t>
      </w:r>
    </w:p>
    <w:p w14:paraId="05DB0791" w14:textId="77777777" w:rsidR="00EA5993" w:rsidRPr="009B1A37" w:rsidRDefault="00EA5993" w:rsidP="00182086">
      <w:pPr>
        <w:pStyle w:val="Text"/>
        <w:keepNext/>
        <w:widowControl w:val="0"/>
        <w:numPr>
          <w:ilvl w:val="0"/>
          <w:numId w:val="17"/>
        </w:numPr>
        <w:spacing w:before="0"/>
        <w:ind w:hanging="720"/>
        <w:jc w:val="left"/>
        <w:rPr>
          <w:color w:val="000000"/>
          <w:sz w:val="22"/>
          <w:szCs w:val="22"/>
          <w:lang w:val="cs-CZ"/>
        </w:rPr>
      </w:pPr>
      <w:r w:rsidRPr="009B1A37">
        <w:rPr>
          <w:color w:val="000000"/>
          <w:sz w:val="22"/>
          <w:szCs w:val="22"/>
          <w:lang w:val="cs-CZ"/>
        </w:rPr>
        <w:t xml:space="preserve">Zvýšení </w:t>
      </w:r>
      <w:r w:rsidR="00EF31B4" w:rsidRPr="009B1A37">
        <w:rPr>
          <w:color w:val="000000"/>
          <w:sz w:val="22"/>
          <w:szCs w:val="22"/>
          <w:lang w:val="cs-CZ"/>
        </w:rPr>
        <w:t xml:space="preserve">tělesné </w:t>
      </w:r>
      <w:r w:rsidRPr="009B1A37">
        <w:rPr>
          <w:color w:val="000000"/>
          <w:sz w:val="22"/>
          <w:szCs w:val="22"/>
          <w:lang w:val="cs-CZ"/>
        </w:rPr>
        <w:t>hmotnosti.</w:t>
      </w:r>
    </w:p>
    <w:p w14:paraId="3EBE07D6" w14:textId="77777777" w:rsidR="00EF31B4" w:rsidRPr="009B1A37" w:rsidRDefault="00EF31B4" w:rsidP="00BE3D48">
      <w:pPr>
        <w:pStyle w:val="Text"/>
        <w:widowControl w:val="0"/>
        <w:spacing w:before="0"/>
        <w:jc w:val="left"/>
        <w:rPr>
          <w:color w:val="000000"/>
          <w:sz w:val="22"/>
          <w:szCs w:val="22"/>
          <w:lang w:val="cs-CZ"/>
        </w:rPr>
      </w:pPr>
      <w:r w:rsidRPr="009B1A37">
        <w:rPr>
          <w:color w:val="000000"/>
          <w:sz w:val="22"/>
          <w:szCs w:val="22"/>
          <w:lang w:val="cs-CZ"/>
        </w:rPr>
        <w:t xml:space="preserve">Pokud se kterýkoli z těchto nežádoucích účinků objeví v závažné formě, </w:t>
      </w:r>
      <w:r w:rsidRPr="009B1A37">
        <w:rPr>
          <w:b/>
          <w:color w:val="000000"/>
          <w:sz w:val="22"/>
          <w:szCs w:val="22"/>
          <w:lang w:val="cs-CZ"/>
        </w:rPr>
        <w:t>oznamte to svému lékaři</w:t>
      </w:r>
      <w:r w:rsidRPr="009B1A37">
        <w:rPr>
          <w:color w:val="000000"/>
          <w:sz w:val="22"/>
          <w:szCs w:val="22"/>
          <w:lang w:val="cs-CZ"/>
        </w:rPr>
        <w:t>.</w:t>
      </w:r>
    </w:p>
    <w:p w14:paraId="1B3F857F" w14:textId="77777777" w:rsidR="00EF31B4" w:rsidRPr="009B1A37" w:rsidRDefault="00EF31B4" w:rsidP="00BE3D48">
      <w:pPr>
        <w:pStyle w:val="Text"/>
        <w:widowControl w:val="0"/>
        <w:spacing w:before="0"/>
        <w:jc w:val="left"/>
        <w:rPr>
          <w:color w:val="000000"/>
          <w:sz w:val="22"/>
          <w:szCs w:val="22"/>
          <w:lang w:val="cs-CZ"/>
        </w:rPr>
      </w:pPr>
    </w:p>
    <w:p w14:paraId="6EF10A10" w14:textId="77777777" w:rsidR="00EA5993" w:rsidRPr="009B1A37" w:rsidRDefault="00EA5993" w:rsidP="00BE3D48">
      <w:pPr>
        <w:pStyle w:val="Text"/>
        <w:widowControl w:val="0"/>
        <w:spacing w:before="0"/>
        <w:jc w:val="left"/>
        <w:rPr>
          <w:color w:val="000000"/>
          <w:sz w:val="22"/>
          <w:szCs w:val="22"/>
          <w:lang w:val="cs-CZ"/>
        </w:rPr>
      </w:pPr>
    </w:p>
    <w:p w14:paraId="301BF91B" w14:textId="77777777" w:rsidR="00EA5993" w:rsidRPr="009B1A37" w:rsidRDefault="00EA5993" w:rsidP="00BE3D48">
      <w:pPr>
        <w:pStyle w:val="Text"/>
        <w:keepNext/>
        <w:widowControl w:val="0"/>
        <w:spacing w:before="0"/>
        <w:jc w:val="left"/>
        <w:rPr>
          <w:color w:val="000000"/>
          <w:sz w:val="22"/>
          <w:szCs w:val="22"/>
          <w:lang w:val="cs-CZ"/>
        </w:rPr>
      </w:pPr>
      <w:r w:rsidRPr="009B1A37">
        <w:rPr>
          <w:b/>
          <w:bCs/>
          <w:color w:val="000000"/>
          <w:sz w:val="22"/>
          <w:szCs w:val="22"/>
          <w:lang w:val="cs-CZ"/>
        </w:rPr>
        <w:t xml:space="preserve">Časté </w:t>
      </w:r>
      <w:r w:rsidRPr="009B1A37">
        <w:rPr>
          <w:bCs/>
          <w:color w:val="000000"/>
          <w:sz w:val="22"/>
          <w:szCs w:val="22"/>
          <w:lang w:val="cs-CZ"/>
        </w:rPr>
        <w:t>(mohou postihnout až 1 z 10 lidí):</w:t>
      </w:r>
    </w:p>
    <w:p w14:paraId="3C304CDD" w14:textId="77777777" w:rsidR="00EA5993" w:rsidRPr="009B1A37" w:rsidRDefault="00EA5993" w:rsidP="00BE3D48">
      <w:pPr>
        <w:pStyle w:val="Text"/>
        <w:widowControl w:val="0"/>
        <w:numPr>
          <w:ilvl w:val="0"/>
          <w:numId w:val="20"/>
        </w:numPr>
        <w:tabs>
          <w:tab w:val="clear" w:pos="360"/>
        </w:tabs>
        <w:spacing w:before="0"/>
        <w:ind w:left="600" w:hanging="600"/>
        <w:jc w:val="left"/>
        <w:rPr>
          <w:color w:val="000000"/>
          <w:sz w:val="22"/>
          <w:szCs w:val="22"/>
          <w:lang w:val="cs-CZ"/>
        </w:rPr>
      </w:pPr>
      <w:r w:rsidRPr="009B1A37">
        <w:rPr>
          <w:color w:val="000000"/>
          <w:sz w:val="22"/>
          <w:szCs w:val="22"/>
          <w:lang w:val="cs-CZ"/>
        </w:rPr>
        <w:t xml:space="preserve">Nechutenství, ztráta </w:t>
      </w:r>
      <w:r w:rsidR="00EF31B4" w:rsidRPr="009B1A37">
        <w:rPr>
          <w:color w:val="000000"/>
          <w:sz w:val="22"/>
          <w:szCs w:val="22"/>
          <w:lang w:val="cs-CZ"/>
        </w:rPr>
        <w:t xml:space="preserve">tělesné </w:t>
      </w:r>
      <w:r w:rsidRPr="009B1A37">
        <w:rPr>
          <w:color w:val="000000"/>
          <w:sz w:val="22"/>
          <w:szCs w:val="22"/>
          <w:lang w:val="cs-CZ"/>
        </w:rPr>
        <w:t xml:space="preserve">hmotnosti nebo </w:t>
      </w:r>
      <w:r w:rsidR="00EF31B4" w:rsidRPr="009B1A37">
        <w:rPr>
          <w:color w:val="000000"/>
          <w:sz w:val="22"/>
          <w:szCs w:val="22"/>
          <w:lang w:val="cs-CZ"/>
        </w:rPr>
        <w:t>porucha</w:t>
      </w:r>
      <w:r w:rsidRPr="009B1A37">
        <w:rPr>
          <w:color w:val="000000"/>
          <w:sz w:val="22"/>
          <w:szCs w:val="22"/>
          <w:lang w:val="cs-CZ"/>
        </w:rPr>
        <w:t xml:space="preserve"> chuti k jídlu.</w:t>
      </w:r>
    </w:p>
    <w:p w14:paraId="24017BC6" w14:textId="77777777" w:rsidR="00EA5993" w:rsidRPr="009B1A37" w:rsidRDefault="00EA5993" w:rsidP="00BE3D48">
      <w:pPr>
        <w:pStyle w:val="Text"/>
        <w:widowControl w:val="0"/>
        <w:numPr>
          <w:ilvl w:val="0"/>
          <w:numId w:val="20"/>
        </w:numPr>
        <w:tabs>
          <w:tab w:val="clear" w:pos="360"/>
        </w:tabs>
        <w:spacing w:before="0"/>
        <w:ind w:left="600" w:hanging="600"/>
        <w:jc w:val="left"/>
        <w:rPr>
          <w:color w:val="000000"/>
          <w:sz w:val="22"/>
          <w:szCs w:val="22"/>
          <w:lang w:val="cs-CZ"/>
        </w:rPr>
      </w:pPr>
      <w:r w:rsidRPr="009B1A37">
        <w:rPr>
          <w:color w:val="000000"/>
          <w:sz w:val="22"/>
          <w:szCs w:val="22"/>
          <w:lang w:val="cs-CZ"/>
        </w:rPr>
        <w:t>Pocit závratě a slabosti.</w:t>
      </w:r>
    </w:p>
    <w:p w14:paraId="67F62B53" w14:textId="77777777" w:rsidR="00EA5993" w:rsidRPr="009B1A37" w:rsidRDefault="00EA5993" w:rsidP="00BE3D48">
      <w:pPr>
        <w:pStyle w:val="Text"/>
        <w:widowControl w:val="0"/>
        <w:numPr>
          <w:ilvl w:val="0"/>
          <w:numId w:val="20"/>
        </w:numPr>
        <w:tabs>
          <w:tab w:val="clear" w:pos="360"/>
        </w:tabs>
        <w:spacing w:before="0"/>
        <w:ind w:left="600" w:hanging="600"/>
        <w:jc w:val="left"/>
        <w:rPr>
          <w:color w:val="000000"/>
          <w:sz w:val="22"/>
          <w:szCs w:val="22"/>
          <w:lang w:val="cs-CZ"/>
        </w:rPr>
      </w:pPr>
      <w:r w:rsidRPr="009B1A37">
        <w:rPr>
          <w:color w:val="000000"/>
          <w:sz w:val="22"/>
          <w:szCs w:val="22"/>
          <w:lang w:val="cs-CZ"/>
        </w:rPr>
        <w:t>Potíže se spánkem (nespavost).</w:t>
      </w:r>
    </w:p>
    <w:p w14:paraId="69E90B88" w14:textId="77777777" w:rsidR="00EA5993" w:rsidRPr="009B1A37" w:rsidRDefault="00EA5993" w:rsidP="00BE3D48">
      <w:pPr>
        <w:pStyle w:val="Text"/>
        <w:widowControl w:val="0"/>
        <w:numPr>
          <w:ilvl w:val="0"/>
          <w:numId w:val="20"/>
        </w:numPr>
        <w:tabs>
          <w:tab w:val="clear" w:pos="360"/>
        </w:tabs>
        <w:spacing w:before="0"/>
        <w:ind w:left="600" w:hanging="600"/>
        <w:jc w:val="left"/>
        <w:rPr>
          <w:color w:val="000000"/>
          <w:sz w:val="22"/>
          <w:szCs w:val="22"/>
          <w:lang w:val="cs-CZ"/>
        </w:rPr>
      </w:pPr>
      <w:r w:rsidRPr="009B1A37">
        <w:rPr>
          <w:color w:val="000000"/>
          <w:sz w:val="22"/>
          <w:szCs w:val="22"/>
          <w:lang w:val="cs-CZ"/>
        </w:rPr>
        <w:t>Výtok z očí se svěděním, zarudnutí a otoky (zánět spojivek), zvýšená produkce slz nebo neostré vidění.</w:t>
      </w:r>
    </w:p>
    <w:p w14:paraId="2C6C4E54" w14:textId="77777777" w:rsidR="00EA5993" w:rsidRPr="009B1A37" w:rsidRDefault="00EA5993" w:rsidP="00BE3D48">
      <w:pPr>
        <w:pStyle w:val="Text"/>
        <w:widowControl w:val="0"/>
        <w:numPr>
          <w:ilvl w:val="0"/>
          <w:numId w:val="19"/>
        </w:numPr>
        <w:spacing w:before="0"/>
        <w:ind w:hanging="720"/>
        <w:jc w:val="left"/>
        <w:rPr>
          <w:color w:val="000000"/>
          <w:sz w:val="22"/>
          <w:szCs w:val="22"/>
          <w:lang w:val="cs-CZ"/>
        </w:rPr>
      </w:pPr>
      <w:r w:rsidRPr="009B1A37">
        <w:rPr>
          <w:color w:val="000000"/>
          <w:sz w:val="22"/>
          <w:szCs w:val="22"/>
          <w:lang w:val="cs-CZ"/>
        </w:rPr>
        <w:t>Krvácení z nosu.</w:t>
      </w:r>
    </w:p>
    <w:p w14:paraId="5205B1E6" w14:textId="77777777" w:rsidR="00EA5993" w:rsidRPr="009B1A37" w:rsidRDefault="00EA5993" w:rsidP="00BE3D48">
      <w:pPr>
        <w:pStyle w:val="Text"/>
        <w:widowControl w:val="0"/>
        <w:numPr>
          <w:ilvl w:val="0"/>
          <w:numId w:val="19"/>
        </w:numPr>
        <w:spacing w:before="0"/>
        <w:ind w:hanging="720"/>
        <w:jc w:val="left"/>
        <w:rPr>
          <w:color w:val="000000"/>
          <w:sz w:val="22"/>
          <w:szCs w:val="22"/>
          <w:lang w:val="cs-CZ"/>
        </w:rPr>
      </w:pPr>
      <w:r w:rsidRPr="009B1A37">
        <w:rPr>
          <w:color w:val="000000"/>
          <w:sz w:val="22"/>
          <w:szCs w:val="22"/>
          <w:lang w:val="cs-CZ"/>
        </w:rPr>
        <w:t>Bolest nebo zduření břicha, nadýmání, pálení žáhy nebo zácpa.</w:t>
      </w:r>
    </w:p>
    <w:p w14:paraId="3F86A609" w14:textId="77777777" w:rsidR="00EA5993" w:rsidRPr="009B1A37" w:rsidRDefault="00EA5993" w:rsidP="00BE3D48">
      <w:pPr>
        <w:pStyle w:val="Text"/>
        <w:widowControl w:val="0"/>
        <w:numPr>
          <w:ilvl w:val="0"/>
          <w:numId w:val="19"/>
        </w:numPr>
        <w:spacing w:before="0"/>
        <w:ind w:hanging="720"/>
        <w:jc w:val="left"/>
        <w:rPr>
          <w:color w:val="000000"/>
          <w:sz w:val="22"/>
          <w:szCs w:val="22"/>
          <w:lang w:val="cs-CZ"/>
        </w:rPr>
      </w:pPr>
      <w:r w:rsidRPr="009B1A37">
        <w:rPr>
          <w:color w:val="000000"/>
          <w:sz w:val="22"/>
          <w:szCs w:val="22"/>
          <w:lang w:val="cs-CZ"/>
        </w:rPr>
        <w:t>Svědění.</w:t>
      </w:r>
    </w:p>
    <w:p w14:paraId="2B9C8D2C" w14:textId="77777777" w:rsidR="00EA5993" w:rsidRPr="009B1A37" w:rsidRDefault="00EA5993" w:rsidP="00BE3D48">
      <w:pPr>
        <w:pStyle w:val="Text"/>
        <w:widowControl w:val="0"/>
        <w:numPr>
          <w:ilvl w:val="0"/>
          <w:numId w:val="19"/>
        </w:numPr>
        <w:spacing w:before="0"/>
        <w:ind w:hanging="720"/>
        <w:jc w:val="left"/>
        <w:rPr>
          <w:color w:val="000000"/>
          <w:sz w:val="22"/>
          <w:szCs w:val="22"/>
          <w:lang w:val="cs-CZ"/>
        </w:rPr>
      </w:pPr>
      <w:r w:rsidRPr="009B1A37">
        <w:rPr>
          <w:color w:val="000000"/>
          <w:sz w:val="22"/>
          <w:szCs w:val="22"/>
          <w:lang w:val="cs-CZ"/>
        </w:rPr>
        <w:t>Neobvyklá ztráta vlasů nebo jejich prořídnutí.</w:t>
      </w:r>
    </w:p>
    <w:p w14:paraId="2FE0AC06" w14:textId="77777777" w:rsidR="00EA5993" w:rsidRPr="009B1A37" w:rsidRDefault="00EA5993" w:rsidP="00BE3D48">
      <w:pPr>
        <w:pStyle w:val="Text"/>
        <w:widowControl w:val="0"/>
        <w:numPr>
          <w:ilvl w:val="0"/>
          <w:numId w:val="18"/>
        </w:numPr>
        <w:spacing w:before="0"/>
        <w:ind w:hanging="720"/>
        <w:jc w:val="left"/>
        <w:rPr>
          <w:color w:val="000000"/>
          <w:sz w:val="22"/>
          <w:szCs w:val="22"/>
          <w:lang w:val="cs-CZ"/>
        </w:rPr>
      </w:pPr>
      <w:r w:rsidRPr="009B1A37">
        <w:rPr>
          <w:color w:val="000000"/>
          <w:sz w:val="22"/>
          <w:szCs w:val="22"/>
          <w:lang w:val="cs-CZ"/>
        </w:rPr>
        <w:t>Znecitlivění rukou nebo nohou.</w:t>
      </w:r>
    </w:p>
    <w:p w14:paraId="59343041" w14:textId="77777777" w:rsidR="00EA5993" w:rsidRPr="009B1A37" w:rsidRDefault="00EA5993" w:rsidP="00BE3D48">
      <w:pPr>
        <w:pStyle w:val="Text"/>
        <w:widowControl w:val="0"/>
        <w:numPr>
          <w:ilvl w:val="0"/>
          <w:numId w:val="18"/>
        </w:numPr>
        <w:spacing w:before="0"/>
        <w:ind w:hanging="720"/>
        <w:jc w:val="left"/>
        <w:rPr>
          <w:color w:val="000000"/>
          <w:sz w:val="22"/>
          <w:szCs w:val="22"/>
          <w:lang w:val="cs-CZ"/>
        </w:rPr>
      </w:pPr>
      <w:r w:rsidRPr="009B1A37">
        <w:rPr>
          <w:color w:val="000000"/>
          <w:sz w:val="22"/>
          <w:szCs w:val="22"/>
          <w:lang w:val="cs-CZ"/>
        </w:rPr>
        <w:t>Vř</w:t>
      </w:r>
      <w:r w:rsidR="00EF31B4" w:rsidRPr="009B1A37">
        <w:rPr>
          <w:color w:val="000000"/>
          <w:sz w:val="22"/>
          <w:szCs w:val="22"/>
          <w:lang w:val="cs-CZ"/>
        </w:rPr>
        <w:t>edy</w:t>
      </w:r>
      <w:r w:rsidRPr="009B1A37">
        <w:rPr>
          <w:color w:val="000000"/>
          <w:sz w:val="22"/>
          <w:szCs w:val="22"/>
          <w:lang w:val="cs-CZ"/>
        </w:rPr>
        <w:t xml:space="preserve"> v ústech.</w:t>
      </w:r>
    </w:p>
    <w:p w14:paraId="422C11CB" w14:textId="77777777" w:rsidR="00EA5993" w:rsidRPr="009B1A37" w:rsidRDefault="00EA5993" w:rsidP="00BE3D48">
      <w:pPr>
        <w:pStyle w:val="Text"/>
        <w:widowControl w:val="0"/>
        <w:numPr>
          <w:ilvl w:val="0"/>
          <w:numId w:val="18"/>
        </w:numPr>
        <w:spacing w:before="0"/>
        <w:ind w:hanging="720"/>
        <w:jc w:val="left"/>
        <w:rPr>
          <w:color w:val="000000"/>
          <w:sz w:val="22"/>
          <w:szCs w:val="22"/>
          <w:lang w:val="cs-CZ"/>
        </w:rPr>
      </w:pPr>
      <w:r w:rsidRPr="009B1A37">
        <w:rPr>
          <w:color w:val="000000"/>
          <w:sz w:val="22"/>
          <w:szCs w:val="22"/>
          <w:lang w:val="cs-CZ"/>
        </w:rPr>
        <w:t>Bolesti kloubů s otoky.</w:t>
      </w:r>
    </w:p>
    <w:p w14:paraId="2FB36CF8" w14:textId="77777777" w:rsidR="00EA5993" w:rsidRPr="009B1A37" w:rsidRDefault="00EA5993" w:rsidP="00BE3D48">
      <w:pPr>
        <w:pStyle w:val="Text"/>
        <w:widowControl w:val="0"/>
        <w:numPr>
          <w:ilvl w:val="0"/>
          <w:numId w:val="18"/>
        </w:numPr>
        <w:spacing w:before="0"/>
        <w:ind w:hanging="720"/>
        <w:jc w:val="left"/>
        <w:rPr>
          <w:color w:val="000000"/>
          <w:sz w:val="22"/>
          <w:szCs w:val="22"/>
          <w:lang w:val="cs-CZ"/>
        </w:rPr>
      </w:pPr>
      <w:r w:rsidRPr="009B1A37">
        <w:rPr>
          <w:color w:val="000000"/>
          <w:sz w:val="22"/>
          <w:szCs w:val="22"/>
          <w:lang w:val="cs-CZ"/>
        </w:rPr>
        <w:t xml:space="preserve">Sucho v ústech, suchá </w:t>
      </w:r>
      <w:r w:rsidR="00EF31B4" w:rsidRPr="009B1A37">
        <w:rPr>
          <w:color w:val="000000"/>
          <w:sz w:val="22"/>
          <w:szCs w:val="22"/>
          <w:lang w:val="cs-CZ"/>
        </w:rPr>
        <w:t>kůže</w:t>
      </w:r>
      <w:r w:rsidRPr="009B1A37">
        <w:rPr>
          <w:color w:val="000000"/>
          <w:sz w:val="22"/>
          <w:szCs w:val="22"/>
          <w:lang w:val="cs-CZ"/>
        </w:rPr>
        <w:t xml:space="preserve"> nebo suché oči.</w:t>
      </w:r>
    </w:p>
    <w:p w14:paraId="11681FDE" w14:textId="77777777" w:rsidR="00EA5993" w:rsidRPr="009B1A37" w:rsidRDefault="00EA5993" w:rsidP="00BE3D48">
      <w:pPr>
        <w:pStyle w:val="Text"/>
        <w:widowControl w:val="0"/>
        <w:numPr>
          <w:ilvl w:val="0"/>
          <w:numId w:val="18"/>
        </w:numPr>
        <w:spacing w:before="0"/>
        <w:ind w:hanging="720"/>
        <w:jc w:val="left"/>
        <w:rPr>
          <w:color w:val="000000"/>
          <w:sz w:val="22"/>
          <w:szCs w:val="22"/>
          <w:lang w:val="cs-CZ"/>
        </w:rPr>
      </w:pPr>
      <w:r w:rsidRPr="009B1A37">
        <w:rPr>
          <w:color w:val="000000"/>
          <w:sz w:val="22"/>
          <w:szCs w:val="22"/>
          <w:lang w:val="cs-CZ"/>
        </w:rPr>
        <w:t>Snížená nebo zvýšená citlivost kůže.</w:t>
      </w:r>
    </w:p>
    <w:p w14:paraId="629B3CD9" w14:textId="77777777" w:rsidR="00EA5993" w:rsidRPr="009B1A37" w:rsidRDefault="00EA5993" w:rsidP="00182086">
      <w:pPr>
        <w:pStyle w:val="Text"/>
        <w:keepNext/>
        <w:widowControl w:val="0"/>
        <w:numPr>
          <w:ilvl w:val="0"/>
          <w:numId w:val="18"/>
        </w:numPr>
        <w:spacing w:before="0"/>
        <w:ind w:hanging="720"/>
        <w:jc w:val="left"/>
        <w:rPr>
          <w:color w:val="000000"/>
          <w:sz w:val="22"/>
          <w:szCs w:val="22"/>
          <w:lang w:val="cs-CZ"/>
        </w:rPr>
      </w:pPr>
      <w:r w:rsidRPr="009B1A37">
        <w:rPr>
          <w:color w:val="000000"/>
          <w:sz w:val="22"/>
          <w:szCs w:val="22"/>
          <w:lang w:val="cs-CZ"/>
        </w:rPr>
        <w:t xml:space="preserve">Návaly horka, </w:t>
      </w:r>
      <w:r w:rsidR="00EF31B4" w:rsidRPr="009B1A37">
        <w:rPr>
          <w:color w:val="000000"/>
          <w:sz w:val="22"/>
          <w:szCs w:val="22"/>
          <w:lang w:val="cs-CZ"/>
        </w:rPr>
        <w:t>zimnice</w:t>
      </w:r>
      <w:r w:rsidRPr="009B1A37">
        <w:rPr>
          <w:color w:val="000000"/>
          <w:sz w:val="22"/>
          <w:szCs w:val="22"/>
          <w:lang w:val="cs-CZ"/>
        </w:rPr>
        <w:t xml:space="preserve"> nebo noční pocení.</w:t>
      </w:r>
    </w:p>
    <w:p w14:paraId="787A2952" w14:textId="77777777" w:rsidR="00EF31B4" w:rsidRPr="009B1A37" w:rsidRDefault="00EF31B4" w:rsidP="00BE3D48">
      <w:pPr>
        <w:pStyle w:val="Text"/>
        <w:widowControl w:val="0"/>
        <w:spacing w:before="0"/>
        <w:jc w:val="left"/>
        <w:rPr>
          <w:color w:val="000000"/>
          <w:sz w:val="22"/>
          <w:szCs w:val="22"/>
          <w:lang w:val="cs-CZ"/>
        </w:rPr>
      </w:pPr>
      <w:r w:rsidRPr="009B1A37">
        <w:rPr>
          <w:color w:val="000000"/>
          <w:sz w:val="22"/>
          <w:szCs w:val="22"/>
          <w:lang w:val="cs-CZ"/>
        </w:rPr>
        <w:t xml:space="preserve">Pokud se kterýkoli z těchto nežádoucích účinků objeví v závažné formě, </w:t>
      </w:r>
      <w:r w:rsidRPr="009B1A37">
        <w:rPr>
          <w:b/>
          <w:color w:val="000000"/>
          <w:sz w:val="22"/>
          <w:szCs w:val="22"/>
          <w:lang w:val="cs-CZ"/>
        </w:rPr>
        <w:t>sdělte to svému lékaři</w:t>
      </w:r>
      <w:r w:rsidRPr="009B1A37">
        <w:rPr>
          <w:color w:val="000000"/>
          <w:sz w:val="22"/>
          <w:szCs w:val="22"/>
          <w:lang w:val="cs-CZ"/>
        </w:rPr>
        <w:t>.</w:t>
      </w:r>
    </w:p>
    <w:p w14:paraId="01901C7D" w14:textId="77777777" w:rsidR="00EF31B4" w:rsidRPr="009B1A37" w:rsidRDefault="00EF31B4" w:rsidP="00BE3D48">
      <w:pPr>
        <w:pStyle w:val="Text"/>
        <w:widowControl w:val="0"/>
        <w:spacing w:before="0"/>
        <w:jc w:val="left"/>
        <w:rPr>
          <w:color w:val="000000"/>
          <w:sz w:val="22"/>
          <w:szCs w:val="22"/>
          <w:lang w:val="cs-CZ"/>
        </w:rPr>
      </w:pPr>
    </w:p>
    <w:p w14:paraId="10A197E4" w14:textId="77777777" w:rsidR="00EA5993" w:rsidRPr="009B1A37" w:rsidRDefault="00EA5993" w:rsidP="00BE3D48">
      <w:pPr>
        <w:pStyle w:val="Text"/>
        <w:widowControl w:val="0"/>
        <w:spacing w:before="0"/>
        <w:jc w:val="left"/>
        <w:rPr>
          <w:color w:val="000000"/>
          <w:sz w:val="22"/>
          <w:szCs w:val="22"/>
          <w:lang w:val="cs-CZ"/>
        </w:rPr>
      </w:pPr>
    </w:p>
    <w:p w14:paraId="224CCD50" w14:textId="77777777" w:rsidR="00EA5993" w:rsidRPr="009B1A37" w:rsidRDefault="00EA5993" w:rsidP="00BE3D48">
      <w:pPr>
        <w:pStyle w:val="Text"/>
        <w:keepNext/>
        <w:widowControl w:val="0"/>
        <w:spacing w:before="0"/>
        <w:jc w:val="left"/>
        <w:rPr>
          <w:bCs/>
          <w:color w:val="000000"/>
          <w:sz w:val="22"/>
          <w:szCs w:val="22"/>
          <w:lang w:val="cs-CZ"/>
        </w:rPr>
      </w:pPr>
      <w:r w:rsidRPr="009B1A37">
        <w:rPr>
          <w:b/>
          <w:bCs/>
          <w:color w:val="000000"/>
          <w:sz w:val="22"/>
          <w:szCs w:val="22"/>
          <w:lang w:val="cs-CZ"/>
        </w:rPr>
        <w:t xml:space="preserve">Není známo </w:t>
      </w:r>
      <w:r w:rsidRPr="009B1A37">
        <w:rPr>
          <w:color w:val="000000"/>
          <w:sz w:val="22"/>
          <w:szCs w:val="22"/>
          <w:lang w:val="cs-CZ"/>
        </w:rPr>
        <w:t xml:space="preserve">(četnost </w:t>
      </w:r>
      <w:r w:rsidRPr="009B1A37">
        <w:rPr>
          <w:sz w:val="22"/>
          <w:szCs w:val="22"/>
          <w:lang w:val="cs-CZ" w:eastAsia="zh-CN"/>
        </w:rPr>
        <w:t>z dostupných údajů nelze určit</w:t>
      </w:r>
      <w:r w:rsidRPr="009B1A37">
        <w:rPr>
          <w:color w:val="000000"/>
          <w:sz w:val="22"/>
          <w:szCs w:val="22"/>
          <w:lang w:val="cs-CZ"/>
        </w:rPr>
        <w:t>):</w:t>
      </w:r>
    </w:p>
    <w:p w14:paraId="776D3FFA" w14:textId="77777777" w:rsidR="00EA5993" w:rsidRPr="009B1A37" w:rsidRDefault="00EA5993" w:rsidP="00BE3D48">
      <w:pPr>
        <w:pStyle w:val="Text"/>
        <w:widowControl w:val="0"/>
        <w:numPr>
          <w:ilvl w:val="0"/>
          <w:numId w:val="14"/>
        </w:numPr>
        <w:tabs>
          <w:tab w:val="clear" w:pos="567"/>
          <w:tab w:val="clear" w:pos="720"/>
        </w:tabs>
        <w:spacing w:before="0"/>
        <w:ind w:left="567" w:hanging="567"/>
        <w:jc w:val="left"/>
        <w:rPr>
          <w:color w:val="000000"/>
          <w:sz w:val="22"/>
          <w:szCs w:val="22"/>
          <w:lang w:val="cs-CZ"/>
        </w:rPr>
      </w:pPr>
      <w:r w:rsidRPr="009B1A37">
        <w:rPr>
          <w:color w:val="000000"/>
          <w:sz w:val="22"/>
          <w:szCs w:val="22"/>
          <w:lang w:val="cs-CZ"/>
        </w:rPr>
        <w:t>Zčervenání a/nebo otoky dlaní rukou a chodidel, které mohou být doprovázené pocitem brnění a pálení.</w:t>
      </w:r>
    </w:p>
    <w:p w14:paraId="353C4E13" w14:textId="77777777" w:rsidR="008E362E" w:rsidRPr="009B1A37" w:rsidRDefault="008E362E" w:rsidP="00BE3D48">
      <w:pPr>
        <w:pStyle w:val="Text"/>
        <w:widowControl w:val="0"/>
        <w:numPr>
          <w:ilvl w:val="0"/>
          <w:numId w:val="14"/>
        </w:numPr>
        <w:tabs>
          <w:tab w:val="clear" w:pos="567"/>
          <w:tab w:val="clear" w:pos="720"/>
        </w:tabs>
        <w:spacing w:before="0"/>
        <w:ind w:left="567" w:hanging="567"/>
        <w:jc w:val="left"/>
        <w:rPr>
          <w:color w:val="000000"/>
          <w:sz w:val="22"/>
          <w:szCs w:val="22"/>
          <w:lang w:val="cs-CZ"/>
        </w:rPr>
      </w:pPr>
      <w:r w:rsidRPr="009B1A37">
        <w:rPr>
          <w:color w:val="000000"/>
          <w:sz w:val="22"/>
          <w:szCs w:val="22"/>
          <w:lang w:val="cs-CZ"/>
        </w:rPr>
        <w:t>Bolestivé a/nebo puchýřovité kožní léze.</w:t>
      </w:r>
    </w:p>
    <w:p w14:paraId="658BEE84" w14:textId="77777777" w:rsidR="00EA5993" w:rsidRPr="009B1A37" w:rsidRDefault="00EA5993" w:rsidP="00182086">
      <w:pPr>
        <w:pStyle w:val="Text"/>
        <w:keepNext/>
        <w:widowControl w:val="0"/>
        <w:numPr>
          <w:ilvl w:val="0"/>
          <w:numId w:val="14"/>
        </w:numPr>
        <w:tabs>
          <w:tab w:val="clear" w:pos="567"/>
          <w:tab w:val="clear" w:pos="720"/>
        </w:tabs>
        <w:spacing w:before="0"/>
        <w:ind w:left="567" w:hanging="567"/>
        <w:jc w:val="left"/>
        <w:rPr>
          <w:color w:val="000000"/>
          <w:sz w:val="22"/>
          <w:szCs w:val="22"/>
          <w:lang w:val="cs-CZ"/>
        </w:rPr>
      </w:pPr>
      <w:r w:rsidRPr="009B1A37">
        <w:rPr>
          <w:color w:val="000000"/>
          <w:sz w:val="22"/>
          <w:szCs w:val="22"/>
          <w:lang w:val="cs-CZ"/>
        </w:rPr>
        <w:t>Zpomalení růstu u dětí a dospívajících.</w:t>
      </w:r>
    </w:p>
    <w:p w14:paraId="444A1FF6" w14:textId="77777777" w:rsidR="00EF31B4" w:rsidRPr="009B1A37" w:rsidRDefault="00EF31B4" w:rsidP="00BE3D48">
      <w:pPr>
        <w:pStyle w:val="Text"/>
        <w:widowControl w:val="0"/>
        <w:spacing w:before="0"/>
        <w:jc w:val="left"/>
        <w:rPr>
          <w:color w:val="000000"/>
          <w:sz w:val="22"/>
          <w:szCs w:val="22"/>
          <w:lang w:val="cs-CZ"/>
        </w:rPr>
      </w:pPr>
      <w:r w:rsidRPr="009B1A37">
        <w:rPr>
          <w:color w:val="000000"/>
          <w:sz w:val="22"/>
          <w:szCs w:val="22"/>
          <w:lang w:val="cs-CZ"/>
        </w:rPr>
        <w:t xml:space="preserve">Pokud se kterýkoli z těchto nežádoucích účinků objeví v závažné formě, </w:t>
      </w:r>
      <w:r w:rsidRPr="009B1A37">
        <w:rPr>
          <w:b/>
          <w:color w:val="000000"/>
          <w:sz w:val="22"/>
          <w:szCs w:val="22"/>
          <w:lang w:val="cs-CZ"/>
        </w:rPr>
        <w:t>sdělte to svému lékaři</w:t>
      </w:r>
      <w:r w:rsidRPr="009B1A37">
        <w:rPr>
          <w:color w:val="000000"/>
          <w:sz w:val="22"/>
          <w:szCs w:val="22"/>
          <w:lang w:val="cs-CZ"/>
        </w:rPr>
        <w:t>.</w:t>
      </w:r>
    </w:p>
    <w:p w14:paraId="6AB8EA52" w14:textId="77777777" w:rsidR="00EA5993" w:rsidRPr="009B1A37" w:rsidRDefault="00EA5993" w:rsidP="00BE3D48">
      <w:pPr>
        <w:pStyle w:val="Text"/>
        <w:widowControl w:val="0"/>
        <w:spacing w:before="0"/>
        <w:jc w:val="left"/>
        <w:rPr>
          <w:color w:val="000000"/>
          <w:sz w:val="22"/>
          <w:szCs w:val="22"/>
          <w:lang w:val="cs-CZ"/>
        </w:rPr>
      </w:pPr>
    </w:p>
    <w:p w14:paraId="53023058" w14:textId="77777777" w:rsidR="00EA5993" w:rsidRPr="009B1A37" w:rsidRDefault="00EA5993" w:rsidP="00BE3D48">
      <w:pPr>
        <w:keepNext/>
        <w:widowControl w:val="0"/>
        <w:numPr>
          <w:ilvl w:val="12"/>
          <w:numId w:val="0"/>
        </w:numPr>
        <w:spacing w:line="240" w:lineRule="auto"/>
        <w:outlineLvl w:val="0"/>
        <w:rPr>
          <w:b/>
          <w:noProof/>
          <w:szCs w:val="24"/>
        </w:rPr>
      </w:pPr>
      <w:r w:rsidRPr="009B1A37">
        <w:rPr>
          <w:b/>
          <w:noProof/>
          <w:szCs w:val="24"/>
        </w:rPr>
        <w:t>Hlášení nežádoucích účinků</w:t>
      </w:r>
    </w:p>
    <w:p w14:paraId="160570AB" w14:textId="77777777" w:rsidR="00EA5993" w:rsidRPr="009B1A37" w:rsidRDefault="00EA5993" w:rsidP="00BE3D48">
      <w:pPr>
        <w:widowControl w:val="0"/>
        <w:spacing w:line="240" w:lineRule="auto"/>
        <w:rPr>
          <w:noProof/>
          <w:szCs w:val="24"/>
        </w:rPr>
      </w:pPr>
      <w:r w:rsidRPr="009B1A37">
        <w:t>Pokud se u Vás vyskytne kterýkoli z nežádoucích účinků, sdělte to svému lékaři, lékárníkovi nebo zdravotní sestře. Stejně postupujte v případě jakýchkoli nežádoucích účinků, které nejsou uvedeny v této příbalové informaci.</w:t>
      </w:r>
      <w:r w:rsidRPr="009B1A37">
        <w:rPr>
          <w:noProof/>
          <w:szCs w:val="24"/>
        </w:rPr>
        <w:t xml:space="preserve"> Nežádoucí účinky můžete hlásit </w:t>
      </w:r>
      <w:r w:rsidRPr="009B1A37">
        <w:rPr>
          <w:szCs w:val="24"/>
        </w:rPr>
        <w:t xml:space="preserve">také přímo </w:t>
      </w:r>
      <w:r w:rsidRPr="009B1A37">
        <w:rPr>
          <w:noProof/>
          <w:szCs w:val="24"/>
        </w:rPr>
        <w:t xml:space="preserve">prostřednictvím </w:t>
      </w:r>
      <w:r w:rsidRPr="009B1A37">
        <w:rPr>
          <w:noProof/>
          <w:szCs w:val="24"/>
          <w:shd w:val="pct15" w:color="auto" w:fill="auto"/>
        </w:rPr>
        <w:t>národního systému hlášení nežádoucích účinků uvedeného v </w:t>
      </w:r>
      <w:hyperlink r:id="rId16" w:history="1">
        <w:r w:rsidRPr="009B1A37">
          <w:rPr>
            <w:rStyle w:val="Hyperlink"/>
            <w:noProof/>
            <w:szCs w:val="24"/>
            <w:shd w:val="pct15" w:color="auto" w:fill="auto"/>
          </w:rPr>
          <w:t>Dodatku V</w:t>
        </w:r>
      </w:hyperlink>
      <w:r w:rsidRPr="009B1A37">
        <w:rPr>
          <w:noProof/>
          <w:szCs w:val="24"/>
        </w:rPr>
        <w:t>. Nahlášením nežádoucích účinků můžete přispět k získání více informací o bezpečnosti tohoto přípravku.</w:t>
      </w:r>
    </w:p>
    <w:p w14:paraId="69C01BA6" w14:textId="77777777" w:rsidR="00EA5993" w:rsidRPr="009B1A37" w:rsidRDefault="00EA5993" w:rsidP="00BE3D48">
      <w:pPr>
        <w:widowControl w:val="0"/>
        <w:tabs>
          <w:tab w:val="clear" w:pos="567"/>
        </w:tabs>
        <w:spacing w:line="240" w:lineRule="auto"/>
        <w:ind w:right="-2"/>
        <w:rPr>
          <w:color w:val="000000"/>
        </w:rPr>
      </w:pPr>
    </w:p>
    <w:p w14:paraId="09F18CBE" w14:textId="77777777" w:rsidR="00EA5993" w:rsidRPr="009B1A37" w:rsidRDefault="00EA5993" w:rsidP="00BE3D48">
      <w:pPr>
        <w:widowControl w:val="0"/>
        <w:tabs>
          <w:tab w:val="clear" w:pos="567"/>
        </w:tabs>
        <w:spacing w:line="240" w:lineRule="auto"/>
        <w:ind w:right="-2"/>
        <w:rPr>
          <w:color w:val="000000"/>
        </w:rPr>
      </w:pPr>
    </w:p>
    <w:p w14:paraId="12B11BE9" w14:textId="77777777" w:rsidR="00E92109" w:rsidRPr="009B1A37" w:rsidRDefault="00E92109" w:rsidP="00BE3D48">
      <w:pPr>
        <w:keepNext/>
        <w:widowControl w:val="0"/>
        <w:tabs>
          <w:tab w:val="clear" w:pos="567"/>
        </w:tabs>
        <w:spacing w:line="240" w:lineRule="auto"/>
        <w:ind w:left="567" w:hanging="567"/>
        <w:rPr>
          <w:b/>
          <w:bCs/>
          <w:color w:val="000000"/>
        </w:rPr>
      </w:pPr>
      <w:r w:rsidRPr="009B1A37">
        <w:rPr>
          <w:b/>
          <w:bCs/>
          <w:color w:val="000000"/>
        </w:rPr>
        <w:t>5.</w:t>
      </w:r>
      <w:r w:rsidRPr="009B1A37">
        <w:rPr>
          <w:b/>
          <w:bCs/>
          <w:color w:val="000000"/>
        </w:rPr>
        <w:tab/>
        <w:t>Jak Glivec uchovávat</w:t>
      </w:r>
    </w:p>
    <w:p w14:paraId="2F8866AE" w14:textId="77777777" w:rsidR="00E92109" w:rsidRPr="009B1A37" w:rsidRDefault="00E92109" w:rsidP="00BE3D48">
      <w:pPr>
        <w:keepNext/>
        <w:widowControl w:val="0"/>
        <w:tabs>
          <w:tab w:val="clear" w:pos="567"/>
        </w:tabs>
        <w:spacing w:line="240" w:lineRule="auto"/>
        <w:rPr>
          <w:color w:val="000000"/>
        </w:rPr>
      </w:pPr>
    </w:p>
    <w:p w14:paraId="1ED7DB0F" w14:textId="77777777" w:rsidR="00E92109" w:rsidRPr="009B1A37" w:rsidRDefault="00E92109" w:rsidP="00BE3D48">
      <w:pPr>
        <w:pStyle w:val="Text"/>
        <w:widowControl w:val="0"/>
        <w:numPr>
          <w:ilvl w:val="0"/>
          <w:numId w:val="6"/>
        </w:numPr>
        <w:tabs>
          <w:tab w:val="clear" w:pos="360"/>
          <w:tab w:val="clear" w:pos="567"/>
        </w:tabs>
        <w:spacing w:before="0"/>
        <w:ind w:left="567" w:hanging="567"/>
        <w:rPr>
          <w:color w:val="000000"/>
          <w:sz w:val="22"/>
          <w:szCs w:val="22"/>
          <w:lang w:val="cs-CZ"/>
        </w:rPr>
      </w:pPr>
      <w:r w:rsidRPr="009B1A37">
        <w:rPr>
          <w:color w:val="000000"/>
          <w:sz w:val="22"/>
          <w:szCs w:val="22"/>
          <w:lang w:val="cs-CZ"/>
        </w:rPr>
        <w:t>Uchovávejte tento přípravek mimo dohled a dosah dětí.</w:t>
      </w:r>
    </w:p>
    <w:p w14:paraId="59FB8A9E" w14:textId="77777777" w:rsidR="00E92109" w:rsidRPr="009B1A37" w:rsidRDefault="00E92109" w:rsidP="00BE3D48">
      <w:pPr>
        <w:pStyle w:val="Text"/>
        <w:widowControl w:val="0"/>
        <w:numPr>
          <w:ilvl w:val="0"/>
          <w:numId w:val="6"/>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Nepoužívejte tento přípravek po uplynutí doby použitelnosti uvedené na krabičce</w:t>
      </w:r>
      <w:r w:rsidR="008E362E" w:rsidRPr="009B1A37">
        <w:rPr>
          <w:color w:val="000000"/>
          <w:sz w:val="22"/>
          <w:szCs w:val="22"/>
          <w:lang w:val="cs-CZ"/>
        </w:rPr>
        <w:t xml:space="preserve"> za „EXP“</w:t>
      </w:r>
      <w:r w:rsidRPr="009B1A37">
        <w:rPr>
          <w:color w:val="000000"/>
          <w:sz w:val="22"/>
          <w:szCs w:val="22"/>
          <w:lang w:val="cs-CZ"/>
        </w:rPr>
        <w:t>.</w:t>
      </w:r>
    </w:p>
    <w:p w14:paraId="2201A3C5" w14:textId="77777777" w:rsidR="00E92109" w:rsidRPr="009B1A37" w:rsidRDefault="00E92109" w:rsidP="00BE3D48">
      <w:pPr>
        <w:pStyle w:val="Text"/>
        <w:widowControl w:val="0"/>
        <w:numPr>
          <w:ilvl w:val="0"/>
          <w:numId w:val="6"/>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Neuchovávejte při teplotě nad 30</w:t>
      </w:r>
      <w:r w:rsidR="00EF31B4" w:rsidRPr="009B1A37">
        <w:rPr>
          <w:color w:val="000000"/>
          <w:sz w:val="22"/>
          <w:szCs w:val="22"/>
          <w:lang w:val="cs-CZ"/>
        </w:rPr>
        <w:t> </w:t>
      </w:r>
      <w:r w:rsidRPr="009B1A37">
        <w:rPr>
          <w:color w:val="000000"/>
          <w:sz w:val="22"/>
          <w:szCs w:val="22"/>
          <w:lang w:val="cs-CZ"/>
        </w:rPr>
        <w:t>°C.</w:t>
      </w:r>
    </w:p>
    <w:p w14:paraId="33F48446" w14:textId="77777777" w:rsidR="00E92109" w:rsidRPr="009B1A37" w:rsidRDefault="00E92109" w:rsidP="00BE3D48">
      <w:pPr>
        <w:pStyle w:val="Text"/>
        <w:widowControl w:val="0"/>
        <w:numPr>
          <w:ilvl w:val="0"/>
          <w:numId w:val="6"/>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Uchovávejte v původním obalu, aby byl přípravek chráněn před vlhkostí.</w:t>
      </w:r>
    </w:p>
    <w:p w14:paraId="468344C0" w14:textId="77777777" w:rsidR="00E92109" w:rsidRPr="009B1A37" w:rsidRDefault="00E92109" w:rsidP="00BE3D48">
      <w:pPr>
        <w:pStyle w:val="Text"/>
        <w:widowControl w:val="0"/>
        <w:numPr>
          <w:ilvl w:val="0"/>
          <w:numId w:val="6"/>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Nepoužívejte, jestliže je obal poškozený nebo zaznamenáte známky jeho porušení.</w:t>
      </w:r>
    </w:p>
    <w:p w14:paraId="34F152FE" w14:textId="77777777" w:rsidR="00AF0B73" w:rsidRPr="009B1A37" w:rsidRDefault="00AF0B73" w:rsidP="00BE3D48">
      <w:pPr>
        <w:pStyle w:val="Text"/>
        <w:widowControl w:val="0"/>
        <w:numPr>
          <w:ilvl w:val="0"/>
          <w:numId w:val="6"/>
        </w:numPr>
        <w:tabs>
          <w:tab w:val="clear" w:pos="360"/>
          <w:tab w:val="clear" w:pos="567"/>
        </w:tabs>
        <w:spacing w:before="0"/>
        <w:ind w:left="567" w:hanging="567"/>
        <w:jc w:val="left"/>
        <w:rPr>
          <w:color w:val="000000"/>
          <w:sz w:val="22"/>
          <w:szCs w:val="22"/>
          <w:lang w:val="cs-CZ"/>
        </w:rPr>
      </w:pPr>
      <w:r w:rsidRPr="009B1A37">
        <w:rPr>
          <w:color w:val="000000"/>
          <w:sz w:val="22"/>
          <w:szCs w:val="22"/>
          <w:lang w:val="cs-CZ"/>
        </w:rPr>
        <w:t>Nevyhazujte žádné léčivé přípravky do odpadních vod nebo domácího odpadu. Zeptejte se svého lékárníka, jak naložit s přípravky, které již nepoužíváte. Tato opatření pomáhají chránit životní prostředí.</w:t>
      </w:r>
    </w:p>
    <w:p w14:paraId="29099A90" w14:textId="77777777" w:rsidR="00E92109" w:rsidRPr="009B1A37" w:rsidRDefault="00E92109" w:rsidP="00BE3D48">
      <w:pPr>
        <w:widowControl w:val="0"/>
        <w:tabs>
          <w:tab w:val="clear" w:pos="567"/>
        </w:tabs>
        <w:spacing w:line="240" w:lineRule="auto"/>
        <w:ind w:right="-2"/>
        <w:rPr>
          <w:color w:val="000000"/>
        </w:rPr>
      </w:pPr>
    </w:p>
    <w:p w14:paraId="707B5A4E" w14:textId="77777777" w:rsidR="00E92109" w:rsidRPr="009B1A37" w:rsidRDefault="00E92109" w:rsidP="00BE3D48">
      <w:pPr>
        <w:widowControl w:val="0"/>
        <w:tabs>
          <w:tab w:val="clear" w:pos="567"/>
        </w:tabs>
        <w:spacing w:line="240" w:lineRule="auto"/>
        <w:ind w:right="-2"/>
        <w:rPr>
          <w:color w:val="000000"/>
        </w:rPr>
      </w:pPr>
    </w:p>
    <w:p w14:paraId="474453ED" w14:textId="77777777" w:rsidR="00E61A01" w:rsidRPr="009B1A37" w:rsidRDefault="00E61A01" w:rsidP="00BE3D48">
      <w:pPr>
        <w:keepNext/>
        <w:widowControl w:val="0"/>
        <w:tabs>
          <w:tab w:val="clear" w:pos="567"/>
        </w:tabs>
        <w:spacing w:line="240" w:lineRule="auto"/>
        <w:rPr>
          <w:b/>
          <w:bCs/>
          <w:caps/>
          <w:color w:val="000000"/>
        </w:rPr>
      </w:pPr>
      <w:r w:rsidRPr="009B1A37">
        <w:rPr>
          <w:b/>
          <w:bCs/>
          <w:caps/>
          <w:color w:val="000000"/>
        </w:rPr>
        <w:t>6.</w:t>
      </w:r>
      <w:r w:rsidRPr="009B1A37">
        <w:rPr>
          <w:b/>
          <w:bCs/>
          <w:caps/>
          <w:color w:val="000000"/>
        </w:rPr>
        <w:tab/>
      </w:r>
      <w:r w:rsidR="0020295F" w:rsidRPr="009B1A37">
        <w:rPr>
          <w:b/>
          <w:bCs/>
          <w:caps/>
          <w:color w:val="000000"/>
        </w:rPr>
        <w:t>O</w:t>
      </w:r>
      <w:r w:rsidR="0020295F" w:rsidRPr="009B1A37">
        <w:rPr>
          <w:b/>
          <w:bCs/>
          <w:color w:val="000000"/>
        </w:rPr>
        <w:t>bsah balení a další informace</w:t>
      </w:r>
    </w:p>
    <w:p w14:paraId="23549306" w14:textId="77777777" w:rsidR="00E61A01" w:rsidRPr="009B1A37" w:rsidRDefault="00E61A01" w:rsidP="00BE3D48">
      <w:pPr>
        <w:keepNext/>
        <w:widowControl w:val="0"/>
        <w:tabs>
          <w:tab w:val="clear" w:pos="567"/>
        </w:tabs>
        <w:spacing w:line="240" w:lineRule="auto"/>
        <w:rPr>
          <w:color w:val="000000"/>
        </w:rPr>
      </w:pPr>
    </w:p>
    <w:p w14:paraId="7E99248B" w14:textId="77777777" w:rsidR="00E61A01" w:rsidRPr="009B1A37" w:rsidRDefault="00E61A01" w:rsidP="00BE3D48">
      <w:pPr>
        <w:keepNext/>
        <w:widowControl w:val="0"/>
        <w:tabs>
          <w:tab w:val="clear" w:pos="567"/>
        </w:tabs>
        <w:spacing w:line="240" w:lineRule="auto"/>
        <w:rPr>
          <w:b/>
          <w:bCs/>
          <w:color w:val="000000"/>
        </w:rPr>
      </w:pPr>
      <w:r w:rsidRPr="009B1A37">
        <w:rPr>
          <w:b/>
          <w:bCs/>
          <w:color w:val="000000"/>
        </w:rPr>
        <w:t>Co Glivec obsahuje</w:t>
      </w:r>
    </w:p>
    <w:p w14:paraId="4450AA02" w14:textId="5BEADC7D" w:rsidR="002920DB" w:rsidRDefault="00E61A01" w:rsidP="00BE3D48">
      <w:pPr>
        <w:widowControl w:val="0"/>
        <w:numPr>
          <w:ilvl w:val="0"/>
          <w:numId w:val="13"/>
        </w:numPr>
        <w:tabs>
          <w:tab w:val="clear" w:pos="567"/>
        </w:tabs>
        <w:spacing w:line="240" w:lineRule="auto"/>
        <w:ind w:left="567" w:right="-2" w:hanging="567"/>
        <w:rPr>
          <w:color w:val="000000"/>
        </w:rPr>
      </w:pPr>
      <w:r w:rsidRPr="009B1A37">
        <w:rPr>
          <w:color w:val="000000"/>
        </w:rPr>
        <w:t>Léčivou látkou je imatinibi mesilas.</w:t>
      </w:r>
    </w:p>
    <w:p w14:paraId="541BE0C1" w14:textId="3EDC11FC" w:rsidR="00E61A01" w:rsidRDefault="00E61A01" w:rsidP="00A1501E">
      <w:pPr>
        <w:widowControl w:val="0"/>
        <w:numPr>
          <w:ilvl w:val="0"/>
          <w:numId w:val="13"/>
        </w:numPr>
        <w:tabs>
          <w:tab w:val="clear" w:pos="567"/>
        </w:tabs>
        <w:spacing w:line="240" w:lineRule="auto"/>
        <w:ind w:left="1124" w:hanging="562"/>
        <w:rPr>
          <w:color w:val="000000"/>
        </w:rPr>
      </w:pPr>
      <w:r w:rsidRPr="009B1A37">
        <w:rPr>
          <w:color w:val="000000"/>
        </w:rPr>
        <w:t xml:space="preserve">Jedna </w:t>
      </w:r>
      <w:r w:rsidR="002920DB">
        <w:rPr>
          <w:color w:val="000000"/>
        </w:rPr>
        <w:t xml:space="preserve">100 mg </w:t>
      </w:r>
      <w:r w:rsidRPr="009B1A37">
        <w:rPr>
          <w:color w:val="000000"/>
        </w:rPr>
        <w:t xml:space="preserve">tableta Glivecu obsahuje </w:t>
      </w:r>
      <w:r w:rsidR="00D25C0D" w:rsidRPr="009B1A37">
        <w:rPr>
          <w:color w:val="000000"/>
        </w:rPr>
        <w:t xml:space="preserve">imatinibum </w:t>
      </w:r>
      <w:r w:rsidRPr="009B1A37">
        <w:rPr>
          <w:color w:val="000000"/>
        </w:rPr>
        <w:t xml:space="preserve">100 mg </w:t>
      </w:r>
      <w:r w:rsidR="0020295F" w:rsidRPr="009B1A37">
        <w:rPr>
          <w:color w:val="000000"/>
        </w:rPr>
        <w:t xml:space="preserve">(jako </w:t>
      </w:r>
      <w:r w:rsidR="00D25C0D" w:rsidRPr="009B1A37">
        <w:rPr>
          <w:color w:val="000000"/>
        </w:rPr>
        <w:t xml:space="preserve">imatinibi </w:t>
      </w:r>
      <w:r w:rsidRPr="009B1A37">
        <w:rPr>
          <w:color w:val="000000"/>
        </w:rPr>
        <w:t>mes</w:t>
      </w:r>
      <w:r w:rsidR="00D25C0D" w:rsidRPr="009B1A37">
        <w:rPr>
          <w:color w:val="000000"/>
        </w:rPr>
        <w:t>i</w:t>
      </w:r>
      <w:r w:rsidRPr="009B1A37">
        <w:rPr>
          <w:color w:val="000000"/>
        </w:rPr>
        <w:t>l</w:t>
      </w:r>
      <w:r w:rsidR="00D25C0D" w:rsidRPr="009B1A37">
        <w:rPr>
          <w:color w:val="000000"/>
        </w:rPr>
        <w:t>as</w:t>
      </w:r>
      <w:r w:rsidR="0020295F" w:rsidRPr="009B1A37">
        <w:rPr>
          <w:color w:val="000000"/>
        </w:rPr>
        <w:t>)</w:t>
      </w:r>
      <w:r w:rsidRPr="009B1A37">
        <w:rPr>
          <w:color w:val="000000"/>
        </w:rPr>
        <w:t>.</w:t>
      </w:r>
    </w:p>
    <w:p w14:paraId="404981FB" w14:textId="6960B45F" w:rsidR="002920DB" w:rsidRPr="009B1A37" w:rsidRDefault="002920DB" w:rsidP="00A1501E">
      <w:pPr>
        <w:widowControl w:val="0"/>
        <w:numPr>
          <w:ilvl w:val="0"/>
          <w:numId w:val="13"/>
        </w:numPr>
        <w:tabs>
          <w:tab w:val="clear" w:pos="567"/>
        </w:tabs>
        <w:spacing w:line="240" w:lineRule="auto"/>
        <w:ind w:left="1124" w:hanging="562"/>
        <w:rPr>
          <w:color w:val="000000"/>
        </w:rPr>
      </w:pPr>
      <w:r>
        <w:rPr>
          <w:color w:val="000000"/>
        </w:rPr>
        <w:t>Jedna 400 mg tableta Glivecu obsahuje imatinibum 400 mg (jako imatinibi mesilas).</w:t>
      </w:r>
    </w:p>
    <w:p w14:paraId="4C8A3A7B" w14:textId="77777777" w:rsidR="00E61A01" w:rsidRPr="009B1A37" w:rsidRDefault="0020295F" w:rsidP="00BE3D48">
      <w:pPr>
        <w:widowControl w:val="0"/>
        <w:numPr>
          <w:ilvl w:val="0"/>
          <w:numId w:val="13"/>
        </w:numPr>
        <w:tabs>
          <w:tab w:val="clear" w:pos="567"/>
        </w:tabs>
        <w:spacing w:line="240" w:lineRule="auto"/>
        <w:ind w:left="567" w:right="-2" w:hanging="567"/>
        <w:rPr>
          <w:color w:val="000000"/>
        </w:rPr>
      </w:pPr>
      <w:r w:rsidRPr="009B1A37">
        <w:rPr>
          <w:color w:val="000000"/>
        </w:rPr>
        <w:t xml:space="preserve">Dalšími složkami </w:t>
      </w:r>
      <w:r w:rsidR="00E61A01" w:rsidRPr="009B1A37">
        <w:rPr>
          <w:color w:val="000000"/>
        </w:rPr>
        <w:t>jsou mikrokrystalická celulosa, krospovidon, hypromelosa, magnesium-stearát</w:t>
      </w:r>
      <w:r w:rsidR="008A7A12" w:rsidRPr="009B1A37">
        <w:rPr>
          <w:color w:val="000000"/>
        </w:rPr>
        <w:t xml:space="preserve"> a koloidní </w:t>
      </w:r>
      <w:r w:rsidR="00E61A01" w:rsidRPr="009B1A37">
        <w:rPr>
          <w:color w:val="000000"/>
        </w:rPr>
        <w:t>bezvodý oxid křemičitý.</w:t>
      </w:r>
    </w:p>
    <w:p w14:paraId="6DF26FE0" w14:textId="77777777" w:rsidR="00E61A01" w:rsidRPr="009B1A37" w:rsidRDefault="00E61A01" w:rsidP="00BE3D48">
      <w:pPr>
        <w:widowControl w:val="0"/>
        <w:numPr>
          <w:ilvl w:val="0"/>
          <w:numId w:val="13"/>
        </w:numPr>
        <w:tabs>
          <w:tab w:val="clear" w:pos="567"/>
        </w:tabs>
        <w:spacing w:line="240" w:lineRule="auto"/>
        <w:ind w:left="567" w:right="-2" w:hanging="567"/>
        <w:rPr>
          <w:color w:val="000000"/>
        </w:rPr>
      </w:pPr>
      <w:r w:rsidRPr="009B1A37">
        <w:rPr>
          <w:color w:val="000000"/>
        </w:rPr>
        <w:t>Potahová vrstva tablety je vyrobena z červeného oxidu železitého (E</w:t>
      </w:r>
      <w:r w:rsidR="0071222E" w:rsidRPr="009B1A37">
        <w:rPr>
          <w:color w:val="000000"/>
        </w:rPr>
        <w:t xml:space="preserve"> </w:t>
      </w:r>
      <w:r w:rsidRPr="009B1A37">
        <w:rPr>
          <w:color w:val="000000"/>
        </w:rPr>
        <w:t>172), žlutého oxidu železitého (E</w:t>
      </w:r>
      <w:r w:rsidR="0071222E" w:rsidRPr="009B1A37">
        <w:rPr>
          <w:color w:val="000000"/>
        </w:rPr>
        <w:t xml:space="preserve"> </w:t>
      </w:r>
      <w:r w:rsidRPr="009B1A37">
        <w:rPr>
          <w:color w:val="000000"/>
        </w:rPr>
        <w:t>172), makrogolu, mastku a hypromelosy.</w:t>
      </w:r>
    </w:p>
    <w:p w14:paraId="08BAD37F" w14:textId="77777777" w:rsidR="00E61A01" w:rsidRPr="009B1A37" w:rsidRDefault="00E61A01" w:rsidP="00BE3D48">
      <w:pPr>
        <w:widowControl w:val="0"/>
        <w:tabs>
          <w:tab w:val="clear" w:pos="567"/>
        </w:tabs>
        <w:spacing w:line="240" w:lineRule="auto"/>
        <w:ind w:right="-2"/>
        <w:rPr>
          <w:color w:val="000000"/>
        </w:rPr>
      </w:pPr>
    </w:p>
    <w:p w14:paraId="02507101" w14:textId="77777777" w:rsidR="00E61A01" w:rsidRPr="009B1A37" w:rsidRDefault="00E61A01" w:rsidP="00BE3D48">
      <w:pPr>
        <w:keepNext/>
        <w:widowControl w:val="0"/>
        <w:tabs>
          <w:tab w:val="clear" w:pos="567"/>
        </w:tabs>
        <w:spacing w:line="240" w:lineRule="auto"/>
        <w:ind w:right="-2"/>
        <w:rPr>
          <w:b/>
          <w:bCs/>
          <w:color w:val="000000"/>
        </w:rPr>
      </w:pPr>
      <w:r w:rsidRPr="009B1A37">
        <w:rPr>
          <w:b/>
          <w:bCs/>
          <w:color w:val="000000"/>
        </w:rPr>
        <w:t>Jak Glivec vypadá a co obsahuje toto balení</w:t>
      </w:r>
    </w:p>
    <w:p w14:paraId="630BD9E0" w14:textId="731D5042" w:rsidR="00E61A01" w:rsidRDefault="00E61A01" w:rsidP="00BE3D48">
      <w:pPr>
        <w:widowControl w:val="0"/>
        <w:tabs>
          <w:tab w:val="clear" w:pos="567"/>
        </w:tabs>
        <w:spacing w:line="240" w:lineRule="auto"/>
        <w:ind w:right="-2"/>
        <w:rPr>
          <w:color w:val="000000"/>
        </w:rPr>
      </w:pPr>
      <w:r w:rsidRPr="009B1A37">
        <w:rPr>
          <w:color w:val="000000"/>
        </w:rPr>
        <w:t>Glivec 100 mg potahované tablety jsou velmi tmavě žluté až hnědooranžové kulaté potahované tablety. Jsou na jedné straně označené „</w:t>
      </w:r>
      <w:smartTag w:uri="urn:schemas-microsoft-com:office:smarttags" w:element="stockticker">
        <w:r w:rsidRPr="009B1A37">
          <w:rPr>
            <w:color w:val="000000"/>
          </w:rPr>
          <w:t>NVR</w:t>
        </w:r>
      </w:smartTag>
      <w:r w:rsidRPr="009B1A37">
        <w:rPr>
          <w:color w:val="000000"/>
        </w:rPr>
        <w:t>“ a „SA“ s půlící rýhou na straně druhé.</w:t>
      </w:r>
    </w:p>
    <w:p w14:paraId="469CEF29" w14:textId="105495BC" w:rsidR="002920DB" w:rsidRPr="009B1A37" w:rsidRDefault="002920DB" w:rsidP="00BE3D48">
      <w:pPr>
        <w:widowControl w:val="0"/>
        <w:tabs>
          <w:tab w:val="clear" w:pos="567"/>
        </w:tabs>
        <w:spacing w:line="240" w:lineRule="auto"/>
        <w:ind w:right="-2"/>
        <w:rPr>
          <w:color w:val="000000"/>
        </w:rPr>
      </w:pPr>
      <w:r>
        <w:rPr>
          <w:color w:val="000000"/>
        </w:rPr>
        <w:t>Glivec 400 mg potahované tablety jsou velmi tmavě žluté až hnědooranžové oválné tablety. Jsou na jedné straně označené „</w:t>
      </w:r>
      <w:r w:rsidR="00A979A1">
        <w:rPr>
          <w:color w:val="000000"/>
        </w:rPr>
        <w:t>glivec“.</w:t>
      </w:r>
    </w:p>
    <w:p w14:paraId="58B24E27" w14:textId="77777777" w:rsidR="00E61A01" w:rsidRPr="009B1A37" w:rsidRDefault="00E61A01" w:rsidP="00BE3D48">
      <w:pPr>
        <w:widowControl w:val="0"/>
        <w:tabs>
          <w:tab w:val="clear" w:pos="567"/>
        </w:tabs>
        <w:spacing w:line="240" w:lineRule="auto"/>
        <w:ind w:right="-2"/>
        <w:rPr>
          <w:color w:val="000000"/>
        </w:rPr>
      </w:pPr>
    </w:p>
    <w:p w14:paraId="3E21F22B" w14:textId="31C94379" w:rsidR="00A979A1" w:rsidRDefault="00A979A1" w:rsidP="00BE3D48">
      <w:pPr>
        <w:widowControl w:val="0"/>
        <w:tabs>
          <w:tab w:val="clear" w:pos="567"/>
        </w:tabs>
        <w:spacing w:line="240" w:lineRule="auto"/>
        <w:ind w:right="-2"/>
        <w:rPr>
          <w:color w:val="000000"/>
        </w:rPr>
      </w:pPr>
      <w:r>
        <w:rPr>
          <w:color w:val="000000"/>
        </w:rPr>
        <w:t>Glivec 100 mg potahované tablety se d</w:t>
      </w:r>
      <w:r w:rsidR="00E61A01" w:rsidRPr="009B1A37">
        <w:rPr>
          <w:color w:val="000000"/>
        </w:rPr>
        <w:t>odává</w:t>
      </w:r>
      <w:r>
        <w:rPr>
          <w:color w:val="000000"/>
        </w:rPr>
        <w:t>jí</w:t>
      </w:r>
      <w:r w:rsidR="00E61A01" w:rsidRPr="009B1A37">
        <w:rPr>
          <w:color w:val="000000"/>
        </w:rPr>
        <w:t xml:space="preserve"> v balení</w:t>
      </w:r>
      <w:r>
        <w:rPr>
          <w:color w:val="000000"/>
        </w:rPr>
        <w:t>ch</w:t>
      </w:r>
      <w:r w:rsidR="00E61A01" w:rsidRPr="009B1A37">
        <w:rPr>
          <w:color w:val="000000"/>
        </w:rPr>
        <w:t>, kter</w:t>
      </w:r>
      <w:r>
        <w:rPr>
          <w:color w:val="000000"/>
        </w:rPr>
        <w:t>á</w:t>
      </w:r>
      <w:r w:rsidR="00E61A01" w:rsidRPr="009B1A37">
        <w:rPr>
          <w:color w:val="000000"/>
        </w:rPr>
        <w:t xml:space="preserve"> obsahuj</w:t>
      </w:r>
      <w:r>
        <w:rPr>
          <w:color w:val="000000"/>
        </w:rPr>
        <w:t>í</w:t>
      </w:r>
      <w:r w:rsidR="00E61A01" w:rsidRPr="009B1A37">
        <w:rPr>
          <w:color w:val="000000"/>
        </w:rPr>
        <w:t xml:space="preserve"> 20, 60, 120 nebo 180 tablet</w:t>
      </w:r>
      <w:r>
        <w:rPr>
          <w:color w:val="000000"/>
        </w:rPr>
        <w:t>.</w:t>
      </w:r>
    </w:p>
    <w:p w14:paraId="67BC148A" w14:textId="34C85857" w:rsidR="00A979A1" w:rsidRDefault="00A979A1" w:rsidP="00BE3D48">
      <w:pPr>
        <w:widowControl w:val="0"/>
        <w:tabs>
          <w:tab w:val="clear" w:pos="567"/>
        </w:tabs>
        <w:spacing w:line="240" w:lineRule="auto"/>
        <w:ind w:right="-2"/>
        <w:rPr>
          <w:color w:val="000000"/>
        </w:rPr>
      </w:pPr>
      <w:r>
        <w:rPr>
          <w:color w:val="000000"/>
        </w:rPr>
        <w:t>Glivec 400 mg potahované tablety se dodávají v baleních, která obsahují 10, 30 nebo 90 tablet.</w:t>
      </w:r>
    </w:p>
    <w:p w14:paraId="4B6D0E9A" w14:textId="3895B482" w:rsidR="00E61A01" w:rsidRPr="009B1A37" w:rsidRDefault="00A979A1" w:rsidP="00BE3D48">
      <w:pPr>
        <w:widowControl w:val="0"/>
        <w:tabs>
          <w:tab w:val="clear" w:pos="567"/>
        </w:tabs>
        <w:spacing w:line="240" w:lineRule="auto"/>
        <w:ind w:right="-2"/>
        <w:rPr>
          <w:color w:val="000000"/>
        </w:rPr>
      </w:pPr>
      <w:r>
        <w:rPr>
          <w:color w:val="000000"/>
        </w:rPr>
        <w:t>N</w:t>
      </w:r>
      <w:r w:rsidR="00E61A01" w:rsidRPr="009B1A37">
        <w:rPr>
          <w:color w:val="000000"/>
        </w:rPr>
        <w:t>a trhu nemusí být dostupné všechny velikosti.</w:t>
      </w:r>
    </w:p>
    <w:p w14:paraId="31D5FB05" w14:textId="77777777" w:rsidR="00E61A01" w:rsidRPr="009B1A37" w:rsidRDefault="00E61A01" w:rsidP="00BE3D48">
      <w:pPr>
        <w:widowControl w:val="0"/>
        <w:tabs>
          <w:tab w:val="clear" w:pos="567"/>
        </w:tabs>
        <w:spacing w:line="240" w:lineRule="auto"/>
        <w:ind w:right="-2"/>
        <w:rPr>
          <w:color w:val="000000"/>
        </w:rPr>
      </w:pPr>
    </w:p>
    <w:p w14:paraId="790BB6D2" w14:textId="77777777" w:rsidR="00E61A01" w:rsidRPr="009B1A37" w:rsidRDefault="00E61A01" w:rsidP="00BE3D48">
      <w:pPr>
        <w:pStyle w:val="Heading2"/>
        <w:widowControl w:val="0"/>
        <w:numPr>
          <w:ilvl w:val="0"/>
          <w:numId w:val="0"/>
        </w:numPr>
        <w:spacing w:before="0" w:after="0" w:line="240" w:lineRule="auto"/>
        <w:rPr>
          <w:rFonts w:ascii="Times New Roman" w:hAnsi="Times New Roman" w:cs="Times New Roman"/>
          <w:bCs w:val="0"/>
          <w:i w:val="0"/>
          <w:color w:val="000000"/>
          <w:sz w:val="22"/>
          <w:szCs w:val="22"/>
        </w:rPr>
      </w:pPr>
      <w:r w:rsidRPr="009B1A37">
        <w:rPr>
          <w:rFonts w:ascii="Times New Roman" w:hAnsi="Times New Roman" w:cs="Times New Roman"/>
          <w:bCs w:val="0"/>
          <w:i w:val="0"/>
          <w:color w:val="000000"/>
          <w:sz w:val="22"/>
          <w:szCs w:val="22"/>
        </w:rPr>
        <w:t>Držitel rozhodnutí o registraci</w:t>
      </w:r>
    </w:p>
    <w:p w14:paraId="5171857B" w14:textId="77777777" w:rsidR="00E61A01" w:rsidRPr="009B1A37" w:rsidRDefault="00E61A01" w:rsidP="00BE3D48">
      <w:pPr>
        <w:pStyle w:val="EndnoteText"/>
        <w:keepNext/>
        <w:widowControl w:val="0"/>
        <w:tabs>
          <w:tab w:val="clear" w:pos="567"/>
        </w:tabs>
        <w:rPr>
          <w:color w:val="000000"/>
        </w:rPr>
      </w:pPr>
      <w:r w:rsidRPr="009B1A37">
        <w:rPr>
          <w:color w:val="000000"/>
        </w:rPr>
        <w:t>Novartis Europharm Limited</w:t>
      </w:r>
    </w:p>
    <w:p w14:paraId="0B1AAECE" w14:textId="77777777" w:rsidR="00F05B3D" w:rsidRPr="009B1A37" w:rsidRDefault="00F05B3D" w:rsidP="00BE3D48">
      <w:pPr>
        <w:keepNext/>
        <w:widowControl w:val="0"/>
        <w:spacing w:line="240" w:lineRule="auto"/>
        <w:rPr>
          <w:color w:val="000000"/>
        </w:rPr>
      </w:pPr>
      <w:r w:rsidRPr="009B1A37">
        <w:rPr>
          <w:color w:val="000000"/>
        </w:rPr>
        <w:t>Vista Building</w:t>
      </w:r>
    </w:p>
    <w:p w14:paraId="19B0D6A0" w14:textId="77777777" w:rsidR="00F05B3D" w:rsidRPr="009B1A37" w:rsidRDefault="00F05B3D" w:rsidP="00BE3D48">
      <w:pPr>
        <w:keepNext/>
        <w:widowControl w:val="0"/>
        <w:spacing w:line="240" w:lineRule="auto"/>
        <w:rPr>
          <w:color w:val="000000"/>
        </w:rPr>
      </w:pPr>
      <w:r w:rsidRPr="009B1A37">
        <w:rPr>
          <w:color w:val="000000"/>
        </w:rPr>
        <w:t>Elm Park, Merrion Road</w:t>
      </w:r>
    </w:p>
    <w:p w14:paraId="30267E09" w14:textId="77777777" w:rsidR="00F05B3D" w:rsidRPr="009B1A37" w:rsidRDefault="00F05B3D" w:rsidP="00BE3D48">
      <w:pPr>
        <w:keepNext/>
        <w:widowControl w:val="0"/>
        <w:spacing w:line="240" w:lineRule="auto"/>
        <w:rPr>
          <w:color w:val="000000"/>
        </w:rPr>
      </w:pPr>
      <w:r w:rsidRPr="009B1A37">
        <w:rPr>
          <w:color w:val="000000"/>
        </w:rPr>
        <w:t>Dublin 4</w:t>
      </w:r>
    </w:p>
    <w:p w14:paraId="4FBDE4CD" w14:textId="77777777" w:rsidR="00F05B3D" w:rsidRPr="009B1A37" w:rsidRDefault="00F05B3D" w:rsidP="00BE3D48">
      <w:pPr>
        <w:spacing w:line="240" w:lineRule="auto"/>
        <w:rPr>
          <w:color w:val="000000"/>
        </w:rPr>
      </w:pPr>
      <w:r w:rsidRPr="009B1A37">
        <w:rPr>
          <w:color w:val="000000"/>
        </w:rPr>
        <w:t>Irsko</w:t>
      </w:r>
    </w:p>
    <w:p w14:paraId="42FF7BE4" w14:textId="77777777" w:rsidR="00E61A01" w:rsidRPr="009B1A37" w:rsidRDefault="00E61A01" w:rsidP="00BE3D48">
      <w:pPr>
        <w:pStyle w:val="Text"/>
        <w:widowControl w:val="0"/>
        <w:spacing w:before="0"/>
        <w:jc w:val="left"/>
        <w:rPr>
          <w:color w:val="000000"/>
          <w:sz w:val="22"/>
          <w:szCs w:val="22"/>
          <w:lang w:val="cs-CZ"/>
        </w:rPr>
      </w:pPr>
    </w:p>
    <w:p w14:paraId="5E40B77D" w14:textId="77777777" w:rsidR="00E61A01" w:rsidRPr="009B1A37" w:rsidRDefault="00E61A01" w:rsidP="00BE3D48">
      <w:pPr>
        <w:pStyle w:val="Heading2"/>
        <w:widowControl w:val="0"/>
        <w:numPr>
          <w:ilvl w:val="0"/>
          <w:numId w:val="0"/>
        </w:numPr>
        <w:spacing w:before="0" w:after="0" w:line="240" w:lineRule="auto"/>
        <w:rPr>
          <w:rFonts w:ascii="Times New Roman" w:hAnsi="Times New Roman" w:cs="Times New Roman"/>
          <w:bCs w:val="0"/>
          <w:i w:val="0"/>
          <w:color w:val="000000"/>
          <w:sz w:val="22"/>
          <w:szCs w:val="22"/>
        </w:rPr>
      </w:pPr>
      <w:r w:rsidRPr="009B1A37">
        <w:rPr>
          <w:rFonts w:ascii="Times New Roman" w:hAnsi="Times New Roman" w:cs="Times New Roman"/>
          <w:bCs w:val="0"/>
          <w:i w:val="0"/>
          <w:color w:val="000000"/>
          <w:sz w:val="22"/>
          <w:szCs w:val="22"/>
        </w:rPr>
        <w:t>Výrobce</w:t>
      </w:r>
    </w:p>
    <w:p w14:paraId="73CC1232" w14:textId="77777777" w:rsidR="0003151A" w:rsidRPr="009B1A37" w:rsidRDefault="0003151A" w:rsidP="0003151A">
      <w:pPr>
        <w:keepNext/>
        <w:widowControl w:val="0"/>
        <w:tabs>
          <w:tab w:val="left" w:pos="7513"/>
        </w:tabs>
        <w:spacing w:line="240" w:lineRule="auto"/>
        <w:rPr>
          <w:lang w:val="fr-CH"/>
        </w:rPr>
      </w:pPr>
      <w:r w:rsidRPr="009B1A37">
        <w:rPr>
          <w:lang w:val="fr-CH"/>
        </w:rPr>
        <w:t>Lek d.d, PE PROIZVODNJA LENDAVA</w:t>
      </w:r>
    </w:p>
    <w:p w14:paraId="76E2F58E" w14:textId="77777777" w:rsidR="0003151A" w:rsidRPr="009B1A37" w:rsidRDefault="0003151A" w:rsidP="0003151A">
      <w:pPr>
        <w:keepNext/>
        <w:widowControl w:val="0"/>
        <w:tabs>
          <w:tab w:val="left" w:pos="7513"/>
        </w:tabs>
        <w:spacing w:line="240" w:lineRule="auto"/>
        <w:rPr>
          <w:lang w:val="fr-CH"/>
        </w:rPr>
      </w:pPr>
      <w:r w:rsidRPr="009B1A37">
        <w:rPr>
          <w:lang w:val="fr-CH"/>
        </w:rPr>
        <w:t>Trimlini 2D</w:t>
      </w:r>
    </w:p>
    <w:p w14:paraId="7BF35047" w14:textId="77777777" w:rsidR="0003151A" w:rsidRPr="009B1A37" w:rsidRDefault="0003151A" w:rsidP="0003151A">
      <w:pPr>
        <w:keepNext/>
        <w:widowControl w:val="0"/>
        <w:tabs>
          <w:tab w:val="left" w:pos="7513"/>
        </w:tabs>
        <w:spacing w:line="240" w:lineRule="auto"/>
        <w:rPr>
          <w:lang w:val="fr-CH"/>
        </w:rPr>
      </w:pPr>
      <w:r w:rsidRPr="009B1A37">
        <w:rPr>
          <w:lang w:val="fr-CH"/>
        </w:rPr>
        <w:t>Lendava, 9220</w:t>
      </w:r>
    </w:p>
    <w:p w14:paraId="405BB233" w14:textId="77777777" w:rsidR="0003151A" w:rsidRPr="009B1A37" w:rsidRDefault="0003151A" w:rsidP="0003151A">
      <w:pPr>
        <w:widowControl w:val="0"/>
        <w:tabs>
          <w:tab w:val="left" w:pos="7513"/>
        </w:tabs>
        <w:spacing w:line="240" w:lineRule="auto"/>
        <w:rPr>
          <w:lang w:val="pt-BR"/>
        </w:rPr>
      </w:pPr>
      <w:r w:rsidRPr="009B1A37">
        <w:rPr>
          <w:lang w:val="fr-CH"/>
        </w:rPr>
        <w:t>Slovinsko</w:t>
      </w:r>
    </w:p>
    <w:p w14:paraId="18D0127D" w14:textId="77777777" w:rsidR="0003151A" w:rsidRPr="009B1A37" w:rsidRDefault="0003151A" w:rsidP="0003151A">
      <w:pPr>
        <w:widowControl w:val="0"/>
        <w:tabs>
          <w:tab w:val="left" w:pos="7513"/>
        </w:tabs>
        <w:spacing w:line="240" w:lineRule="auto"/>
        <w:rPr>
          <w:lang w:val="pt-BR"/>
        </w:rPr>
      </w:pPr>
    </w:p>
    <w:p w14:paraId="01621596" w14:textId="77777777" w:rsidR="00E61A01" w:rsidRPr="009B1A37" w:rsidRDefault="00E61A01" w:rsidP="00BE3D48">
      <w:pPr>
        <w:keepNext/>
        <w:widowControl w:val="0"/>
        <w:spacing w:line="240" w:lineRule="auto"/>
        <w:rPr>
          <w:color w:val="000000"/>
          <w:shd w:val="pct15" w:color="auto" w:fill="auto"/>
        </w:rPr>
      </w:pPr>
      <w:r w:rsidRPr="009B1A37">
        <w:rPr>
          <w:color w:val="000000"/>
          <w:shd w:val="pct15" w:color="auto" w:fill="auto"/>
        </w:rPr>
        <w:t>Novartis Pharma GmbH</w:t>
      </w:r>
    </w:p>
    <w:p w14:paraId="2AE2DC9B" w14:textId="77777777" w:rsidR="00E61A01" w:rsidRPr="009B1A37" w:rsidRDefault="00E61A01" w:rsidP="00BE3D48">
      <w:pPr>
        <w:keepNext/>
        <w:widowControl w:val="0"/>
        <w:spacing w:line="240" w:lineRule="auto"/>
        <w:ind w:left="709" w:hanging="709"/>
        <w:rPr>
          <w:color w:val="000000"/>
          <w:shd w:val="pct15" w:color="auto" w:fill="auto"/>
        </w:rPr>
      </w:pPr>
      <w:r w:rsidRPr="009B1A37">
        <w:rPr>
          <w:color w:val="000000"/>
          <w:shd w:val="pct15" w:color="auto" w:fill="auto"/>
        </w:rPr>
        <w:t>Roonstrasse 25</w:t>
      </w:r>
    </w:p>
    <w:p w14:paraId="5C35FA3A" w14:textId="77777777" w:rsidR="00E61A01" w:rsidRPr="009B1A37" w:rsidRDefault="00E61A01" w:rsidP="00BE3D48">
      <w:pPr>
        <w:keepNext/>
        <w:widowControl w:val="0"/>
        <w:spacing w:line="240" w:lineRule="auto"/>
        <w:ind w:left="709" w:hanging="709"/>
        <w:rPr>
          <w:color w:val="000000"/>
          <w:shd w:val="pct15" w:color="auto" w:fill="auto"/>
        </w:rPr>
      </w:pPr>
      <w:r w:rsidRPr="009B1A37">
        <w:rPr>
          <w:color w:val="000000"/>
          <w:shd w:val="pct15" w:color="auto" w:fill="auto"/>
        </w:rPr>
        <w:t>D-90429 Norimberk</w:t>
      </w:r>
    </w:p>
    <w:p w14:paraId="1DCD7932" w14:textId="77777777" w:rsidR="00E61A01" w:rsidRPr="009B1A37" w:rsidRDefault="00E61A01" w:rsidP="00BE3D48">
      <w:pPr>
        <w:widowControl w:val="0"/>
        <w:tabs>
          <w:tab w:val="clear" w:pos="567"/>
        </w:tabs>
        <w:spacing w:line="240" w:lineRule="auto"/>
        <w:ind w:right="-2"/>
        <w:rPr>
          <w:color w:val="000000"/>
          <w:shd w:val="pct15" w:color="auto" w:fill="auto"/>
        </w:rPr>
      </w:pPr>
      <w:r w:rsidRPr="009B1A37">
        <w:rPr>
          <w:color w:val="000000"/>
          <w:shd w:val="pct15" w:color="auto" w:fill="auto"/>
        </w:rPr>
        <w:t>Německo</w:t>
      </w:r>
    </w:p>
    <w:p w14:paraId="6EAF4788" w14:textId="77777777" w:rsidR="00E61A01" w:rsidRPr="009B1A37" w:rsidRDefault="00E61A01" w:rsidP="00BE3D48">
      <w:pPr>
        <w:widowControl w:val="0"/>
        <w:tabs>
          <w:tab w:val="clear" w:pos="567"/>
        </w:tabs>
        <w:spacing w:line="240" w:lineRule="auto"/>
        <w:ind w:right="-2"/>
        <w:rPr>
          <w:color w:val="000000"/>
        </w:rPr>
      </w:pPr>
    </w:p>
    <w:p w14:paraId="55581A7A" w14:textId="77777777" w:rsidR="00E61A01" w:rsidRPr="009B1A37" w:rsidRDefault="00E61A01" w:rsidP="00BE3D48">
      <w:pPr>
        <w:keepNext/>
        <w:widowControl w:val="0"/>
        <w:tabs>
          <w:tab w:val="clear" w:pos="567"/>
        </w:tabs>
        <w:spacing w:line="240" w:lineRule="auto"/>
        <w:ind w:right="-2"/>
        <w:rPr>
          <w:color w:val="000000"/>
        </w:rPr>
      </w:pPr>
      <w:r w:rsidRPr="009B1A37">
        <w:rPr>
          <w:color w:val="000000"/>
        </w:rPr>
        <w:t>Další informace o tomto přípravku získáte u místního zástupce držitele rozhodnutí o registraci:</w:t>
      </w:r>
    </w:p>
    <w:p w14:paraId="2FFC8DB8" w14:textId="77777777" w:rsidR="00762D0E" w:rsidRPr="009B1A37" w:rsidRDefault="00762D0E" w:rsidP="00BE3D48">
      <w:pPr>
        <w:keepNext/>
        <w:widowControl w:val="0"/>
        <w:tabs>
          <w:tab w:val="clear" w:pos="567"/>
        </w:tabs>
        <w:spacing w:line="240" w:lineRule="auto"/>
        <w:ind w:right="-449"/>
        <w:rPr>
          <w:color w:val="000000"/>
        </w:rPr>
      </w:pPr>
    </w:p>
    <w:tbl>
      <w:tblPr>
        <w:tblW w:w="9300" w:type="dxa"/>
        <w:tblLayout w:type="fixed"/>
        <w:tblLook w:val="0000" w:firstRow="0" w:lastRow="0" w:firstColumn="0" w:lastColumn="0" w:noHBand="0" w:noVBand="0"/>
      </w:tblPr>
      <w:tblGrid>
        <w:gridCol w:w="4650"/>
        <w:gridCol w:w="4650"/>
      </w:tblGrid>
      <w:tr w:rsidR="00762D0E" w:rsidRPr="009B1A37" w14:paraId="261753D0" w14:textId="77777777" w:rsidTr="00795E60">
        <w:trPr>
          <w:cantSplit/>
        </w:trPr>
        <w:tc>
          <w:tcPr>
            <w:tcW w:w="4650" w:type="dxa"/>
          </w:tcPr>
          <w:p w14:paraId="06D585B1" w14:textId="77777777" w:rsidR="00762D0E" w:rsidRPr="009B1A37" w:rsidRDefault="00762D0E" w:rsidP="00BE3D48">
            <w:pPr>
              <w:widowControl w:val="0"/>
              <w:spacing w:line="240" w:lineRule="auto"/>
              <w:rPr>
                <w:b/>
                <w:color w:val="000000"/>
              </w:rPr>
            </w:pPr>
            <w:r w:rsidRPr="009B1A37">
              <w:rPr>
                <w:b/>
                <w:color w:val="000000"/>
              </w:rPr>
              <w:t>België/Belgique/Belgien</w:t>
            </w:r>
          </w:p>
          <w:p w14:paraId="48769378" w14:textId="77777777" w:rsidR="00762D0E" w:rsidRPr="009B1A37" w:rsidRDefault="00762D0E" w:rsidP="00BE3D48">
            <w:pPr>
              <w:widowControl w:val="0"/>
              <w:spacing w:line="240" w:lineRule="auto"/>
              <w:rPr>
                <w:color w:val="000000"/>
              </w:rPr>
            </w:pPr>
            <w:r w:rsidRPr="009B1A37">
              <w:rPr>
                <w:color w:val="000000"/>
              </w:rPr>
              <w:t>Novartis Pharma N.V.</w:t>
            </w:r>
          </w:p>
          <w:p w14:paraId="080436F7" w14:textId="77777777" w:rsidR="00762D0E" w:rsidRPr="009B1A37" w:rsidRDefault="00762D0E" w:rsidP="00BE3D48">
            <w:pPr>
              <w:widowControl w:val="0"/>
              <w:spacing w:line="240" w:lineRule="auto"/>
              <w:rPr>
                <w:color w:val="000000"/>
              </w:rPr>
            </w:pPr>
            <w:r w:rsidRPr="009B1A37">
              <w:rPr>
                <w:color w:val="000000"/>
              </w:rPr>
              <w:t>Tél/Tel: +32 2 246 16 11</w:t>
            </w:r>
          </w:p>
          <w:p w14:paraId="24BD6970" w14:textId="77777777" w:rsidR="00762D0E" w:rsidRPr="009B1A37" w:rsidRDefault="00762D0E" w:rsidP="00BE3D48">
            <w:pPr>
              <w:widowControl w:val="0"/>
              <w:spacing w:line="240" w:lineRule="auto"/>
              <w:rPr>
                <w:b/>
                <w:color w:val="000000"/>
              </w:rPr>
            </w:pPr>
          </w:p>
        </w:tc>
        <w:tc>
          <w:tcPr>
            <w:tcW w:w="4650" w:type="dxa"/>
          </w:tcPr>
          <w:p w14:paraId="1182C103" w14:textId="77777777" w:rsidR="00762D0E" w:rsidRPr="009B1A37" w:rsidRDefault="00762D0E" w:rsidP="00BE3D48">
            <w:pPr>
              <w:widowControl w:val="0"/>
              <w:spacing w:line="240" w:lineRule="auto"/>
              <w:rPr>
                <w:b/>
                <w:color w:val="000000"/>
              </w:rPr>
            </w:pPr>
            <w:r w:rsidRPr="009B1A37">
              <w:rPr>
                <w:b/>
                <w:color w:val="000000"/>
              </w:rPr>
              <w:t>Lietuva</w:t>
            </w:r>
          </w:p>
          <w:p w14:paraId="603342F7" w14:textId="7F67EF0A" w:rsidR="00762D0E" w:rsidRPr="009B1A37" w:rsidRDefault="00F01DF4" w:rsidP="00BE3D48">
            <w:pPr>
              <w:widowControl w:val="0"/>
              <w:spacing w:line="240" w:lineRule="auto"/>
              <w:rPr>
                <w:color w:val="000000"/>
              </w:rPr>
            </w:pPr>
            <w:r w:rsidRPr="009B1A37">
              <w:t>SIA Novartis Baltics Lietuvos filialas</w:t>
            </w:r>
          </w:p>
          <w:p w14:paraId="299CE462" w14:textId="77777777" w:rsidR="00762D0E" w:rsidRPr="009B1A37" w:rsidRDefault="00762D0E" w:rsidP="00BE3D48">
            <w:pPr>
              <w:widowControl w:val="0"/>
              <w:spacing w:line="240" w:lineRule="auto"/>
              <w:rPr>
                <w:color w:val="000000"/>
              </w:rPr>
            </w:pPr>
            <w:r w:rsidRPr="009B1A37">
              <w:rPr>
                <w:color w:val="000000"/>
              </w:rPr>
              <w:t>Tel: +370 5 269 16 50</w:t>
            </w:r>
          </w:p>
          <w:p w14:paraId="02F2579A" w14:textId="77777777" w:rsidR="00762D0E" w:rsidRPr="009B1A37" w:rsidRDefault="00762D0E" w:rsidP="00BE3D48">
            <w:pPr>
              <w:widowControl w:val="0"/>
              <w:spacing w:line="240" w:lineRule="auto"/>
              <w:rPr>
                <w:color w:val="000000"/>
              </w:rPr>
            </w:pPr>
          </w:p>
        </w:tc>
      </w:tr>
      <w:tr w:rsidR="00762D0E" w:rsidRPr="009B1A37" w14:paraId="69DC2C64" w14:textId="77777777" w:rsidTr="00795E60">
        <w:trPr>
          <w:cantSplit/>
        </w:trPr>
        <w:tc>
          <w:tcPr>
            <w:tcW w:w="4650" w:type="dxa"/>
          </w:tcPr>
          <w:p w14:paraId="67F71420" w14:textId="77777777" w:rsidR="00762D0E" w:rsidRPr="009B1A37" w:rsidRDefault="00762D0E" w:rsidP="00BE3D48">
            <w:pPr>
              <w:widowControl w:val="0"/>
              <w:spacing w:line="240" w:lineRule="auto"/>
              <w:rPr>
                <w:b/>
                <w:noProof/>
                <w:color w:val="000000"/>
              </w:rPr>
            </w:pPr>
            <w:r w:rsidRPr="009B1A37">
              <w:rPr>
                <w:b/>
                <w:noProof/>
                <w:color w:val="000000"/>
              </w:rPr>
              <w:t>България</w:t>
            </w:r>
          </w:p>
          <w:p w14:paraId="0CCBFDFF" w14:textId="77777777" w:rsidR="00762D0E" w:rsidRPr="009B1A37" w:rsidRDefault="008E362E" w:rsidP="00BE3D48">
            <w:pPr>
              <w:widowControl w:val="0"/>
              <w:spacing w:line="240" w:lineRule="auto"/>
              <w:rPr>
                <w:noProof/>
                <w:color w:val="000000"/>
              </w:rPr>
            </w:pPr>
            <w:r w:rsidRPr="009B1A37">
              <w:t>Novartis Bulgaria EOOD</w:t>
            </w:r>
          </w:p>
          <w:p w14:paraId="08DBE879" w14:textId="77777777" w:rsidR="00762D0E" w:rsidRPr="009B1A37" w:rsidRDefault="00762D0E" w:rsidP="00BE3D48">
            <w:pPr>
              <w:widowControl w:val="0"/>
              <w:spacing w:line="240" w:lineRule="auto"/>
              <w:rPr>
                <w:noProof/>
                <w:color w:val="000000"/>
              </w:rPr>
            </w:pPr>
            <w:r w:rsidRPr="009B1A37">
              <w:rPr>
                <w:noProof/>
                <w:color w:val="000000"/>
              </w:rPr>
              <w:t>Тел.: +359 2 489 98 28</w:t>
            </w:r>
          </w:p>
          <w:p w14:paraId="77720C59" w14:textId="77777777" w:rsidR="00762D0E" w:rsidRPr="009B1A37" w:rsidRDefault="00762D0E" w:rsidP="00BE3D48">
            <w:pPr>
              <w:widowControl w:val="0"/>
              <w:spacing w:line="240" w:lineRule="auto"/>
              <w:rPr>
                <w:b/>
                <w:color w:val="000000"/>
              </w:rPr>
            </w:pPr>
          </w:p>
        </w:tc>
        <w:tc>
          <w:tcPr>
            <w:tcW w:w="4650" w:type="dxa"/>
          </w:tcPr>
          <w:p w14:paraId="6D509A7B" w14:textId="77777777" w:rsidR="00762D0E" w:rsidRPr="009B1A37" w:rsidRDefault="00762D0E" w:rsidP="00BE3D48">
            <w:pPr>
              <w:widowControl w:val="0"/>
              <w:spacing w:line="240" w:lineRule="auto"/>
              <w:rPr>
                <w:b/>
                <w:color w:val="000000"/>
              </w:rPr>
            </w:pPr>
            <w:r w:rsidRPr="009B1A37">
              <w:rPr>
                <w:b/>
                <w:color w:val="000000"/>
              </w:rPr>
              <w:t>Luxembourg/Luxemburg</w:t>
            </w:r>
          </w:p>
          <w:p w14:paraId="48434D1B" w14:textId="77777777" w:rsidR="00762D0E" w:rsidRPr="009B1A37" w:rsidRDefault="00762D0E" w:rsidP="00BE3D48">
            <w:pPr>
              <w:widowControl w:val="0"/>
              <w:spacing w:line="240" w:lineRule="auto"/>
              <w:rPr>
                <w:color w:val="000000"/>
              </w:rPr>
            </w:pPr>
            <w:r w:rsidRPr="009B1A37">
              <w:rPr>
                <w:color w:val="000000"/>
              </w:rPr>
              <w:t>Novartis Pharma N.V.</w:t>
            </w:r>
          </w:p>
          <w:p w14:paraId="58F1D85A" w14:textId="77777777" w:rsidR="00762D0E" w:rsidRPr="009B1A37" w:rsidRDefault="00762D0E" w:rsidP="00BE3D48">
            <w:pPr>
              <w:widowControl w:val="0"/>
              <w:spacing w:line="240" w:lineRule="auto"/>
              <w:rPr>
                <w:color w:val="000000"/>
              </w:rPr>
            </w:pPr>
            <w:r w:rsidRPr="009B1A37">
              <w:rPr>
                <w:color w:val="000000"/>
              </w:rPr>
              <w:t>Tél/Tel: +32 2 246 16 11</w:t>
            </w:r>
          </w:p>
          <w:p w14:paraId="5105E2D7" w14:textId="77777777" w:rsidR="00762D0E" w:rsidRPr="009B1A37" w:rsidRDefault="00762D0E" w:rsidP="00BE3D48">
            <w:pPr>
              <w:widowControl w:val="0"/>
              <w:spacing w:line="240" w:lineRule="auto"/>
              <w:rPr>
                <w:color w:val="000000"/>
              </w:rPr>
            </w:pPr>
          </w:p>
        </w:tc>
      </w:tr>
      <w:tr w:rsidR="00762D0E" w:rsidRPr="009B1A37" w14:paraId="6DE5FA8E" w14:textId="77777777" w:rsidTr="00795E60">
        <w:trPr>
          <w:cantSplit/>
        </w:trPr>
        <w:tc>
          <w:tcPr>
            <w:tcW w:w="4650" w:type="dxa"/>
          </w:tcPr>
          <w:p w14:paraId="3E9FF3CF" w14:textId="77777777" w:rsidR="00762D0E" w:rsidRPr="009B1A37" w:rsidRDefault="00762D0E" w:rsidP="00BE3D48">
            <w:pPr>
              <w:widowControl w:val="0"/>
              <w:spacing w:line="240" w:lineRule="auto"/>
              <w:rPr>
                <w:b/>
                <w:color w:val="000000"/>
              </w:rPr>
            </w:pPr>
            <w:r w:rsidRPr="009B1A37">
              <w:rPr>
                <w:b/>
                <w:color w:val="000000"/>
              </w:rPr>
              <w:t>Česká republika</w:t>
            </w:r>
          </w:p>
          <w:p w14:paraId="1959333A" w14:textId="77777777" w:rsidR="00762D0E" w:rsidRPr="009B1A37" w:rsidRDefault="00762D0E" w:rsidP="00BE3D48">
            <w:pPr>
              <w:widowControl w:val="0"/>
              <w:spacing w:line="240" w:lineRule="auto"/>
              <w:rPr>
                <w:color w:val="000000"/>
              </w:rPr>
            </w:pPr>
            <w:r w:rsidRPr="009B1A37">
              <w:rPr>
                <w:color w:val="000000"/>
              </w:rPr>
              <w:t>Novartis s.r.o.</w:t>
            </w:r>
          </w:p>
          <w:p w14:paraId="0E0F088C" w14:textId="77777777" w:rsidR="00762D0E" w:rsidRPr="009B1A37" w:rsidRDefault="00762D0E" w:rsidP="00BE3D48">
            <w:pPr>
              <w:widowControl w:val="0"/>
              <w:spacing w:line="240" w:lineRule="auto"/>
              <w:rPr>
                <w:color w:val="000000"/>
              </w:rPr>
            </w:pPr>
            <w:r w:rsidRPr="009B1A37">
              <w:rPr>
                <w:color w:val="000000"/>
              </w:rPr>
              <w:t>Tel: +420 225 775 111</w:t>
            </w:r>
          </w:p>
          <w:p w14:paraId="71C7997B" w14:textId="77777777" w:rsidR="00762D0E" w:rsidRPr="009B1A37" w:rsidRDefault="00762D0E" w:rsidP="00BE3D48">
            <w:pPr>
              <w:widowControl w:val="0"/>
              <w:spacing w:line="240" w:lineRule="auto"/>
              <w:rPr>
                <w:b/>
                <w:color w:val="000000"/>
              </w:rPr>
            </w:pPr>
          </w:p>
        </w:tc>
        <w:tc>
          <w:tcPr>
            <w:tcW w:w="4650" w:type="dxa"/>
          </w:tcPr>
          <w:p w14:paraId="1157ED7C" w14:textId="77777777" w:rsidR="00762D0E" w:rsidRPr="009B1A37" w:rsidRDefault="00762D0E" w:rsidP="00BE3D48">
            <w:pPr>
              <w:widowControl w:val="0"/>
              <w:spacing w:line="240" w:lineRule="auto"/>
              <w:rPr>
                <w:b/>
                <w:color w:val="000000"/>
              </w:rPr>
            </w:pPr>
            <w:r w:rsidRPr="009B1A37">
              <w:rPr>
                <w:b/>
                <w:color w:val="000000"/>
              </w:rPr>
              <w:t>Magyarország</w:t>
            </w:r>
          </w:p>
          <w:p w14:paraId="753E73CD" w14:textId="77777777" w:rsidR="00762D0E" w:rsidRPr="009B1A37" w:rsidRDefault="00762D0E" w:rsidP="00BE3D48">
            <w:pPr>
              <w:widowControl w:val="0"/>
              <w:spacing w:line="240" w:lineRule="auto"/>
              <w:rPr>
                <w:color w:val="000000"/>
              </w:rPr>
            </w:pPr>
            <w:r w:rsidRPr="009B1A37">
              <w:rPr>
                <w:color w:val="000000"/>
              </w:rPr>
              <w:t>Novartis Hungária Kft.</w:t>
            </w:r>
          </w:p>
          <w:p w14:paraId="77ED83CB" w14:textId="77777777" w:rsidR="00762D0E" w:rsidRPr="009B1A37" w:rsidRDefault="00762D0E" w:rsidP="00BE3D48">
            <w:pPr>
              <w:widowControl w:val="0"/>
              <w:spacing w:line="240" w:lineRule="auto"/>
              <w:rPr>
                <w:color w:val="000000"/>
              </w:rPr>
            </w:pPr>
            <w:r w:rsidRPr="009B1A37">
              <w:rPr>
                <w:color w:val="000000"/>
              </w:rPr>
              <w:t>Tel.: +36 1 457 65 00</w:t>
            </w:r>
          </w:p>
        </w:tc>
      </w:tr>
      <w:tr w:rsidR="00762D0E" w:rsidRPr="009B1A37" w14:paraId="3276DB40" w14:textId="77777777" w:rsidTr="00795E60">
        <w:trPr>
          <w:cantSplit/>
        </w:trPr>
        <w:tc>
          <w:tcPr>
            <w:tcW w:w="4650" w:type="dxa"/>
          </w:tcPr>
          <w:p w14:paraId="2ACA0483" w14:textId="77777777" w:rsidR="00762D0E" w:rsidRPr="009B1A37" w:rsidRDefault="00762D0E" w:rsidP="00BE3D48">
            <w:pPr>
              <w:widowControl w:val="0"/>
              <w:spacing w:line="240" w:lineRule="auto"/>
              <w:rPr>
                <w:b/>
                <w:color w:val="000000"/>
              </w:rPr>
            </w:pPr>
            <w:r w:rsidRPr="009B1A37">
              <w:rPr>
                <w:b/>
                <w:color w:val="000000"/>
              </w:rPr>
              <w:t>Danmark</w:t>
            </w:r>
          </w:p>
          <w:p w14:paraId="231BD0DC" w14:textId="77777777" w:rsidR="00762D0E" w:rsidRPr="009B1A37" w:rsidRDefault="00762D0E" w:rsidP="00BE3D48">
            <w:pPr>
              <w:widowControl w:val="0"/>
              <w:spacing w:line="240" w:lineRule="auto"/>
              <w:rPr>
                <w:color w:val="000000"/>
              </w:rPr>
            </w:pPr>
            <w:r w:rsidRPr="009B1A37">
              <w:rPr>
                <w:color w:val="000000"/>
              </w:rPr>
              <w:t>Novartis Healthcare A/S</w:t>
            </w:r>
          </w:p>
          <w:p w14:paraId="7D285565" w14:textId="77777777" w:rsidR="00762D0E" w:rsidRPr="009B1A37" w:rsidRDefault="00762D0E" w:rsidP="00BE3D48">
            <w:pPr>
              <w:widowControl w:val="0"/>
              <w:spacing w:line="240" w:lineRule="auto"/>
              <w:rPr>
                <w:color w:val="000000"/>
              </w:rPr>
            </w:pPr>
            <w:r w:rsidRPr="009B1A37">
              <w:rPr>
                <w:color w:val="000000"/>
              </w:rPr>
              <w:t>Tlf: +45 39 16 84 00</w:t>
            </w:r>
          </w:p>
          <w:p w14:paraId="0F60FCDB" w14:textId="77777777" w:rsidR="00762D0E" w:rsidRPr="009B1A37" w:rsidRDefault="00762D0E" w:rsidP="00BE3D48">
            <w:pPr>
              <w:widowControl w:val="0"/>
              <w:spacing w:line="240" w:lineRule="auto"/>
              <w:rPr>
                <w:b/>
                <w:color w:val="000000"/>
              </w:rPr>
            </w:pPr>
          </w:p>
        </w:tc>
        <w:tc>
          <w:tcPr>
            <w:tcW w:w="4650" w:type="dxa"/>
          </w:tcPr>
          <w:p w14:paraId="16D10619" w14:textId="77777777" w:rsidR="00762D0E" w:rsidRPr="009B1A37" w:rsidRDefault="00762D0E" w:rsidP="00BE3D48">
            <w:pPr>
              <w:widowControl w:val="0"/>
              <w:spacing w:line="240" w:lineRule="auto"/>
              <w:rPr>
                <w:b/>
                <w:color w:val="000000"/>
              </w:rPr>
            </w:pPr>
            <w:r w:rsidRPr="009B1A37">
              <w:rPr>
                <w:b/>
                <w:color w:val="000000"/>
              </w:rPr>
              <w:t>Malta</w:t>
            </w:r>
          </w:p>
          <w:p w14:paraId="6BE3AAD2" w14:textId="77777777" w:rsidR="00762D0E" w:rsidRPr="009B1A37" w:rsidRDefault="00762D0E" w:rsidP="00BE3D48">
            <w:pPr>
              <w:widowControl w:val="0"/>
              <w:spacing w:line="240" w:lineRule="auto"/>
              <w:rPr>
                <w:color w:val="000000"/>
              </w:rPr>
            </w:pPr>
            <w:r w:rsidRPr="009B1A37">
              <w:rPr>
                <w:color w:val="000000"/>
              </w:rPr>
              <w:t>Novartis Pharma Services Inc.</w:t>
            </w:r>
          </w:p>
          <w:p w14:paraId="181D2DE8" w14:textId="77777777" w:rsidR="00762D0E" w:rsidRPr="009B1A37" w:rsidRDefault="00762D0E" w:rsidP="00BE3D48">
            <w:pPr>
              <w:widowControl w:val="0"/>
              <w:spacing w:line="240" w:lineRule="auto"/>
              <w:rPr>
                <w:color w:val="000000"/>
              </w:rPr>
            </w:pPr>
            <w:r w:rsidRPr="009B1A37">
              <w:rPr>
                <w:color w:val="000000"/>
              </w:rPr>
              <w:t>Tel: +356 2122 2872</w:t>
            </w:r>
          </w:p>
        </w:tc>
      </w:tr>
      <w:tr w:rsidR="00762D0E" w:rsidRPr="009B1A37" w14:paraId="4F276A21" w14:textId="77777777" w:rsidTr="00795E60">
        <w:trPr>
          <w:cantSplit/>
        </w:trPr>
        <w:tc>
          <w:tcPr>
            <w:tcW w:w="4650" w:type="dxa"/>
          </w:tcPr>
          <w:p w14:paraId="14C5E20C" w14:textId="77777777" w:rsidR="00762D0E" w:rsidRPr="009B1A37" w:rsidRDefault="00762D0E" w:rsidP="00BE3D48">
            <w:pPr>
              <w:widowControl w:val="0"/>
              <w:spacing w:line="240" w:lineRule="auto"/>
              <w:rPr>
                <w:b/>
                <w:color w:val="000000"/>
              </w:rPr>
            </w:pPr>
            <w:r w:rsidRPr="009B1A37">
              <w:rPr>
                <w:b/>
                <w:color w:val="000000"/>
              </w:rPr>
              <w:t>Deutschland</w:t>
            </w:r>
          </w:p>
          <w:p w14:paraId="067D97E4" w14:textId="77777777" w:rsidR="00762D0E" w:rsidRPr="009B1A37" w:rsidRDefault="00762D0E" w:rsidP="00BE3D48">
            <w:pPr>
              <w:widowControl w:val="0"/>
              <w:spacing w:line="240" w:lineRule="auto"/>
              <w:rPr>
                <w:color w:val="000000"/>
              </w:rPr>
            </w:pPr>
            <w:r w:rsidRPr="009B1A37">
              <w:rPr>
                <w:color w:val="000000"/>
              </w:rPr>
              <w:t>Novartis Pharma GmbH</w:t>
            </w:r>
          </w:p>
          <w:p w14:paraId="1B38BBC7" w14:textId="77777777" w:rsidR="00762D0E" w:rsidRPr="009B1A37" w:rsidRDefault="00762D0E" w:rsidP="00BE3D48">
            <w:pPr>
              <w:widowControl w:val="0"/>
              <w:spacing w:line="240" w:lineRule="auto"/>
              <w:rPr>
                <w:color w:val="000000"/>
              </w:rPr>
            </w:pPr>
            <w:r w:rsidRPr="009B1A37">
              <w:rPr>
                <w:color w:val="000000"/>
              </w:rPr>
              <w:t>Tel: +49 911 273 0</w:t>
            </w:r>
          </w:p>
          <w:p w14:paraId="6A8892BD" w14:textId="77777777" w:rsidR="00762D0E" w:rsidRPr="009B1A37" w:rsidRDefault="00762D0E" w:rsidP="00BE3D48">
            <w:pPr>
              <w:widowControl w:val="0"/>
              <w:spacing w:line="240" w:lineRule="auto"/>
              <w:rPr>
                <w:b/>
                <w:color w:val="000000"/>
              </w:rPr>
            </w:pPr>
          </w:p>
        </w:tc>
        <w:tc>
          <w:tcPr>
            <w:tcW w:w="4650" w:type="dxa"/>
          </w:tcPr>
          <w:p w14:paraId="14724783" w14:textId="77777777" w:rsidR="00762D0E" w:rsidRPr="009B1A37" w:rsidRDefault="00762D0E" w:rsidP="00BE3D48">
            <w:pPr>
              <w:widowControl w:val="0"/>
              <w:spacing w:line="240" w:lineRule="auto"/>
              <w:rPr>
                <w:b/>
                <w:color w:val="000000"/>
              </w:rPr>
            </w:pPr>
            <w:r w:rsidRPr="009B1A37">
              <w:rPr>
                <w:b/>
                <w:color w:val="000000"/>
              </w:rPr>
              <w:t>Nederland</w:t>
            </w:r>
          </w:p>
          <w:p w14:paraId="7F2E20D0" w14:textId="77777777" w:rsidR="00762D0E" w:rsidRPr="009B1A37" w:rsidRDefault="00762D0E" w:rsidP="00BE3D48">
            <w:pPr>
              <w:widowControl w:val="0"/>
              <w:spacing w:line="240" w:lineRule="auto"/>
              <w:rPr>
                <w:color w:val="000000"/>
              </w:rPr>
            </w:pPr>
            <w:r w:rsidRPr="009B1A37">
              <w:rPr>
                <w:color w:val="000000"/>
              </w:rPr>
              <w:t>Novartis Pharma B.V.</w:t>
            </w:r>
          </w:p>
          <w:p w14:paraId="27ADBC8E" w14:textId="514A3C0E" w:rsidR="00762D0E" w:rsidRPr="009B1A37" w:rsidRDefault="00762D0E" w:rsidP="00BE3D48">
            <w:pPr>
              <w:widowControl w:val="0"/>
              <w:spacing w:line="240" w:lineRule="auto"/>
              <w:rPr>
                <w:color w:val="000000"/>
              </w:rPr>
            </w:pPr>
            <w:r w:rsidRPr="009B1A37">
              <w:rPr>
                <w:color w:val="000000"/>
              </w:rPr>
              <w:t xml:space="preserve">Tel: +31 </w:t>
            </w:r>
            <w:r w:rsidR="00A979A1">
              <w:rPr>
                <w:color w:val="000000"/>
              </w:rPr>
              <w:t>88 04 52</w:t>
            </w:r>
            <w:r w:rsidRPr="009B1A37">
              <w:rPr>
                <w:color w:val="000000"/>
              </w:rPr>
              <w:t xml:space="preserve"> </w:t>
            </w:r>
            <w:r w:rsidR="00F35C9B" w:rsidRPr="009B1A37">
              <w:rPr>
                <w:color w:val="000000"/>
              </w:rPr>
              <w:t>555</w:t>
            </w:r>
          </w:p>
        </w:tc>
      </w:tr>
      <w:tr w:rsidR="00762D0E" w:rsidRPr="009B1A37" w14:paraId="0B645F27" w14:textId="77777777" w:rsidTr="00795E60">
        <w:trPr>
          <w:cantSplit/>
        </w:trPr>
        <w:tc>
          <w:tcPr>
            <w:tcW w:w="4650" w:type="dxa"/>
          </w:tcPr>
          <w:p w14:paraId="361F45F6" w14:textId="77777777" w:rsidR="00762D0E" w:rsidRPr="009B1A37" w:rsidRDefault="00762D0E" w:rsidP="00BE3D48">
            <w:pPr>
              <w:widowControl w:val="0"/>
              <w:spacing w:line="240" w:lineRule="auto"/>
              <w:rPr>
                <w:b/>
                <w:color w:val="000000"/>
              </w:rPr>
            </w:pPr>
            <w:r w:rsidRPr="009B1A37">
              <w:rPr>
                <w:b/>
                <w:color w:val="000000"/>
              </w:rPr>
              <w:t>Eesti</w:t>
            </w:r>
          </w:p>
          <w:p w14:paraId="68CBBD44" w14:textId="77777777" w:rsidR="00762D0E" w:rsidRPr="009B1A37" w:rsidRDefault="00F01DF4" w:rsidP="00BE3D48">
            <w:pPr>
              <w:widowControl w:val="0"/>
              <w:spacing w:line="240" w:lineRule="auto"/>
              <w:rPr>
                <w:color w:val="000000"/>
              </w:rPr>
            </w:pPr>
            <w:r w:rsidRPr="009B1A37">
              <w:t>SIA Novartis Baltics Eesti filiaal</w:t>
            </w:r>
          </w:p>
          <w:p w14:paraId="6B28BDCE" w14:textId="77777777" w:rsidR="00762D0E" w:rsidRPr="009B1A37" w:rsidRDefault="00762D0E" w:rsidP="00BE3D48">
            <w:pPr>
              <w:widowControl w:val="0"/>
              <w:spacing w:line="240" w:lineRule="auto"/>
              <w:rPr>
                <w:color w:val="000000"/>
              </w:rPr>
            </w:pPr>
            <w:r w:rsidRPr="009B1A37">
              <w:rPr>
                <w:color w:val="000000"/>
              </w:rPr>
              <w:t>Tel: +372 66 30 810</w:t>
            </w:r>
          </w:p>
          <w:p w14:paraId="15067B74" w14:textId="77777777" w:rsidR="00762D0E" w:rsidRPr="009B1A37" w:rsidRDefault="00762D0E" w:rsidP="00BE3D48">
            <w:pPr>
              <w:widowControl w:val="0"/>
              <w:spacing w:line="240" w:lineRule="auto"/>
              <w:rPr>
                <w:b/>
                <w:color w:val="000000"/>
              </w:rPr>
            </w:pPr>
          </w:p>
        </w:tc>
        <w:tc>
          <w:tcPr>
            <w:tcW w:w="4650" w:type="dxa"/>
          </w:tcPr>
          <w:p w14:paraId="34BACF1B" w14:textId="77777777" w:rsidR="00762D0E" w:rsidRPr="009B1A37" w:rsidRDefault="00762D0E" w:rsidP="00BE3D48">
            <w:pPr>
              <w:widowControl w:val="0"/>
              <w:spacing w:line="240" w:lineRule="auto"/>
              <w:rPr>
                <w:b/>
                <w:color w:val="000000"/>
              </w:rPr>
            </w:pPr>
            <w:r w:rsidRPr="009B1A37">
              <w:rPr>
                <w:b/>
                <w:color w:val="000000"/>
              </w:rPr>
              <w:t>Norge</w:t>
            </w:r>
          </w:p>
          <w:p w14:paraId="7DA820F6" w14:textId="77777777" w:rsidR="00762D0E" w:rsidRPr="009B1A37" w:rsidRDefault="00762D0E" w:rsidP="00BE3D48">
            <w:pPr>
              <w:widowControl w:val="0"/>
              <w:spacing w:line="240" w:lineRule="auto"/>
              <w:rPr>
                <w:color w:val="000000"/>
              </w:rPr>
            </w:pPr>
            <w:r w:rsidRPr="009B1A37">
              <w:rPr>
                <w:color w:val="000000"/>
              </w:rPr>
              <w:t>Novartis Norge AS</w:t>
            </w:r>
          </w:p>
          <w:p w14:paraId="36057B9F" w14:textId="77777777" w:rsidR="00762D0E" w:rsidRPr="009B1A37" w:rsidRDefault="00762D0E" w:rsidP="00BE3D48">
            <w:pPr>
              <w:widowControl w:val="0"/>
              <w:spacing w:line="240" w:lineRule="auto"/>
              <w:rPr>
                <w:color w:val="000000"/>
              </w:rPr>
            </w:pPr>
            <w:r w:rsidRPr="009B1A37">
              <w:rPr>
                <w:color w:val="000000"/>
              </w:rPr>
              <w:t>Tlf: +47 23 05 20 00</w:t>
            </w:r>
          </w:p>
        </w:tc>
      </w:tr>
      <w:tr w:rsidR="00762D0E" w:rsidRPr="009B1A37" w14:paraId="5F9FADC6" w14:textId="77777777" w:rsidTr="00795E60">
        <w:trPr>
          <w:cantSplit/>
        </w:trPr>
        <w:tc>
          <w:tcPr>
            <w:tcW w:w="4650" w:type="dxa"/>
          </w:tcPr>
          <w:p w14:paraId="24A30D39" w14:textId="77777777" w:rsidR="00762D0E" w:rsidRPr="009B1A37" w:rsidRDefault="00762D0E" w:rsidP="00BE3D48">
            <w:pPr>
              <w:widowControl w:val="0"/>
              <w:spacing w:line="240" w:lineRule="auto"/>
              <w:rPr>
                <w:b/>
                <w:color w:val="000000"/>
              </w:rPr>
            </w:pPr>
            <w:r w:rsidRPr="009B1A37">
              <w:rPr>
                <w:b/>
                <w:color w:val="000000"/>
              </w:rPr>
              <w:t>Ελλάδα</w:t>
            </w:r>
          </w:p>
          <w:p w14:paraId="1E3F0413" w14:textId="77777777" w:rsidR="00762D0E" w:rsidRPr="009B1A37" w:rsidRDefault="00762D0E" w:rsidP="00BE3D48">
            <w:pPr>
              <w:widowControl w:val="0"/>
              <w:spacing w:line="240" w:lineRule="auto"/>
              <w:rPr>
                <w:color w:val="000000"/>
              </w:rPr>
            </w:pPr>
            <w:r w:rsidRPr="009B1A37">
              <w:rPr>
                <w:color w:val="000000"/>
              </w:rPr>
              <w:t>Novartis (Hellas) A.E.B.E.</w:t>
            </w:r>
          </w:p>
          <w:p w14:paraId="728C0180" w14:textId="77777777" w:rsidR="00762D0E" w:rsidRPr="009B1A37" w:rsidRDefault="00762D0E" w:rsidP="00BE3D48">
            <w:pPr>
              <w:widowControl w:val="0"/>
              <w:spacing w:line="240" w:lineRule="auto"/>
              <w:rPr>
                <w:color w:val="000000"/>
              </w:rPr>
            </w:pPr>
            <w:r w:rsidRPr="009B1A37">
              <w:rPr>
                <w:color w:val="000000"/>
              </w:rPr>
              <w:t>Τηλ: +30 210 281 17 12</w:t>
            </w:r>
          </w:p>
          <w:p w14:paraId="002278F9" w14:textId="77777777" w:rsidR="00762D0E" w:rsidRPr="009B1A37" w:rsidRDefault="00762D0E" w:rsidP="00BE3D48">
            <w:pPr>
              <w:widowControl w:val="0"/>
              <w:spacing w:line="240" w:lineRule="auto"/>
              <w:rPr>
                <w:b/>
                <w:color w:val="000000"/>
              </w:rPr>
            </w:pPr>
          </w:p>
        </w:tc>
        <w:tc>
          <w:tcPr>
            <w:tcW w:w="4650" w:type="dxa"/>
          </w:tcPr>
          <w:p w14:paraId="4587AA78" w14:textId="77777777" w:rsidR="00762D0E" w:rsidRPr="009B1A37" w:rsidRDefault="00762D0E" w:rsidP="00BE3D48">
            <w:pPr>
              <w:widowControl w:val="0"/>
              <w:spacing w:line="240" w:lineRule="auto"/>
              <w:rPr>
                <w:b/>
                <w:color w:val="000000"/>
              </w:rPr>
            </w:pPr>
            <w:r w:rsidRPr="009B1A37">
              <w:rPr>
                <w:b/>
                <w:color w:val="000000"/>
              </w:rPr>
              <w:t>Österreich</w:t>
            </w:r>
          </w:p>
          <w:p w14:paraId="00A3986A" w14:textId="77777777" w:rsidR="00762D0E" w:rsidRPr="009B1A37" w:rsidRDefault="00762D0E" w:rsidP="00BE3D48">
            <w:pPr>
              <w:widowControl w:val="0"/>
              <w:spacing w:line="240" w:lineRule="auto"/>
              <w:rPr>
                <w:color w:val="000000"/>
              </w:rPr>
            </w:pPr>
            <w:r w:rsidRPr="009B1A37">
              <w:rPr>
                <w:color w:val="000000"/>
              </w:rPr>
              <w:t>Novartis Pharma GmbH</w:t>
            </w:r>
          </w:p>
          <w:p w14:paraId="1F1ABBB4" w14:textId="77777777" w:rsidR="00762D0E" w:rsidRPr="009B1A37" w:rsidRDefault="00762D0E" w:rsidP="00BE3D48">
            <w:pPr>
              <w:widowControl w:val="0"/>
              <w:spacing w:line="240" w:lineRule="auto"/>
              <w:rPr>
                <w:color w:val="000000"/>
              </w:rPr>
            </w:pPr>
            <w:r w:rsidRPr="009B1A37">
              <w:rPr>
                <w:color w:val="000000"/>
              </w:rPr>
              <w:t>Tel: +43 1 86 6570</w:t>
            </w:r>
          </w:p>
        </w:tc>
      </w:tr>
      <w:tr w:rsidR="00762D0E" w:rsidRPr="009B1A37" w14:paraId="13E0D4E8" w14:textId="77777777" w:rsidTr="00795E60">
        <w:trPr>
          <w:cantSplit/>
        </w:trPr>
        <w:tc>
          <w:tcPr>
            <w:tcW w:w="4650" w:type="dxa"/>
          </w:tcPr>
          <w:p w14:paraId="0BDA71EB" w14:textId="77777777" w:rsidR="00762D0E" w:rsidRPr="009B1A37" w:rsidRDefault="00762D0E" w:rsidP="00BE3D48">
            <w:pPr>
              <w:widowControl w:val="0"/>
              <w:spacing w:line="240" w:lineRule="auto"/>
              <w:rPr>
                <w:b/>
                <w:color w:val="000000"/>
              </w:rPr>
            </w:pPr>
            <w:r w:rsidRPr="009B1A37">
              <w:rPr>
                <w:b/>
                <w:color w:val="000000"/>
              </w:rPr>
              <w:t>España</w:t>
            </w:r>
          </w:p>
          <w:p w14:paraId="5650EC3B" w14:textId="77777777" w:rsidR="00762D0E" w:rsidRPr="009B1A37" w:rsidRDefault="00762D0E" w:rsidP="00BE3D48">
            <w:pPr>
              <w:widowControl w:val="0"/>
              <w:spacing w:line="240" w:lineRule="auto"/>
              <w:rPr>
                <w:color w:val="000000"/>
              </w:rPr>
            </w:pPr>
            <w:r w:rsidRPr="009B1A37">
              <w:rPr>
                <w:color w:val="000000"/>
              </w:rPr>
              <w:t>Novartis Farmacéutica, S.A.</w:t>
            </w:r>
          </w:p>
          <w:p w14:paraId="7983858C" w14:textId="77777777" w:rsidR="00762D0E" w:rsidRPr="009B1A37" w:rsidRDefault="00762D0E" w:rsidP="00BE3D48">
            <w:pPr>
              <w:widowControl w:val="0"/>
              <w:spacing w:line="240" w:lineRule="auto"/>
              <w:rPr>
                <w:color w:val="000000"/>
              </w:rPr>
            </w:pPr>
            <w:r w:rsidRPr="009B1A37">
              <w:rPr>
                <w:color w:val="000000"/>
              </w:rPr>
              <w:t>Tel: +34 93 306 42 00</w:t>
            </w:r>
          </w:p>
          <w:p w14:paraId="45A73E33" w14:textId="77777777" w:rsidR="00762D0E" w:rsidRPr="009B1A37" w:rsidRDefault="00762D0E" w:rsidP="00BE3D48">
            <w:pPr>
              <w:widowControl w:val="0"/>
              <w:spacing w:line="240" w:lineRule="auto"/>
              <w:rPr>
                <w:b/>
                <w:color w:val="000000"/>
              </w:rPr>
            </w:pPr>
          </w:p>
        </w:tc>
        <w:tc>
          <w:tcPr>
            <w:tcW w:w="4650" w:type="dxa"/>
          </w:tcPr>
          <w:p w14:paraId="3C0A0B8F" w14:textId="77777777" w:rsidR="00762D0E" w:rsidRPr="009B1A37" w:rsidRDefault="00762D0E" w:rsidP="00BE3D48">
            <w:pPr>
              <w:widowControl w:val="0"/>
              <w:spacing w:line="240" w:lineRule="auto"/>
              <w:rPr>
                <w:b/>
                <w:color w:val="000000"/>
              </w:rPr>
            </w:pPr>
            <w:r w:rsidRPr="009B1A37">
              <w:rPr>
                <w:b/>
                <w:color w:val="000000"/>
              </w:rPr>
              <w:t>Polska</w:t>
            </w:r>
          </w:p>
          <w:p w14:paraId="686A4F67" w14:textId="77777777" w:rsidR="00762D0E" w:rsidRPr="009B1A37" w:rsidRDefault="00762D0E" w:rsidP="00BE3D48">
            <w:pPr>
              <w:widowControl w:val="0"/>
              <w:spacing w:line="240" w:lineRule="auto"/>
              <w:rPr>
                <w:color w:val="000000"/>
              </w:rPr>
            </w:pPr>
            <w:r w:rsidRPr="009B1A37">
              <w:rPr>
                <w:color w:val="000000"/>
              </w:rPr>
              <w:t>Novartis Poland Sp. z o.o.</w:t>
            </w:r>
          </w:p>
          <w:p w14:paraId="5175162E" w14:textId="77777777" w:rsidR="00762D0E" w:rsidRPr="009B1A37" w:rsidRDefault="00762D0E" w:rsidP="00BE3D48">
            <w:pPr>
              <w:widowControl w:val="0"/>
              <w:spacing w:line="240" w:lineRule="auto"/>
              <w:rPr>
                <w:color w:val="000000"/>
              </w:rPr>
            </w:pPr>
            <w:r w:rsidRPr="009B1A37">
              <w:rPr>
                <w:color w:val="000000"/>
              </w:rPr>
              <w:t xml:space="preserve">Tel.: +48 22 </w:t>
            </w:r>
            <w:r w:rsidRPr="009B1A37">
              <w:t>375 4888</w:t>
            </w:r>
          </w:p>
        </w:tc>
      </w:tr>
      <w:tr w:rsidR="00762D0E" w:rsidRPr="009B1A37" w14:paraId="038256AB" w14:textId="77777777" w:rsidTr="00795E60">
        <w:trPr>
          <w:cantSplit/>
        </w:trPr>
        <w:tc>
          <w:tcPr>
            <w:tcW w:w="4650" w:type="dxa"/>
          </w:tcPr>
          <w:p w14:paraId="335474DD" w14:textId="77777777" w:rsidR="00762D0E" w:rsidRPr="009B1A37" w:rsidRDefault="00762D0E" w:rsidP="00BE3D48">
            <w:pPr>
              <w:widowControl w:val="0"/>
              <w:spacing w:line="240" w:lineRule="auto"/>
              <w:rPr>
                <w:b/>
                <w:color w:val="000000"/>
              </w:rPr>
            </w:pPr>
            <w:r w:rsidRPr="009B1A37">
              <w:rPr>
                <w:b/>
                <w:color w:val="000000"/>
              </w:rPr>
              <w:t>France</w:t>
            </w:r>
          </w:p>
          <w:p w14:paraId="4A141F0C" w14:textId="77777777" w:rsidR="00762D0E" w:rsidRPr="009B1A37" w:rsidRDefault="00762D0E" w:rsidP="00BE3D48">
            <w:pPr>
              <w:widowControl w:val="0"/>
              <w:spacing w:line="240" w:lineRule="auto"/>
              <w:rPr>
                <w:color w:val="000000"/>
              </w:rPr>
            </w:pPr>
            <w:r w:rsidRPr="009B1A37">
              <w:rPr>
                <w:color w:val="000000"/>
              </w:rPr>
              <w:t>Novartis Pharma S.A.S.</w:t>
            </w:r>
          </w:p>
          <w:p w14:paraId="00F7E442" w14:textId="77777777" w:rsidR="00762D0E" w:rsidRPr="009B1A37" w:rsidRDefault="00762D0E" w:rsidP="00BE3D48">
            <w:pPr>
              <w:widowControl w:val="0"/>
              <w:spacing w:line="240" w:lineRule="auto"/>
              <w:rPr>
                <w:color w:val="000000"/>
              </w:rPr>
            </w:pPr>
            <w:r w:rsidRPr="009B1A37">
              <w:rPr>
                <w:color w:val="000000"/>
              </w:rPr>
              <w:t>Tél: +33 1 55 47 66 00</w:t>
            </w:r>
          </w:p>
          <w:p w14:paraId="40FC63BC" w14:textId="77777777" w:rsidR="00762D0E" w:rsidRPr="009B1A37" w:rsidRDefault="00762D0E" w:rsidP="00BE3D48">
            <w:pPr>
              <w:widowControl w:val="0"/>
              <w:spacing w:line="240" w:lineRule="auto"/>
              <w:rPr>
                <w:b/>
                <w:color w:val="000000"/>
              </w:rPr>
            </w:pPr>
          </w:p>
        </w:tc>
        <w:tc>
          <w:tcPr>
            <w:tcW w:w="4650" w:type="dxa"/>
          </w:tcPr>
          <w:p w14:paraId="2D8B0023" w14:textId="77777777" w:rsidR="00762D0E" w:rsidRPr="009B1A37" w:rsidRDefault="00762D0E" w:rsidP="00BE3D48">
            <w:pPr>
              <w:widowControl w:val="0"/>
              <w:spacing w:line="240" w:lineRule="auto"/>
              <w:rPr>
                <w:b/>
                <w:color w:val="000000"/>
              </w:rPr>
            </w:pPr>
            <w:r w:rsidRPr="009B1A37">
              <w:rPr>
                <w:b/>
                <w:color w:val="000000"/>
              </w:rPr>
              <w:t>Portugal</w:t>
            </w:r>
          </w:p>
          <w:p w14:paraId="4890FFAD" w14:textId="77777777" w:rsidR="00762D0E" w:rsidRPr="009B1A37" w:rsidRDefault="00762D0E" w:rsidP="00BE3D48">
            <w:pPr>
              <w:widowControl w:val="0"/>
              <w:spacing w:line="240" w:lineRule="auto"/>
              <w:rPr>
                <w:color w:val="000000"/>
              </w:rPr>
            </w:pPr>
            <w:r w:rsidRPr="009B1A37">
              <w:rPr>
                <w:color w:val="000000"/>
              </w:rPr>
              <w:t>Novartis Farma - Produtos Farmacêuticos, S.A.</w:t>
            </w:r>
          </w:p>
          <w:p w14:paraId="7DAD7C31" w14:textId="77777777" w:rsidR="00762D0E" w:rsidRPr="009B1A37" w:rsidRDefault="00762D0E" w:rsidP="00BE3D48">
            <w:pPr>
              <w:widowControl w:val="0"/>
              <w:spacing w:line="240" w:lineRule="auto"/>
              <w:rPr>
                <w:color w:val="000000"/>
              </w:rPr>
            </w:pPr>
            <w:r w:rsidRPr="009B1A37">
              <w:rPr>
                <w:color w:val="000000"/>
              </w:rPr>
              <w:t>Tel: +351 21 000 8600</w:t>
            </w:r>
          </w:p>
        </w:tc>
      </w:tr>
      <w:tr w:rsidR="00762D0E" w:rsidRPr="009B1A37" w14:paraId="5383CFDA" w14:textId="77777777" w:rsidTr="00795E60">
        <w:trPr>
          <w:cantSplit/>
        </w:trPr>
        <w:tc>
          <w:tcPr>
            <w:tcW w:w="4650" w:type="dxa"/>
          </w:tcPr>
          <w:p w14:paraId="3A43A321" w14:textId="77777777" w:rsidR="00762D0E" w:rsidRPr="009B1A37" w:rsidRDefault="00762D0E" w:rsidP="00BE3D48">
            <w:pPr>
              <w:widowControl w:val="0"/>
              <w:spacing w:line="240" w:lineRule="auto"/>
              <w:rPr>
                <w:rFonts w:eastAsia="PMingLiU"/>
                <w:b/>
              </w:rPr>
            </w:pPr>
            <w:r w:rsidRPr="009B1A37">
              <w:rPr>
                <w:rFonts w:eastAsia="PMingLiU"/>
                <w:b/>
              </w:rPr>
              <w:t>Hrvatska</w:t>
            </w:r>
          </w:p>
          <w:p w14:paraId="4FD60DFE" w14:textId="77777777" w:rsidR="00762D0E" w:rsidRPr="009B1A37" w:rsidRDefault="00762D0E" w:rsidP="00BE3D48">
            <w:pPr>
              <w:widowControl w:val="0"/>
              <w:spacing w:line="240" w:lineRule="auto"/>
            </w:pPr>
            <w:r w:rsidRPr="009B1A37">
              <w:t>Novartis Hrvatska d.o.o.</w:t>
            </w:r>
          </w:p>
          <w:p w14:paraId="61E39D6B" w14:textId="77777777" w:rsidR="00762D0E" w:rsidRPr="009B1A37" w:rsidRDefault="00762D0E" w:rsidP="00BE3D48">
            <w:pPr>
              <w:widowControl w:val="0"/>
              <w:spacing w:line="240" w:lineRule="auto"/>
            </w:pPr>
            <w:r w:rsidRPr="009B1A37">
              <w:t>Tel. +385 1 6274 220</w:t>
            </w:r>
          </w:p>
          <w:p w14:paraId="741AEB08" w14:textId="77777777" w:rsidR="00762D0E" w:rsidRPr="009B1A37" w:rsidRDefault="00762D0E" w:rsidP="00BE3D48">
            <w:pPr>
              <w:widowControl w:val="0"/>
              <w:spacing w:line="240" w:lineRule="auto"/>
              <w:rPr>
                <w:b/>
                <w:color w:val="000000"/>
              </w:rPr>
            </w:pPr>
          </w:p>
        </w:tc>
        <w:tc>
          <w:tcPr>
            <w:tcW w:w="4650" w:type="dxa"/>
          </w:tcPr>
          <w:p w14:paraId="47B797F4" w14:textId="77777777" w:rsidR="00762D0E" w:rsidRPr="009B1A37" w:rsidRDefault="00762D0E" w:rsidP="00BE3D48">
            <w:pPr>
              <w:widowControl w:val="0"/>
              <w:spacing w:line="240" w:lineRule="auto"/>
              <w:rPr>
                <w:b/>
                <w:noProof/>
                <w:color w:val="000000"/>
              </w:rPr>
            </w:pPr>
            <w:r w:rsidRPr="009B1A37">
              <w:rPr>
                <w:b/>
                <w:noProof/>
                <w:color w:val="000000"/>
              </w:rPr>
              <w:t>România</w:t>
            </w:r>
          </w:p>
          <w:p w14:paraId="694D43D4" w14:textId="77777777" w:rsidR="00762D0E" w:rsidRPr="009B1A37" w:rsidRDefault="00762D0E" w:rsidP="00BE3D48">
            <w:pPr>
              <w:widowControl w:val="0"/>
              <w:spacing w:line="240" w:lineRule="auto"/>
              <w:rPr>
                <w:noProof/>
                <w:color w:val="000000"/>
              </w:rPr>
            </w:pPr>
            <w:r w:rsidRPr="009B1A37">
              <w:rPr>
                <w:noProof/>
                <w:color w:val="000000"/>
              </w:rPr>
              <w:t xml:space="preserve">Novartis Pharma Services </w:t>
            </w:r>
            <w:r w:rsidRPr="009B1A37">
              <w:rPr>
                <w:color w:val="2F2F2F"/>
              </w:rPr>
              <w:t>Romania SRL</w:t>
            </w:r>
          </w:p>
          <w:p w14:paraId="54301433" w14:textId="77777777" w:rsidR="00762D0E" w:rsidRPr="009B1A37" w:rsidRDefault="00762D0E" w:rsidP="00BE3D48">
            <w:pPr>
              <w:widowControl w:val="0"/>
              <w:spacing w:line="240" w:lineRule="auto"/>
              <w:rPr>
                <w:color w:val="000000"/>
              </w:rPr>
            </w:pPr>
            <w:r w:rsidRPr="009B1A37">
              <w:rPr>
                <w:noProof/>
                <w:color w:val="000000"/>
              </w:rPr>
              <w:t>Tel: +40 21 31299 01</w:t>
            </w:r>
          </w:p>
        </w:tc>
      </w:tr>
      <w:tr w:rsidR="00762D0E" w:rsidRPr="009B1A37" w14:paraId="28C92B6F" w14:textId="77777777" w:rsidTr="00795E60">
        <w:trPr>
          <w:cantSplit/>
        </w:trPr>
        <w:tc>
          <w:tcPr>
            <w:tcW w:w="4650" w:type="dxa"/>
          </w:tcPr>
          <w:p w14:paraId="02C9CA8C" w14:textId="77777777" w:rsidR="00762D0E" w:rsidRPr="009B1A37" w:rsidRDefault="00762D0E" w:rsidP="00BE3D48">
            <w:pPr>
              <w:widowControl w:val="0"/>
              <w:spacing w:line="240" w:lineRule="auto"/>
              <w:rPr>
                <w:b/>
                <w:color w:val="000000"/>
              </w:rPr>
            </w:pPr>
            <w:r w:rsidRPr="009B1A37">
              <w:rPr>
                <w:b/>
                <w:color w:val="000000"/>
              </w:rPr>
              <w:t>Ireland</w:t>
            </w:r>
          </w:p>
          <w:p w14:paraId="126C0300" w14:textId="77777777" w:rsidR="00762D0E" w:rsidRPr="009B1A37" w:rsidRDefault="00762D0E" w:rsidP="00BE3D48">
            <w:pPr>
              <w:widowControl w:val="0"/>
              <w:spacing w:line="240" w:lineRule="auto"/>
              <w:rPr>
                <w:color w:val="000000"/>
              </w:rPr>
            </w:pPr>
            <w:r w:rsidRPr="009B1A37">
              <w:rPr>
                <w:color w:val="000000"/>
              </w:rPr>
              <w:t>Novartis Ireland Limited</w:t>
            </w:r>
          </w:p>
          <w:p w14:paraId="54BBDBEF" w14:textId="77777777" w:rsidR="00762D0E" w:rsidRPr="009B1A37" w:rsidRDefault="00762D0E" w:rsidP="00BE3D48">
            <w:pPr>
              <w:widowControl w:val="0"/>
              <w:spacing w:line="240" w:lineRule="auto"/>
              <w:rPr>
                <w:color w:val="000000"/>
              </w:rPr>
            </w:pPr>
            <w:r w:rsidRPr="009B1A37">
              <w:rPr>
                <w:color w:val="000000"/>
              </w:rPr>
              <w:t>Tel: +353 1 260 12 55</w:t>
            </w:r>
          </w:p>
          <w:p w14:paraId="45F154DD" w14:textId="77777777" w:rsidR="00762D0E" w:rsidRPr="009B1A37" w:rsidRDefault="00762D0E" w:rsidP="00BE3D48">
            <w:pPr>
              <w:widowControl w:val="0"/>
              <w:spacing w:line="240" w:lineRule="auto"/>
              <w:rPr>
                <w:b/>
                <w:color w:val="000000"/>
              </w:rPr>
            </w:pPr>
          </w:p>
        </w:tc>
        <w:tc>
          <w:tcPr>
            <w:tcW w:w="4650" w:type="dxa"/>
          </w:tcPr>
          <w:p w14:paraId="5651717C" w14:textId="77777777" w:rsidR="00762D0E" w:rsidRPr="009B1A37" w:rsidRDefault="00762D0E" w:rsidP="00BE3D48">
            <w:pPr>
              <w:widowControl w:val="0"/>
              <w:spacing w:line="240" w:lineRule="auto"/>
              <w:rPr>
                <w:b/>
                <w:color w:val="000000"/>
              </w:rPr>
            </w:pPr>
            <w:r w:rsidRPr="009B1A37">
              <w:rPr>
                <w:b/>
                <w:color w:val="000000"/>
              </w:rPr>
              <w:t>Slovenija</w:t>
            </w:r>
          </w:p>
          <w:p w14:paraId="0D7B7BAA" w14:textId="77777777" w:rsidR="00762D0E" w:rsidRPr="009B1A37" w:rsidRDefault="00762D0E" w:rsidP="00BE3D48">
            <w:pPr>
              <w:widowControl w:val="0"/>
              <w:spacing w:line="240" w:lineRule="auto"/>
              <w:rPr>
                <w:color w:val="000000"/>
              </w:rPr>
            </w:pPr>
            <w:r w:rsidRPr="009B1A37">
              <w:rPr>
                <w:color w:val="000000"/>
              </w:rPr>
              <w:t>Novartis Pharma Services Inc.</w:t>
            </w:r>
          </w:p>
          <w:p w14:paraId="5543E586" w14:textId="77777777" w:rsidR="00762D0E" w:rsidRPr="009B1A37" w:rsidRDefault="00762D0E" w:rsidP="00BE3D48">
            <w:pPr>
              <w:widowControl w:val="0"/>
              <w:spacing w:line="240" w:lineRule="auto"/>
              <w:rPr>
                <w:color w:val="000000"/>
              </w:rPr>
            </w:pPr>
            <w:r w:rsidRPr="009B1A37">
              <w:rPr>
                <w:color w:val="000000"/>
              </w:rPr>
              <w:t>Tel: +386 1 300 75 50</w:t>
            </w:r>
          </w:p>
        </w:tc>
      </w:tr>
      <w:tr w:rsidR="00762D0E" w:rsidRPr="009B1A37" w14:paraId="1AB15D02" w14:textId="77777777" w:rsidTr="00795E60">
        <w:trPr>
          <w:cantSplit/>
        </w:trPr>
        <w:tc>
          <w:tcPr>
            <w:tcW w:w="4650" w:type="dxa"/>
          </w:tcPr>
          <w:p w14:paraId="48940E6D" w14:textId="77777777" w:rsidR="00762D0E" w:rsidRPr="009B1A37" w:rsidRDefault="00762D0E" w:rsidP="00BE3D48">
            <w:pPr>
              <w:widowControl w:val="0"/>
              <w:spacing w:line="240" w:lineRule="auto"/>
              <w:rPr>
                <w:b/>
                <w:color w:val="000000"/>
              </w:rPr>
            </w:pPr>
            <w:r w:rsidRPr="009B1A37">
              <w:rPr>
                <w:b/>
                <w:color w:val="000000"/>
              </w:rPr>
              <w:t>Ísland</w:t>
            </w:r>
          </w:p>
          <w:p w14:paraId="72FA41EA" w14:textId="77777777" w:rsidR="00762D0E" w:rsidRPr="009B1A37" w:rsidRDefault="00762D0E" w:rsidP="00BE3D48">
            <w:pPr>
              <w:widowControl w:val="0"/>
              <w:spacing w:line="240" w:lineRule="auto"/>
              <w:rPr>
                <w:color w:val="000000"/>
              </w:rPr>
            </w:pPr>
            <w:r w:rsidRPr="009B1A37">
              <w:rPr>
                <w:color w:val="000000"/>
              </w:rPr>
              <w:t>Vistor hf.</w:t>
            </w:r>
          </w:p>
          <w:p w14:paraId="05BF9171" w14:textId="77777777" w:rsidR="00762D0E" w:rsidRPr="009B1A37" w:rsidRDefault="00762D0E" w:rsidP="00BE3D48">
            <w:pPr>
              <w:widowControl w:val="0"/>
              <w:spacing w:line="240" w:lineRule="auto"/>
              <w:rPr>
                <w:color w:val="000000"/>
              </w:rPr>
            </w:pPr>
            <w:r w:rsidRPr="009B1A37">
              <w:rPr>
                <w:noProof/>
                <w:color w:val="000000"/>
              </w:rPr>
              <w:t>Sími</w:t>
            </w:r>
            <w:r w:rsidRPr="009B1A37">
              <w:rPr>
                <w:color w:val="000000"/>
              </w:rPr>
              <w:t>: +354 535 7000</w:t>
            </w:r>
          </w:p>
          <w:p w14:paraId="213B5107" w14:textId="77777777" w:rsidR="00762D0E" w:rsidRPr="009B1A37" w:rsidRDefault="00762D0E" w:rsidP="00BE3D48">
            <w:pPr>
              <w:widowControl w:val="0"/>
              <w:spacing w:line="240" w:lineRule="auto"/>
              <w:rPr>
                <w:b/>
                <w:color w:val="000000"/>
              </w:rPr>
            </w:pPr>
          </w:p>
        </w:tc>
        <w:tc>
          <w:tcPr>
            <w:tcW w:w="4650" w:type="dxa"/>
          </w:tcPr>
          <w:p w14:paraId="7BA03D20" w14:textId="77777777" w:rsidR="00762D0E" w:rsidRPr="009B1A37" w:rsidRDefault="00762D0E" w:rsidP="00BE3D48">
            <w:pPr>
              <w:widowControl w:val="0"/>
              <w:spacing w:line="240" w:lineRule="auto"/>
              <w:rPr>
                <w:b/>
                <w:color w:val="000000"/>
              </w:rPr>
            </w:pPr>
            <w:r w:rsidRPr="009B1A37">
              <w:rPr>
                <w:b/>
                <w:color w:val="000000"/>
              </w:rPr>
              <w:t>Slovenská republika</w:t>
            </w:r>
          </w:p>
          <w:p w14:paraId="4D55EEAF" w14:textId="77777777" w:rsidR="00762D0E" w:rsidRPr="009B1A37" w:rsidRDefault="00762D0E" w:rsidP="00BE3D48">
            <w:pPr>
              <w:widowControl w:val="0"/>
              <w:spacing w:line="240" w:lineRule="auto"/>
              <w:rPr>
                <w:color w:val="000000"/>
              </w:rPr>
            </w:pPr>
            <w:r w:rsidRPr="009B1A37">
              <w:rPr>
                <w:color w:val="000000"/>
              </w:rPr>
              <w:t>Novartis Slovakia s.r.o.</w:t>
            </w:r>
          </w:p>
          <w:p w14:paraId="74B2855D" w14:textId="77777777" w:rsidR="00762D0E" w:rsidRPr="009B1A37" w:rsidRDefault="00762D0E" w:rsidP="00BE3D48">
            <w:pPr>
              <w:widowControl w:val="0"/>
              <w:spacing w:line="240" w:lineRule="auto"/>
              <w:rPr>
                <w:color w:val="000000"/>
              </w:rPr>
            </w:pPr>
            <w:r w:rsidRPr="009B1A37">
              <w:rPr>
                <w:color w:val="000000"/>
              </w:rPr>
              <w:t>Tel: +421 2 5542 5439</w:t>
            </w:r>
          </w:p>
          <w:p w14:paraId="7FB34029" w14:textId="77777777" w:rsidR="00762D0E" w:rsidRPr="009B1A37" w:rsidRDefault="00762D0E" w:rsidP="00BE3D48">
            <w:pPr>
              <w:widowControl w:val="0"/>
              <w:spacing w:line="240" w:lineRule="auto"/>
              <w:rPr>
                <w:color w:val="000000"/>
              </w:rPr>
            </w:pPr>
          </w:p>
        </w:tc>
      </w:tr>
      <w:tr w:rsidR="00762D0E" w:rsidRPr="009B1A37" w14:paraId="15782BE8" w14:textId="77777777" w:rsidTr="00795E60">
        <w:trPr>
          <w:cantSplit/>
        </w:trPr>
        <w:tc>
          <w:tcPr>
            <w:tcW w:w="4650" w:type="dxa"/>
          </w:tcPr>
          <w:p w14:paraId="2149CFCC" w14:textId="77777777" w:rsidR="00762D0E" w:rsidRPr="009B1A37" w:rsidRDefault="00762D0E" w:rsidP="00BE3D48">
            <w:pPr>
              <w:widowControl w:val="0"/>
              <w:spacing w:line="240" w:lineRule="auto"/>
              <w:rPr>
                <w:b/>
                <w:color w:val="000000"/>
              </w:rPr>
            </w:pPr>
            <w:r w:rsidRPr="009B1A37">
              <w:rPr>
                <w:b/>
                <w:color w:val="000000"/>
              </w:rPr>
              <w:t>Italia</w:t>
            </w:r>
          </w:p>
          <w:p w14:paraId="27B5962F" w14:textId="77777777" w:rsidR="00762D0E" w:rsidRPr="009B1A37" w:rsidRDefault="00762D0E" w:rsidP="00BE3D48">
            <w:pPr>
              <w:widowControl w:val="0"/>
              <w:spacing w:line="240" w:lineRule="auto"/>
              <w:rPr>
                <w:color w:val="000000"/>
              </w:rPr>
            </w:pPr>
            <w:r w:rsidRPr="009B1A37">
              <w:rPr>
                <w:color w:val="000000"/>
              </w:rPr>
              <w:t>Novartis Farma S.p.A.</w:t>
            </w:r>
          </w:p>
          <w:p w14:paraId="7C4F5114" w14:textId="77777777" w:rsidR="00762D0E" w:rsidRPr="009B1A37" w:rsidRDefault="00762D0E" w:rsidP="00BE3D48">
            <w:pPr>
              <w:widowControl w:val="0"/>
              <w:spacing w:line="240" w:lineRule="auto"/>
              <w:rPr>
                <w:b/>
                <w:color w:val="000000"/>
              </w:rPr>
            </w:pPr>
            <w:r w:rsidRPr="009B1A37">
              <w:rPr>
                <w:color w:val="000000"/>
              </w:rPr>
              <w:t>Tel: +39 02 96 54 1</w:t>
            </w:r>
          </w:p>
        </w:tc>
        <w:tc>
          <w:tcPr>
            <w:tcW w:w="4650" w:type="dxa"/>
          </w:tcPr>
          <w:p w14:paraId="09E65B76" w14:textId="77777777" w:rsidR="00762D0E" w:rsidRPr="009B1A37" w:rsidRDefault="00762D0E" w:rsidP="00BE3D48">
            <w:pPr>
              <w:widowControl w:val="0"/>
              <w:spacing w:line="240" w:lineRule="auto"/>
              <w:rPr>
                <w:b/>
                <w:color w:val="000000"/>
              </w:rPr>
            </w:pPr>
            <w:r w:rsidRPr="009B1A37">
              <w:rPr>
                <w:b/>
                <w:color w:val="000000"/>
              </w:rPr>
              <w:t>Suomi/Finland</w:t>
            </w:r>
          </w:p>
          <w:p w14:paraId="654F869F" w14:textId="77777777" w:rsidR="00762D0E" w:rsidRPr="009B1A37" w:rsidRDefault="00762D0E" w:rsidP="00BE3D48">
            <w:pPr>
              <w:widowControl w:val="0"/>
              <w:spacing w:line="240" w:lineRule="auto"/>
              <w:rPr>
                <w:color w:val="000000"/>
              </w:rPr>
            </w:pPr>
            <w:r w:rsidRPr="009B1A37">
              <w:rPr>
                <w:color w:val="000000"/>
              </w:rPr>
              <w:t>Novartis Finland Oy</w:t>
            </w:r>
          </w:p>
          <w:p w14:paraId="36EC69EA" w14:textId="77777777" w:rsidR="00762D0E" w:rsidRPr="009B1A37" w:rsidRDefault="00762D0E" w:rsidP="00BE3D48">
            <w:pPr>
              <w:widowControl w:val="0"/>
              <w:spacing w:line="240" w:lineRule="auto"/>
              <w:rPr>
                <w:color w:val="000000"/>
              </w:rPr>
            </w:pPr>
            <w:r w:rsidRPr="009B1A37">
              <w:rPr>
                <w:color w:val="000000"/>
              </w:rPr>
              <w:t xml:space="preserve">Puh/Tel: </w:t>
            </w:r>
            <w:r w:rsidRPr="009B1A37">
              <w:rPr>
                <w:color w:val="000000"/>
                <w:lang w:bidi="he-IL"/>
              </w:rPr>
              <w:t>+358 (0)10 6133 200</w:t>
            </w:r>
          </w:p>
          <w:p w14:paraId="26A7FBEB" w14:textId="77777777" w:rsidR="00762D0E" w:rsidRPr="009B1A37" w:rsidRDefault="00762D0E" w:rsidP="00BE3D48">
            <w:pPr>
              <w:widowControl w:val="0"/>
              <w:spacing w:line="240" w:lineRule="auto"/>
              <w:rPr>
                <w:color w:val="000000"/>
              </w:rPr>
            </w:pPr>
          </w:p>
        </w:tc>
      </w:tr>
      <w:tr w:rsidR="00762D0E" w:rsidRPr="009B1A37" w14:paraId="0B1A4A36" w14:textId="77777777" w:rsidTr="00795E60">
        <w:trPr>
          <w:cantSplit/>
        </w:trPr>
        <w:tc>
          <w:tcPr>
            <w:tcW w:w="4650" w:type="dxa"/>
          </w:tcPr>
          <w:p w14:paraId="3E392C56" w14:textId="77777777" w:rsidR="00762D0E" w:rsidRPr="009B1A37" w:rsidRDefault="00762D0E" w:rsidP="00BE3D48">
            <w:pPr>
              <w:widowControl w:val="0"/>
              <w:spacing w:line="240" w:lineRule="auto"/>
              <w:rPr>
                <w:b/>
                <w:color w:val="000000"/>
              </w:rPr>
            </w:pPr>
            <w:r w:rsidRPr="009B1A37">
              <w:rPr>
                <w:b/>
                <w:color w:val="000000"/>
              </w:rPr>
              <w:t>Κύπρος</w:t>
            </w:r>
          </w:p>
          <w:p w14:paraId="3266BCE7" w14:textId="77777777" w:rsidR="00762D0E" w:rsidRPr="009B1A37" w:rsidRDefault="00762D0E" w:rsidP="00BE3D48">
            <w:pPr>
              <w:widowControl w:val="0"/>
              <w:spacing w:line="240" w:lineRule="auto"/>
              <w:rPr>
                <w:color w:val="000000"/>
              </w:rPr>
            </w:pPr>
            <w:r w:rsidRPr="009B1A37">
              <w:rPr>
                <w:color w:val="000000"/>
                <w:lang w:bidi="he-IL"/>
              </w:rPr>
              <w:t>Novartis Pharma Services Inc.</w:t>
            </w:r>
          </w:p>
          <w:p w14:paraId="2A69C5B5" w14:textId="77777777" w:rsidR="00762D0E" w:rsidRPr="009B1A37" w:rsidRDefault="00762D0E" w:rsidP="00BE3D48">
            <w:pPr>
              <w:widowControl w:val="0"/>
              <w:spacing w:line="240" w:lineRule="auto"/>
              <w:rPr>
                <w:color w:val="000000"/>
              </w:rPr>
            </w:pPr>
            <w:r w:rsidRPr="009B1A37">
              <w:rPr>
                <w:color w:val="000000"/>
              </w:rPr>
              <w:t>Τηλ: +357 22 690 690</w:t>
            </w:r>
          </w:p>
          <w:p w14:paraId="36D277C9" w14:textId="77777777" w:rsidR="00762D0E" w:rsidRPr="009B1A37" w:rsidRDefault="00762D0E" w:rsidP="00BE3D48">
            <w:pPr>
              <w:widowControl w:val="0"/>
              <w:spacing w:line="240" w:lineRule="auto"/>
              <w:rPr>
                <w:b/>
                <w:color w:val="000000"/>
              </w:rPr>
            </w:pPr>
          </w:p>
        </w:tc>
        <w:tc>
          <w:tcPr>
            <w:tcW w:w="4650" w:type="dxa"/>
          </w:tcPr>
          <w:p w14:paraId="434A3B5A" w14:textId="77777777" w:rsidR="00762D0E" w:rsidRPr="009B1A37" w:rsidRDefault="00762D0E" w:rsidP="00BE3D48">
            <w:pPr>
              <w:widowControl w:val="0"/>
              <w:spacing w:line="240" w:lineRule="auto"/>
              <w:rPr>
                <w:b/>
                <w:color w:val="000000"/>
              </w:rPr>
            </w:pPr>
            <w:r w:rsidRPr="009B1A37">
              <w:rPr>
                <w:b/>
                <w:color w:val="000000"/>
              </w:rPr>
              <w:t>Sverige</w:t>
            </w:r>
          </w:p>
          <w:p w14:paraId="11D3C3AA" w14:textId="77777777" w:rsidR="00762D0E" w:rsidRPr="009B1A37" w:rsidRDefault="00762D0E" w:rsidP="00BE3D48">
            <w:pPr>
              <w:widowControl w:val="0"/>
              <w:spacing w:line="240" w:lineRule="auto"/>
              <w:rPr>
                <w:color w:val="000000"/>
              </w:rPr>
            </w:pPr>
            <w:r w:rsidRPr="009B1A37">
              <w:rPr>
                <w:color w:val="000000"/>
              </w:rPr>
              <w:t>Novartis Sverige AB</w:t>
            </w:r>
          </w:p>
          <w:p w14:paraId="04060DAE" w14:textId="77777777" w:rsidR="00762D0E" w:rsidRPr="009B1A37" w:rsidRDefault="00762D0E" w:rsidP="00BE3D48">
            <w:pPr>
              <w:widowControl w:val="0"/>
              <w:spacing w:line="240" w:lineRule="auto"/>
              <w:rPr>
                <w:color w:val="000000"/>
              </w:rPr>
            </w:pPr>
            <w:r w:rsidRPr="009B1A37">
              <w:rPr>
                <w:color w:val="000000"/>
              </w:rPr>
              <w:t>Tel: +46 8 732 32 00</w:t>
            </w:r>
          </w:p>
          <w:p w14:paraId="7747732C" w14:textId="77777777" w:rsidR="00762D0E" w:rsidRPr="009B1A37" w:rsidRDefault="00762D0E" w:rsidP="00BE3D48">
            <w:pPr>
              <w:widowControl w:val="0"/>
              <w:spacing w:line="240" w:lineRule="auto"/>
              <w:rPr>
                <w:color w:val="000000"/>
              </w:rPr>
            </w:pPr>
          </w:p>
        </w:tc>
      </w:tr>
      <w:tr w:rsidR="00762D0E" w:rsidRPr="009B1A37" w14:paraId="4D888FCC" w14:textId="77777777" w:rsidTr="00795E60">
        <w:trPr>
          <w:cantSplit/>
        </w:trPr>
        <w:tc>
          <w:tcPr>
            <w:tcW w:w="4650" w:type="dxa"/>
          </w:tcPr>
          <w:p w14:paraId="0A9DAA66" w14:textId="77777777" w:rsidR="00762D0E" w:rsidRPr="009B1A37" w:rsidRDefault="00762D0E" w:rsidP="00BE3D48">
            <w:pPr>
              <w:widowControl w:val="0"/>
              <w:spacing w:line="240" w:lineRule="auto"/>
              <w:rPr>
                <w:b/>
                <w:color w:val="000000"/>
              </w:rPr>
            </w:pPr>
            <w:r w:rsidRPr="009B1A37">
              <w:rPr>
                <w:b/>
                <w:color w:val="000000"/>
              </w:rPr>
              <w:t>Latvija</w:t>
            </w:r>
          </w:p>
          <w:p w14:paraId="5D9EC80B" w14:textId="1066B602" w:rsidR="00762D0E" w:rsidRPr="009B1A37" w:rsidRDefault="008E362E" w:rsidP="00BE3D48">
            <w:pPr>
              <w:widowControl w:val="0"/>
              <w:spacing w:line="240" w:lineRule="auto"/>
              <w:rPr>
                <w:color w:val="000000"/>
              </w:rPr>
            </w:pPr>
            <w:r w:rsidRPr="009B1A37">
              <w:t>SIA Novartis Baltics</w:t>
            </w:r>
          </w:p>
          <w:p w14:paraId="2F6D48A8" w14:textId="77777777" w:rsidR="00762D0E" w:rsidRPr="009B1A37" w:rsidRDefault="00762D0E" w:rsidP="00BE3D48">
            <w:pPr>
              <w:widowControl w:val="0"/>
              <w:spacing w:line="240" w:lineRule="auto"/>
              <w:rPr>
                <w:color w:val="000000"/>
              </w:rPr>
            </w:pPr>
            <w:r w:rsidRPr="009B1A37">
              <w:rPr>
                <w:color w:val="000000"/>
              </w:rPr>
              <w:t>Tel: +371 67 887 070</w:t>
            </w:r>
          </w:p>
          <w:p w14:paraId="0E8915C6" w14:textId="77777777" w:rsidR="00762D0E" w:rsidRPr="009B1A37" w:rsidRDefault="00762D0E" w:rsidP="00BE3D48">
            <w:pPr>
              <w:widowControl w:val="0"/>
              <w:spacing w:line="240" w:lineRule="auto"/>
              <w:rPr>
                <w:b/>
                <w:color w:val="000000"/>
              </w:rPr>
            </w:pPr>
          </w:p>
        </w:tc>
        <w:tc>
          <w:tcPr>
            <w:tcW w:w="4650" w:type="dxa"/>
          </w:tcPr>
          <w:p w14:paraId="3C14FE02" w14:textId="77777777" w:rsidR="00762D0E" w:rsidRPr="009B1A37" w:rsidRDefault="00762D0E" w:rsidP="00BE3D48">
            <w:pPr>
              <w:widowControl w:val="0"/>
              <w:spacing w:line="240" w:lineRule="auto"/>
              <w:rPr>
                <w:b/>
                <w:color w:val="000000"/>
              </w:rPr>
            </w:pPr>
            <w:r w:rsidRPr="009B1A37">
              <w:rPr>
                <w:b/>
                <w:color w:val="000000"/>
              </w:rPr>
              <w:t>United Kingdom</w:t>
            </w:r>
          </w:p>
          <w:p w14:paraId="0C616B98" w14:textId="77777777" w:rsidR="00762D0E" w:rsidRPr="009B1A37" w:rsidRDefault="00762D0E" w:rsidP="00BE3D48">
            <w:pPr>
              <w:widowControl w:val="0"/>
              <w:spacing w:line="240" w:lineRule="auto"/>
              <w:rPr>
                <w:color w:val="000000"/>
              </w:rPr>
            </w:pPr>
            <w:r w:rsidRPr="009B1A37">
              <w:rPr>
                <w:color w:val="000000"/>
              </w:rPr>
              <w:t>Novartis Pharmaceuticals UK Ltd.</w:t>
            </w:r>
          </w:p>
          <w:p w14:paraId="10696A08" w14:textId="77777777" w:rsidR="00762D0E" w:rsidRPr="009B1A37" w:rsidRDefault="00762D0E" w:rsidP="00BE3D48">
            <w:pPr>
              <w:widowControl w:val="0"/>
              <w:spacing w:line="240" w:lineRule="auto"/>
              <w:rPr>
                <w:color w:val="000000"/>
              </w:rPr>
            </w:pPr>
            <w:r w:rsidRPr="009B1A37">
              <w:rPr>
                <w:color w:val="000000"/>
              </w:rPr>
              <w:t>Tel: +44 1276 698370</w:t>
            </w:r>
          </w:p>
          <w:p w14:paraId="37157725" w14:textId="77777777" w:rsidR="00762D0E" w:rsidRPr="009B1A37" w:rsidRDefault="00762D0E" w:rsidP="00BE3D48">
            <w:pPr>
              <w:widowControl w:val="0"/>
              <w:spacing w:line="240" w:lineRule="auto"/>
              <w:rPr>
                <w:color w:val="000000"/>
              </w:rPr>
            </w:pPr>
          </w:p>
        </w:tc>
      </w:tr>
    </w:tbl>
    <w:p w14:paraId="0B015849" w14:textId="77777777" w:rsidR="00762D0E" w:rsidRPr="009B1A37" w:rsidRDefault="00762D0E" w:rsidP="00BE3D48">
      <w:pPr>
        <w:widowControl w:val="0"/>
        <w:tabs>
          <w:tab w:val="clear" w:pos="567"/>
        </w:tabs>
        <w:spacing w:line="240" w:lineRule="auto"/>
        <w:ind w:right="-449"/>
        <w:rPr>
          <w:color w:val="000000"/>
        </w:rPr>
      </w:pPr>
    </w:p>
    <w:p w14:paraId="4DA48D75" w14:textId="77777777" w:rsidR="00E61A01" w:rsidRPr="009B1A37" w:rsidRDefault="00E61A01" w:rsidP="00BE3D48">
      <w:pPr>
        <w:widowControl w:val="0"/>
        <w:tabs>
          <w:tab w:val="clear" w:pos="567"/>
        </w:tabs>
        <w:spacing w:line="240" w:lineRule="auto"/>
        <w:ind w:right="-2"/>
        <w:rPr>
          <w:b/>
          <w:bCs/>
          <w:color w:val="000000"/>
        </w:rPr>
      </w:pPr>
      <w:r w:rsidRPr="009B1A37">
        <w:rPr>
          <w:b/>
          <w:bCs/>
          <w:color w:val="000000"/>
        </w:rPr>
        <w:t xml:space="preserve">Tato příbalová informace byla naposledy </w:t>
      </w:r>
      <w:r w:rsidR="007D331A" w:rsidRPr="009B1A37">
        <w:rPr>
          <w:b/>
          <w:bCs/>
          <w:color w:val="000000"/>
        </w:rPr>
        <w:t>revidována</w:t>
      </w:r>
    </w:p>
    <w:p w14:paraId="3CD3B066" w14:textId="77777777" w:rsidR="007D331A" w:rsidRPr="009B1A37" w:rsidRDefault="007D331A" w:rsidP="00BE3D48">
      <w:pPr>
        <w:widowControl w:val="0"/>
        <w:tabs>
          <w:tab w:val="clear" w:pos="567"/>
        </w:tabs>
        <w:spacing w:line="240" w:lineRule="auto"/>
        <w:ind w:right="-2"/>
        <w:rPr>
          <w:color w:val="000000"/>
        </w:rPr>
      </w:pPr>
    </w:p>
    <w:p w14:paraId="20230C4D" w14:textId="77777777" w:rsidR="007D331A" w:rsidRPr="009B1A37" w:rsidRDefault="007D331A" w:rsidP="00BE3D48">
      <w:pPr>
        <w:keepNext/>
        <w:widowControl w:val="0"/>
        <w:tabs>
          <w:tab w:val="clear" w:pos="567"/>
        </w:tabs>
        <w:spacing w:line="240" w:lineRule="auto"/>
        <w:rPr>
          <w:b/>
          <w:color w:val="000000"/>
        </w:rPr>
      </w:pPr>
      <w:r w:rsidRPr="009B1A37">
        <w:rPr>
          <w:b/>
          <w:color w:val="000000"/>
        </w:rPr>
        <w:t>Další zdroje informací</w:t>
      </w:r>
    </w:p>
    <w:p w14:paraId="7B9BB83E" w14:textId="77777777" w:rsidR="00E61A01" w:rsidRPr="009B1A37" w:rsidRDefault="00E61A01" w:rsidP="00BE3D48">
      <w:pPr>
        <w:widowControl w:val="0"/>
        <w:tabs>
          <w:tab w:val="clear" w:pos="567"/>
        </w:tabs>
        <w:spacing w:line="240" w:lineRule="auto"/>
        <w:ind w:right="-2"/>
        <w:rPr>
          <w:color w:val="000000"/>
        </w:rPr>
      </w:pPr>
      <w:r w:rsidRPr="009B1A37">
        <w:rPr>
          <w:color w:val="000000"/>
        </w:rPr>
        <w:t xml:space="preserve">Podrobné informace o tomto </w:t>
      </w:r>
      <w:r w:rsidR="007D331A" w:rsidRPr="009B1A37">
        <w:rPr>
          <w:color w:val="000000"/>
        </w:rPr>
        <w:t xml:space="preserve">léčivém </w:t>
      </w:r>
      <w:r w:rsidRPr="009B1A37">
        <w:rPr>
          <w:color w:val="000000"/>
        </w:rPr>
        <w:t xml:space="preserve">přípravku jsou </w:t>
      </w:r>
      <w:r w:rsidR="007D331A" w:rsidRPr="009B1A37">
        <w:rPr>
          <w:color w:val="000000"/>
        </w:rPr>
        <w:t>k dispozici</w:t>
      </w:r>
      <w:r w:rsidRPr="009B1A37">
        <w:rPr>
          <w:color w:val="000000"/>
        </w:rPr>
        <w:t xml:space="preserve"> na webových stránkách Evropské agentury</w:t>
      </w:r>
      <w:r w:rsidR="007D331A" w:rsidRPr="009B1A37">
        <w:rPr>
          <w:color w:val="000000"/>
        </w:rPr>
        <w:t xml:space="preserve"> pro léčivé přípravky</w:t>
      </w:r>
      <w:r w:rsidRPr="009B1A37">
        <w:rPr>
          <w:color w:val="000000"/>
        </w:rPr>
        <w:t xml:space="preserve"> http://www.ema.europa.eu</w:t>
      </w:r>
    </w:p>
    <w:p w14:paraId="1FF80D4C" w14:textId="77777777" w:rsidR="00E61A01" w:rsidRPr="009B1A37" w:rsidRDefault="00E61A01" w:rsidP="00BE3D48">
      <w:pPr>
        <w:widowControl w:val="0"/>
        <w:tabs>
          <w:tab w:val="clear" w:pos="567"/>
        </w:tabs>
        <w:spacing w:line="240" w:lineRule="auto"/>
        <w:ind w:right="-2"/>
        <w:rPr>
          <w:color w:val="000000"/>
        </w:rPr>
      </w:pPr>
    </w:p>
    <w:p w14:paraId="1B60E753" w14:textId="6C54EB44" w:rsidR="00E61A01" w:rsidRPr="00954B4E" w:rsidRDefault="00E61A01" w:rsidP="00A1501E">
      <w:pPr>
        <w:widowControl w:val="0"/>
        <w:tabs>
          <w:tab w:val="clear" w:pos="567"/>
        </w:tabs>
        <w:spacing w:line="240" w:lineRule="auto"/>
        <w:ind w:right="-2"/>
        <w:jc w:val="center"/>
        <w:rPr>
          <w:color w:val="000000"/>
        </w:rPr>
      </w:pPr>
    </w:p>
    <w:p w14:paraId="6F9722A2" w14:textId="77777777" w:rsidR="00AC0E5D" w:rsidRPr="00954B4E" w:rsidRDefault="00AC0E5D" w:rsidP="00BE3D48">
      <w:pPr>
        <w:pStyle w:val="BodytextAgency"/>
        <w:spacing w:after="0" w:line="240" w:lineRule="auto"/>
        <w:rPr>
          <w:rFonts w:ascii="Times New Roman" w:hAnsi="Times New Roman"/>
          <w:sz w:val="22"/>
          <w:szCs w:val="22"/>
          <w:lang w:val="cs-CZ"/>
        </w:rPr>
      </w:pPr>
    </w:p>
    <w:p w14:paraId="141885A2" w14:textId="77777777" w:rsidR="00D016F9" w:rsidRPr="001826E6" w:rsidRDefault="00D016F9" w:rsidP="00BE3D48">
      <w:pPr>
        <w:widowControl w:val="0"/>
        <w:tabs>
          <w:tab w:val="clear" w:pos="567"/>
        </w:tabs>
        <w:spacing w:line="240" w:lineRule="auto"/>
      </w:pPr>
    </w:p>
    <w:sectPr w:rsidR="00D016F9" w:rsidRPr="001826E6" w:rsidSect="00F75C2F">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4"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DD7E9" w14:textId="77777777" w:rsidR="00897AA8" w:rsidRDefault="00897AA8">
      <w:r>
        <w:separator/>
      </w:r>
    </w:p>
  </w:endnote>
  <w:endnote w:type="continuationSeparator" w:id="0">
    <w:p w14:paraId="32E4A9FA" w14:textId="77777777" w:rsidR="00897AA8" w:rsidRDefault="00897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20803070505020304"/>
    <w:charset w:val="00"/>
    <w:family w:val="roman"/>
    <w:notTrueType/>
    <w:pitch w:val="default"/>
  </w:font>
  <w:font w:name="TimesNewRoman">
    <w:altName w:val="Yu Gothic UI"/>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09D8E" w14:textId="77777777" w:rsidR="00897AA8" w:rsidRDefault="00897A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74746" w14:textId="41529C38" w:rsidR="00897AA8" w:rsidRPr="00AA6870" w:rsidRDefault="00897AA8">
    <w:pPr>
      <w:pStyle w:val="Footer"/>
      <w:tabs>
        <w:tab w:val="clear" w:pos="8930"/>
        <w:tab w:val="right" w:pos="8931"/>
      </w:tabs>
      <w:ind w:right="96"/>
      <w:jc w:val="center"/>
      <w:rPr>
        <w:rFonts w:ascii="Arial" w:hAnsi="Arial" w:cs="Arial"/>
      </w:rPr>
    </w:pPr>
    <w:r w:rsidRPr="00AA6870">
      <w:rPr>
        <w:rStyle w:val="PageNumber"/>
        <w:rFonts w:ascii="Arial" w:hAnsi="Arial" w:cs="Arial"/>
      </w:rPr>
      <w:fldChar w:fldCharType="begin"/>
    </w:r>
    <w:r w:rsidRPr="00AA6870">
      <w:rPr>
        <w:rStyle w:val="PageNumber"/>
        <w:rFonts w:ascii="Arial" w:hAnsi="Arial" w:cs="Arial"/>
      </w:rPr>
      <w:instrText xml:space="preserve"> PAGE </w:instrText>
    </w:r>
    <w:r w:rsidRPr="00AA6870">
      <w:rPr>
        <w:rStyle w:val="PageNumber"/>
        <w:rFonts w:ascii="Arial" w:hAnsi="Arial" w:cs="Arial"/>
      </w:rPr>
      <w:fldChar w:fldCharType="separate"/>
    </w:r>
    <w:r w:rsidR="0092468C">
      <w:rPr>
        <w:rStyle w:val="PageNumber"/>
        <w:rFonts w:ascii="Arial" w:hAnsi="Arial" w:cs="Arial"/>
        <w:noProof/>
      </w:rPr>
      <w:t>98</w:t>
    </w:r>
    <w:r w:rsidRPr="00AA6870">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D587" w14:textId="77777777" w:rsidR="00897AA8" w:rsidRDefault="00897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C08DB" w14:textId="77777777" w:rsidR="00897AA8" w:rsidRDefault="00897AA8">
      <w:r>
        <w:separator/>
      </w:r>
    </w:p>
  </w:footnote>
  <w:footnote w:type="continuationSeparator" w:id="0">
    <w:p w14:paraId="106A4EEC" w14:textId="77777777" w:rsidR="00897AA8" w:rsidRDefault="00897A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F5511" w14:textId="77777777" w:rsidR="00897AA8" w:rsidRDefault="00897A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9B58C" w14:textId="77777777" w:rsidR="00897AA8" w:rsidRDefault="00897A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AF53A" w14:textId="77777777" w:rsidR="00897AA8" w:rsidRDefault="00897A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pStyle w:val="Heading8"/>
      <w:lvlText w:val=""/>
      <w:lvlJc w:val="left"/>
      <w:pPr>
        <w:tabs>
          <w:tab w:val="num" w:pos="1440"/>
        </w:tabs>
        <w:ind w:left="1440" w:hanging="1440"/>
      </w:pPr>
    </w:lvl>
    <w:lvl w:ilvl="8">
      <w:start w:val="1"/>
      <w:numFmt w:val="none"/>
      <w:pStyle w:val="Heading9"/>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start w:val="1"/>
      <w:numFmt w:val="decimal"/>
      <w:lvlText w:val="%1."/>
      <w:lvlJc w:val="left"/>
      <w:pPr>
        <w:tabs>
          <w:tab w:val="num" w:pos="567"/>
        </w:tabs>
        <w:ind w:left="567" w:hanging="567"/>
      </w:pPr>
      <w:rPr>
        <w:rFonts w:cs="Times New Roman"/>
      </w:rPr>
    </w:lvl>
  </w:abstractNum>
  <w:abstractNum w:abstractNumId="3" w15:restartNumberingAfterBreak="0">
    <w:nsid w:val="00000003"/>
    <w:multiLevelType w:val="singleLevel"/>
    <w:tmpl w:val="00000003"/>
    <w:name w:val="WW8Num3"/>
    <w:lvl w:ilvl="0">
      <w:start w:val="1"/>
      <w:numFmt w:val="decimal"/>
      <w:lvlText w:val="%1."/>
      <w:lvlJc w:val="left"/>
      <w:pPr>
        <w:tabs>
          <w:tab w:val="num" w:pos="720"/>
        </w:tabs>
        <w:ind w:left="720" w:hanging="360"/>
      </w:pPr>
      <w:rPr>
        <w:rFonts w:cs="Times New Roman"/>
      </w:rPr>
    </w:lvl>
  </w:abstractNum>
  <w:abstractNum w:abstractNumId="4" w15:restartNumberingAfterBreak="0">
    <w:nsid w:val="00000004"/>
    <w:multiLevelType w:val="singleLevel"/>
    <w:tmpl w:val="00000004"/>
    <w:name w:val="WW8Num4"/>
    <w:lvl w:ilvl="0">
      <w:start w:val="1"/>
      <w:numFmt w:val="decimal"/>
      <w:lvlText w:val="%1."/>
      <w:lvlJc w:val="left"/>
      <w:pPr>
        <w:tabs>
          <w:tab w:val="num" w:pos="567"/>
        </w:tabs>
        <w:ind w:left="567" w:hanging="567"/>
      </w:pPr>
      <w:rPr>
        <w:rFonts w:cs="Times New Roman"/>
      </w:rPr>
    </w:lvl>
  </w:abstractNum>
  <w:abstractNum w:abstractNumId="5"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6"/>
    <w:multiLevelType w:val="singleLevel"/>
    <w:tmpl w:val="00000006"/>
    <w:name w:val="WW8Num6"/>
    <w:lvl w:ilvl="0">
      <w:start w:val="1"/>
      <w:numFmt w:val="decimal"/>
      <w:lvlText w:val="%1."/>
      <w:lvlJc w:val="left"/>
      <w:pPr>
        <w:tabs>
          <w:tab w:val="num" w:pos="567"/>
        </w:tabs>
        <w:ind w:left="567" w:hanging="567"/>
      </w:pPr>
      <w:rPr>
        <w:rFonts w:ascii="Symbol" w:hAnsi="Symbol"/>
      </w:rPr>
    </w:lvl>
  </w:abstractNum>
  <w:abstractNum w:abstractNumId="7" w15:restartNumberingAfterBreak="0">
    <w:nsid w:val="00000007"/>
    <w:multiLevelType w:val="singleLevel"/>
    <w:tmpl w:val="00000007"/>
    <w:name w:val="WW8Num7"/>
    <w:lvl w:ilvl="0">
      <w:start w:val="1"/>
      <w:numFmt w:val="bullet"/>
      <w:lvlText w:val=""/>
      <w:lvlJc w:val="left"/>
      <w:pPr>
        <w:tabs>
          <w:tab w:val="num" w:pos="510"/>
        </w:tabs>
        <w:ind w:left="567" w:hanging="567"/>
      </w:pPr>
      <w:rPr>
        <w:rFonts w:ascii="Symbol" w:hAnsi="Symbol"/>
      </w:rPr>
    </w:lvl>
  </w:abstractNum>
  <w:abstractNum w:abstractNumId="8" w15:restartNumberingAfterBreak="0">
    <w:nsid w:val="00000008"/>
    <w:multiLevelType w:val="singleLevel"/>
    <w:tmpl w:val="00000008"/>
    <w:name w:val="WW8Num8"/>
    <w:lvl w:ilvl="0">
      <w:start w:val="1"/>
      <w:numFmt w:val="decimal"/>
      <w:lvlText w:val="%1."/>
      <w:lvlJc w:val="left"/>
      <w:pPr>
        <w:tabs>
          <w:tab w:val="num" w:pos="567"/>
        </w:tabs>
        <w:ind w:left="567" w:hanging="567"/>
      </w:pPr>
      <w:rPr>
        <w:rFonts w:ascii="Symbol" w:hAnsi="Symbol"/>
      </w:rPr>
    </w:lvl>
  </w:abstractNum>
  <w:abstractNum w:abstractNumId="9" w15:restartNumberingAfterBreak="0">
    <w:nsid w:val="00000009"/>
    <w:multiLevelType w:val="singleLevel"/>
    <w:tmpl w:val="00000009"/>
    <w:name w:val="WW8Num9"/>
    <w:lvl w:ilvl="0">
      <w:start w:val="1"/>
      <w:numFmt w:val="bullet"/>
      <w:lvlText w:val=""/>
      <w:lvlJc w:val="left"/>
      <w:pPr>
        <w:tabs>
          <w:tab w:val="num" w:pos="567"/>
        </w:tabs>
        <w:ind w:left="567" w:hanging="567"/>
      </w:pPr>
      <w:rPr>
        <w:rFonts w:ascii="Symbol" w:hAnsi="Symbol" w:cs="Times New Roman"/>
      </w:rPr>
    </w:lvl>
  </w:abstractNum>
  <w:abstractNum w:abstractNumId="10" w15:restartNumberingAfterBreak="0">
    <w:nsid w:val="0000000A"/>
    <w:multiLevelType w:val="singleLevel"/>
    <w:tmpl w:val="0000000A"/>
    <w:name w:val="WW8Num10"/>
    <w:lvl w:ilvl="0">
      <w:start w:val="1"/>
      <w:numFmt w:val="decimal"/>
      <w:lvlText w:val="%1."/>
      <w:lvlJc w:val="left"/>
      <w:pPr>
        <w:tabs>
          <w:tab w:val="num" w:pos="360"/>
        </w:tabs>
        <w:ind w:left="360" w:hanging="360"/>
      </w:pPr>
      <w:rPr>
        <w:rFonts w:ascii="Symbol" w:hAnsi="Symbol"/>
      </w:rPr>
    </w:lvl>
  </w:abstractNum>
  <w:abstractNum w:abstractNumId="11" w15:restartNumberingAfterBreak="0">
    <w:nsid w:val="0000000B"/>
    <w:multiLevelType w:val="singleLevel"/>
    <w:tmpl w:val="0000000B"/>
    <w:name w:val="WW8Num11"/>
    <w:lvl w:ilvl="0">
      <w:start w:val="1"/>
      <w:numFmt w:val="decimal"/>
      <w:lvlText w:val="%1."/>
      <w:lvlJc w:val="left"/>
      <w:pPr>
        <w:tabs>
          <w:tab w:val="num" w:pos="567"/>
        </w:tabs>
        <w:ind w:left="567" w:hanging="567"/>
      </w:pPr>
      <w:rPr>
        <w:rFonts w:cs="Times New Roman"/>
      </w:rPr>
    </w:lvl>
  </w:abstractNum>
  <w:abstractNum w:abstractNumId="12" w15:restartNumberingAfterBreak="0">
    <w:nsid w:val="0000000C"/>
    <w:multiLevelType w:val="singleLevel"/>
    <w:tmpl w:val="0000000C"/>
    <w:name w:val="WW8Num12"/>
    <w:lvl w:ilvl="0">
      <w:start w:val="1"/>
      <w:numFmt w:val="decimal"/>
      <w:lvlText w:val="%1."/>
      <w:lvlJc w:val="left"/>
      <w:pPr>
        <w:tabs>
          <w:tab w:val="num" w:pos="567"/>
        </w:tabs>
        <w:ind w:left="567" w:hanging="567"/>
      </w:pPr>
      <w:rPr>
        <w:rFonts w:cs="Times New Roman"/>
      </w:rPr>
    </w:lvl>
  </w:abstractNum>
  <w:abstractNum w:abstractNumId="13" w15:restartNumberingAfterBreak="0">
    <w:nsid w:val="0000000D"/>
    <w:multiLevelType w:val="singleLevel"/>
    <w:tmpl w:val="0000000D"/>
    <w:name w:val="WW8Num13"/>
    <w:lvl w:ilvl="0">
      <w:start w:val="1"/>
      <w:numFmt w:val="decimal"/>
      <w:lvlText w:val="%1."/>
      <w:lvlJc w:val="left"/>
      <w:pPr>
        <w:tabs>
          <w:tab w:val="num" w:pos="930"/>
        </w:tabs>
        <w:ind w:left="930" w:hanging="570"/>
      </w:pPr>
      <w:rPr>
        <w:rFonts w:cs="Times New Roman"/>
      </w:rPr>
    </w:lvl>
  </w:abstractNum>
  <w:abstractNum w:abstractNumId="14" w15:restartNumberingAfterBreak="0">
    <w:nsid w:val="0000000E"/>
    <w:multiLevelType w:val="singleLevel"/>
    <w:tmpl w:val="0000000E"/>
    <w:name w:val="WW8Num14"/>
    <w:lvl w:ilvl="0">
      <w:start w:val="1"/>
      <w:numFmt w:val="bullet"/>
      <w:lvlText w:val=""/>
      <w:lvlJc w:val="left"/>
      <w:pPr>
        <w:tabs>
          <w:tab w:val="num" w:pos="360"/>
        </w:tabs>
        <w:ind w:left="360" w:hanging="360"/>
      </w:pPr>
      <w:rPr>
        <w:rFonts w:ascii="Symbol" w:hAnsi="Symbol"/>
      </w:rPr>
    </w:lvl>
  </w:abstractNum>
  <w:abstractNum w:abstractNumId="15" w15:restartNumberingAfterBreak="0">
    <w:nsid w:val="0000000F"/>
    <w:multiLevelType w:val="singleLevel"/>
    <w:tmpl w:val="0000000F"/>
    <w:name w:val="WW8Num15"/>
    <w:lvl w:ilvl="0">
      <w:start w:val="1"/>
      <w:numFmt w:val="bullet"/>
      <w:lvlText w:val=""/>
      <w:lvlJc w:val="left"/>
      <w:pPr>
        <w:tabs>
          <w:tab w:val="num" w:pos="780"/>
        </w:tabs>
        <w:ind w:left="780" w:hanging="360"/>
      </w:pPr>
      <w:rPr>
        <w:rFonts w:ascii="Symbol" w:hAnsi="Symbol" w:cs="Times New Roman"/>
      </w:rPr>
    </w:lvl>
  </w:abstractNum>
  <w:abstractNum w:abstractNumId="16" w15:restartNumberingAfterBreak="0">
    <w:nsid w:val="00000010"/>
    <w:multiLevelType w:val="singleLevel"/>
    <w:tmpl w:val="00000010"/>
    <w:name w:val="WW8Num16"/>
    <w:lvl w:ilvl="0">
      <w:start w:val="1"/>
      <w:numFmt w:val="bullet"/>
      <w:lvlText w:val=""/>
      <w:lvlJc w:val="left"/>
      <w:pPr>
        <w:tabs>
          <w:tab w:val="num" w:pos="417"/>
        </w:tabs>
        <w:ind w:left="417" w:hanging="360"/>
      </w:pPr>
      <w:rPr>
        <w:rFonts w:ascii="Symbol" w:hAnsi="Symbol" w:cs="Times New Roman"/>
      </w:rPr>
    </w:lvl>
  </w:abstractNum>
  <w:abstractNum w:abstractNumId="17" w15:restartNumberingAfterBreak="0">
    <w:nsid w:val="00000011"/>
    <w:multiLevelType w:val="singleLevel"/>
    <w:tmpl w:val="00000011"/>
    <w:name w:val="WW8Num17"/>
    <w:lvl w:ilvl="0">
      <w:start w:val="1"/>
      <w:numFmt w:val="decimal"/>
      <w:lvlText w:val="%1."/>
      <w:lvlJc w:val="left"/>
      <w:pPr>
        <w:tabs>
          <w:tab w:val="num" w:pos="567"/>
        </w:tabs>
        <w:ind w:left="567" w:hanging="567"/>
      </w:pPr>
      <w:rPr>
        <w:rFonts w:cs="Times New Roman"/>
      </w:rPr>
    </w:lvl>
  </w:abstractNum>
  <w:abstractNum w:abstractNumId="18" w15:restartNumberingAfterBreak="0">
    <w:nsid w:val="00000012"/>
    <w:multiLevelType w:val="singleLevel"/>
    <w:tmpl w:val="00000012"/>
    <w:name w:val="WW8Num18"/>
    <w:lvl w:ilvl="0">
      <w:start w:val="1"/>
      <w:numFmt w:val="decimal"/>
      <w:lvlText w:val="%1."/>
      <w:lvlJc w:val="left"/>
      <w:pPr>
        <w:tabs>
          <w:tab w:val="num" w:pos="567"/>
        </w:tabs>
        <w:ind w:left="567" w:hanging="567"/>
      </w:pPr>
      <w:rPr>
        <w:rFonts w:cs="Times New Roman"/>
      </w:rPr>
    </w:lvl>
  </w:abstractNum>
  <w:abstractNum w:abstractNumId="19" w15:restartNumberingAfterBreak="0">
    <w:nsid w:val="00000013"/>
    <w:multiLevelType w:val="singleLevel"/>
    <w:tmpl w:val="00000013"/>
    <w:name w:val="WW8Num19"/>
    <w:lvl w:ilvl="0">
      <w:start w:val="1"/>
      <w:numFmt w:val="decimal"/>
      <w:lvlText w:val="%1."/>
      <w:lvlJc w:val="left"/>
      <w:pPr>
        <w:tabs>
          <w:tab w:val="num" w:pos="567"/>
        </w:tabs>
        <w:ind w:left="567" w:hanging="567"/>
      </w:pPr>
      <w:rPr>
        <w:rFonts w:ascii="Symbol" w:hAnsi="Symbol"/>
      </w:rPr>
    </w:lvl>
  </w:abstractNum>
  <w:abstractNum w:abstractNumId="20" w15:restartNumberingAfterBreak="0">
    <w:nsid w:val="00000014"/>
    <w:multiLevelType w:val="singleLevel"/>
    <w:tmpl w:val="00000014"/>
    <w:lvl w:ilvl="0">
      <w:start w:val="1"/>
      <w:numFmt w:val="bullet"/>
      <w:lvlText w:val=""/>
      <w:lvlJc w:val="left"/>
      <w:pPr>
        <w:tabs>
          <w:tab w:val="num" w:pos="360"/>
        </w:tabs>
        <w:ind w:left="360" w:hanging="360"/>
      </w:pPr>
      <w:rPr>
        <w:rFonts w:ascii="Symbol" w:hAnsi="Symbol" w:cs="Times New Roman"/>
      </w:rPr>
    </w:lvl>
  </w:abstractNum>
  <w:abstractNum w:abstractNumId="21" w15:restartNumberingAfterBreak="0">
    <w:nsid w:val="00000015"/>
    <w:multiLevelType w:val="singleLevel"/>
    <w:tmpl w:val="00000015"/>
    <w:name w:val="WW8Num21"/>
    <w:lvl w:ilvl="0">
      <w:start w:val="1"/>
      <w:numFmt w:val="decimal"/>
      <w:lvlText w:val="%1."/>
      <w:lvlJc w:val="left"/>
      <w:pPr>
        <w:tabs>
          <w:tab w:val="num" w:pos="720"/>
        </w:tabs>
        <w:ind w:left="720" w:hanging="360"/>
      </w:pPr>
      <w:rPr>
        <w:rFonts w:ascii="Symbol" w:hAnsi="Symbol"/>
      </w:rPr>
    </w:lvl>
  </w:abstractNum>
  <w:abstractNum w:abstractNumId="22" w15:restartNumberingAfterBreak="0">
    <w:nsid w:val="00000016"/>
    <w:multiLevelType w:val="singleLevel"/>
    <w:tmpl w:val="00000016"/>
    <w:name w:val="WW8Num22"/>
    <w:lvl w:ilvl="0">
      <w:start w:val="1"/>
      <w:numFmt w:val="bullet"/>
      <w:lvlText w:val=""/>
      <w:lvlJc w:val="left"/>
      <w:pPr>
        <w:tabs>
          <w:tab w:val="num" w:pos="2160"/>
        </w:tabs>
        <w:ind w:left="2160" w:hanging="360"/>
      </w:pPr>
      <w:rPr>
        <w:rFonts w:ascii="Symbol" w:hAnsi="Symbol"/>
        <w:b w:val="0"/>
        <w:i w:val="0"/>
      </w:rPr>
    </w:lvl>
  </w:abstractNum>
  <w:abstractNum w:abstractNumId="23" w15:restartNumberingAfterBreak="0">
    <w:nsid w:val="00000017"/>
    <w:multiLevelType w:val="singleLevel"/>
    <w:tmpl w:val="00000017"/>
    <w:name w:val="WW8Num23"/>
    <w:lvl w:ilvl="0">
      <w:start w:val="1"/>
      <w:numFmt w:val="decimal"/>
      <w:lvlText w:val="%1."/>
      <w:lvlJc w:val="left"/>
      <w:pPr>
        <w:tabs>
          <w:tab w:val="num" w:pos="1290"/>
        </w:tabs>
        <w:ind w:left="1290" w:hanging="570"/>
      </w:pPr>
      <w:rPr>
        <w:rFonts w:ascii="Symbol" w:hAnsi="Symbol"/>
      </w:rPr>
    </w:lvl>
  </w:abstractNum>
  <w:abstractNum w:abstractNumId="24" w15:restartNumberingAfterBreak="0">
    <w:nsid w:val="00000018"/>
    <w:multiLevelType w:val="singleLevel"/>
    <w:tmpl w:val="00000018"/>
    <w:name w:val="WW8Num24"/>
    <w:lvl w:ilvl="0">
      <w:start w:val="1"/>
      <w:numFmt w:val="bullet"/>
      <w:lvlText w:val=""/>
      <w:lvlJc w:val="left"/>
      <w:pPr>
        <w:tabs>
          <w:tab w:val="num" w:pos="567"/>
        </w:tabs>
        <w:ind w:left="567" w:hanging="567"/>
      </w:pPr>
      <w:rPr>
        <w:rFonts w:ascii="Symbol" w:hAnsi="Symbol" w:cs="Times New Roman"/>
      </w:rPr>
    </w:lvl>
  </w:abstractNum>
  <w:abstractNum w:abstractNumId="25" w15:restartNumberingAfterBreak="0">
    <w:nsid w:val="00000019"/>
    <w:multiLevelType w:val="singleLevel"/>
    <w:tmpl w:val="00000019"/>
    <w:name w:val="WW8Num25"/>
    <w:lvl w:ilvl="0">
      <w:start w:val="1"/>
      <w:numFmt w:val="decimal"/>
      <w:lvlText w:val="%1."/>
      <w:lvlJc w:val="left"/>
      <w:pPr>
        <w:tabs>
          <w:tab w:val="num" w:pos="567"/>
        </w:tabs>
        <w:ind w:left="567" w:hanging="567"/>
      </w:pPr>
      <w:rPr>
        <w:rFonts w:ascii="Symbol" w:hAnsi="Symbol"/>
      </w:rPr>
    </w:lvl>
  </w:abstractNum>
  <w:abstractNum w:abstractNumId="26" w15:restartNumberingAfterBreak="0">
    <w:nsid w:val="0000001A"/>
    <w:multiLevelType w:val="singleLevel"/>
    <w:tmpl w:val="0000001A"/>
    <w:name w:val="WW8Num26"/>
    <w:lvl w:ilvl="0">
      <w:start w:val="1"/>
      <w:numFmt w:val="decimal"/>
      <w:lvlText w:val="%1."/>
      <w:lvlJc w:val="left"/>
      <w:pPr>
        <w:tabs>
          <w:tab w:val="num" w:pos="567"/>
        </w:tabs>
        <w:ind w:left="567" w:hanging="567"/>
      </w:pPr>
      <w:rPr>
        <w:rFonts w:ascii="Symbol" w:hAnsi="Symbol"/>
      </w:rPr>
    </w:lvl>
  </w:abstractNum>
  <w:abstractNum w:abstractNumId="27" w15:restartNumberingAfterBreak="0">
    <w:nsid w:val="0000001B"/>
    <w:multiLevelType w:val="singleLevel"/>
    <w:tmpl w:val="0000001B"/>
    <w:name w:val="WW8Num27"/>
    <w:lvl w:ilvl="0">
      <w:start w:val="1"/>
      <w:numFmt w:val="decimal"/>
      <w:lvlText w:val="%1."/>
      <w:lvlJc w:val="left"/>
      <w:pPr>
        <w:tabs>
          <w:tab w:val="num" w:pos="567"/>
        </w:tabs>
        <w:ind w:left="567" w:hanging="567"/>
      </w:pPr>
      <w:rPr>
        <w:rFonts w:cs="Times New Roman"/>
      </w:rPr>
    </w:lvl>
  </w:abstractNum>
  <w:abstractNum w:abstractNumId="28" w15:restartNumberingAfterBreak="0">
    <w:nsid w:val="0000001C"/>
    <w:multiLevelType w:val="singleLevel"/>
    <w:tmpl w:val="0000001C"/>
    <w:name w:val="WW8Num28"/>
    <w:lvl w:ilvl="0">
      <w:start w:val="1"/>
      <w:numFmt w:val="bullet"/>
      <w:lvlText w:val=""/>
      <w:lvlJc w:val="left"/>
      <w:pPr>
        <w:tabs>
          <w:tab w:val="num" w:pos="360"/>
        </w:tabs>
        <w:ind w:left="360" w:hanging="360"/>
      </w:pPr>
      <w:rPr>
        <w:rFonts w:ascii="Symbol" w:hAnsi="Symbol" w:cs="Times New Roman"/>
      </w:rPr>
    </w:lvl>
  </w:abstractNum>
  <w:abstractNum w:abstractNumId="29" w15:restartNumberingAfterBreak="0">
    <w:nsid w:val="0000001D"/>
    <w:multiLevelType w:val="singleLevel"/>
    <w:tmpl w:val="0000001D"/>
    <w:name w:val="WW8Num29"/>
    <w:lvl w:ilvl="0">
      <w:start w:val="1"/>
      <w:numFmt w:val="bullet"/>
      <w:lvlText w:val=""/>
      <w:lvlJc w:val="left"/>
      <w:pPr>
        <w:tabs>
          <w:tab w:val="num" w:pos="360"/>
        </w:tabs>
        <w:ind w:left="360" w:hanging="360"/>
      </w:pPr>
      <w:rPr>
        <w:rFonts w:ascii="Symbol" w:hAnsi="Symbol" w:cs="Times New Roman"/>
      </w:rPr>
    </w:lvl>
  </w:abstractNum>
  <w:abstractNum w:abstractNumId="30" w15:restartNumberingAfterBreak="0">
    <w:nsid w:val="0000001E"/>
    <w:multiLevelType w:val="singleLevel"/>
    <w:tmpl w:val="0000001E"/>
    <w:name w:val="WW8Num30"/>
    <w:lvl w:ilvl="0">
      <w:start w:val="1"/>
      <w:numFmt w:val="decimal"/>
      <w:lvlText w:val="%1."/>
      <w:lvlJc w:val="left"/>
      <w:pPr>
        <w:tabs>
          <w:tab w:val="num" w:pos="567"/>
        </w:tabs>
        <w:ind w:left="567" w:hanging="567"/>
      </w:pPr>
      <w:rPr>
        <w:rFonts w:ascii="Symbol" w:hAnsi="Symbol"/>
      </w:rPr>
    </w:lvl>
  </w:abstractNum>
  <w:abstractNum w:abstractNumId="31" w15:restartNumberingAfterBreak="0">
    <w:nsid w:val="0000001F"/>
    <w:multiLevelType w:val="singleLevel"/>
    <w:tmpl w:val="0000001F"/>
    <w:name w:val="WW8Num31"/>
    <w:lvl w:ilvl="0">
      <w:start w:val="1"/>
      <w:numFmt w:val="decimal"/>
      <w:lvlText w:val="%1."/>
      <w:lvlJc w:val="left"/>
      <w:pPr>
        <w:tabs>
          <w:tab w:val="num" w:pos="1290"/>
        </w:tabs>
        <w:ind w:left="1290" w:hanging="570"/>
      </w:pPr>
      <w:rPr>
        <w:rFonts w:cs="Times New Roman"/>
      </w:rPr>
    </w:lvl>
  </w:abstractNum>
  <w:abstractNum w:abstractNumId="32" w15:restartNumberingAfterBreak="0">
    <w:nsid w:val="00000020"/>
    <w:multiLevelType w:val="singleLevel"/>
    <w:tmpl w:val="00000020"/>
    <w:name w:val="WW8Num32"/>
    <w:lvl w:ilvl="0">
      <w:start w:val="1"/>
      <w:numFmt w:val="bullet"/>
      <w:lvlText w:val=""/>
      <w:lvlJc w:val="left"/>
      <w:pPr>
        <w:tabs>
          <w:tab w:val="num" w:pos="567"/>
        </w:tabs>
        <w:ind w:left="567" w:hanging="567"/>
      </w:pPr>
      <w:rPr>
        <w:rFonts w:ascii="Symbol" w:hAnsi="Symbol" w:cs="Times New Roman"/>
      </w:rPr>
    </w:lvl>
  </w:abstractNum>
  <w:abstractNum w:abstractNumId="33" w15:restartNumberingAfterBreak="0">
    <w:nsid w:val="00000021"/>
    <w:multiLevelType w:val="singleLevel"/>
    <w:tmpl w:val="00000021"/>
    <w:name w:val="WW8Num33"/>
    <w:lvl w:ilvl="0">
      <w:start w:val="1"/>
      <w:numFmt w:val="bullet"/>
      <w:lvlText w:val=""/>
      <w:lvlJc w:val="left"/>
      <w:pPr>
        <w:tabs>
          <w:tab w:val="num" w:pos="510"/>
        </w:tabs>
        <w:ind w:left="567" w:hanging="567"/>
      </w:pPr>
      <w:rPr>
        <w:rFonts w:ascii="Symbol" w:hAnsi="Symbol" w:cs="Times New Roman"/>
      </w:rPr>
    </w:lvl>
  </w:abstractNum>
  <w:abstractNum w:abstractNumId="34" w15:restartNumberingAfterBreak="0">
    <w:nsid w:val="00000022"/>
    <w:multiLevelType w:val="singleLevel"/>
    <w:tmpl w:val="00000022"/>
    <w:name w:val="WW8Num34"/>
    <w:lvl w:ilvl="0">
      <w:start w:val="1"/>
      <w:numFmt w:val="bullet"/>
      <w:lvlText w:val=""/>
      <w:lvlJc w:val="left"/>
      <w:pPr>
        <w:tabs>
          <w:tab w:val="num" w:pos="567"/>
        </w:tabs>
        <w:ind w:left="567" w:hanging="567"/>
      </w:pPr>
      <w:rPr>
        <w:rFonts w:ascii="Symbol" w:hAnsi="Symbol"/>
      </w:rPr>
    </w:lvl>
  </w:abstractNum>
  <w:abstractNum w:abstractNumId="35" w15:restartNumberingAfterBreak="0">
    <w:nsid w:val="00000023"/>
    <w:multiLevelType w:val="singleLevel"/>
    <w:tmpl w:val="00000023"/>
    <w:name w:val="WW8Num35"/>
    <w:lvl w:ilvl="0">
      <w:start w:val="1"/>
      <w:numFmt w:val="bullet"/>
      <w:lvlText w:val=""/>
      <w:lvlJc w:val="left"/>
      <w:pPr>
        <w:tabs>
          <w:tab w:val="num" w:pos="720"/>
        </w:tabs>
        <w:ind w:left="720" w:hanging="360"/>
      </w:pPr>
      <w:rPr>
        <w:rFonts w:ascii="Symbol" w:hAnsi="Symbol"/>
      </w:rPr>
    </w:lvl>
  </w:abstractNum>
  <w:abstractNum w:abstractNumId="36" w15:restartNumberingAfterBreak="0">
    <w:nsid w:val="00000024"/>
    <w:multiLevelType w:val="singleLevel"/>
    <w:tmpl w:val="00000024"/>
    <w:name w:val="WW8Num36"/>
    <w:lvl w:ilvl="0">
      <w:start w:val="1"/>
      <w:numFmt w:val="decimal"/>
      <w:lvlText w:val="%1."/>
      <w:lvlJc w:val="left"/>
      <w:pPr>
        <w:tabs>
          <w:tab w:val="num" w:pos="567"/>
        </w:tabs>
        <w:ind w:left="567" w:hanging="567"/>
      </w:pPr>
      <w:rPr>
        <w:rFonts w:cs="Times New Roman"/>
      </w:rPr>
    </w:lvl>
  </w:abstractNum>
  <w:abstractNum w:abstractNumId="37" w15:restartNumberingAfterBreak="0">
    <w:nsid w:val="00000025"/>
    <w:multiLevelType w:val="singleLevel"/>
    <w:tmpl w:val="00000025"/>
    <w:name w:val="WW8Num37"/>
    <w:lvl w:ilvl="0">
      <w:start w:val="5"/>
      <w:numFmt w:val="decimal"/>
      <w:lvlText w:val="%1."/>
      <w:lvlJc w:val="left"/>
      <w:pPr>
        <w:tabs>
          <w:tab w:val="num" w:pos="570"/>
        </w:tabs>
        <w:ind w:left="570" w:hanging="570"/>
      </w:pPr>
      <w:rPr>
        <w:rFonts w:cs="Times New Roman"/>
      </w:rPr>
    </w:lvl>
  </w:abstractNum>
  <w:abstractNum w:abstractNumId="38" w15:restartNumberingAfterBreak="0">
    <w:nsid w:val="00000026"/>
    <w:multiLevelType w:val="singleLevel"/>
    <w:tmpl w:val="00000026"/>
    <w:name w:val="WW8Num38"/>
    <w:lvl w:ilvl="0">
      <w:start w:val="1"/>
      <w:numFmt w:val="decimal"/>
      <w:lvlText w:val="%1."/>
      <w:lvlJc w:val="left"/>
      <w:pPr>
        <w:tabs>
          <w:tab w:val="num" w:pos="567"/>
        </w:tabs>
        <w:ind w:left="567" w:hanging="567"/>
      </w:pPr>
      <w:rPr>
        <w:rFonts w:cs="Times New Roman"/>
      </w:rPr>
    </w:lvl>
  </w:abstractNum>
  <w:abstractNum w:abstractNumId="39" w15:restartNumberingAfterBreak="0">
    <w:nsid w:val="00000027"/>
    <w:multiLevelType w:val="singleLevel"/>
    <w:tmpl w:val="00000027"/>
    <w:name w:val="WW8Num39"/>
    <w:lvl w:ilvl="0">
      <w:start w:val="1"/>
      <w:numFmt w:val="decimal"/>
      <w:lvlText w:val="%1."/>
      <w:lvlJc w:val="left"/>
      <w:pPr>
        <w:tabs>
          <w:tab w:val="num" w:pos="510"/>
        </w:tabs>
        <w:ind w:left="510" w:hanging="510"/>
      </w:pPr>
      <w:rPr>
        <w:rFonts w:cs="Times New Roman"/>
      </w:rPr>
    </w:lvl>
  </w:abstractNum>
  <w:abstractNum w:abstractNumId="40" w15:restartNumberingAfterBreak="0">
    <w:nsid w:val="00000028"/>
    <w:multiLevelType w:val="singleLevel"/>
    <w:tmpl w:val="00000028"/>
    <w:name w:val="WW8Num40"/>
    <w:lvl w:ilvl="0">
      <w:start w:val="1"/>
      <w:numFmt w:val="bullet"/>
      <w:lvlText w:val=""/>
      <w:lvlJc w:val="left"/>
      <w:pPr>
        <w:tabs>
          <w:tab w:val="num" w:pos="720"/>
        </w:tabs>
        <w:ind w:left="720" w:hanging="360"/>
      </w:pPr>
      <w:rPr>
        <w:rFonts w:ascii="Symbol" w:hAnsi="Symbol" w:cs="Times New Roman"/>
      </w:rPr>
    </w:lvl>
  </w:abstractNum>
  <w:abstractNum w:abstractNumId="41" w15:restartNumberingAfterBreak="0">
    <w:nsid w:val="00000029"/>
    <w:multiLevelType w:val="singleLevel"/>
    <w:tmpl w:val="00000029"/>
    <w:name w:val="WW8Num41"/>
    <w:lvl w:ilvl="0">
      <w:start w:val="1"/>
      <w:numFmt w:val="decimal"/>
      <w:lvlText w:val="%1."/>
      <w:lvlJc w:val="left"/>
      <w:pPr>
        <w:tabs>
          <w:tab w:val="num" w:pos="720"/>
        </w:tabs>
        <w:ind w:left="720" w:hanging="360"/>
      </w:pPr>
      <w:rPr>
        <w:rFonts w:cs="Times New Roman"/>
      </w:rPr>
    </w:lvl>
  </w:abstractNum>
  <w:abstractNum w:abstractNumId="42" w15:restartNumberingAfterBreak="0">
    <w:nsid w:val="0000002A"/>
    <w:multiLevelType w:val="singleLevel"/>
    <w:tmpl w:val="0000002A"/>
    <w:name w:val="WW8Num42"/>
    <w:lvl w:ilvl="0">
      <w:start w:val="1"/>
      <w:numFmt w:val="bullet"/>
      <w:lvlText w:val=""/>
      <w:lvlJc w:val="left"/>
      <w:pPr>
        <w:tabs>
          <w:tab w:val="num" w:pos="927"/>
        </w:tabs>
        <w:ind w:left="927" w:hanging="360"/>
      </w:pPr>
      <w:rPr>
        <w:rFonts w:ascii="Symbol" w:hAnsi="Symbol"/>
        <w:b w:val="0"/>
        <w:i w:val="0"/>
      </w:rPr>
    </w:lvl>
  </w:abstractNum>
  <w:abstractNum w:abstractNumId="43" w15:restartNumberingAfterBreak="0">
    <w:nsid w:val="0000002B"/>
    <w:multiLevelType w:val="singleLevel"/>
    <w:tmpl w:val="0000002B"/>
    <w:lvl w:ilvl="0">
      <w:numFmt w:val="bullet"/>
      <w:lvlText w:val="-"/>
      <w:lvlJc w:val="left"/>
      <w:pPr>
        <w:tabs>
          <w:tab w:val="num" w:pos="0"/>
        </w:tabs>
        <w:ind w:left="360" w:hanging="360"/>
      </w:pPr>
      <w:rPr>
        <w:rFonts w:ascii="Times New Roman" w:hAnsi="Times New Roman" w:cs="Times New Roman"/>
      </w:rPr>
    </w:lvl>
  </w:abstractNum>
  <w:abstractNum w:abstractNumId="44" w15:restartNumberingAfterBreak="0">
    <w:nsid w:val="05E72F80"/>
    <w:multiLevelType w:val="hybridMultilevel"/>
    <w:tmpl w:val="D5C8EE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09622E65"/>
    <w:multiLevelType w:val="hybridMultilevel"/>
    <w:tmpl w:val="03D8C0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47" w15:restartNumberingAfterBreak="0">
    <w:nsid w:val="0FA30B05"/>
    <w:multiLevelType w:val="hybridMultilevel"/>
    <w:tmpl w:val="F70C3C58"/>
    <w:lvl w:ilvl="0" w:tplc="23443C8A">
      <w:start w:val="1"/>
      <w:numFmt w:val="bullet"/>
      <w:lvlText w:val=""/>
      <w:lvlJc w:val="left"/>
      <w:pPr>
        <w:tabs>
          <w:tab w:val="num" w:pos="357"/>
        </w:tabs>
        <w:ind w:left="357" w:hanging="35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0FF00AEB"/>
    <w:multiLevelType w:val="hybridMultilevel"/>
    <w:tmpl w:val="A10E22A2"/>
    <w:lvl w:ilvl="0" w:tplc="74682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5064628"/>
    <w:multiLevelType w:val="hybridMultilevel"/>
    <w:tmpl w:val="823CA152"/>
    <w:lvl w:ilvl="0" w:tplc="7E0069BE">
      <w:start w:val="1"/>
      <w:numFmt w:val="decimal"/>
      <w:lvlText w:val="%1"/>
      <w:lvlJc w:val="left"/>
      <w:pPr>
        <w:tabs>
          <w:tab w:val="num" w:pos="570"/>
        </w:tabs>
        <w:ind w:left="570" w:hanging="57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AAA150D"/>
    <w:multiLevelType w:val="hybridMultilevel"/>
    <w:tmpl w:val="8ABCF8AE"/>
    <w:lvl w:ilvl="0" w:tplc="94DC3FEC">
      <w:start w:val="2"/>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51" w15:restartNumberingAfterBreak="0">
    <w:nsid w:val="26B471D4"/>
    <w:multiLevelType w:val="hybridMultilevel"/>
    <w:tmpl w:val="513033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F2F5C7A"/>
    <w:multiLevelType w:val="hybridMultilevel"/>
    <w:tmpl w:val="D944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CE56F94"/>
    <w:multiLevelType w:val="hybridMultilevel"/>
    <w:tmpl w:val="89924AFC"/>
    <w:lvl w:ilvl="0" w:tplc="42AE7600">
      <w:start w:val="1"/>
      <w:numFmt w:val="decimal"/>
      <w:lvlText w:val="%1"/>
      <w:lvlJc w:val="left"/>
      <w:pPr>
        <w:tabs>
          <w:tab w:val="num" w:pos="570"/>
        </w:tabs>
        <w:ind w:left="570" w:hanging="57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F6428B9"/>
    <w:multiLevelType w:val="hybridMultilevel"/>
    <w:tmpl w:val="078AA8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44E2423F"/>
    <w:multiLevelType w:val="hybridMultilevel"/>
    <w:tmpl w:val="05F61872"/>
    <w:lvl w:ilvl="0" w:tplc="0000002B">
      <w:numFmt w:val="bullet"/>
      <w:lvlText w:val="-"/>
      <w:lvlJc w:val="left"/>
      <w:pPr>
        <w:tabs>
          <w:tab w:val="num" w:pos="0"/>
        </w:tabs>
        <w:ind w:left="360" w:hanging="360"/>
      </w:pPr>
      <w:rPr>
        <w:rFonts w:ascii="Times New Roman" w:hAnsi="Times New Roman" w:cs="Times New Roman"/>
      </w:rPr>
    </w:lvl>
    <w:lvl w:ilvl="1" w:tplc="4290D954">
      <w:numFmt w:val="bullet"/>
      <w:lvlText w:val=""/>
      <w:lvlJc w:val="left"/>
      <w:pPr>
        <w:tabs>
          <w:tab w:val="num" w:pos="1650"/>
        </w:tabs>
        <w:ind w:left="1650" w:hanging="570"/>
      </w:pPr>
      <w:rPr>
        <w:rFonts w:ascii="Symbol" w:eastAsia="Times New Roman"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1BE3006"/>
    <w:multiLevelType w:val="hybridMultilevel"/>
    <w:tmpl w:val="9CD662A2"/>
    <w:lvl w:ilvl="0" w:tplc="FFFFFFFF">
      <w:start w:val="1"/>
      <w:numFmt w:val="bullet"/>
      <w:lvlText w:val="-"/>
      <w:legacy w:legacy="1" w:legacySpace="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6177380"/>
    <w:multiLevelType w:val="hybridMultilevel"/>
    <w:tmpl w:val="8BE66454"/>
    <w:lvl w:ilvl="0" w:tplc="4550843C">
      <w:start w:val="1"/>
      <w:numFmt w:val="decimal"/>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58" w15:restartNumberingAfterBreak="0">
    <w:nsid w:val="5A581850"/>
    <w:multiLevelType w:val="hybridMultilevel"/>
    <w:tmpl w:val="B76E84C4"/>
    <w:lvl w:ilvl="0" w:tplc="845C2E3A">
      <w:start w:val="1"/>
      <w:numFmt w:val="decimal"/>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5B6151B6"/>
    <w:multiLevelType w:val="hybridMultilevel"/>
    <w:tmpl w:val="03646F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605D167D"/>
    <w:multiLevelType w:val="hybridMultilevel"/>
    <w:tmpl w:val="EA02F9E4"/>
    <w:lvl w:ilvl="0" w:tplc="5860AC26">
      <w:start w:val="1"/>
      <w:numFmt w:val="decimal"/>
      <w:lvlText w:val="%1"/>
      <w:lvlJc w:val="left"/>
      <w:pPr>
        <w:tabs>
          <w:tab w:val="num" w:pos="570"/>
        </w:tabs>
        <w:ind w:left="570" w:hanging="57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9F2585"/>
    <w:multiLevelType w:val="hybridMultilevel"/>
    <w:tmpl w:val="C9BE3930"/>
    <w:lvl w:ilvl="0" w:tplc="78ACEB38">
      <w:numFmt w:val="bullet"/>
      <w:lvlText w:val=""/>
      <w:lvlJc w:val="left"/>
      <w:pPr>
        <w:tabs>
          <w:tab w:val="num" w:pos="570"/>
        </w:tabs>
        <w:ind w:left="570" w:hanging="57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14"/>
  </w:num>
  <w:num w:numId="4">
    <w:abstractNumId w:val="15"/>
  </w:num>
  <w:num w:numId="5">
    <w:abstractNumId w:val="16"/>
  </w:num>
  <w:num w:numId="6">
    <w:abstractNumId w:val="20"/>
  </w:num>
  <w:num w:numId="7">
    <w:abstractNumId w:val="22"/>
  </w:num>
  <w:num w:numId="8">
    <w:abstractNumId w:val="28"/>
  </w:num>
  <w:num w:numId="9">
    <w:abstractNumId w:val="29"/>
  </w:num>
  <w:num w:numId="10">
    <w:abstractNumId w:val="35"/>
  </w:num>
  <w:num w:numId="11">
    <w:abstractNumId w:val="40"/>
  </w:num>
  <w:num w:numId="12">
    <w:abstractNumId w:val="42"/>
  </w:num>
  <w:num w:numId="13">
    <w:abstractNumId w:val="43"/>
  </w:num>
  <w:num w:numId="14">
    <w:abstractNumId w:val="45"/>
  </w:num>
  <w:num w:numId="15">
    <w:abstractNumId w:val="61"/>
  </w:num>
  <w:num w:numId="16">
    <w:abstractNumId w:val="56"/>
  </w:num>
  <w:num w:numId="17">
    <w:abstractNumId w:val="54"/>
  </w:num>
  <w:num w:numId="18">
    <w:abstractNumId w:val="44"/>
  </w:num>
  <w:num w:numId="19">
    <w:abstractNumId w:val="51"/>
  </w:num>
  <w:num w:numId="20">
    <w:abstractNumId w:val="59"/>
  </w:num>
  <w:num w:numId="21">
    <w:abstractNumId w:val="55"/>
  </w:num>
  <w:num w:numId="22">
    <w:abstractNumId w:val="58"/>
  </w:num>
  <w:num w:numId="2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4">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6"/>
  </w:num>
  <w:num w:numId="27">
    <w:abstractNumId w:val="53"/>
  </w:num>
  <w:num w:numId="28">
    <w:abstractNumId w:val="49"/>
  </w:num>
  <w:num w:numId="29">
    <w:abstractNumId w:val="60"/>
  </w:num>
  <w:num w:numId="30">
    <w:abstractNumId w:val="47"/>
  </w:num>
  <w:num w:numId="31">
    <w:abstractNumId w:val="50"/>
  </w:num>
  <w:num w:numId="32">
    <w:abstractNumId w:val="57"/>
  </w:num>
  <w:num w:numId="33">
    <w:abstractNumId w:val="48"/>
  </w:num>
  <w:num w:numId="34">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pt-BR" w:vendorID="64" w:dllVersion="6" w:nlCheck="1" w:checkStyle="0"/>
  <w:activeWritingStyle w:appName="MSWord" w:lang="en-US" w:vendorID="64" w:dllVersion="6" w:nlCheck="1" w:checkStyle="1"/>
  <w:activeWritingStyle w:appName="MSWord" w:lang="fr-FR" w:vendorID="64" w:dllVersion="6" w:nlCheck="1" w:checkStyle="0"/>
  <w:activeWritingStyle w:appName="MSWord" w:lang="de-CH" w:vendorID="64" w:dllVersion="6" w:nlCheck="1" w:checkStyle="0"/>
  <w:activeWritingStyle w:appName="MSWord" w:lang="it-IT" w:vendorID="64" w:dllVersion="6" w:nlCheck="1" w:checkStyle="0"/>
  <w:activeWritingStyle w:appName="MSWord" w:lang="de-DE" w:vendorID="64" w:dllVersion="6" w:nlCheck="1" w:checkStyle="0"/>
  <w:activeWritingStyle w:appName="MSWord" w:lang="nb-NO" w:vendorID="64" w:dllVersion="6" w:nlCheck="1" w:checkStyle="0"/>
  <w:activeWritingStyle w:appName="MSWord" w:lang="cs-CZ" w:vendorID="64" w:dllVersion="0" w:nlCheck="1" w:checkStyle="0"/>
  <w:activeWritingStyle w:appName="MSWord" w:lang="en-US" w:vendorID="64" w:dllVersion="0" w:nlCheck="1" w:checkStyle="0"/>
  <w:activeWritingStyle w:appName="MSWord" w:lang="de-CH" w:vendorID="64" w:dllVersion="0" w:nlCheck="1" w:checkStyle="0"/>
  <w:activeWritingStyle w:appName="MSWord" w:lang="de-DE" w:vendorID="64" w:dllVersion="0" w:nlCheck="1" w:checkStyle="0"/>
  <w:activeWritingStyle w:appName="MSWord" w:lang="es-ES" w:vendorID="64" w:dllVersion="6" w:nlCheck="1" w:checkStyle="1"/>
  <w:activeWritingStyle w:appName="MSWord" w:lang="en-GB" w:vendorID="64" w:dllVersion="6" w:nlCheck="1" w:checkStyle="1"/>
  <w:activeWritingStyle w:appName="MSWord" w:lang="fr-CH"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6625"/>
  </w:hdrShapeDefaults>
  <w:footnotePr>
    <w:pos w:val="beneathTex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A44"/>
    <w:rsid w:val="00000F3A"/>
    <w:rsid w:val="00000FD4"/>
    <w:rsid w:val="0000181A"/>
    <w:rsid w:val="00002E70"/>
    <w:rsid w:val="0000350C"/>
    <w:rsid w:val="00007759"/>
    <w:rsid w:val="00010880"/>
    <w:rsid w:val="0001128A"/>
    <w:rsid w:val="00013330"/>
    <w:rsid w:val="000157EC"/>
    <w:rsid w:val="0002259F"/>
    <w:rsid w:val="00022F8D"/>
    <w:rsid w:val="0002343B"/>
    <w:rsid w:val="00023AE1"/>
    <w:rsid w:val="00023B0F"/>
    <w:rsid w:val="00025350"/>
    <w:rsid w:val="0003151A"/>
    <w:rsid w:val="000327E9"/>
    <w:rsid w:val="00033523"/>
    <w:rsid w:val="00034A62"/>
    <w:rsid w:val="000446CA"/>
    <w:rsid w:val="00045DEC"/>
    <w:rsid w:val="000461A1"/>
    <w:rsid w:val="00046BBD"/>
    <w:rsid w:val="00050981"/>
    <w:rsid w:val="00050AEC"/>
    <w:rsid w:val="00050F50"/>
    <w:rsid w:val="00052001"/>
    <w:rsid w:val="000528AC"/>
    <w:rsid w:val="000535DC"/>
    <w:rsid w:val="000626F8"/>
    <w:rsid w:val="00064F92"/>
    <w:rsid w:val="00065424"/>
    <w:rsid w:val="000677C4"/>
    <w:rsid w:val="0006790A"/>
    <w:rsid w:val="00067EF6"/>
    <w:rsid w:val="00067F74"/>
    <w:rsid w:val="0007044D"/>
    <w:rsid w:val="000748EB"/>
    <w:rsid w:val="0008094C"/>
    <w:rsid w:val="000817F2"/>
    <w:rsid w:val="0008276E"/>
    <w:rsid w:val="00082ADA"/>
    <w:rsid w:val="0008321C"/>
    <w:rsid w:val="0008705D"/>
    <w:rsid w:val="00092B16"/>
    <w:rsid w:val="0009628F"/>
    <w:rsid w:val="000A1E19"/>
    <w:rsid w:val="000A1E2B"/>
    <w:rsid w:val="000A272B"/>
    <w:rsid w:val="000A7B1C"/>
    <w:rsid w:val="000A7D14"/>
    <w:rsid w:val="000B04F4"/>
    <w:rsid w:val="000B16DB"/>
    <w:rsid w:val="000B39C2"/>
    <w:rsid w:val="000B4587"/>
    <w:rsid w:val="000B5AC9"/>
    <w:rsid w:val="000C14F2"/>
    <w:rsid w:val="000C2F2F"/>
    <w:rsid w:val="000C4E68"/>
    <w:rsid w:val="000C5E1A"/>
    <w:rsid w:val="000C67DD"/>
    <w:rsid w:val="000C70DE"/>
    <w:rsid w:val="000C75E6"/>
    <w:rsid w:val="000D0774"/>
    <w:rsid w:val="000D07E0"/>
    <w:rsid w:val="000D0937"/>
    <w:rsid w:val="000D0D6E"/>
    <w:rsid w:val="000D274C"/>
    <w:rsid w:val="000D2AA5"/>
    <w:rsid w:val="000D5266"/>
    <w:rsid w:val="000D7CD7"/>
    <w:rsid w:val="000E02D4"/>
    <w:rsid w:val="000E0849"/>
    <w:rsid w:val="000E0B78"/>
    <w:rsid w:val="000E2CBF"/>
    <w:rsid w:val="000E3232"/>
    <w:rsid w:val="000E5517"/>
    <w:rsid w:val="000E57B2"/>
    <w:rsid w:val="000E58A9"/>
    <w:rsid w:val="000E643F"/>
    <w:rsid w:val="000E7BDF"/>
    <w:rsid w:val="000F0BFF"/>
    <w:rsid w:val="00101D98"/>
    <w:rsid w:val="0010744D"/>
    <w:rsid w:val="00107E58"/>
    <w:rsid w:val="00112FBD"/>
    <w:rsid w:val="00114086"/>
    <w:rsid w:val="00116782"/>
    <w:rsid w:val="00116B1F"/>
    <w:rsid w:val="001173AC"/>
    <w:rsid w:val="001218F6"/>
    <w:rsid w:val="00124200"/>
    <w:rsid w:val="00135076"/>
    <w:rsid w:val="00136C1F"/>
    <w:rsid w:val="00137944"/>
    <w:rsid w:val="00140014"/>
    <w:rsid w:val="001415A0"/>
    <w:rsid w:val="00141986"/>
    <w:rsid w:val="0014272F"/>
    <w:rsid w:val="00145130"/>
    <w:rsid w:val="00145847"/>
    <w:rsid w:val="00147067"/>
    <w:rsid w:val="001525F2"/>
    <w:rsid w:val="001533A9"/>
    <w:rsid w:val="00153BAE"/>
    <w:rsid w:val="001564C0"/>
    <w:rsid w:val="00160254"/>
    <w:rsid w:val="001604A0"/>
    <w:rsid w:val="00160A89"/>
    <w:rsid w:val="00160CDF"/>
    <w:rsid w:val="00160D1B"/>
    <w:rsid w:val="00161327"/>
    <w:rsid w:val="00164F65"/>
    <w:rsid w:val="00166062"/>
    <w:rsid w:val="00166C20"/>
    <w:rsid w:val="00170068"/>
    <w:rsid w:val="0017021B"/>
    <w:rsid w:val="00171D58"/>
    <w:rsid w:val="00173027"/>
    <w:rsid w:val="00173A5E"/>
    <w:rsid w:val="00173DCC"/>
    <w:rsid w:val="00174BCE"/>
    <w:rsid w:val="00180A73"/>
    <w:rsid w:val="00180AE3"/>
    <w:rsid w:val="00182086"/>
    <w:rsid w:val="001826E6"/>
    <w:rsid w:val="001844B9"/>
    <w:rsid w:val="00190297"/>
    <w:rsid w:val="00191D7F"/>
    <w:rsid w:val="001927EB"/>
    <w:rsid w:val="00192BC7"/>
    <w:rsid w:val="00195865"/>
    <w:rsid w:val="00196CD3"/>
    <w:rsid w:val="001A3FBE"/>
    <w:rsid w:val="001A58B1"/>
    <w:rsid w:val="001A6F5F"/>
    <w:rsid w:val="001B1F02"/>
    <w:rsid w:val="001B24B9"/>
    <w:rsid w:val="001B2EEC"/>
    <w:rsid w:val="001B4996"/>
    <w:rsid w:val="001B4D86"/>
    <w:rsid w:val="001B6538"/>
    <w:rsid w:val="001C0629"/>
    <w:rsid w:val="001C54C9"/>
    <w:rsid w:val="001C585F"/>
    <w:rsid w:val="001C6731"/>
    <w:rsid w:val="001D1453"/>
    <w:rsid w:val="001D54EE"/>
    <w:rsid w:val="001D62A7"/>
    <w:rsid w:val="001D66A1"/>
    <w:rsid w:val="001D72F1"/>
    <w:rsid w:val="001E1F99"/>
    <w:rsid w:val="001E6471"/>
    <w:rsid w:val="001F04F2"/>
    <w:rsid w:val="001F16A8"/>
    <w:rsid w:val="001F2EEF"/>
    <w:rsid w:val="001F30D2"/>
    <w:rsid w:val="001F465C"/>
    <w:rsid w:val="001F53AD"/>
    <w:rsid w:val="001F59A2"/>
    <w:rsid w:val="0020295F"/>
    <w:rsid w:val="00206CB7"/>
    <w:rsid w:val="00210DB3"/>
    <w:rsid w:val="00211688"/>
    <w:rsid w:val="00211AD6"/>
    <w:rsid w:val="00211C72"/>
    <w:rsid w:val="00212166"/>
    <w:rsid w:val="00212885"/>
    <w:rsid w:val="00213F08"/>
    <w:rsid w:val="00215352"/>
    <w:rsid w:val="00216BEF"/>
    <w:rsid w:val="002210AD"/>
    <w:rsid w:val="002218F7"/>
    <w:rsid w:val="0022238D"/>
    <w:rsid w:val="00225DBD"/>
    <w:rsid w:val="0022600C"/>
    <w:rsid w:val="00226113"/>
    <w:rsid w:val="0023108A"/>
    <w:rsid w:val="0023243A"/>
    <w:rsid w:val="00233F9A"/>
    <w:rsid w:val="00235BBE"/>
    <w:rsid w:val="00242082"/>
    <w:rsid w:val="00246476"/>
    <w:rsid w:val="00246DA6"/>
    <w:rsid w:val="002475CA"/>
    <w:rsid w:val="002526A9"/>
    <w:rsid w:val="00253EE6"/>
    <w:rsid w:val="0025447E"/>
    <w:rsid w:val="00266DDE"/>
    <w:rsid w:val="00267C5C"/>
    <w:rsid w:val="00272296"/>
    <w:rsid w:val="002751D6"/>
    <w:rsid w:val="00275730"/>
    <w:rsid w:val="002829CF"/>
    <w:rsid w:val="00282B9D"/>
    <w:rsid w:val="00283BCB"/>
    <w:rsid w:val="00290317"/>
    <w:rsid w:val="002906C6"/>
    <w:rsid w:val="002920DB"/>
    <w:rsid w:val="00292CC3"/>
    <w:rsid w:val="00293B73"/>
    <w:rsid w:val="0029500E"/>
    <w:rsid w:val="00296B96"/>
    <w:rsid w:val="002976C4"/>
    <w:rsid w:val="002A35C5"/>
    <w:rsid w:val="002A78E6"/>
    <w:rsid w:val="002B11C3"/>
    <w:rsid w:val="002B290F"/>
    <w:rsid w:val="002B2951"/>
    <w:rsid w:val="002B49C5"/>
    <w:rsid w:val="002B7349"/>
    <w:rsid w:val="002C04B1"/>
    <w:rsid w:val="002C1638"/>
    <w:rsid w:val="002C3070"/>
    <w:rsid w:val="002C3F5C"/>
    <w:rsid w:val="002C52B3"/>
    <w:rsid w:val="002C5CA8"/>
    <w:rsid w:val="002C6E19"/>
    <w:rsid w:val="002D63C5"/>
    <w:rsid w:val="002D6BEE"/>
    <w:rsid w:val="002E3551"/>
    <w:rsid w:val="002E3C9B"/>
    <w:rsid w:val="002E47C1"/>
    <w:rsid w:val="002E4F86"/>
    <w:rsid w:val="002F04EE"/>
    <w:rsid w:val="002F12F4"/>
    <w:rsid w:val="002F2A4D"/>
    <w:rsid w:val="002F3327"/>
    <w:rsid w:val="002F5BA8"/>
    <w:rsid w:val="002F6464"/>
    <w:rsid w:val="002F7B63"/>
    <w:rsid w:val="0030061C"/>
    <w:rsid w:val="003028C9"/>
    <w:rsid w:val="00302E41"/>
    <w:rsid w:val="003034F4"/>
    <w:rsid w:val="00305AB2"/>
    <w:rsid w:val="00310402"/>
    <w:rsid w:val="003104BF"/>
    <w:rsid w:val="00310F53"/>
    <w:rsid w:val="0031172A"/>
    <w:rsid w:val="00312967"/>
    <w:rsid w:val="00320EE6"/>
    <w:rsid w:val="003212CF"/>
    <w:rsid w:val="00321D0E"/>
    <w:rsid w:val="00324A6B"/>
    <w:rsid w:val="00325773"/>
    <w:rsid w:val="00325A9D"/>
    <w:rsid w:val="00326289"/>
    <w:rsid w:val="0032696C"/>
    <w:rsid w:val="00331B47"/>
    <w:rsid w:val="00332491"/>
    <w:rsid w:val="00332DA8"/>
    <w:rsid w:val="00334C3B"/>
    <w:rsid w:val="00335549"/>
    <w:rsid w:val="00336E35"/>
    <w:rsid w:val="003372DD"/>
    <w:rsid w:val="00341327"/>
    <w:rsid w:val="003442C3"/>
    <w:rsid w:val="00346125"/>
    <w:rsid w:val="00346C5D"/>
    <w:rsid w:val="003560E0"/>
    <w:rsid w:val="0035672A"/>
    <w:rsid w:val="0035736A"/>
    <w:rsid w:val="00357F3D"/>
    <w:rsid w:val="0036064E"/>
    <w:rsid w:val="0036067D"/>
    <w:rsid w:val="00362771"/>
    <w:rsid w:val="003638FB"/>
    <w:rsid w:val="00365CCE"/>
    <w:rsid w:val="0036637F"/>
    <w:rsid w:val="00367D59"/>
    <w:rsid w:val="003732C7"/>
    <w:rsid w:val="00374D22"/>
    <w:rsid w:val="00374D74"/>
    <w:rsid w:val="00375097"/>
    <w:rsid w:val="003757B1"/>
    <w:rsid w:val="00377598"/>
    <w:rsid w:val="00380F18"/>
    <w:rsid w:val="0038573F"/>
    <w:rsid w:val="00390571"/>
    <w:rsid w:val="0039076B"/>
    <w:rsid w:val="0039278D"/>
    <w:rsid w:val="00393DE0"/>
    <w:rsid w:val="00396966"/>
    <w:rsid w:val="00397A30"/>
    <w:rsid w:val="003A0150"/>
    <w:rsid w:val="003A0A2D"/>
    <w:rsid w:val="003A2308"/>
    <w:rsid w:val="003A5FE5"/>
    <w:rsid w:val="003A651A"/>
    <w:rsid w:val="003A6BE5"/>
    <w:rsid w:val="003A70EB"/>
    <w:rsid w:val="003A7148"/>
    <w:rsid w:val="003B111F"/>
    <w:rsid w:val="003B270B"/>
    <w:rsid w:val="003B6433"/>
    <w:rsid w:val="003B6D9C"/>
    <w:rsid w:val="003B72A7"/>
    <w:rsid w:val="003C28EB"/>
    <w:rsid w:val="003C29EE"/>
    <w:rsid w:val="003C341E"/>
    <w:rsid w:val="003C6300"/>
    <w:rsid w:val="003D0F99"/>
    <w:rsid w:val="003D2C19"/>
    <w:rsid w:val="003D59E4"/>
    <w:rsid w:val="003D5FD3"/>
    <w:rsid w:val="003E229B"/>
    <w:rsid w:val="003E56B9"/>
    <w:rsid w:val="003E59FD"/>
    <w:rsid w:val="003E5FA9"/>
    <w:rsid w:val="003E6204"/>
    <w:rsid w:val="003E6666"/>
    <w:rsid w:val="003E6D2E"/>
    <w:rsid w:val="003E6F24"/>
    <w:rsid w:val="003F35F4"/>
    <w:rsid w:val="003F66B3"/>
    <w:rsid w:val="003F6C15"/>
    <w:rsid w:val="00400A71"/>
    <w:rsid w:val="00402849"/>
    <w:rsid w:val="00405829"/>
    <w:rsid w:val="00407314"/>
    <w:rsid w:val="00410A1E"/>
    <w:rsid w:val="004165E7"/>
    <w:rsid w:val="00417A0D"/>
    <w:rsid w:val="00423869"/>
    <w:rsid w:val="00424714"/>
    <w:rsid w:val="00425595"/>
    <w:rsid w:val="004269F6"/>
    <w:rsid w:val="00426D8B"/>
    <w:rsid w:val="00427BA1"/>
    <w:rsid w:val="004300AE"/>
    <w:rsid w:val="0043020E"/>
    <w:rsid w:val="00431462"/>
    <w:rsid w:val="00435A80"/>
    <w:rsid w:val="00436DBF"/>
    <w:rsid w:val="00436DC2"/>
    <w:rsid w:val="00437DDB"/>
    <w:rsid w:val="00437E08"/>
    <w:rsid w:val="004403F3"/>
    <w:rsid w:val="00442EA8"/>
    <w:rsid w:val="0044561A"/>
    <w:rsid w:val="00446582"/>
    <w:rsid w:val="00446E67"/>
    <w:rsid w:val="00447602"/>
    <w:rsid w:val="004476C6"/>
    <w:rsid w:val="0045223D"/>
    <w:rsid w:val="004557F4"/>
    <w:rsid w:val="004559B5"/>
    <w:rsid w:val="00456BE8"/>
    <w:rsid w:val="00456D29"/>
    <w:rsid w:val="0045769F"/>
    <w:rsid w:val="00460692"/>
    <w:rsid w:val="00461A94"/>
    <w:rsid w:val="00463F7D"/>
    <w:rsid w:val="00464BF8"/>
    <w:rsid w:val="004677EB"/>
    <w:rsid w:val="00467F10"/>
    <w:rsid w:val="0047039D"/>
    <w:rsid w:val="004729ED"/>
    <w:rsid w:val="004741B9"/>
    <w:rsid w:val="004765FE"/>
    <w:rsid w:val="00480ABB"/>
    <w:rsid w:val="00480FB0"/>
    <w:rsid w:val="00481A29"/>
    <w:rsid w:val="00482104"/>
    <w:rsid w:val="004826A0"/>
    <w:rsid w:val="00487E59"/>
    <w:rsid w:val="0049186A"/>
    <w:rsid w:val="0049290F"/>
    <w:rsid w:val="0049749D"/>
    <w:rsid w:val="004A3DDA"/>
    <w:rsid w:val="004A4920"/>
    <w:rsid w:val="004A788B"/>
    <w:rsid w:val="004B0671"/>
    <w:rsid w:val="004B1C25"/>
    <w:rsid w:val="004B270C"/>
    <w:rsid w:val="004B719A"/>
    <w:rsid w:val="004C06DF"/>
    <w:rsid w:val="004C6D93"/>
    <w:rsid w:val="004C6ED8"/>
    <w:rsid w:val="004D0AD9"/>
    <w:rsid w:val="004D25A3"/>
    <w:rsid w:val="004D4FAD"/>
    <w:rsid w:val="004E00E6"/>
    <w:rsid w:val="004E0891"/>
    <w:rsid w:val="004E0D8B"/>
    <w:rsid w:val="004E5430"/>
    <w:rsid w:val="004E6DAB"/>
    <w:rsid w:val="004E6F4D"/>
    <w:rsid w:val="004F264F"/>
    <w:rsid w:val="004F3768"/>
    <w:rsid w:val="004F3800"/>
    <w:rsid w:val="004F484B"/>
    <w:rsid w:val="004F7F57"/>
    <w:rsid w:val="005026BE"/>
    <w:rsid w:val="00503ECF"/>
    <w:rsid w:val="00503FAB"/>
    <w:rsid w:val="00506A4C"/>
    <w:rsid w:val="0051128E"/>
    <w:rsid w:val="00512703"/>
    <w:rsid w:val="0051329F"/>
    <w:rsid w:val="00515354"/>
    <w:rsid w:val="00515FBB"/>
    <w:rsid w:val="00516110"/>
    <w:rsid w:val="00516839"/>
    <w:rsid w:val="00516A80"/>
    <w:rsid w:val="00517187"/>
    <w:rsid w:val="00517330"/>
    <w:rsid w:val="00520D0C"/>
    <w:rsid w:val="005244B0"/>
    <w:rsid w:val="0052468F"/>
    <w:rsid w:val="0052519D"/>
    <w:rsid w:val="00525393"/>
    <w:rsid w:val="005259F5"/>
    <w:rsid w:val="00526CF9"/>
    <w:rsid w:val="005303FA"/>
    <w:rsid w:val="00530BED"/>
    <w:rsid w:val="00532F2F"/>
    <w:rsid w:val="00533FE8"/>
    <w:rsid w:val="00534207"/>
    <w:rsid w:val="005359B7"/>
    <w:rsid w:val="0053728E"/>
    <w:rsid w:val="00542803"/>
    <w:rsid w:val="00543981"/>
    <w:rsid w:val="005443C7"/>
    <w:rsid w:val="00544CFB"/>
    <w:rsid w:val="00545C4D"/>
    <w:rsid w:val="005516D2"/>
    <w:rsid w:val="005526C4"/>
    <w:rsid w:val="00553D04"/>
    <w:rsid w:val="0055521D"/>
    <w:rsid w:val="005558FE"/>
    <w:rsid w:val="00555EDA"/>
    <w:rsid w:val="005569A1"/>
    <w:rsid w:val="00556F8B"/>
    <w:rsid w:val="0056031F"/>
    <w:rsid w:val="00561908"/>
    <w:rsid w:val="00561BDD"/>
    <w:rsid w:val="00562314"/>
    <w:rsid w:val="00565352"/>
    <w:rsid w:val="00570E90"/>
    <w:rsid w:val="00573FD3"/>
    <w:rsid w:val="0057662F"/>
    <w:rsid w:val="00576FCD"/>
    <w:rsid w:val="00577E6F"/>
    <w:rsid w:val="00580986"/>
    <w:rsid w:val="00580ADD"/>
    <w:rsid w:val="00580EB7"/>
    <w:rsid w:val="005816D5"/>
    <w:rsid w:val="00582BA6"/>
    <w:rsid w:val="00583BFF"/>
    <w:rsid w:val="00583C5B"/>
    <w:rsid w:val="0059615F"/>
    <w:rsid w:val="00596EA9"/>
    <w:rsid w:val="00597D55"/>
    <w:rsid w:val="005A17B6"/>
    <w:rsid w:val="005A3212"/>
    <w:rsid w:val="005A42AC"/>
    <w:rsid w:val="005A51FC"/>
    <w:rsid w:val="005A5CC8"/>
    <w:rsid w:val="005B012D"/>
    <w:rsid w:val="005B075A"/>
    <w:rsid w:val="005B0B3A"/>
    <w:rsid w:val="005B0DE1"/>
    <w:rsid w:val="005B1B32"/>
    <w:rsid w:val="005B1FD8"/>
    <w:rsid w:val="005B441E"/>
    <w:rsid w:val="005B44FC"/>
    <w:rsid w:val="005B634B"/>
    <w:rsid w:val="005B7476"/>
    <w:rsid w:val="005B7CD1"/>
    <w:rsid w:val="005B7DC6"/>
    <w:rsid w:val="005C0D22"/>
    <w:rsid w:val="005C30EF"/>
    <w:rsid w:val="005C325D"/>
    <w:rsid w:val="005C33E1"/>
    <w:rsid w:val="005C41D1"/>
    <w:rsid w:val="005C42B7"/>
    <w:rsid w:val="005C70CC"/>
    <w:rsid w:val="005D1BFD"/>
    <w:rsid w:val="005D5D02"/>
    <w:rsid w:val="005D6698"/>
    <w:rsid w:val="005E192D"/>
    <w:rsid w:val="005E1AF5"/>
    <w:rsid w:val="005E2891"/>
    <w:rsid w:val="005E3BF6"/>
    <w:rsid w:val="005E4231"/>
    <w:rsid w:val="005E4732"/>
    <w:rsid w:val="005E6D29"/>
    <w:rsid w:val="005F0CB9"/>
    <w:rsid w:val="005F2083"/>
    <w:rsid w:val="005F6291"/>
    <w:rsid w:val="005F6570"/>
    <w:rsid w:val="00600B7A"/>
    <w:rsid w:val="00603126"/>
    <w:rsid w:val="00604924"/>
    <w:rsid w:val="0060564D"/>
    <w:rsid w:val="006123A2"/>
    <w:rsid w:val="0061274D"/>
    <w:rsid w:val="00612B40"/>
    <w:rsid w:val="00613F13"/>
    <w:rsid w:val="006143A6"/>
    <w:rsid w:val="006166C3"/>
    <w:rsid w:val="00621798"/>
    <w:rsid w:val="00622390"/>
    <w:rsid w:val="006243A0"/>
    <w:rsid w:val="006266CB"/>
    <w:rsid w:val="006269F2"/>
    <w:rsid w:val="0062773F"/>
    <w:rsid w:val="006327B9"/>
    <w:rsid w:val="00632EE8"/>
    <w:rsid w:val="00636024"/>
    <w:rsid w:val="006360C7"/>
    <w:rsid w:val="006367E4"/>
    <w:rsid w:val="00637B24"/>
    <w:rsid w:val="00637E52"/>
    <w:rsid w:val="0064015F"/>
    <w:rsid w:val="00640668"/>
    <w:rsid w:val="0064168A"/>
    <w:rsid w:val="006416C7"/>
    <w:rsid w:val="00641B69"/>
    <w:rsid w:val="0064341C"/>
    <w:rsid w:val="0064363F"/>
    <w:rsid w:val="0064588A"/>
    <w:rsid w:val="0064597E"/>
    <w:rsid w:val="00647745"/>
    <w:rsid w:val="006507AD"/>
    <w:rsid w:val="00652601"/>
    <w:rsid w:val="0066575B"/>
    <w:rsid w:val="00665C07"/>
    <w:rsid w:val="0067157F"/>
    <w:rsid w:val="0067324A"/>
    <w:rsid w:val="0067354E"/>
    <w:rsid w:val="00673B28"/>
    <w:rsid w:val="00676153"/>
    <w:rsid w:val="00676B74"/>
    <w:rsid w:val="0067707A"/>
    <w:rsid w:val="006809DB"/>
    <w:rsid w:val="00680BFC"/>
    <w:rsid w:val="0068183E"/>
    <w:rsid w:val="00682F36"/>
    <w:rsid w:val="00690542"/>
    <w:rsid w:val="0069196C"/>
    <w:rsid w:val="00691A97"/>
    <w:rsid w:val="006941A9"/>
    <w:rsid w:val="00696FE0"/>
    <w:rsid w:val="006974F8"/>
    <w:rsid w:val="006A05BF"/>
    <w:rsid w:val="006A0A9B"/>
    <w:rsid w:val="006A4B8A"/>
    <w:rsid w:val="006A6B14"/>
    <w:rsid w:val="006B0127"/>
    <w:rsid w:val="006B0396"/>
    <w:rsid w:val="006B14F1"/>
    <w:rsid w:val="006B1F43"/>
    <w:rsid w:val="006B422E"/>
    <w:rsid w:val="006B4D21"/>
    <w:rsid w:val="006B4EBD"/>
    <w:rsid w:val="006C0593"/>
    <w:rsid w:val="006C2D07"/>
    <w:rsid w:val="006C4DC5"/>
    <w:rsid w:val="006C6295"/>
    <w:rsid w:val="006C6922"/>
    <w:rsid w:val="006C6D30"/>
    <w:rsid w:val="006D14CB"/>
    <w:rsid w:val="006D1CF6"/>
    <w:rsid w:val="006D7315"/>
    <w:rsid w:val="006E03CF"/>
    <w:rsid w:val="006E4A3B"/>
    <w:rsid w:val="006E6AB7"/>
    <w:rsid w:val="006F122F"/>
    <w:rsid w:val="006F23B8"/>
    <w:rsid w:val="006F2737"/>
    <w:rsid w:val="006F4D86"/>
    <w:rsid w:val="006F5C59"/>
    <w:rsid w:val="006F7487"/>
    <w:rsid w:val="007010A3"/>
    <w:rsid w:val="007019F6"/>
    <w:rsid w:val="00703965"/>
    <w:rsid w:val="00703ED1"/>
    <w:rsid w:val="007046C0"/>
    <w:rsid w:val="0070626B"/>
    <w:rsid w:val="0070634B"/>
    <w:rsid w:val="0071222E"/>
    <w:rsid w:val="007125AA"/>
    <w:rsid w:val="007152EF"/>
    <w:rsid w:val="007163F7"/>
    <w:rsid w:val="00717543"/>
    <w:rsid w:val="00720627"/>
    <w:rsid w:val="00722728"/>
    <w:rsid w:val="00723164"/>
    <w:rsid w:val="00724B69"/>
    <w:rsid w:val="0072508F"/>
    <w:rsid w:val="00725EAE"/>
    <w:rsid w:val="00726757"/>
    <w:rsid w:val="00730401"/>
    <w:rsid w:val="00730561"/>
    <w:rsid w:val="007345A3"/>
    <w:rsid w:val="007348FF"/>
    <w:rsid w:val="00737AE4"/>
    <w:rsid w:val="00740583"/>
    <w:rsid w:val="007456C3"/>
    <w:rsid w:val="00745BDF"/>
    <w:rsid w:val="007464AF"/>
    <w:rsid w:val="00753BF1"/>
    <w:rsid w:val="00754A25"/>
    <w:rsid w:val="0075579A"/>
    <w:rsid w:val="00755F24"/>
    <w:rsid w:val="0075649F"/>
    <w:rsid w:val="00757702"/>
    <w:rsid w:val="00762BEA"/>
    <w:rsid w:val="00762D0E"/>
    <w:rsid w:val="00763206"/>
    <w:rsid w:val="00763356"/>
    <w:rsid w:val="0076523B"/>
    <w:rsid w:val="00770A77"/>
    <w:rsid w:val="00770AC0"/>
    <w:rsid w:val="007711B8"/>
    <w:rsid w:val="00774562"/>
    <w:rsid w:val="00774EA9"/>
    <w:rsid w:val="0077516D"/>
    <w:rsid w:val="00780D42"/>
    <w:rsid w:val="00781345"/>
    <w:rsid w:val="00781BF1"/>
    <w:rsid w:val="00782572"/>
    <w:rsid w:val="007910BC"/>
    <w:rsid w:val="007910F3"/>
    <w:rsid w:val="00792462"/>
    <w:rsid w:val="0079446D"/>
    <w:rsid w:val="00795E60"/>
    <w:rsid w:val="00796001"/>
    <w:rsid w:val="00796BA7"/>
    <w:rsid w:val="00797010"/>
    <w:rsid w:val="00797250"/>
    <w:rsid w:val="007A0800"/>
    <w:rsid w:val="007A105B"/>
    <w:rsid w:val="007A15AA"/>
    <w:rsid w:val="007A2EC1"/>
    <w:rsid w:val="007A4522"/>
    <w:rsid w:val="007B2B75"/>
    <w:rsid w:val="007B5553"/>
    <w:rsid w:val="007B6627"/>
    <w:rsid w:val="007B7385"/>
    <w:rsid w:val="007B7F7F"/>
    <w:rsid w:val="007C1295"/>
    <w:rsid w:val="007C240E"/>
    <w:rsid w:val="007C2785"/>
    <w:rsid w:val="007C2B13"/>
    <w:rsid w:val="007D0598"/>
    <w:rsid w:val="007D18DB"/>
    <w:rsid w:val="007D1B9E"/>
    <w:rsid w:val="007D27DD"/>
    <w:rsid w:val="007D280E"/>
    <w:rsid w:val="007D331A"/>
    <w:rsid w:val="007D5536"/>
    <w:rsid w:val="007E134B"/>
    <w:rsid w:val="007E2DD3"/>
    <w:rsid w:val="007E41F7"/>
    <w:rsid w:val="007F7E28"/>
    <w:rsid w:val="008105E5"/>
    <w:rsid w:val="00815FCB"/>
    <w:rsid w:val="00816124"/>
    <w:rsid w:val="0081768C"/>
    <w:rsid w:val="00820DBD"/>
    <w:rsid w:val="00822069"/>
    <w:rsid w:val="00827384"/>
    <w:rsid w:val="00830485"/>
    <w:rsid w:val="0083149B"/>
    <w:rsid w:val="00831CFC"/>
    <w:rsid w:val="00844271"/>
    <w:rsid w:val="0084528A"/>
    <w:rsid w:val="008460F2"/>
    <w:rsid w:val="00847308"/>
    <w:rsid w:val="00850525"/>
    <w:rsid w:val="00851B80"/>
    <w:rsid w:val="00851EDE"/>
    <w:rsid w:val="0085306B"/>
    <w:rsid w:val="008532EF"/>
    <w:rsid w:val="00856041"/>
    <w:rsid w:val="00856C5D"/>
    <w:rsid w:val="0086322D"/>
    <w:rsid w:val="00864DE0"/>
    <w:rsid w:val="00866AEE"/>
    <w:rsid w:val="0086766E"/>
    <w:rsid w:val="00870CB8"/>
    <w:rsid w:val="00872D17"/>
    <w:rsid w:val="00872F4C"/>
    <w:rsid w:val="008736D2"/>
    <w:rsid w:val="00874893"/>
    <w:rsid w:val="00876378"/>
    <w:rsid w:val="00877C60"/>
    <w:rsid w:val="008813B6"/>
    <w:rsid w:val="00883701"/>
    <w:rsid w:val="00885336"/>
    <w:rsid w:val="008913CE"/>
    <w:rsid w:val="00891947"/>
    <w:rsid w:val="00891983"/>
    <w:rsid w:val="00891CBB"/>
    <w:rsid w:val="00893C87"/>
    <w:rsid w:val="00894B06"/>
    <w:rsid w:val="0089572E"/>
    <w:rsid w:val="0089701D"/>
    <w:rsid w:val="0089750E"/>
    <w:rsid w:val="00897AA8"/>
    <w:rsid w:val="008A0D3C"/>
    <w:rsid w:val="008A11E8"/>
    <w:rsid w:val="008A6360"/>
    <w:rsid w:val="008A64D5"/>
    <w:rsid w:val="008A675E"/>
    <w:rsid w:val="008A6924"/>
    <w:rsid w:val="008A76EF"/>
    <w:rsid w:val="008A7A12"/>
    <w:rsid w:val="008B038E"/>
    <w:rsid w:val="008B16A9"/>
    <w:rsid w:val="008B1D55"/>
    <w:rsid w:val="008B5002"/>
    <w:rsid w:val="008B64E1"/>
    <w:rsid w:val="008B7412"/>
    <w:rsid w:val="008C095D"/>
    <w:rsid w:val="008C1378"/>
    <w:rsid w:val="008C1D8D"/>
    <w:rsid w:val="008C678F"/>
    <w:rsid w:val="008D5E77"/>
    <w:rsid w:val="008E0162"/>
    <w:rsid w:val="008E021D"/>
    <w:rsid w:val="008E2AC8"/>
    <w:rsid w:val="008E362E"/>
    <w:rsid w:val="008E4B21"/>
    <w:rsid w:val="008F2DE0"/>
    <w:rsid w:val="008F3897"/>
    <w:rsid w:val="008F6F07"/>
    <w:rsid w:val="00900AD3"/>
    <w:rsid w:val="00901233"/>
    <w:rsid w:val="00901DC3"/>
    <w:rsid w:val="00903A92"/>
    <w:rsid w:val="009040EB"/>
    <w:rsid w:val="00904EDA"/>
    <w:rsid w:val="00906579"/>
    <w:rsid w:val="00910A98"/>
    <w:rsid w:val="0091416E"/>
    <w:rsid w:val="00915329"/>
    <w:rsid w:val="0091704B"/>
    <w:rsid w:val="00917C28"/>
    <w:rsid w:val="00921425"/>
    <w:rsid w:val="00921564"/>
    <w:rsid w:val="00921D6F"/>
    <w:rsid w:val="0092232D"/>
    <w:rsid w:val="0092412D"/>
    <w:rsid w:val="0092468C"/>
    <w:rsid w:val="00925ECE"/>
    <w:rsid w:val="009277ED"/>
    <w:rsid w:val="00931808"/>
    <w:rsid w:val="009340F1"/>
    <w:rsid w:val="00940AE8"/>
    <w:rsid w:val="00941C2F"/>
    <w:rsid w:val="00941EEB"/>
    <w:rsid w:val="0094327E"/>
    <w:rsid w:val="00945E28"/>
    <w:rsid w:val="0094602C"/>
    <w:rsid w:val="009502E3"/>
    <w:rsid w:val="0095278E"/>
    <w:rsid w:val="00952AED"/>
    <w:rsid w:val="00953FC7"/>
    <w:rsid w:val="00954B4E"/>
    <w:rsid w:val="00955FB8"/>
    <w:rsid w:val="0096043E"/>
    <w:rsid w:val="00960748"/>
    <w:rsid w:val="00960CAF"/>
    <w:rsid w:val="00960FEB"/>
    <w:rsid w:val="0096185D"/>
    <w:rsid w:val="00961B99"/>
    <w:rsid w:val="009625A0"/>
    <w:rsid w:val="00963320"/>
    <w:rsid w:val="00971240"/>
    <w:rsid w:val="00971BB9"/>
    <w:rsid w:val="00974959"/>
    <w:rsid w:val="00975C21"/>
    <w:rsid w:val="0098082A"/>
    <w:rsid w:val="00981D71"/>
    <w:rsid w:val="00983A91"/>
    <w:rsid w:val="009863FF"/>
    <w:rsid w:val="0098741C"/>
    <w:rsid w:val="00990722"/>
    <w:rsid w:val="0099370F"/>
    <w:rsid w:val="00993BFE"/>
    <w:rsid w:val="00996F70"/>
    <w:rsid w:val="009A13EC"/>
    <w:rsid w:val="009A183E"/>
    <w:rsid w:val="009A2B6E"/>
    <w:rsid w:val="009A4D65"/>
    <w:rsid w:val="009A7DA9"/>
    <w:rsid w:val="009B03E6"/>
    <w:rsid w:val="009B1A37"/>
    <w:rsid w:val="009B367D"/>
    <w:rsid w:val="009B44F5"/>
    <w:rsid w:val="009B475A"/>
    <w:rsid w:val="009B4D5F"/>
    <w:rsid w:val="009B57EA"/>
    <w:rsid w:val="009C074D"/>
    <w:rsid w:val="009C28BF"/>
    <w:rsid w:val="009C49BB"/>
    <w:rsid w:val="009C6C4F"/>
    <w:rsid w:val="009D26DF"/>
    <w:rsid w:val="009D5AD6"/>
    <w:rsid w:val="009D7C9A"/>
    <w:rsid w:val="009E1B78"/>
    <w:rsid w:val="009E1B98"/>
    <w:rsid w:val="009E75E5"/>
    <w:rsid w:val="009E7BFF"/>
    <w:rsid w:val="009F41EF"/>
    <w:rsid w:val="009F6903"/>
    <w:rsid w:val="00A0013C"/>
    <w:rsid w:val="00A020C3"/>
    <w:rsid w:val="00A02286"/>
    <w:rsid w:val="00A02A76"/>
    <w:rsid w:val="00A03E4F"/>
    <w:rsid w:val="00A04755"/>
    <w:rsid w:val="00A06F5F"/>
    <w:rsid w:val="00A072B0"/>
    <w:rsid w:val="00A07DA3"/>
    <w:rsid w:val="00A10513"/>
    <w:rsid w:val="00A106E0"/>
    <w:rsid w:val="00A11275"/>
    <w:rsid w:val="00A11398"/>
    <w:rsid w:val="00A12785"/>
    <w:rsid w:val="00A1338A"/>
    <w:rsid w:val="00A1501E"/>
    <w:rsid w:val="00A154E7"/>
    <w:rsid w:val="00A15BD6"/>
    <w:rsid w:val="00A17D37"/>
    <w:rsid w:val="00A20642"/>
    <w:rsid w:val="00A20F97"/>
    <w:rsid w:val="00A21635"/>
    <w:rsid w:val="00A22D4C"/>
    <w:rsid w:val="00A23481"/>
    <w:rsid w:val="00A2522A"/>
    <w:rsid w:val="00A27878"/>
    <w:rsid w:val="00A31542"/>
    <w:rsid w:val="00A329BB"/>
    <w:rsid w:val="00A3554A"/>
    <w:rsid w:val="00A400AD"/>
    <w:rsid w:val="00A40A1C"/>
    <w:rsid w:val="00A40FAD"/>
    <w:rsid w:val="00A41E30"/>
    <w:rsid w:val="00A44EA7"/>
    <w:rsid w:val="00A45FB0"/>
    <w:rsid w:val="00A52EF0"/>
    <w:rsid w:val="00A53CF3"/>
    <w:rsid w:val="00A54742"/>
    <w:rsid w:val="00A549CA"/>
    <w:rsid w:val="00A57B8B"/>
    <w:rsid w:val="00A64255"/>
    <w:rsid w:val="00A65413"/>
    <w:rsid w:val="00A6581D"/>
    <w:rsid w:val="00A70103"/>
    <w:rsid w:val="00A7157A"/>
    <w:rsid w:val="00A720B7"/>
    <w:rsid w:val="00A7222A"/>
    <w:rsid w:val="00A72445"/>
    <w:rsid w:val="00A72E60"/>
    <w:rsid w:val="00A730DE"/>
    <w:rsid w:val="00A7443B"/>
    <w:rsid w:val="00A757D0"/>
    <w:rsid w:val="00A75A3E"/>
    <w:rsid w:val="00A75AC8"/>
    <w:rsid w:val="00A75F0F"/>
    <w:rsid w:val="00A76F52"/>
    <w:rsid w:val="00A80086"/>
    <w:rsid w:val="00A81734"/>
    <w:rsid w:val="00A86D84"/>
    <w:rsid w:val="00A93B36"/>
    <w:rsid w:val="00A979A1"/>
    <w:rsid w:val="00AA071E"/>
    <w:rsid w:val="00AA261A"/>
    <w:rsid w:val="00AA2C02"/>
    <w:rsid w:val="00AA371B"/>
    <w:rsid w:val="00AA491C"/>
    <w:rsid w:val="00AA5237"/>
    <w:rsid w:val="00AA6870"/>
    <w:rsid w:val="00AB15AF"/>
    <w:rsid w:val="00AB1C56"/>
    <w:rsid w:val="00AB4D2E"/>
    <w:rsid w:val="00AC0AEC"/>
    <w:rsid w:val="00AC0E5D"/>
    <w:rsid w:val="00AC383E"/>
    <w:rsid w:val="00AC4C1A"/>
    <w:rsid w:val="00AC5D70"/>
    <w:rsid w:val="00AC792F"/>
    <w:rsid w:val="00AD00E9"/>
    <w:rsid w:val="00AD05C4"/>
    <w:rsid w:val="00AD079B"/>
    <w:rsid w:val="00AD1512"/>
    <w:rsid w:val="00AD3158"/>
    <w:rsid w:val="00AD4E44"/>
    <w:rsid w:val="00AD52D1"/>
    <w:rsid w:val="00AD5832"/>
    <w:rsid w:val="00AE349D"/>
    <w:rsid w:val="00AE5565"/>
    <w:rsid w:val="00AE6202"/>
    <w:rsid w:val="00AE7AFB"/>
    <w:rsid w:val="00AE7F44"/>
    <w:rsid w:val="00AF0B73"/>
    <w:rsid w:val="00AF1990"/>
    <w:rsid w:val="00AF2351"/>
    <w:rsid w:val="00AF2D6E"/>
    <w:rsid w:val="00B00096"/>
    <w:rsid w:val="00B00F7B"/>
    <w:rsid w:val="00B00FB6"/>
    <w:rsid w:val="00B03F79"/>
    <w:rsid w:val="00B05856"/>
    <w:rsid w:val="00B10789"/>
    <w:rsid w:val="00B14E62"/>
    <w:rsid w:val="00B202B6"/>
    <w:rsid w:val="00B20788"/>
    <w:rsid w:val="00B21683"/>
    <w:rsid w:val="00B22A1B"/>
    <w:rsid w:val="00B22BC3"/>
    <w:rsid w:val="00B2570B"/>
    <w:rsid w:val="00B27262"/>
    <w:rsid w:val="00B27E64"/>
    <w:rsid w:val="00B32D9E"/>
    <w:rsid w:val="00B3404A"/>
    <w:rsid w:val="00B346DE"/>
    <w:rsid w:val="00B3645A"/>
    <w:rsid w:val="00B36713"/>
    <w:rsid w:val="00B377FF"/>
    <w:rsid w:val="00B4224A"/>
    <w:rsid w:val="00B42F34"/>
    <w:rsid w:val="00B455F1"/>
    <w:rsid w:val="00B45F7F"/>
    <w:rsid w:val="00B54282"/>
    <w:rsid w:val="00B54BC2"/>
    <w:rsid w:val="00B54CB1"/>
    <w:rsid w:val="00B56C43"/>
    <w:rsid w:val="00B60D91"/>
    <w:rsid w:val="00B6260B"/>
    <w:rsid w:val="00B6422C"/>
    <w:rsid w:val="00B65210"/>
    <w:rsid w:val="00B675E7"/>
    <w:rsid w:val="00B70FDE"/>
    <w:rsid w:val="00B710CD"/>
    <w:rsid w:val="00B71CA8"/>
    <w:rsid w:val="00B72792"/>
    <w:rsid w:val="00B73C95"/>
    <w:rsid w:val="00B76993"/>
    <w:rsid w:val="00B8294E"/>
    <w:rsid w:val="00B82A98"/>
    <w:rsid w:val="00B84DCA"/>
    <w:rsid w:val="00B86428"/>
    <w:rsid w:val="00B917B3"/>
    <w:rsid w:val="00B92C03"/>
    <w:rsid w:val="00B93CF9"/>
    <w:rsid w:val="00B9434A"/>
    <w:rsid w:val="00B9436F"/>
    <w:rsid w:val="00B948B9"/>
    <w:rsid w:val="00BA057E"/>
    <w:rsid w:val="00BA0721"/>
    <w:rsid w:val="00BA17E5"/>
    <w:rsid w:val="00BA21C5"/>
    <w:rsid w:val="00BA24E7"/>
    <w:rsid w:val="00BA27F4"/>
    <w:rsid w:val="00BA35E7"/>
    <w:rsid w:val="00BA4FF7"/>
    <w:rsid w:val="00BB3090"/>
    <w:rsid w:val="00BB37FA"/>
    <w:rsid w:val="00BB3996"/>
    <w:rsid w:val="00BB39E8"/>
    <w:rsid w:val="00BB5037"/>
    <w:rsid w:val="00BB5321"/>
    <w:rsid w:val="00BB5842"/>
    <w:rsid w:val="00BB5951"/>
    <w:rsid w:val="00BB69AE"/>
    <w:rsid w:val="00BC2043"/>
    <w:rsid w:val="00BC22FC"/>
    <w:rsid w:val="00BC2CF5"/>
    <w:rsid w:val="00BC34FF"/>
    <w:rsid w:val="00BC5250"/>
    <w:rsid w:val="00BC7D9E"/>
    <w:rsid w:val="00BD0172"/>
    <w:rsid w:val="00BD04F9"/>
    <w:rsid w:val="00BD0ACD"/>
    <w:rsid w:val="00BD175A"/>
    <w:rsid w:val="00BD2591"/>
    <w:rsid w:val="00BD30E4"/>
    <w:rsid w:val="00BD5869"/>
    <w:rsid w:val="00BD6319"/>
    <w:rsid w:val="00BD7888"/>
    <w:rsid w:val="00BE1E17"/>
    <w:rsid w:val="00BE243B"/>
    <w:rsid w:val="00BE3388"/>
    <w:rsid w:val="00BE3D48"/>
    <w:rsid w:val="00BE3F09"/>
    <w:rsid w:val="00BE730C"/>
    <w:rsid w:val="00BF0D78"/>
    <w:rsid w:val="00BF515B"/>
    <w:rsid w:val="00C00CF3"/>
    <w:rsid w:val="00C013E9"/>
    <w:rsid w:val="00C0208A"/>
    <w:rsid w:val="00C0218A"/>
    <w:rsid w:val="00C0225E"/>
    <w:rsid w:val="00C026B3"/>
    <w:rsid w:val="00C03CEE"/>
    <w:rsid w:val="00C05495"/>
    <w:rsid w:val="00C10854"/>
    <w:rsid w:val="00C11AD0"/>
    <w:rsid w:val="00C12548"/>
    <w:rsid w:val="00C1493A"/>
    <w:rsid w:val="00C14C11"/>
    <w:rsid w:val="00C16198"/>
    <w:rsid w:val="00C17623"/>
    <w:rsid w:val="00C222C2"/>
    <w:rsid w:val="00C25BB8"/>
    <w:rsid w:val="00C25FB5"/>
    <w:rsid w:val="00C27C9A"/>
    <w:rsid w:val="00C30394"/>
    <w:rsid w:val="00C31186"/>
    <w:rsid w:val="00C3220A"/>
    <w:rsid w:val="00C3285B"/>
    <w:rsid w:val="00C340E2"/>
    <w:rsid w:val="00C34502"/>
    <w:rsid w:val="00C34FA0"/>
    <w:rsid w:val="00C3531E"/>
    <w:rsid w:val="00C40427"/>
    <w:rsid w:val="00C40642"/>
    <w:rsid w:val="00C40F59"/>
    <w:rsid w:val="00C5128F"/>
    <w:rsid w:val="00C51AC2"/>
    <w:rsid w:val="00C531F5"/>
    <w:rsid w:val="00C53682"/>
    <w:rsid w:val="00C5431A"/>
    <w:rsid w:val="00C54F45"/>
    <w:rsid w:val="00C56341"/>
    <w:rsid w:val="00C56CC8"/>
    <w:rsid w:val="00C6017D"/>
    <w:rsid w:val="00C606C1"/>
    <w:rsid w:val="00C65D3D"/>
    <w:rsid w:val="00C663D2"/>
    <w:rsid w:val="00C663EB"/>
    <w:rsid w:val="00C71FEF"/>
    <w:rsid w:val="00C72806"/>
    <w:rsid w:val="00C742D3"/>
    <w:rsid w:val="00C758AA"/>
    <w:rsid w:val="00C75CD1"/>
    <w:rsid w:val="00C82AC7"/>
    <w:rsid w:val="00C82FEE"/>
    <w:rsid w:val="00C83E66"/>
    <w:rsid w:val="00C84F85"/>
    <w:rsid w:val="00C8535E"/>
    <w:rsid w:val="00C860D7"/>
    <w:rsid w:val="00C86A5F"/>
    <w:rsid w:val="00C913CE"/>
    <w:rsid w:val="00C91AE4"/>
    <w:rsid w:val="00C9431F"/>
    <w:rsid w:val="00C967F4"/>
    <w:rsid w:val="00CA0064"/>
    <w:rsid w:val="00CA0641"/>
    <w:rsid w:val="00CA0CCF"/>
    <w:rsid w:val="00CA1D5D"/>
    <w:rsid w:val="00CA444C"/>
    <w:rsid w:val="00CA448D"/>
    <w:rsid w:val="00CA5E7F"/>
    <w:rsid w:val="00CB099E"/>
    <w:rsid w:val="00CB0ABF"/>
    <w:rsid w:val="00CB1FF3"/>
    <w:rsid w:val="00CB2B68"/>
    <w:rsid w:val="00CB3078"/>
    <w:rsid w:val="00CB4ABD"/>
    <w:rsid w:val="00CB5BDD"/>
    <w:rsid w:val="00CB683D"/>
    <w:rsid w:val="00CC32DC"/>
    <w:rsid w:val="00CD1312"/>
    <w:rsid w:val="00CD4225"/>
    <w:rsid w:val="00CD437B"/>
    <w:rsid w:val="00CD5C21"/>
    <w:rsid w:val="00CD6ABB"/>
    <w:rsid w:val="00CE069C"/>
    <w:rsid w:val="00CE64B9"/>
    <w:rsid w:val="00CE6789"/>
    <w:rsid w:val="00CE680A"/>
    <w:rsid w:val="00CF011C"/>
    <w:rsid w:val="00CF017A"/>
    <w:rsid w:val="00CF18B0"/>
    <w:rsid w:val="00CF1B7D"/>
    <w:rsid w:val="00CF38F2"/>
    <w:rsid w:val="00CF3D59"/>
    <w:rsid w:val="00CF5CC1"/>
    <w:rsid w:val="00CF6DA1"/>
    <w:rsid w:val="00D016F9"/>
    <w:rsid w:val="00D054C2"/>
    <w:rsid w:val="00D120DC"/>
    <w:rsid w:val="00D2009B"/>
    <w:rsid w:val="00D21715"/>
    <w:rsid w:val="00D22C69"/>
    <w:rsid w:val="00D25883"/>
    <w:rsid w:val="00D25C0D"/>
    <w:rsid w:val="00D270F6"/>
    <w:rsid w:val="00D31C82"/>
    <w:rsid w:val="00D34809"/>
    <w:rsid w:val="00D34DEC"/>
    <w:rsid w:val="00D36351"/>
    <w:rsid w:val="00D43312"/>
    <w:rsid w:val="00D43611"/>
    <w:rsid w:val="00D52D20"/>
    <w:rsid w:val="00D53F07"/>
    <w:rsid w:val="00D54165"/>
    <w:rsid w:val="00D55077"/>
    <w:rsid w:val="00D55176"/>
    <w:rsid w:val="00D55543"/>
    <w:rsid w:val="00D5565A"/>
    <w:rsid w:val="00D5574E"/>
    <w:rsid w:val="00D65497"/>
    <w:rsid w:val="00D65C17"/>
    <w:rsid w:val="00D66CA4"/>
    <w:rsid w:val="00D70642"/>
    <w:rsid w:val="00D7075C"/>
    <w:rsid w:val="00D74347"/>
    <w:rsid w:val="00D77C74"/>
    <w:rsid w:val="00D80ABA"/>
    <w:rsid w:val="00D81D07"/>
    <w:rsid w:val="00D82A16"/>
    <w:rsid w:val="00D82ADC"/>
    <w:rsid w:val="00D870A6"/>
    <w:rsid w:val="00D90B58"/>
    <w:rsid w:val="00D91DA2"/>
    <w:rsid w:val="00D91F85"/>
    <w:rsid w:val="00D94293"/>
    <w:rsid w:val="00D94F95"/>
    <w:rsid w:val="00D97A44"/>
    <w:rsid w:val="00D97DA1"/>
    <w:rsid w:val="00DA00A2"/>
    <w:rsid w:val="00DA3AA8"/>
    <w:rsid w:val="00DA5109"/>
    <w:rsid w:val="00DA54B6"/>
    <w:rsid w:val="00DA6035"/>
    <w:rsid w:val="00DB23BE"/>
    <w:rsid w:val="00DB31AC"/>
    <w:rsid w:val="00DB35E0"/>
    <w:rsid w:val="00DB3D76"/>
    <w:rsid w:val="00DB448F"/>
    <w:rsid w:val="00DB50B5"/>
    <w:rsid w:val="00DC43F1"/>
    <w:rsid w:val="00DC4863"/>
    <w:rsid w:val="00DC4F8B"/>
    <w:rsid w:val="00DD1B5A"/>
    <w:rsid w:val="00DD4A26"/>
    <w:rsid w:val="00DD5CF5"/>
    <w:rsid w:val="00DD5D87"/>
    <w:rsid w:val="00DE1BE6"/>
    <w:rsid w:val="00DE291D"/>
    <w:rsid w:val="00DE2D76"/>
    <w:rsid w:val="00DE2ED2"/>
    <w:rsid w:val="00DE5C1C"/>
    <w:rsid w:val="00DF452F"/>
    <w:rsid w:val="00DF4EA7"/>
    <w:rsid w:val="00DF5A85"/>
    <w:rsid w:val="00DF6686"/>
    <w:rsid w:val="00E03C1F"/>
    <w:rsid w:val="00E03E0C"/>
    <w:rsid w:val="00E03E8C"/>
    <w:rsid w:val="00E04987"/>
    <w:rsid w:val="00E05020"/>
    <w:rsid w:val="00E111FB"/>
    <w:rsid w:val="00E12F15"/>
    <w:rsid w:val="00E1465F"/>
    <w:rsid w:val="00E14BFF"/>
    <w:rsid w:val="00E16523"/>
    <w:rsid w:val="00E247AA"/>
    <w:rsid w:val="00E24EE9"/>
    <w:rsid w:val="00E25D2A"/>
    <w:rsid w:val="00E27507"/>
    <w:rsid w:val="00E2793A"/>
    <w:rsid w:val="00E27CF4"/>
    <w:rsid w:val="00E31E4E"/>
    <w:rsid w:val="00E32EF2"/>
    <w:rsid w:val="00E33713"/>
    <w:rsid w:val="00E34252"/>
    <w:rsid w:val="00E34AC5"/>
    <w:rsid w:val="00E36B87"/>
    <w:rsid w:val="00E36D00"/>
    <w:rsid w:val="00E375D6"/>
    <w:rsid w:val="00E4020C"/>
    <w:rsid w:val="00E40410"/>
    <w:rsid w:val="00E40E9C"/>
    <w:rsid w:val="00E43DCA"/>
    <w:rsid w:val="00E46F08"/>
    <w:rsid w:val="00E50FF0"/>
    <w:rsid w:val="00E55254"/>
    <w:rsid w:val="00E558F6"/>
    <w:rsid w:val="00E5658B"/>
    <w:rsid w:val="00E5743C"/>
    <w:rsid w:val="00E5790C"/>
    <w:rsid w:val="00E6083B"/>
    <w:rsid w:val="00E611A4"/>
    <w:rsid w:val="00E61A01"/>
    <w:rsid w:val="00E61BEE"/>
    <w:rsid w:val="00E6285B"/>
    <w:rsid w:val="00E64FEE"/>
    <w:rsid w:val="00E65B7B"/>
    <w:rsid w:val="00E70B6E"/>
    <w:rsid w:val="00E72D1D"/>
    <w:rsid w:val="00E749BD"/>
    <w:rsid w:val="00E752D0"/>
    <w:rsid w:val="00E80BB8"/>
    <w:rsid w:val="00E80F10"/>
    <w:rsid w:val="00E84117"/>
    <w:rsid w:val="00E8437D"/>
    <w:rsid w:val="00E862C5"/>
    <w:rsid w:val="00E9090F"/>
    <w:rsid w:val="00E90933"/>
    <w:rsid w:val="00E92109"/>
    <w:rsid w:val="00E93CBA"/>
    <w:rsid w:val="00E96C99"/>
    <w:rsid w:val="00E9751A"/>
    <w:rsid w:val="00E97CDA"/>
    <w:rsid w:val="00EA3888"/>
    <w:rsid w:val="00EA5993"/>
    <w:rsid w:val="00EB25C0"/>
    <w:rsid w:val="00EB2ED8"/>
    <w:rsid w:val="00EB4FF7"/>
    <w:rsid w:val="00EB5F3C"/>
    <w:rsid w:val="00EC143D"/>
    <w:rsid w:val="00EC25C4"/>
    <w:rsid w:val="00EC4524"/>
    <w:rsid w:val="00EC5D2F"/>
    <w:rsid w:val="00EC769B"/>
    <w:rsid w:val="00ED0D70"/>
    <w:rsid w:val="00ED1AAF"/>
    <w:rsid w:val="00ED1CAD"/>
    <w:rsid w:val="00ED2755"/>
    <w:rsid w:val="00ED2780"/>
    <w:rsid w:val="00ED4629"/>
    <w:rsid w:val="00ED6419"/>
    <w:rsid w:val="00ED6F48"/>
    <w:rsid w:val="00EE0F18"/>
    <w:rsid w:val="00EE5E41"/>
    <w:rsid w:val="00EE7192"/>
    <w:rsid w:val="00EF1C18"/>
    <w:rsid w:val="00EF2755"/>
    <w:rsid w:val="00EF31B4"/>
    <w:rsid w:val="00EF3DFB"/>
    <w:rsid w:val="00EF6BB6"/>
    <w:rsid w:val="00EF7645"/>
    <w:rsid w:val="00EF7788"/>
    <w:rsid w:val="00F014F4"/>
    <w:rsid w:val="00F01DF4"/>
    <w:rsid w:val="00F028AF"/>
    <w:rsid w:val="00F05136"/>
    <w:rsid w:val="00F05B3D"/>
    <w:rsid w:val="00F05C6F"/>
    <w:rsid w:val="00F12FC8"/>
    <w:rsid w:val="00F131DD"/>
    <w:rsid w:val="00F14409"/>
    <w:rsid w:val="00F14846"/>
    <w:rsid w:val="00F14D1D"/>
    <w:rsid w:val="00F1621D"/>
    <w:rsid w:val="00F16E51"/>
    <w:rsid w:val="00F17A67"/>
    <w:rsid w:val="00F226E7"/>
    <w:rsid w:val="00F22BCF"/>
    <w:rsid w:val="00F230A2"/>
    <w:rsid w:val="00F240C1"/>
    <w:rsid w:val="00F24AE4"/>
    <w:rsid w:val="00F24E44"/>
    <w:rsid w:val="00F31F7D"/>
    <w:rsid w:val="00F327D4"/>
    <w:rsid w:val="00F32D33"/>
    <w:rsid w:val="00F34361"/>
    <w:rsid w:val="00F35C9B"/>
    <w:rsid w:val="00F40001"/>
    <w:rsid w:val="00F42E4A"/>
    <w:rsid w:val="00F46AB7"/>
    <w:rsid w:val="00F51FB3"/>
    <w:rsid w:val="00F5227B"/>
    <w:rsid w:val="00F53030"/>
    <w:rsid w:val="00F5391A"/>
    <w:rsid w:val="00F54252"/>
    <w:rsid w:val="00F5428D"/>
    <w:rsid w:val="00F55D84"/>
    <w:rsid w:val="00F57421"/>
    <w:rsid w:val="00F57721"/>
    <w:rsid w:val="00F62619"/>
    <w:rsid w:val="00F62D0C"/>
    <w:rsid w:val="00F66DC5"/>
    <w:rsid w:val="00F66E98"/>
    <w:rsid w:val="00F70876"/>
    <w:rsid w:val="00F70DE0"/>
    <w:rsid w:val="00F7256F"/>
    <w:rsid w:val="00F743D4"/>
    <w:rsid w:val="00F75439"/>
    <w:rsid w:val="00F75936"/>
    <w:rsid w:val="00F75C2F"/>
    <w:rsid w:val="00F76057"/>
    <w:rsid w:val="00F76E05"/>
    <w:rsid w:val="00F811A8"/>
    <w:rsid w:val="00F81DA8"/>
    <w:rsid w:val="00F82560"/>
    <w:rsid w:val="00F829B2"/>
    <w:rsid w:val="00F85A21"/>
    <w:rsid w:val="00F85A9B"/>
    <w:rsid w:val="00F87E46"/>
    <w:rsid w:val="00F92D7B"/>
    <w:rsid w:val="00F944AB"/>
    <w:rsid w:val="00F96FF0"/>
    <w:rsid w:val="00FA0559"/>
    <w:rsid w:val="00FA2341"/>
    <w:rsid w:val="00FA3EC1"/>
    <w:rsid w:val="00FA74CF"/>
    <w:rsid w:val="00FB0BED"/>
    <w:rsid w:val="00FB1F74"/>
    <w:rsid w:val="00FB23CC"/>
    <w:rsid w:val="00FB51D0"/>
    <w:rsid w:val="00FB52B2"/>
    <w:rsid w:val="00FC078D"/>
    <w:rsid w:val="00FC5394"/>
    <w:rsid w:val="00FC57C0"/>
    <w:rsid w:val="00FD0030"/>
    <w:rsid w:val="00FD11EA"/>
    <w:rsid w:val="00FD509C"/>
    <w:rsid w:val="00FD6FD4"/>
    <w:rsid w:val="00FE032B"/>
    <w:rsid w:val="00FE2787"/>
    <w:rsid w:val="00FE2BE7"/>
    <w:rsid w:val="00FE4FEB"/>
    <w:rsid w:val="00FE731E"/>
    <w:rsid w:val="00FF3675"/>
    <w:rsid w:val="00FF3D73"/>
    <w:rsid w:val="00FF4C14"/>
    <w:rsid w:val="00FF5961"/>
    <w:rsid w:val="00FF5E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stockticker"/>
  <w:shapeDefaults>
    <o:shapedefaults v:ext="edit" spidmax="26625"/>
    <o:shapelayout v:ext="edit">
      <o:idmap v:ext="edit" data="1"/>
    </o:shapelayout>
  </w:shapeDefaults>
  <w:decimalSymbol w:val="."/>
  <w:listSeparator w:val=","/>
  <w14:docId w14:val="59C8CECF"/>
  <w15:chartTrackingRefBased/>
  <w15:docId w15:val="{FEDEAD84-3603-42D2-9674-9298035CC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567"/>
      </w:tabs>
      <w:suppressAutoHyphens/>
      <w:spacing w:line="260" w:lineRule="exact"/>
    </w:pPr>
    <w:rPr>
      <w:sz w:val="22"/>
      <w:szCs w:val="22"/>
      <w:lang w:val="cs-CZ" w:eastAsia="ar-SA"/>
    </w:rPr>
  </w:style>
  <w:style w:type="paragraph" w:styleId="Heading1">
    <w:name w:val="heading 1"/>
    <w:basedOn w:val="Normal"/>
    <w:next w:val="Normal"/>
    <w:qFormat/>
    <w:pPr>
      <w:numPr>
        <w:numId w:val="1"/>
      </w:numPr>
      <w:spacing w:before="240" w:after="120"/>
      <w:ind w:left="357" w:hanging="357"/>
      <w:outlineLvl w:val="0"/>
    </w:pPr>
    <w:rPr>
      <w:b/>
      <w:bCs/>
      <w:caps/>
      <w:sz w:val="26"/>
      <w:szCs w:val="26"/>
      <w:lang w:val="en-US"/>
    </w:rPr>
  </w:style>
  <w:style w:type="paragraph" w:styleId="Heading2">
    <w:name w:val="heading 2"/>
    <w:basedOn w:val="Normal"/>
    <w:next w:val="Normal"/>
    <w:qFormat/>
    <w:pPr>
      <w:keepNext/>
      <w:numPr>
        <w:ilvl w:val="1"/>
        <w:numId w:val="1"/>
      </w:numPr>
      <w:spacing w:before="240" w:after="60"/>
      <w:outlineLvl w:val="1"/>
    </w:pPr>
    <w:rPr>
      <w:rFonts w:ascii="Helvetica" w:hAnsi="Helvetica" w:cs="Helvetica"/>
      <w:b/>
      <w:bCs/>
      <w:i/>
      <w:iCs/>
      <w:sz w:val="24"/>
      <w:szCs w:val="24"/>
    </w:rPr>
  </w:style>
  <w:style w:type="paragraph" w:styleId="Heading3">
    <w:name w:val="heading 3"/>
    <w:basedOn w:val="Normal"/>
    <w:next w:val="Normal"/>
    <w:qFormat/>
    <w:pPr>
      <w:keepNext/>
      <w:keepLines/>
      <w:numPr>
        <w:ilvl w:val="2"/>
        <w:numId w:val="1"/>
      </w:numPr>
      <w:spacing w:before="120" w:after="80"/>
      <w:outlineLvl w:val="2"/>
    </w:pPr>
    <w:rPr>
      <w:b/>
      <w:bCs/>
      <w:kern w:val="1"/>
      <w:sz w:val="24"/>
      <w:szCs w:val="24"/>
      <w:lang w:val="en-US"/>
    </w:rPr>
  </w:style>
  <w:style w:type="paragraph" w:styleId="Heading4">
    <w:name w:val="heading 4"/>
    <w:basedOn w:val="Normal"/>
    <w:next w:val="Normal"/>
    <w:qFormat/>
    <w:pPr>
      <w:keepNext/>
      <w:numPr>
        <w:ilvl w:val="3"/>
        <w:numId w:val="1"/>
      </w:numPr>
      <w:jc w:val="both"/>
      <w:outlineLvl w:val="3"/>
    </w:pPr>
    <w:rPr>
      <w:b/>
      <w:bCs/>
      <w:lang w:val="en-GB"/>
    </w:rPr>
  </w:style>
  <w:style w:type="paragraph" w:styleId="Heading5">
    <w:name w:val="heading 5"/>
    <w:basedOn w:val="Normal"/>
    <w:next w:val="Normal"/>
    <w:qFormat/>
    <w:pPr>
      <w:keepNext/>
      <w:numPr>
        <w:ilvl w:val="4"/>
        <w:numId w:val="1"/>
      </w:numPr>
      <w:jc w:val="both"/>
      <w:outlineLvl w:val="4"/>
    </w:pPr>
    <w:rPr>
      <w:lang w:val="en-GB"/>
    </w:rPr>
  </w:style>
  <w:style w:type="paragraph" w:styleId="Heading6">
    <w:name w:val="heading 6"/>
    <w:basedOn w:val="Normal"/>
    <w:next w:val="Normal"/>
    <w:qFormat/>
    <w:pPr>
      <w:keepNext/>
      <w:numPr>
        <w:ilvl w:val="5"/>
        <w:numId w:val="1"/>
      </w:numPr>
      <w:tabs>
        <w:tab w:val="left" w:pos="-720"/>
        <w:tab w:val="left" w:pos="4536"/>
      </w:tabs>
      <w:outlineLvl w:val="5"/>
    </w:pPr>
    <w:rPr>
      <w:i/>
      <w:iCs/>
    </w:rPr>
  </w:style>
  <w:style w:type="paragraph" w:styleId="Heading7">
    <w:name w:val="heading 7"/>
    <w:basedOn w:val="Normal"/>
    <w:next w:val="Normal"/>
    <w:qFormat/>
    <w:pPr>
      <w:keepNext/>
      <w:numPr>
        <w:ilvl w:val="6"/>
        <w:numId w:val="1"/>
      </w:numPr>
      <w:tabs>
        <w:tab w:val="left" w:pos="-720"/>
        <w:tab w:val="left" w:pos="4536"/>
      </w:tabs>
      <w:jc w:val="both"/>
      <w:outlineLvl w:val="6"/>
    </w:pPr>
    <w:rPr>
      <w:i/>
      <w:iCs/>
    </w:rPr>
  </w:style>
  <w:style w:type="paragraph" w:styleId="Heading8">
    <w:name w:val="heading 8"/>
    <w:basedOn w:val="Normal"/>
    <w:next w:val="Normal"/>
    <w:qFormat/>
    <w:pPr>
      <w:keepNext/>
      <w:numPr>
        <w:ilvl w:val="7"/>
        <w:numId w:val="1"/>
      </w:numPr>
      <w:ind w:left="567" w:hanging="567"/>
      <w:jc w:val="both"/>
      <w:outlineLvl w:val="7"/>
    </w:pPr>
    <w:rPr>
      <w:b/>
      <w:bCs/>
      <w:i/>
      <w:iCs/>
    </w:rPr>
  </w:style>
  <w:style w:type="paragraph" w:styleId="Heading9">
    <w:name w:val="heading 9"/>
    <w:basedOn w:val="Normal"/>
    <w:next w:val="Normal"/>
    <w:qFormat/>
    <w:pPr>
      <w:keepNext/>
      <w:numPr>
        <w:ilvl w:val="8"/>
        <w:numId w:val="1"/>
      </w:numPr>
      <w:jc w:val="both"/>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cs="Times New Roman"/>
    </w:rPr>
  </w:style>
  <w:style w:type="character" w:customStyle="1" w:styleId="WW8Num3z0">
    <w:name w:val="WW8Num3z0"/>
    <w:rPr>
      <w:rFonts w:cs="Times New Roman"/>
    </w:rPr>
  </w:style>
  <w:style w:type="character" w:customStyle="1" w:styleId="WW8Num4z0">
    <w:name w:val="WW8Num4z0"/>
    <w:rPr>
      <w:rFonts w:cs="Times New Roman"/>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cs="Times New Roman"/>
    </w:rPr>
  </w:style>
  <w:style w:type="character" w:customStyle="1" w:styleId="WW8Num10z0">
    <w:name w:val="WW8Num10z0"/>
    <w:rPr>
      <w:rFonts w:ascii="Symbol" w:hAnsi="Symbol"/>
    </w:rPr>
  </w:style>
  <w:style w:type="character" w:customStyle="1" w:styleId="WW8Num11z0">
    <w:name w:val="WW8Num11z0"/>
    <w:rPr>
      <w:rFonts w:cs="Times New Roman"/>
    </w:rPr>
  </w:style>
  <w:style w:type="character" w:customStyle="1" w:styleId="WW8Num12z0">
    <w:name w:val="WW8Num12z0"/>
    <w:rPr>
      <w:rFonts w:cs="Times New Roman"/>
    </w:rPr>
  </w:style>
  <w:style w:type="character" w:customStyle="1" w:styleId="WW8Num13z0">
    <w:name w:val="WW8Num13z0"/>
    <w:rPr>
      <w:rFonts w:cs="Times New Roman"/>
    </w:rPr>
  </w:style>
  <w:style w:type="character" w:customStyle="1" w:styleId="WW8Num14z0">
    <w:name w:val="WW8Num14z0"/>
    <w:rPr>
      <w:rFonts w:ascii="Symbol" w:hAnsi="Symbol"/>
    </w:rPr>
  </w:style>
  <w:style w:type="character" w:customStyle="1" w:styleId="WW8Num15z0">
    <w:name w:val="WW8Num15z0"/>
    <w:rPr>
      <w:rFonts w:cs="Times New Roman"/>
    </w:rPr>
  </w:style>
  <w:style w:type="character" w:customStyle="1" w:styleId="WW8Num16z0">
    <w:name w:val="WW8Num16z0"/>
    <w:rPr>
      <w:rFonts w:cs="Times New Roman"/>
    </w:rPr>
  </w:style>
  <w:style w:type="character" w:customStyle="1" w:styleId="WW8Num17z0">
    <w:name w:val="WW8Num17z0"/>
    <w:rPr>
      <w:rFonts w:cs="Times New Roman"/>
    </w:rPr>
  </w:style>
  <w:style w:type="character" w:customStyle="1" w:styleId="WW8Num18z0">
    <w:name w:val="WW8Num18z0"/>
    <w:rPr>
      <w:rFonts w:cs="Times New Roman"/>
    </w:rPr>
  </w:style>
  <w:style w:type="character" w:customStyle="1" w:styleId="WW8Num19z0">
    <w:name w:val="WW8Num19z0"/>
    <w:rPr>
      <w:rFonts w:ascii="Symbol" w:hAnsi="Symbol"/>
    </w:rPr>
  </w:style>
  <w:style w:type="character" w:customStyle="1" w:styleId="WW8Num20z0">
    <w:name w:val="WW8Num20z0"/>
    <w:rPr>
      <w:rFonts w:cs="Times New Roman"/>
    </w:rPr>
  </w:style>
  <w:style w:type="character" w:customStyle="1" w:styleId="WW8Num21z0">
    <w:name w:val="WW8Num21z0"/>
    <w:rPr>
      <w:rFonts w:ascii="Symbol" w:hAnsi="Symbol"/>
    </w:rPr>
  </w:style>
  <w:style w:type="character" w:customStyle="1" w:styleId="WW8Num22z0">
    <w:name w:val="WW8Num22z0"/>
    <w:rPr>
      <w:b w:val="0"/>
      <w:i w:val="0"/>
    </w:rPr>
  </w:style>
  <w:style w:type="character" w:customStyle="1" w:styleId="WW8Num23z0">
    <w:name w:val="WW8Num23z0"/>
    <w:rPr>
      <w:rFonts w:ascii="Symbol" w:hAnsi="Symbol"/>
    </w:rPr>
  </w:style>
  <w:style w:type="character" w:customStyle="1" w:styleId="WW8Num24z0">
    <w:name w:val="WW8Num24z0"/>
    <w:rPr>
      <w:rFonts w:cs="Times New Roman"/>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7z0">
    <w:name w:val="WW8Num27z0"/>
    <w:rPr>
      <w:rFonts w:cs="Times New Roman"/>
    </w:rPr>
  </w:style>
  <w:style w:type="character" w:customStyle="1" w:styleId="WW8Num28z0">
    <w:name w:val="WW8Num28z0"/>
    <w:rPr>
      <w:rFonts w:cs="Times New Roman"/>
    </w:rPr>
  </w:style>
  <w:style w:type="character" w:customStyle="1" w:styleId="WW8Num29z0">
    <w:name w:val="WW8Num29z0"/>
    <w:rPr>
      <w:rFonts w:cs="Times New Roman"/>
    </w:rPr>
  </w:style>
  <w:style w:type="character" w:customStyle="1" w:styleId="WW8Num30z0">
    <w:name w:val="WW8Num30z0"/>
    <w:rPr>
      <w:rFonts w:ascii="Symbol" w:hAnsi="Symbol"/>
    </w:rPr>
  </w:style>
  <w:style w:type="character" w:customStyle="1" w:styleId="WW8Num31z0">
    <w:name w:val="WW8Num31z0"/>
    <w:rPr>
      <w:rFonts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4z0">
    <w:name w:val="WW8Num34z0"/>
    <w:rPr>
      <w:rFonts w:ascii="Symbol" w:hAnsi="Symbol"/>
    </w:rPr>
  </w:style>
  <w:style w:type="character" w:customStyle="1" w:styleId="WW8Num35z0">
    <w:name w:val="WW8Num35z0"/>
    <w:rPr>
      <w:rFonts w:ascii="Symbol" w:hAnsi="Symbol"/>
    </w:rPr>
  </w:style>
  <w:style w:type="character" w:customStyle="1" w:styleId="WW8Num36z0">
    <w:name w:val="WW8Num36z0"/>
    <w:rPr>
      <w:rFonts w:cs="Times New Roman"/>
    </w:rPr>
  </w:style>
  <w:style w:type="character" w:customStyle="1" w:styleId="WW8Num37z0">
    <w:name w:val="WW8Num37z0"/>
    <w:rPr>
      <w:rFonts w:cs="Times New Roman"/>
    </w:rPr>
  </w:style>
  <w:style w:type="character" w:customStyle="1" w:styleId="WW8Num38z0">
    <w:name w:val="WW8Num38z0"/>
    <w:rPr>
      <w:rFonts w:cs="Times New Roman"/>
    </w:rPr>
  </w:style>
  <w:style w:type="character" w:customStyle="1" w:styleId="WW8Num39z0">
    <w:name w:val="WW8Num39z0"/>
    <w:rPr>
      <w:rFonts w:cs="Times New Roman"/>
    </w:rPr>
  </w:style>
  <w:style w:type="character" w:customStyle="1" w:styleId="WW8Num40z0">
    <w:name w:val="WW8Num40z0"/>
    <w:rPr>
      <w:rFonts w:cs="Times New Roman"/>
    </w:rPr>
  </w:style>
  <w:style w:type="character" w:customStyle="1" w:styleId="WW8Num41z0">
    <w:name w:val="WW8Num41z0"/>
    <w:rPr>
      <w:rFonts w:cs="Times New Roman"/>
    </w:rPr>
  </w:style>
  <w:style w:type="character" w:customStyle="1" w:styleId="WW8Num42z0">
    <w:name w:val="WW8Num42z0"/>
    <w:rPr>
      <w:b w:val="0"/>
      <w:i w:val="0"/>
    </w:rPr>
  </w:style>
  <w:style w:type="character" w:customStyle="1" w:styleId="WW8Num43z0">
    <w:name w:val="WW8Num43z0"/>
    <w:rPr>
      <w:rFonts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cs="Times New Roman"/>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42z1">
    <w:name w:val="WW8Num42z1"/>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4z0">
    <w:name w:val="WW8Num44z0"/>
    <w:rPr>
      <w:rFonts w:cs="Times New Roman"/>
    </w:rPr>
  </w:style>
  <w:style w:type="character" w:customStyle="1" w:styleId="WW8Num45z0">
    <w:name w:val="WW8Num45z0"/>
    <w:rPr>
      <w:rFonts w:cs="Times New Roman"/>
    </w:rPr>
  </w:style>
  <w:style w:type="character" w:customStyle="1" w:styleId="WW8Num46z0">
    <w:name w:val="WW8Num46z0"/>
    <w:rPr>
      <w:rFonts w:cs="Times New Roman"/>
    </w:rPr>
  </w:style>
  <w:style w:type="character" w:customStyle="1" w:styleId="WW8Num47z0">
    <w:name w:val="WW8Num47z0"/>
    <w:rPr>
      <w:rFonts w:ascii="Symbol" w:hAnsi="Symbol"/>
    </w:rPr>
  </w:style>
  <w:style w:type="character" w:customStyle="1" w:styleId="WW8Num48z0">
    <w:name w:val="WW8Num48z0"/>
    <w:rPr>
      <w:rFonts w:cs="Times New Roman"/>
    </w:rPr>
  </w:style>
  <w:style w:type="character" w:customStyle="1" w:styleId="WW8Num49z0">
    <w:name w:val="WW8Num49z0"/>
    <w:rPr>
      <w:rFonts w:cs="Times New Roman"/>
    </w:rPr>
  </w:style>
  <w:style w:type="character" w:customStyle="1" w:styleId="WW8Num50z0">
    <w:name w:val="WW8Num50z0"/>
    <w:rPr>
      <w:b w:val="0"/>
      <w:i w:val="0"/>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0z3">
    <w:name w:val="WW8Num50z3"/>
    <w:rPr>
      <w:rFonts w:ascii="Symbol" w:hAnsi="Symbol"/>
    </w:rPr>
  </w:style>
  <w:style w:type="character" w:customStyle="1" w:styleId="WW8Num51z0">
    <w:name w:val="WW8Num51z0"/>
    <w:rPr>
      <w:rFonts w:ascii="Symbol" w:hAnsi="Symbol"/>
    </w:rPr>
  </w:style>
  <w:style w:type="character" w:customStyle="1" w:styleId="WW8Num51z1">
    <w:name w:val="WW8Num51z1"/>
    <w:rPr>
      <w:rFonts w:ascii="Courier New" w:hAnsi="Courier New"/>
    </w:rPr>
  </w:style>
  <w:style w:type="character" w:customStyle="1" w:styleId="WW8Num51z2">
    <w:name w:val="WW8Num51z2"/>
    <w:rPr>
      <w:rFonts w:ascii="Wingdings" w:hAnsi="Wingdings"/>
    </w:rPr>
  </w:style>
  <w:style w:type="character" w:customStyle="1" w:styleId="WW8Num52z0">
    <w:name w:val="WW8Num52z0"/>
    <w:rPr>
      <w:rFonts w:cs="Times New Roman"/>
    </w:rPr>
  </w:style>
  <w:style w:type="character" w:customStyle="1" w:styleId="WW8Num53z0">
    <w:name w:val="WW8Num53z0"/>
    <w:rPr>
      <w:rFonts w:ascii="Symbol" w:hAnsi="Symbol"/>
    </w:rPr>
  </w:style>
  <w:style w:type="character" w:customStyle="1" w:styleId="WW8Num54z1">
    <w:name w:val="WW8Num54z1"/>
    <w:rPr>
      <w:rFonts w:ascii="Courier New" w:hAnsi="Courier New"/>
    </w:rPr>
  </w:style>
  <w:style w:type="character" w:customStyle="1" w:styleId="WW8Num54z2">
    <w:name w:val="WW8Num54z2"/>
    <w:rPr>
      <w:rFonts w:ascii="Wingdings" w:hAnsi="Wingdings"/>
    </w:rPr>
  </w:style>
  <w:style w:type="character" w:customStyle="1" w:styleId="WW8Num54z3">
    <w:name w:val="WW8Num54z3"/>
    <w:rPr>
      <w:rFonts w:ascii="Symbol" w:hAnsi="Symbol"/>
    </w:rPr>
  </w:style>
  <w:style w:type="character" w:customStyle="1" w:styleId="WW8Num55z0">
    <w:name w:val="WW8Num55z0"/>
    <w:rPr>
      <w:rFonts w:cs="Times New Roman"/>
    </w:rPr>
  </w:style>
  <w:style w:type="character" w:customStyle="1" w:styleId="WW8Num56z0">
    <w:name w:val="WW8Num56z0"/>
    <w:rPr>
      <w:rFonts w:cs="Times New Roman"/>
    </w:rPr>
  </w:style>
  <w:style w:type="character" w:customStyle="1" w:styleId="WW8Num57z0">
    <w:name w:val="WW8Num57z0"/>
    <w:rPr>
      <w:rFonts w:ascii="Symbol" w:hAnsi="Symbol"/>
      <w:b w:val="0"/>
      <w:i w:val="0"/>
      <w:color w:val="000000"/>
      <w:sz w:val="22"/>
    </w:rPr>
  </w:style>
  <w:style w:type="character" w:customStyle="1" w:styleId="WW8Num57z1">
    <w:name w:val="WW8Num57z1"/>
    <w:rPr>
      <w:rFonts w:ascii="Courier New" w:hAnsi="Courier New"/>
    </w:rPr>
  </w:style>
  <w:style w:type="character" w:customStyle="1" w:styleId="WW8Num57z2">
    <w:name w:val="WW8Num57z2"/>
    <w:rPr>
      <w:rFonts w:ascii="Wingdings" w:hAnsi="Wingdings"/>
    </w:rPr>
  </w:style>
  <w:style w:type="character" w:customStyle="1" w:styleId="WW8Num57z3">
    <w:name w:val="WW8Num57z3"/>
    <w:rPr>
      <w:rFonts w:ascii="Symbol" w:hAnsi="Symbol"/>
    </w:rPr>
  </w:style>
  <w:style w:type="character" w:customStyle="1" w:styleId="WW8Num58z0">
    <w:name w:val="WW8Num58z0"/>
    <w:rPr>
      <w:rFonts w:cs="Times New Roman"/>
    </w:rPr>
  </w:style>
  <w:style w:type="character" w:customStyle="1" w:styleId="WW8Num59z0">
    <w:name w:val="WW8Num59z0"/>
    <w:rPr>
      <w:rFonts w:cs="Times New Roman"/>
    </w:rPr>
  </w:style>
  <w:style w:type="character" w:customStyle="1" w:styleId="WW8Num60z0">
    <w:name w:val="WW8Num60z0"/>
    <w:rPr>
      <w:rFonts w:cs="Times New Roman"/>
    </w:rPr>
  </w:style>
  <w:style w:type="character" w:customStyle="1" w:styleId="WW8Num61z0">
    <w:name w:val="WW8Num61z0"/>
    <w:rPr>
      <w:rFonts w:cs="Times New Roman"/>
    </w:rPr>
  </w:style>
  <w:style w:type="character" w:customStyle="1" w:styleId="WW8Num62z0">
    <w:name w:val="WW8Num62z0"/>
    <w:rPr>
      <w:rFonts w:ascii="Symbol" w:hAnsi="Symbol"/>
    </w:rPr>
  </w:style>
  <w:style w:type="character" w:customStyle="1" w:styleId="WW8Num63z0">
    <w:name w:val="WW8Num63z0"/>
    <w:rPr>
      <w:rFonts w:cs="Times New Roman"/>
    </w:rPr>
  </w:style>
  <w:style w:type="character" w:customStyle="1" w:styleId="WW8Num64z0">
    <w:name w:val="WW8Num64z0"/>
    <w:rPr>
      <w:rFonts w:ascii="Symbol" w:hAnsi="Symbol"/>
      <w:b w:val="0"/>
      <w:i w:val="0"/>
      <w:color w:val="000000"/>
      <w:sz w:val="22"/>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4z3">
    <w:name w:val="WW8Num64z3"/>
    <w:rPr>
      <w:rFonts w:ascii="Symbol" w:hAnsi="Symbol"/>
    </w:rPr>
  </w:style>
  <w:style w:type="character" w:customStyle="1" w:styleId="WW8Num65z0">
    <w:name w:val="WW8Num65z0"/>
    <w:rPr>
      <w:rFonts w:cs="Times New Roman"/>
    </w:rPr>
  </w:style>
  <w:style w:type="character" w:customStyle="1" w:styleId="WW8Num66z0">
    <w:name w:val="WW8Num66z0"/>
    <w:rPr>
      <w:rFonts w:cs="Times New Roman"/>
    </w:rPr>
  </w:style>
  <w:style w:type="character" w:customStyle="1" w:styleId="WW8Num67z0">
    <w:name w:val="WW8Num67z0"/>
    <w:rPr>
      <w:rFonts w:ascii="Symbol" w:hAnsi="Symbol"/>
    </w:rPr>
  </w:style>
  <w:style w:type="character" w:customStyle="1" w:styleId="WW8Num68z0">
    <w:name w:val="WW8Num68z0"/>
    <w:rPr>
      <w:rFonts w:cs="Times New Roman"/>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1z0">
    <w:name w:val="WW8Num71z0"/>
    <w:rPr>
      <w:rFonts w:cs="Times New Roman"/>
    </w:rPr>
  </w:style>
  <w:style w:type="character" w:customStyle="1" w:styleId="WW8Num72z0">
    <w:name w:val="WW8Num72z0"/>
    <w:rPr>
      <w:rFonts w:cs="Times New Roman"/>
    </w:rPr>
  </w:style>
  <w:style w:type="character" w:customStyle="1" w:styleId="WW8Num73z0">
    <w:name w:val="WW8Num73z0"/>
    <w:rPr>
      <w:rFonts w:cs="Times New Roman"/>
    </w:rPr>
  </w:style>
  <w:style w:type="character" w:customStyle="1" w:styleId="WW8Num74z0">
    <w:name w:val="WW8Num74z0"/>
    <w:rPr>
      <w:rFonts w:cs="Times New Roman"/>
    </w:rPr>
  </w:style>
  <w:style w:type="character" w:customStyle="1" w:styleId="WW8Num75z0">
    <w:name w:val="WW8Num75z0"/>
    <w:rPr>
      <w:rFonts w:cs="Times New Roman"/>
    </w:rPr>
  </w:style>
  <w:style w:type="character" w:customStyle="1" w:styleId="WW8Num76z0">
    <w:name w:val="WW8Num76z0"/>
    <w:rPr>
      <w:rFonts w:cs="Times New Roman"/>
    </w:rPr>
  </w:style>
  <w:style w:type="character" w:customStyle="1" w:styleId="WW8Num78z0">
    <w:name w:val="WW8Num78z0"/>
    <w:rPr>
      <w:rFonts w:cs="Times New Roman"/>
    </w:rPr>
  </w:style>
  <w:style w:type="character" w:customStyle="1" w:styleId="WW8Num79z0">
    <w:name w:val="WW8Num79z0"/>
    <w:rPr>
      <w:rFonts w:ascii="Symbol" w:hAnsi="Symbol"/>
    </w:rPr>
  </w:style>
  <w:style w:type="character" w:customStyle="1" w:styleId="WW8Num80z0">
    <w:name w:val="WW8Num80z0"/>
    <w:rPr>
      <w:rFonts w:cs="Times New Roman"/>
    </w:rPr>
  </w:style>
  <w:style w:type="character" w:customStyle="1" w:styleId="WW8Num81z0">
    <w:name w:val="WW8Num81z0"/>
    <w:rPr>
      <w:rFonts w:cs="Times New Roman"/>
    </w:rPr>
  </w:style>
  <w:style w:type="character" w:customStyle="1" w:styleId="WW8Num82z0">
    <w:name w:val="WW8Num82z0"/>
    <w:rPr>
      <w:rFonts w:ascii="Times New Roman" w:hAnsi="Times New Roman"/>
    </w:rPr>
  </w:style>
  <w:style w:type="character" w:customStyle="1" w:styleId="WW8Num83z0">
    <w:name w:val="WW8Num83z0"/>
    <w:rPr>
      <w:rFonts w:cs="Times New Roman"/>
    </w:rPr>
  </w:style>
  <w:style w:type="character" w:customStyle="1" w:styleId="WW8Num85z0">
    <w:name w:val="WW8Num85z0"/>
    <w:rPr>
      <w:rFonts w:cs="Times New Roman"/>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cs="Times New Roman"/>
    </w:rPr>
  </w:style>
  <w:style w:type="character" w:customStyle="1" w:styleId="WW8Num88z0">
    <w:name w:val="WW8Num88z0"/>
    <w:rPr>
      <w:rFonts w:ascii="Symbol" w:hAnsi="Symbol"/>
    </w:rPr>
  </w:style>
  <w:style w:type="character" w:customStyle="1" w:styleId="WW8Num88z1">
    <w:name w:val="WW8Num88z1"/>
    <w:rPr>
      <w:rFonts w:ascii="Courier New" w:hAnsi="Courier New"/>
    </w:rPr>
  </w:style>
  <w:style w:type="character" w:customStyle="1" w:styleId="WW8Num88z2">
    <w:name w:val="WW8Num88z2"/>
    <w:rPr>
      <w:rFonts w:ascii="Wingdings" w:hAnsi="Wingdings"/>
    </w:rPr>
  </w:style>
  <w:style w:type="character" w:customStyle="1" w:styleId="WW8Num89z0">
    <w:name w:val="WW8Num89z0"/>
    <w:rPr>
      <w:rFonts w:cs="Times New Roman"/>
    </w:rPr>
  </w:style>
  <w:style w:type="character" w:customStyle="1" w:styleId="WW8Num90z0">
    <w:name w:val="WW8Num90z0"/>
    <w:rPr>
      <w:rFonts w:cs="Times New Roman"/>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1z3">
    <w:name w:val="WW8Num91z3"/>
    <w:rPr>
      <w:rFonts w:ascii="Symbol" w:hAnsi="Symbol"/>
    </w:rPr>
  </w:style>
  <w:style w:type="character" w:customStyle="1" w:styleId="WW8Num92z0">
    <w:name w:val="WW8Num92z0"/>
    <w:rPr>
      <w:rFonts w:cs="Times New Roman"/>
    </w:rPr>
  </w:style>
  <w:style w:type="character" w:customStyle="1" w:styleId="WW8Num93z0">
    <w:name w:val="WW8Num93z0"/>
    <w:rPr>
      <w:rFonts w:cs="Times New Roman"/>
    </w:rPr>
  </w:style>
  <w:style w:type="character" w:customStyle="1" w:styleId="WW8Num94z0">
    <w:name w:val="WW8Num94z0"/>
    <w:rPr>
      <w:rFonts w:ascii="Symbol" w:hAnsi="Symbol"/>
    </w:rPr>
  </w:style>
  <w:style w:type="character" w:customStyle="1" w:styleId="WW8Num94z1">
    <w:name w:val="WW8Num94z1"/>
    <w:rPr>
      <w:rFonts w:ascii="Courier New" w:hAnsi="Courier New"/>
    </w:rPr>
  </w:style>
  <w:style w:type="character" w:customStyle="1" w:styleId="WW8Num94z2">
    <w:name w:val="WW8Num94z2"/>
    <w:rPr>
      <w:rFonts w:ascii="Wingdings" w:hAnsi="Wingdings"/>
    </w:rPr>
  </w:style>
  <w:style w:type="character" w:customStyle="1" w:styleId="WW8Num95z0">
    <w:name w:val="WW8Num95z0"/>
    <w:rPr>
      <w:rFonts w:ascii="Symbol" w:hAnsi="Symbol"/>
    </w:rPr>
  </w:style>
  <w:style w:type="character" w:customStyle="1" w:styleId="WW8Num95z1">
    <w:name w:val="WW8Num95z1"/>
    <w:rPr>
      <w:rFonts w:ascii="Courier New" w:hAnsi="Courier New"/>
    </w:rPr>
  </w:style>
  <w:style w:type="character" w:customStyle="1" w:styleId="WW8Num95z2">
    <w:name w:val="WW8Num95z2"/>
    <w:rPr>
      <w:rFonts w:ascii="Wingdings" w:hAnsi="Wingdings"/>
    </w:rPr>
  </w:style>
  <w:style w:type="character" w:customStyle="1" w:styleId="WW8Num96z0">
    <w:name w:val="WW8Num96z0"/>
    <w:rPr>
      <w:rFonts w:cs="Times New Roman"/>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1">
    <w:name w:val="WW8Num99z1"/>
    <w:rPr>
      <w:rFonts w:ascii="Courier New" w:hAnsi="Courier New"/>
    </w:rPr>
  </w:style>
  <w:style w:type="character" w:customStyle="1" w:styleId="WW8Num99z2">
    <w:name w:val="WW8Num99z2"/>
    <w:rPr>
      <w:rFonts w:ascii="Wingdings" w:hAnsi="Wingdings"/>
    </w:rPr>
  </w:style>
  <w:style w:type="character" w:customStyle="1" w:styleId="WW8Num99z3">
    <w:name w:val="WW8Num99z3"/>
    <w:rPr>
      <w:rFonts w:ascii="Symbol" w:hAnsi="Symbol"/>
    </w:rPr>
  </w:style>
  <w:style w:type="character" w:customStyle="1" w:styleId="WW8Num100z0">
    <w:name w:val="WW8Num100z0"/>
    <w:rPr>
      <w:rFonts w:ascii="Wingdings" w:hAnsi="Wingdings"/>
    </w:rPr>
  </w:style>
  <w:style w:type="character" w:customStyle="1" w:styleId="WW8Num100z1">
    <w:name w:val="WW8Num100z1"/>
    <w:rPr>
      <w:rFonts w:ascii="Courier New" w:hAnsi="Courier New"/>
    </w:rPr>
  </w:style>
  <w:style w:type="character" w:customStyle="1" w:styleId="WW8Num100z3">
    <w:name w:val="WW8Num100z3"/>
    <w:rPr>
      <w:rFonts w:ascii="Symbol" w:hAnsi="Symbol"/>
    </w:rPr>
  </w:style>
  <w:style w:type="character" w:customStyle="1" w:styleId="WW8Num101z0">
    <w:name w:val="WW8Num101z0"/>
    <w:rPr>
      <w:rFonts w:cs="Times New Roman"/>
    </w:rPr>
  </w:style>
  <w:style w:type="character" w:customStyle="1" w:styleId="WW8Num102z0">
    <w:name w:val="WW8Num102z0"/>
    <w:rPr>
      <w:rFonts w:cs="Times New Roman"/>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cs="Times New Roman"/>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cs="Times New Roman"/>
    </w:rPr>
  </w:style>
  <w:style w:type="character" w:customStyle="1" w:styleId="WW8Num107z0">
    <w:name w:val="WW8Num107z0"/>
    <w:rPr>
      <w:rFonts w:cs="Times New Roman"/>
    </w:rPr>
  </w:style>
  <w:style w:type="character" w:customStyle="1" w:styleId="WW8Num108z0">
    <w:name w:val="WW8Num108z0"/>
    <w:rPr>
      <w:rFonts w:ascii="Symbol" w:hAnsi="Symbol"/>
    </w:rPr>
  </w:style>
  <w:style w:type="character" w:customStyle="1" w:styleId="WW8Num109z0">
    <w:name w:val="WW8Num109z0"/>
    <w:rPr>
      <w:rFonts w:cs="Times New Roman"/>
    </w:rPr>
  </w:style>
  <w:style w:type="character" w:customStyle="1" w:styleId="WW8Num110z0">
    <w:name w:val="WW8Num110z0"/>
    <w:rPr>
      <w:rFonts w:cs="Times New Roman"/>
    </w:rPr>
  </w:style>
  <w:style w:type="character" w:customStyle="1" w:styleId="WW8Num111z0">
    <w:name w:val="WW8Num111z0"/>
    <w:rPr>
      <w:rFonts w:ascii="Symbol" w:hAnsi="Symbol"/>
    </w:rPr>
  </w:style>
  <w:style w:type="character" w:customStyle="1" w:styleId="WW8Num112z0">
    <w:name w:val="WW8Num112z0"/>
    <w:rPr>
      <w:rFonts w:cs="Times New Roman"/>
      <w:b/>
      <w:bCs/>
    </w:rPr>
  </w:style>
  <w:style w:type="character" w:customStyle="1" w:styleId="WW8Num113z0">
    <w:name w:val="WW8Num113z0"/>
    <w:rPr>
      <w:rFonts w:ascii="Symbol" w:hAnsi="Symbol"/>
    </w:rPr>
  </w:style>
  <w:style w:type="character" w:customStyle="1" w:styleId="WW8Num113z1">
    <w:name w:val="WW8Num113z1"/>
    <w:rPr>
      <w:rFonts w:ascii="Courier New" w:hAnsi="Courier New"/>
    </w:rPr>
  </w:style>
  <w:style w:type="character" w:customStyle="1" w:styleId="WW8Num113z2">
    <w:name w:val="WW8Num113z2"/>
    <w:rPr>
      <w:rFonts w:ascii="Wingdings" w:hAnsi="Wingdings"/>
    </w:rPr>
  </w:style>
  <w:style w:type="character" w:customStyle="1" w:styleId="WW8Num114z0">
    <w:name w:val="WW8Num114z0"/>
    <w:rPr>
      <w:rFonts w:cs="Times New Roman"/>
    </w:rPr>
  </w:style>
  <w:style w:type="character" w:customStyle="1" w:styleId="WW8Num115z0">
    <w:name w:val="WW8Num115z0"/>
    <w:rPr>
      <w:rFonts w:cs="Times New Roman"/>
    </w:rPr>
  </w:style>
  <w:style w:type="character" w:customStyle="1" w:styleId="WW8Num116z0">
    <w:name w:val="WW8Num116z0"/>
    <w:rPr>
      <w:rFonts w:cs="Times New Roman"/>
    </w:rPr>
  </w:style>
  <w:style w:type="character" w:customStyle="1" w:styleId="WW8Num117z0">
    <w:name w:val="WW8Num117z0"/>
    <w:rPr>
      <w:rFonts w:ascii="Symbol" w:hAnsi="Symbol"/>
    </w:rPr>
  </w:style>
  <w:style w:type="character" w:customStyle="1" w:styleId="WW8Num117z1">
    <w:name w:val="WW8Num117z1"/>
    <w:rPr>
      <w:rFonts w:ascii="Courier New" w:hAnsi="Courier New"/>
    </w:rPr>
  </w:style>
  <w:style w:type="character" w:customStyle="1" w:styleId="WW8Num117z2">
    <w:name w:val="WW8Num117z2"/>
    <w:rPr>
      <w:rFonts w:ascii="Wingdings" w:hAnsi="Wingdings"/>
    </w:rPr>
  </w:style>
  <w:style w:type="character" w:customStyle="1" w:styleId="WW8Num118z0">
    <w:name w:val="WW8Num118z0"/>
    <w:rPr>
      <w:rFonts w:cs="Times New Roman"/>
    </w:rPr>
  </w:style>
  <w:style w:type="character" w:customStyle="1" w:styleId="WW8Num119z0">
    <w:name w:val="WW8Num119z0"/>
    <w:rPr>
      <w:rFonts w:cs="Times New Roman"/>
    </w:rPr>
  </w:style>
  <w:style w:type="character" w:customStyle="1" w:styleId="WW8Num120z0">
    <w:name w:val="WW8Num120z0"/>
    <w:rPr>
      <w:rFonts w:cs="Times New Roman"/>
    </w:rPr>
  </w:style>
  <w:style w:type="character" w:customStyle="1" w:styleId="WW8Num121z0">
    <w:name w:val="WW8Num121z0"/>
    <w:rPr>
      <w:rFonts w:ascii="Symbol" w:hAnsi="Symbol"/>
    </w:rPr>
  </w:style>
  <w:style w:type="character" w:customStyle="1" w:styleId="WW8Num121z1">
    <w:name w:val="WW8Num121z1"/>
    <w:rPr>
      <w:rFonts w:ascii="Courier New" w:hAnsi="Courier New"/>
    </w:rPr>
  </w:style>
  <w:style w:type="character" w:customStyle="1" w:styleId="WW8Num121z2">
    <w:name w:val="WW8Num121z2"/>
    <w:rPr>
      <w:rFonts w:ascii="Wingdings" w:hAnsi="Wingdings"/>
    </w:rPr>
  </w:style>
  <w:style w:type="character" w:customStyle="1" w:styleId="WW8Num122z1">
    <w:name w:val="WW8Num122z1"/>
    <w:rPr>
      <w:rFonts w:ascii="Courier New" w:hAnsi="Courier New"/>
    </w:rPr>
  </w:style>
  <w:style w:type="character" w:customStyle="1" w:styleId="WW8Num122z2">
    <w:name w:val="WW8Num122z2"/>
    <w:rPr>
      <w:rFonts w:ascii="Wingdings" w:hAnsi="Wingdings"/>
    </w:rPr>
  </w:style>
  <w:style w:type="character" w:customStyle="1" w:styleId="WW8Num122z3">
    <w:name w:val="WW8Num122z3"/>
    <w:rPr>
      <w:rFonts w:ascii="Symbol" w:hAnsi="Symbol"/>
    </w:rPr>
  </w:style>
  <w:style w:type="character" w:customStyle="1" w:styleId="WW8Num123z0">
    <w:name w:val="WW8Num123z0"/>
    <w:rPr>
      <w:rFonts w:cs="Times New Roman"/>
    </w:rPr>
  </w:style>
  <w:style w:type="character" w:customStyle="1" w:styleId="WW8Num124z0">
    <w:name w:val="WW8Num124z0"/>
    <w:rPr>
      <w:rFonts w:cs="Times New Roman"/>
    </w:rPr>
  </w:style>
  <w:style w:type="character" w:customStyle="1" w:styleId="WW8Num125z0">
    <w:name w:val="WW8Num125z0"/>
    <w:rPr>
      <w:rFonts w:ascii="Symbol" w:hAnsi="Symbol"/>
    </w:rPr>
  </w:style>
  <w:style w:type="character" w:customStyle="1" w:styleId="WW8Num126z0">
    <w:name w:val="WW8Num126z0"/>
    <w:rPr>
      <w:rFonts w:ascii="Symbol" w:hAnsi="Symbol"/>
      <w:b w:val="0"/>
      <w:i w:val="0"/>
      <w:color w:val="000000"/>
      <w:sz w:val="22"/>
    </w:rPr>
  </w:style>
  <w:style w:type="character" w:customStyle="1" w:styleId="WW8Num126z1">
    <w:name w:val="WW8Num126z1"/>
    <w:rPr>
      <w:rFonts w:ascii="Courier New" w:hAnsi="Courier New"/>
    </w:rPr>
  </w:style>
  <w:style w:type="character" w:customStyle="1" w:styleId="WW8Num126z2">
    <w:name w:val="WW8Num126z2"/>
    <w:rPr>
      <w:rFonts w:ascii="Wingdings" w:hAnsi="Wingdings"/>
    </w:rPr>
  </w:style>
  <w:style w:type="character" w:customStyle="1" w:styleId="WW8Num126z3">
    <w:name w:val="WW8Num126z3"/>
    <w:rPr>
      <w:rFonts w:ascii="Symbol" w:hAnsi="Symbol"/>
    </w:rPr>
  </w:style>
  <w:style w:type="character" w:customStyle="1" w:styleId="WW8Num127z0">
    <w:name w:val="WW8Num127z0"/>
    <w:rPr>
      <w:rFonts w:ascii="Symbol" w:hAnsi="Symbol"/>
    </w:rPr>
  </w:style>
  <w:style w:type="character" w:customStyle="1" w:styleId="WW8Num127z1">
    <w:name w:val="WW8Num127z1"/>
    <w:rPr>
      <w:rFonts w:ascii="Courier New" w:hAnsi="Courier New"/>
    </w:rPr>
  </w:style>
  <w:style w:type="character" w:customStyle="1" w:styleId="WW8Num127z2">
    <w:name w:val="WW8Num127z2"/>
    <w:rPr>
      <w:rFonts w:ascii="Wingdings" w:hAnsi="Wingdings"/>
    </w:rPr>
  </w:style>
  <w:style w:type="character" w:customStyle="1" w:styleId="Standardnpsmoodstavce1">
    <w:name w:val="Standardní písmo odstavce1"/>
  </w:style>
  <w:style w:type="character" w:customStyle="1" w:styleId="Heading1Char">
    <w:name w:val="Heading 1 Char"/>
    <w:rPr>
      <w:rFonts w:ascii="Cambria" w:hAnsi="Cambria" w:cs="Cambria"/>
      <w:b/>
      <w:bCs/>
      <w:kern w:val="1"/>
      <w:sz w:val="32"/>
      <w:szCs w:val="32"/>
      <w:lang w:val="x-none"/>
    </w:rPr>
  </w:style>
  <w:style w:type="character" w:customStyle="1" w:styleId="Heading2Char">
    <w:name w:val="Heading 2 Char"/>
    <w:rPr>
      <w:rFonts w:ascii="Cambria" w:hAnsi="Cambria" w:cs="Cambria"/>
      <w:b/>
      <w:bCs/>
      <w:i/>
      <w:iCs/>
      <w:sz w:val="28"/>
      <w:szCs w:val="28"/>
      <w:lang w:val="x-none"/>
    </w:rPr>
  </w:style>
  <w:style w:type="character" w:customStyle="1" w:styleId="Heading3Char">
    <w:name w:val="Heading 3 Char"/>
    <w:rPr>
      <w:rFonts w:ascii="Cambria" w:hAnsi="Cambria" w:cs="Cambria"/>
      <w:b/>
      <w:bCs/>
      <w:sz w:val="26"/>
      <w:szCs w:val="26"/>
      <w:lang w:val="x-none"/>
    </w:rPr>
  </w:style>
  <w:style w:type="character" w:customStyle="1" w:styleId="Heading4Char">
    <w:name w:val="Heading 4 Char"/>
    <w:rPr>
      <w:rFonts w:ascii="Calibri" w:hAnsi="Calibri" w:cs="Calibri"/>
      <w:b/>
      <w:bCs/>
      <w:sz w:val="28"/>
      <w:szCs w:val="28"/>
      <w:lang w:val="x-none"/>
    </w:rPr>
  </w:style>
  <w:style w:type="character" w:customStyle="1" w:styleId="Heading5Char">
    <w:name w:val="Heading 5 Char"/>
    <w:rPr>
      <w:rFonts w:ascii="Calibri" w:hAnsi="Calibri" w:cs="Calibri"/>
      <w:b/>
      <w:bCs/>
      <w:i/>
      <w:iCs/>
      <w:sz w:val="26"/>
      <w:szCs w:val="26"/>
      <w:lang w:val="x-none"/>
    </w:rPr>
  </w:style>
  <w:style w:type="character" w:customStyle="1" w:styleId="Heading6Char">
    <w:name w:val="Heading 6 Char"/>
    <w:rPr>
      <w:rFonts w:ascii="Calibri" w:hAnsi="Calibri" w:cs="Calibri"/>
      <w:b/>
      <w:bCs/>
      <w:sz w:val="22"/>
      <w:szCs w:val="22"/>
      <w:lang w:val="x-none"/>
    </w:rPr>
  </w:style>
  <w:style w:type="character" w:customStyle="1" w:styleId="Heading7Char">
    <w:name w:val="Heading 7 Char"/>
    <w:rPr>
      <w:rFonts w:ascii="Calibri" w:hAnsi="Calibri" w:cs="Calibri"/>
      <w:sz w:val="24"/>
      <w:szCs w:val="24"/>
      <w:lang w:val="x-none"/>
    </w:rPr>
  </w:style>
  <w:style w:type="character" w:customStyle="1" w:styleId="Heading8Char">
    <w:name w:val="Heading 8 Char"/>
    <w:rPr>
      <w:rFonts w:ascii="Calibri" w:hAnsi="Calibri" w:cs="Calibri"/>
      <w:i/>
      <w:iCs/>
      <w:sz w:val="24"/>
      <w:szCs w:val="24"/>
      <w:lang w:val="x-none"/>
    </w:rPr>
  </w:style>
  <w:style w:type="character" w:customStyle="1" w:styleId="Heading9Char">
    <w:name w:val="Heading 9 Char"/>
    <w:rPr>
      <w:rFonts w:ascii="Cambria" w:hAnsi="Cambria" w:cs="Cambria"/>
      <w:sz w:val="22"/>
      <w:szCs w:val="22"/>
      <w:lang w:val="x-none"/>
    </w:rPr>
  </w:style>
  <w:style w:type="character" w:customStyle="1" w:styleId="HeaderChar">
    <w:name w:val="Header Char"/>
    <w:rPr>
      <w:rFonts w:cs="Times New Roman"/>
      <w:sz w:val="22"/>
      <w:szCs w:val="22"/>
      <w:lang w:val="x-none"/>
    </w:rPr>
  </w:style>
  <w:style w:type="character" w:customStyle="1" w:styleId="FooterChar">
    <w:name w:val="Footer Char"/>
    <w:rPr>
      <w:rFonts w:cs="Times New Roman"/>
      <w:sz w:val="22"/>
      <w:szCs w:val="22"/>
      <w:lang w:val="x-none"/>
    </w:rPr>
  </w:style>
  <w:style w:type="character" w:styleId="PageNumber">
    <w:name w:val="page number"/>
    <w:rPr>
      <w:rFonts w:cs="Times New Roman"/>
    </w:rPr>
  </w:style>
  <w:style w:type="character" w:customStyle="1" w:styleId="EndnoteTextChar">
    <w:name w:val="Endnote Text Char"/>
    <w:rPr>
      <w:rFonts w:cs="Times New Roman"/>
      <w:sz w:val="22"/>
      <w:szCs w:val="22"/>
      <w:lang w:val="cs-CZ"/>
    </w:rPr>
  </w:style>
  <w:style w:type="character" w:customStyle="1" w:styleId="Znakyprovysvtlivky">
    <w:name w:val="Znaky pro vysvětlivky"/>
    <w:rPr>
      <w:rFonts w:cs="Times New Roman"/>
      <w:vertAlign w:val="superscript"/>
    </w:rPr>
  </w:style>
  <w:style w:type="character" w:customStyle="1" w:styleId="Znakapoznmky">
    <w:name w:val="Značka poznámky"/>
    <w:rPr>
      <w:rFonts w:cs="Times New Roman"/>
      <w:sz w:val="16"/>
      <w:szCs w:val="16"/>
    </w:rPr>
  </w:style>
  <w:style w:type="character" w:customStyle="1" w:styleId="CommentTextChar">
    <w:name w:val="Comment Text Char"/>
    <w:aliases w:val="Comment Text Char1 Char Char,Comment Text Char Char Char Char,Comment Text Char1 Char1"/>
    <w:rPr>
      <w:rFonts w:cs="Times New Roman"/>
      <w:lang w:val="x-none"/>
    </w:rPr>
  </w:style>
  <w:style w:type="character" w:customStyle="1" w:styleId="BodyText2Char">
    <w:name w:val="Body Text 2 Char"/>
    <w:rPr>
      <w:rFonts w:cs="Times New Roman"/>
      <w:sz w:val="22"/>
      <w:szCs w:val="22"/>
      <w:lang w:val="x-none"/>
    </w:rPr>
  </w:style>
  <w:style w:type="character" w:customStyle="1" w:styleId="BodyTextChar">
    <w:name w:val="Body Text Char"/>
    <w:rPr>
      <w:rFonts w:cs="Times New Roman"/>
      <w:sz w:val="22"/>
      <w:szCs w:val="22"/>
      <w:lang w:val="x-none"/>
    </w:rPr>
  </w:style>
  <w:style w:type="character" w:customStyle="1" w:styleId="BodyText3Char">
    <w:name w:val="Body Text 3 Char"/>
    <w:rPr>
      <w:rFonts w:cs="Times New Roman"/>
      <w:sz w:val="16"/>
      <w:szCs w:val="16"/>
      <w:lang w:val="x-none"/>
    </w:rPr>
  </w:style>
  <w:style w:type="character" w:customStyle="1" w:styleId="BodyTextIndent2Char">
    <w:name w:val="Body Text Indent 2 Char"/>
    <w:rPr>
      <w:rFonts w:cs="Times New Roman"/>
      <w:sz w:val="22"/>
      <w:szCs w:val="22"/>
      <w:lang w:val="x-none"/>
    </w:rPr>
  </w:style>
  <w:style w:type="character" w:customStyle="1" w:styleId="FootnoteTextChar">
    <w:name w:val="Footnote Text Char"/>
    <w:rPr>
      <w:rFonts w:cs="Times New Roman"/>
      <w:lang w:val="x-none"/>
    </w:rPr>
  </w:style>
  <w:style w:type="character" w:customStyle="1" w:styleId="Znakypropoznmkupodarou">
    <w:name w:val="Znaky pro poznámku pod čarou"/>
    <w:rPr>
      <w:rFonts w:cs="Times New Roman"/>
      <w:vertAlign w:val="superscript"/>
    </w:rPr>
  </w:style>
  <w:style w:type="character" w:customStyle="1" w:styleId="BodyTextIndent3Char">
    <w:name w:val="Body Text Indent 3 Char"/>
    <w:rPr>
      <w:rFonts w:cs="Times New Roman"/>
      <w:sz w:val="16"/>
      <w:szCs w:val="16"/>
      <w:lang w:val="x-none"/>
    </w:rPr>
  </w:style>
  <w:style w:type="character" w:customStyle="1" w:styleId="BodyText2Char1">
    <w:name w:val="Body Text 2 Char1"/>
    <w:rPr>
      <w:rFonts w:cs="Times New Roman"/>
      <w:sz w:val="22"/>
      <w:szCs w:val="22"/>
      <w:lang w:val="x-none"/>
    </w:rPr>
  </w:style>
  <w:style w:type="character" w:styleId="Hyperlink">
    <w:name w:val="Hyperlink"/>
    <w:rPr>
      <w:rFonts w:cs="Times New Roman"/>
      <w:color w:val="0000FF"/>
      <w:u w:val="single"/>
    </w:rPr>
  </w:style>
  <w:style w:type="character" w:styleId="FollowedHyperlink">
    <w:name w:val="FollowedHyperlink"/>
    <w:rPr>
      <w:rFonts w:cs="Times New Roman"/>
      <w:color w:val="800080"/>
      <w:u w:val="single"/>
    </w:rPr>
  </w:style>
  <w:style w:type="character" w:customStyle="1" w:styleId="BalloonTextChar">
    <w:name w:val="Balloon Text Char"/>
    <w:rPr>
      <w:rFonts w:cs="Times New Roman"/>
      <w:sz w:val="2"/>
      <w:szCs w:val="2"/>
      <w:lang w:val="x-none"/>
    </w:rPr>
  </w:style>
  <w:style w:type="character" w:customStyle="1" w:styleId="CommentSubjectChar">
    <w:name w:val="Comment Subject Char"/>
    <w:rPr>
      <w:rFonts w:cs="Times New Roman"/>
      <w:b/>
      <w:bCs/>
      <w:lang w:val="x-none"/>
    </w:rPr>
  </w:style>
  <w:style w:type="character" w:customStyle="1" w:styleId="TextChar">
    <w:name w:val="Text Char"/>
    <w:rPr>
      <w:rFonts w:cs="Times New Roman"/>
      <w:sz w:val="24"/>
      <w:szCs w:val="24"/>
      <w:lang w:val="en-US"/>
    </w:rPr>
  </w:style>
  <w:style w:type="character" w:customStyle="1" w:styleId="TableChar">
    <w:name w:val="Table Char"/>
    <w:rPr>
      <w:rFonts w:ascii="Arial" w:hAnsi="Arial" w:cs="Arial"/>
      <w:lang w:val="en-US"/>
    </w:rPr>
  </w:style>
  <w:style w:type="character" w:customStyle="1" w:styleId="Nottoc-headingsChar">
    <w:name w:val="Not toc-headings Char"/>
    <w:rPr>
      <w:rFonts w:ascii="Arial" w:hAnsi="Arial" w:cs="Arial"/>
      <w:b/>
      <w:bCs/>
      <w:sz w:val="22"/>
      <w:szCs w:val="22"/>
      <w:lang w:val="en-US"/>
    </w:rPr>
  </w:style>
  <w:style w:type="character" w:customStyle="1" w:styleId="Char">
    <w:name w:val="Char"/>
    <w:rPr>
      <w:sz w:val="22"/>
      <w:szCs w:val="22"/>
      <w:lang w:val="cs-CZ" w:eastAsia="ar-SA" w:bidi="ar-SA"/>
    </w:rPr>
  </w:style>
  <w:style w:type="character" w:customStyle="1" w:styleId="DateChar">
    <w:name w:val="Date Char"/>
    <w:rPr>
      <w:sz w:val="22"/>
      <w:szCs w:val="22"/>
      <w:lang w:val="en-GB" w:eastAsia="ar-SA" w:bidi="ar-SA"/>
    </w:rPr>
  </w:style>
  <w:style w:type="paragraph" w:customStyle="1" w:styleId="Nadpis">
    <w:name w:val="Nadpis"/>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rPr>
      <w:b/>
      <w:bCs/>
      <w:i/>
      <w:iCs/>
    </w:rPr>
  </w:style>
  <w:style w:type="paragraph" w:styleId="List">
    <w:name w:val="List"/>
    <w:basedOn w:val="BodyText"/>
    <w:rPr>
      <w:rFonts w:cs="Tahoma"/>
    </w:rPr>
  </w:style>
  <w:style w:type="paragraph" w:customStyle="1" w:styleId="Popisek">
    <w:name w:val="Popisek"/>
    <w:basedOn w:val="Normal"/>
    <w:pPr>
      <w:suppressLineNumbers/>
      <w:spacing w:before="120" w:after="120"/>
    </w:pPr>
    <w:rPr>
      <w:rFonts w:cs="Tahoma"/>
      <w:i/>
      <w:iCs/>
      <w:sz w:val="24"/>
      <w:szCs w:val="24"/>
    </w:rPr>
  </w:style>
  <w:style w:type="paragraph" w:customStyle="1" w:styleId="Rejstk">
    <w:name w:val="Rejstřík"/>
    <w:basedOn w:val="Normal"/>
    <w:pPr>
      <w:suppressLineNumbers/>
    </w:pPr>
    <w:rPr>
      <w:rFonts w:cs="Tahoma"/>
    </w:rPr>
  </w:style>
  <w:style w:type="paragraph" w:styleId="Header">
    <w:name w:val="header"/>
    <w:basedOn w:val="Normal"/>
    <w:pPr>
      <w:tabs>
        <w:tab w:val="center" w:pos="4153"/>
        <w:tab w:val="right" w:pos="8306"/>
      </w:tabs>
      <w:spacing w:line="240" w:lineRule="auto"/>
    </w:pPr>
    <w:rPr>
      <w:rFonts w:ascii="Helvetica" w:hAnsi="Helvetica" w:cs="Helvetica"/>
      <w:sz w:val="20"/>
      <w:szCs w:val="20"/>
    </w:rPr>
  </w:style>
  <w:style w:type="paragraph" w:styleId="Footer">
    <w:name w:val="footer"/>
    <w:basedOn w:val="Normal"/>
    <w:pPr>
      <w:tabs>
        <w:tab w:val="center" w:pos="4536"/>
        <w:tab w:val="center" w:pos="8930"/>
      </w:tabs>
      <w:spacing w:line="240" w:lineRule="auto"/>
    </w:pPr>
    <w:rPr>
      <w:rFonts w:ascii="Helvetica" w:hAnsi="Helvetica" w:cs="Helvetica"/>
      <w:sz w:val="16"/>
      <w:szCs w:val="16"/>
    </w:rPr>
  </w:style>
  <w:style w:type="paragraph" w:styleId="EndnoteText">
    <w:name w:val="endnote text"/>
    <w:basedOn w:val="Normal"/>
    <w:semiHidden/>
    <w:pPr>
      <w:spacing w:line="240" w:lineRule="auto"/>
    </w:pPr>
  </w:style>
  <w:style w:type="paragraph" w:customStyle="1" w:styleId="Textpoznmky">
    <w:name w:val="Text poznámky"/>
    <w:basedOn w:val="Normal"/>
    <w:rPr>
      <w:sz w:val="20"/>
      <w:szCs w:val="20"/>
    </w:rPr>
  </w:style>
  <w:style w:type="paragraph" w:styleId="BodyTextIndent">
    <w:name w:val="Body Text Indent"/>
    <w:basedOn w:val="Normal"/>
    <w:pPr>
      <w:spacing w:line="240" w:lineRule="auto"/>
      <w:ind w:left="567" w:hanging="567"/>
    </w:pPr>
    <w:rPr>
      <w:b/>
      <w:bCs/>
      <w:color w:val="808080"/>
    </w:rPr>
  </w:style>
  <w:style w:type="paragraph" w:customStyle="1" w:styleId="Zkladntext31">
    <w:name w:val="Základní text 31"/>
    <w:basedOn w:val="Normal"/>
    <w:pPr>
      <w:jc w:val="both"/>
    </w:pPr>
    <w:rPr>
      <w:b/>
      <w:bCs/>
      <w:i/>
      <w:iCs/>
    </w:rPr>
  </w:style>
  <w:style w:type="paragraph" w:customStyle="1" w:styleId="Zkladntextodsazen21">
    <w:name w:val="Základní text odsazený 21"/>
    <w:basedOn w:val="Normal"/>
    <w:pPr>
      <w:ind w:left="567" w:hanging="567"/>
      <w:jc w:val="both"/>
    </w:pPr>
    <w:rPr>
      <w:b/>
      <w:bCs/>
    </w:rPr>
  </w:style>
  <w:style w:type="paragraph" w:styleId="FootnoteText">
    <w:name w:val="footnote text"/>
    <w:basedOn w:val="Normal"/>
    <w:semiHidden/>
    <w:rPr>
      <w:sz w:val="20"/>
      <w:szCs w:val="20"/>
    </w:rPr>
  </w:style>
  <w:style w:type="paragraph" w:customStyle="1" w:styleId="Zkladntextodsazen31">
    <w:name w:val="Základní text odsazený 31"/>
    <w:basedOn w:val="Normal"/>
    <w:pPr>
      <w:ind w:left="567" w:hanging="567"/>
    </w:pPr>
    <w:rPr>
      <w:i/>
      <w:iCs/>
      <w:color w:val="008000"/>
    </w:rPr>
  </w:style>
  <w:style w:type="paragraph" w:customStyle="1" w:styleId="Textvbloku1">
    <w:name w:val="Text v bloku1"/>
    <w:basedOn w:val="Normal"/>
    <w:pPr>
      <w:tabs>
        <w:tab w:val="left" w:pos="456"/>
        <w:tab w:val="left" w:pos="493"/>
        <w:tab w:val="left" w:pos="530"/>
        <w:tab w:val="left" w:pos="2509"/>
      </w:tabs>
      <w:spacing w:before="120" w:line="240" w:lineRule="auto"/>
      <w:ind w:left="-37" w:right="-28"/>
    </w:pPr>
  </w:style>
  <w:style w:type="paragraph" w:customStyle="1" w:styleId="Text">
    <w:name w:val="Text"/>
    <w:basedOn w:val="Normal"/>
    <w:pPr>
      <w:spacing w:before="120" w:line="240" w:lineRule="auto"/>
      <w:jc w:val="both"/>
    </w:pPr>
    <w:rPr>
      <w:sz w:val="24"/>
      <w:szCs w:val="24"/>
      <w:lang w:val="en-US"/>
    </w:rPr>
  </w:style>
  <w:style w:type="paragraph" w:customStyle="1" w:styleId="Table">
    <w:name w:val="Table"/>
    <w:basedOn w:val="Normal"/>
    <w:pPr>
      <w:keepNext/>
      <w:keepLines/>
      <w:tabs>
        <w:tab w:val="left" w:pos="284"/>
      </w:tabs>
      <w:spacing w:before="40" w:after="20" w:line="240" w:lineRule="auto"/>
    </w:pPr>
    <w:rPr>
      <w:rFonts w:ascii="Arial" w:hAnsi="Arial" w:cs="Arial"/>
      <w:sz w:val="20"/>
      <w:szCs w:val="20"/>
      <w:lang w:val="en-US"/>
    </w:rPr>
  </w:style>
  <w:style w:type="paragraph" w:customStyle="1" w:styleId="Listlevel2">
    <w:name w:val="List level 2"/>
    <w:basedOn w:val="Normal"/>
    <w:pPr>
      <w:spacing w:before="40" w:after="20" w:line="240" w:lineRule="auto"/>
      <w:ind w:left="850" w:hanging="425"/>
    </w:pPr>
    <w:rPr>
      <w:sz w:val="24"/>
      <w:szCs w:val="24"/>
      <w:lang w:val="en-US"/>
    </w:rPr>
  </w:style>
  <w:style w:type="paragraph" w:customStyle="1" w:styleId="Listlevel1">
    <w:name w:val="List level 1"/>
    <w:basedOn w:val="Normal"/>
    <w:pPr>
      <w:spacing w:before="40" w:after="20" w:line="240" w:lineRule="auto"/>
      <w:ind w:left="425" w:hanging="425"/>
    </w:pPr>
    <w:rPr>
      <w:sz w:val="24"/>
      <w:szCs w:val="24"/>
      <w:lang w:val="en-US"/>
    </w:rPr>
  </w:style>
  <w:style w:type="paragraph" w:customStyle="1" w:styleId="Authors">
    <w:name w:val="Authors"/>
    <w:basedOn w:val="Normal"/>
    <w:pPr>
      <w:keepNext/>
      <w:tabs>
        <w:tab w:val="left" w:pos="2268"/>
      </w:tabs>
      <w:spacing w:before="240" w:line="240" w:lineRule="auto"/>
    </w:pPr>
    <w:rPr>
      <w:rFonts w:ascii="Arial" w:hAnsi="Arial" w:cs="Arial"/>
      <w:lang w:val="en-US"/>
    </w:rPr>
  </w:style>
  <w:style w:type="paragraph" w:customStyle="1" w:styleId="Releasedate">
    <w:name w:val="Releasedate"/>
    <w:basedOn w:val="Normal"/>
    <w:pPr>
      <w:keepNext/>
      <w:spacing w:before="240" w:line="240" w:lineRule="auto"/>
    </w:pPr>
    <w:rPr>
      <w:rFonts w:ascii="Arial" w:hAnsi="Arial" w:cs="Arial"/>
    </w:rPr>
  </w:style>
  <w:style w:type="paragraph" w:styleId="TOC6">
    <w:name w:val="toc 6"/>
    <w:basedOn w:val="Normal"/>
    <w:semiHidden/>
    <w:pPr>
      <w:tabs>
        <w:tab w:val="left" w:pos="1559"/>
        <w:tab w:val="left" w:pos="2551"/>
        <w:tab w:val="left" w:pos="3543"/>
        <w:tab w:val="right" w:leader="dot" w:pos="13029"/>
      </w:tabs>
      <w:spacing w:after="72" w:line="240" w:lineRule="auto"/>
      <w:ind w:left="992" w:right="227" w:hanging="992"/>
    </w:pPr>
    <w:rPr>
      <w:sz w:val="24"/>
      <w:szCs w:val="24"/>
    </w:rPr>
  </w:style>
  <w:style w:type="paragraph" w:customStyle="1" w:styleId="BalloonText1">
    <w:name w:val="Balloon Text1"/>
    <w:basedOn w:val="Normal"/>
    <w:rPr>
      <w:rFonts w:ascii="Tahoma" w:hAnsi="Tahoma" w:cs="Tahoma"/>
      <w:sz w:val="16"/>
      <w:szCs w:val="16"/>
    </w:rPr>
  </w:style>
  <w:style w:type="paragraph" w:customStyle="1" w:styleId="CommentSubject1">
    <w:name w:val="Comment Subject1"/>
    <w:basedOn w:val="Textpoznmky"/>
    <w:next w:val="Textpoznmky"/>
    <w:rPr>
      <w:b/>
      <w:bCs/>
    </w:rPr>
  </w:style>
  <w:style w:type="paragraph" w:customStyle="1" w:styleId="Textbubliny1">
    <w:name w:val="Text bubliny1"/>
    <w:basedOn w:val="Normal"/>
    <w:rPr>
      <w:rFonts w:ascii="Tahoma" w:hAnsi="Tahoma" w:cs="Tahoma"/>
      <w:sz w:val="16"/>
      <w:szCs w:val="16"/>
    </w:rPr>
  </w:style>
  <w:style w:type="paragraph" w:customStyle="1" w:styleId="Nottoc-headings">
    <w:name w:val="Not toc-headings"/>
    <w:basedOn w:val="Normal"/>
    <w:next w:val="Text"/>
    <w:pPr>
      <w:keepNext/>
      <w:keepLines/>
      <w:spacing w:before="240" w:after="60" w:line="240" w:lineRule="auto"/>
      <w:ind w:left="1701" w:hanging="1701"/>
    </w:pPr>
    <w:rPr>
      <w:rFonts w:ascii="Arial" w:hAnsi="Arial" w:cs="Arial"/>
      <w:b/>
      <w:bCs/>
      <w:sz w:val="24"/>
      <w:szCs w:val="24"/>
      <w:lang w:val="en-US"/>
    </w:rPr>
  </w:style>
  <w:style w:type="paragraph" w:customStyle="1" w:styleId="Style">
    <w:name w:val="Style"/>
    <w:basedOn w:val="Normal"/>
    <w:pPr>
      <w:spacing w:after="160" w:line="240" w:lineRule="exact"/>
    </w:pPr>
    <w:rPr>
      <w:rFonts w:ascii="Verdana" w:hAnsi="Verdana" w:cs="Verdana"/>
      <w:sz w:val="20"/>
      <w:szCs w:val="20"/>
      <w:lang w:val="en-GB"/>
    </w:rPr>
  </w:style>
  <w:style w:type="paragraph" w:customStyle="1" w:styleId="CharChar2">
    <w:name w:val="Char Char2"/>
    <w:basedOn w:val="Normal"/>
    <w:pPr>
      <w:spacing w:after="160" w:line="240" w:lineRule="exact"/>
    </w:pPr>
    <w:rPr>
      <w:rFonts w:ascii="Verdana" w:hAnsi="Verdana" w:cs="Verdana"/>
      <w:sz w:val="20"/>
      <w:szCs w:val="20"/>
      <w:lang w:val="en-GB"/>
    </w:rPr>
  </w:style>
  <w:style w:type="paragraph" w:customStyle="1" w:styleId="Datum1">
    <w:name w:val="Datum1"/>
    <w:basedOn w:val="Normal"/>
    <w:next w:val="Normal"/>
    <w:pPr>
      <w:spacing w:line="240" w:lineRule="auto"/>
    </w:pPr>
    <w:rPr>
      <w:lang w:val="en-GB"/>
    </w:rPr>
  </w:style>
  <w:style w:type="paragraph" w:customStyle="1" w:styleId="Obsahtabulky">
    <w:name w:val="Obsah tabulky"/>
    <w:basedOn w:val="Normal"/>
    <w:pPr>
      <w:suppressLineNumbers/>
    </w:pPr>
  </w:style>
  <w:style w:type="paragraph" w:customStyle="1" w:styleId="Nadpistabulky">
    <w:name w:val="Nadpis tabulky"/>
    <w:basedOn w:val="Obsahtabulky"/>
    <w:pPr>
      <w:jc w:val="center"/>
    </w:pPr>
    <w:rPr>
      <w:b/>
      <w:bCs/>
    </w:rPr>
  </w:style>
  <w:style w:type="paragraph" w:styleId="BalloonText">
    <w:name w:val="Balloon Text"/>
    <w:basedOn w:val="Normal"/>
    <w:semiHidden/>
    <w:rsid w:val="00D97A44"/>
    <w:rPr>
      <w:rFonts w:ascii="Tahoma" w:hAnsi="Tahoma" w:cs="Tahoma"/>
      <w:sz w:val="16"/>
      <w:szCs w:val="16"/>
    </w:rPr>
  </w:style>
  <w:style w:type="character" w:styleId="CommentReference">
    <w:name w:val="annotation reference"/>
    <w:semiHidden/>
    <w:rsid w:val="00B346DE"/>
    <w:rPr>
      <w:sz w:val="16"/>
      <w:szCs w:val="16"/>
    </w:rPr>
  </w:style>
  <w:style w:type="paragraph" w:styleId="CommentText">
    <w:name w:val="annotation text"/>
    <w:aliases w:val="Comment Text Char1 Char,Comment Text Char Char Char,Comment Text Char1"/>
    <w:basedOn w:val="Normal"/>
    <w:rsid w:val="00B346DE"/>
    <w:rPr>
      <w:sz w:val="20"/>
      <w:szCs w:val="20"/>
    </w:rPr>
  </w:style>
  <w:style w:type="paragraph" w:styleId="CommentSubject">
    <w:name w:val="annotation subject"/>
    <w:basedOn w:val="CommentText"/>
    <w:next w:val="CommentText"/>
    <w:semiHidden/>
    <w:rsid w:val="00B346DE"/>
    <w:rPr>
      <w:b/>
      <w:bCs/>
    </w:rPr>
  </w:style>
  <w:style w:type="paragraph" w:customStyle="1" w:styleId="CharChar">
    <w:name w:val="Char Char"/>
    <w:basedOn w:val="Normal"/>
    <w:rsid w:val="00990722"/>
    <w:pPr>
      <w:tabs>
        <w:tab w:val="clear" w:pos="567"/>
      </w:tabs>
      <w:suppressAutoHyphens w:val="0"/>
      <w:spacing w:after="160" w:line="240" w:lineRule="exact"/>
    </w:pPr>
    <w:rPr>
      <w:rFonts w:ascii="Verdana" w:hAnsi="Verdana" w:cs="Verdana"/>
      <w:sz w:val="20"/>
      <w:szCs w:val="20"/>
      <w:lang w:val="en-GB" w:eastAsia="en-US"/>
    </w:rPr>
  </w:style>
  <w:style w:type="paragraph" w:styleId="Revision">
    <w:name w:val="Revision"/>
    <w:hidden/>
    <w:uiPriority w:val="99"/>
    <w:semiHidden/>
    <w:rsid w:val="00DD4A26"/>
    <w:rPr>
      <w:sz w:val="22"/>
      <w:szCs w:val="22"/>
      <w:lang w:val="cs-CZ" w:eastAsia="ar-SA"/>
    </w:rPr>
  </w:style>
  <w:style w:type="paragraph" w:customStyle="1" w:styleId="Default">
    <w:name w:val="Default"/>
    <w:rsid w:val="00901DC3"/>
    <w:pPr>
      <w:autoSpaceDE w:val="0"/>
      <w:autoSpaceDN w:val="0"/>
      <w:adjustRightInd w:val="0"/>
    </w:pPr>
    <w:rPr>
      <w:rFonts w:ascii="Verdana" w:hAnsi="Verdana" w:cs="Verdana"/>
      <w:color w:val="000000"/>
      <w:sz w:val="24"/>
      <w:szCs w:val="24"/>
      <w:lang w:val="en-US" w:eastAsia="en-US"/>
    </w:rPr>
  </w:style>
  <w:style w:type="character" w:customStyle="1" w:styleId="BodytextAgencyChar">
    <w:name w:val="Body text (Agency) Char"/>
    <w:link w:val="BodytextAgency"/>
    <w:locked/>
    <w:rsid w:val="00D016F9"/>
    <w:rPr>
      <w:rFonts w:ascii="Verdana" w:eastAsia="Verdana" w:hAnsi="Verdana"/>
      <w:sz w:val="18"/>
      <w:szCs w:val="18"/>
    </w:rPr>
  </w:style>
  <w:style w:type="paragraph" w:customStyle="1" w:styleId="BodytextAgency">
    <w:name w:val="Body text (Agency)"/>
    <w:basedOn w:val="Normal"/>
    <w:link w:val="BodytextAgencyChar"/>
    <w:qFormat/>
    <w:rsid w:val="00D016F9"/>
    <w:pPr>
      <w:tabs>
        <w:tab w:val="clear" w:pos="567"/>
      </w:tabs>
      <w:suppressAutoHyphens w:val="0"/>
      <w:spacing w:after="140" w:line="280" w:lineRule="atLeast"/>
    </w:pPr>
    <w:rPr>
      <w:rFonts w:ascii="Verdana" w:eastAsia="Verdana" w:hAnsi="Verdana"/>
      <w:sz w:val="18"/>
      <w:szCs w:val="18"/>
      <w:lang w:val="en-US" w:eastAsia="en-US"/>
    </w:rPr>
  </w:style>
  <w:style w:type="character" w:customStyle="1" w:styleId="DraftingNotesAgencyChar">
    <w:name w:val="Drafting Notes (Agency) Char"/>
    <w:link w:val="DraftingNotesAgency"/>
    <w:locked/>
    <w:rsid w:val="00D016F9"/>
    <w:rPr>
      <w:rFonts w:ascii="Courier New" w:eastAsia="Verdana" w:hAnsi="Courier New" w:cs="Courier New"/>
      <w:i/>
      <w:color w:val="339966"/>
      <w:sz w:val="22"/>
      <w:szCs w:val="18"/>
    </w:rPr>
  </w:style>
  <w:style w:type="paragraph" w:customStyle="1" w:styleId="DraftingNotesAgency">
    <w:name w:val="Drafting Notes (Agency)"/>
    <w:basedOn w:val="Normal"/>
    <w:next w:val="BodytextAgency"/>
    <w:link w:val="DraftingNotesAgencyChar"/>
    <w:rsid w:val="00D016F9"/>
    <w:pPr>
      <w:tabs>
        <w:tab w:val="clear" w:pos="567"/>
      </w:tabs>
      <w:suppressAutoHyphens w:val="0"/>
      <w:spacing w:after="140" w:line="280" w:lineRule="atLeast"/>
    </w:pPr>
    <w:rPr>
      <w:rFonts w:ascii="Courier New" w:eastAsia="Verdana" w:hAnsi="Courier New" w:cs="Courier New"/>
      <w:i/>
      <w:color w:val="339966"/>
      <w:szCs w:val="18"/>
      <w:lang w:val="en-US" w:eastAsia="en-US"/>
    </w:rPr>
  </w:style>
  <w:style w:type="character" w:customStyle="1" w:styleId="No-numheading3AgencyChar">
    <w:name w:val="No-num heading 3 (Agency) Char"/>
    <w:link w:val="No-numheading3Agency"/>
    <w:locked/>
    <w:rsid w:val="00D016F9"/>
    <w:rPr>
      <w:rFonts w:ascii="Verdana" w:eastAsia="Verdana" w:hAnsi="Verdana"/>
      <w:b/>
      <w:bCs/>
      <w:kern w:val="32"/>
      <w:sz w:val="22"/>
      <w:szCs w:val="22"/>
    </w:rPr>
  </w:style>
  <w:style w:type="paragraph" w:customStyle="1" w:styleId="No-numheading3Agency">
    <w:name w:val="No-num heading 3 (Agency)"/>
    <w:basedOn w:val="Normal"/>
    <w:next w:val="BodytextAgency"/>
    <w:link w:val="No-numheading3AgencyChar"/>
    <w:rsid w:val="00D016F9"/>
    <w:pPr>
      <w:keepNext/>
      <w:tabs>
        <w:tab w:val="clear" w:pos="567"/>
      </w:tabs>
      <w:suppressAutoHyphens w:val="0"/>
      <w:spacing w:before="280" w:after="220" w:line="240" w:lineRule="auto"/>
      <w:outlineLvl w:val="2"/>
    </w:pPr>
    <w:rPr>
      <w:rFonts w:ascii="Verdana" w:eastAsia="Verdana" w:hAnsi="Verdana"/>
      <w:b/>
      <w:bCs/>
      <w:kern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313599">
      <w:bodyDiv w:val="1"/>
      <w:marLeft w:val="0"/>
      <w:marRight w:val="0"/>
      <w:marTop w:val="0"/>
      <w:marBottom w:val="0"/>
      <w:divBdr>
        <w:top w:val="none" w:sz="0" w:space="0" w:color="auto"/>
        <w:left w:val="none" w:sz="0" w:space="0" w:color="auto"/>
        <w:bottom w:val="none" w:sz="0" w:space="0" w:color="auto"/>
        <w:right w:val="none" w:sz="0" w:space="0" w:color="auto"/>
      </w:divBdr>
    </w:div>
    <w:div w:id="1483039424">
      <w:bodyDiv w:val="1"/>
      <w:marLeft w:val="0"/>
      <w:marRight w:val="0"/>
      <w:marTop w:val="0"/>
      <w:marBottom w:val="0"/>
      <w:divBdr>
        <w:top w:val="none" w:sz="0" w:space="0" w:color="auto"/>
        <w:left w:val="none" w:sz="0" w:space="0" w:color="auto"/>
        <w:bottom w:val="none" w:sz="0" w:space="0" w:color="auto"/>
        <w:right w:val="none" w:sz="0" w:space="0" w:color="auto"/>
      </w:divBdr>
    </w:div>
    <w:div w:id="16037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81D935-4F93-46D6-BB18-01F265474DAB}">
  <ds:schemaRefs>
    <ds:schemaRef ds:uri="http://schemas.microsoft.com/sharepoint/v3/contenttype/forms"/>
  </ds:schemaRefs>
</ds:datastoreItem>
</file>

<file path=customXml/itemProps2.xml><?xml version="1.0" encoding="utf-8"?>
<ds:datastoreItem xmlns:ds="http://schemas.openxmlformats.org/officeDocument/2006/customXml" ds:itemID="{D099AD20-D549-47AA-AE8A-7F4E46DF023F}">
  <ds:schemaRefs>
    <ds:schemaRef ds:uri="e84aa060-13d4-4ddd-8d65-c3aafff2663b"/>
    <ds:schemaRef ds:uri="http://purl.org/dc/elements/1.1/"/>
    <ds:schemaRef ds:uri="http://schemas.microsoft.com/office/2006/metadata/properties"/>
    <ds:schemaRef ds:uri="08c21c09-beba-4072-8000-1dca26330969"/>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3156D846-801C-4865-A5CF-E5486A222D84}"/>
</file>

<file path=docProps/app.xml><?xml version="1.0" encoding="utf-8"?>
<Properties xmlns="http://schemas.openxmlformats.org/officeDocument/2006/extended-properties" xmlns:vt="http://schemas.openxmlformats.org/officeDocument/2006/docPropsVTypes">
  <Template>Normal</Template>
  <TotalTime>0</TotalTime>
  <Pages>18</Pages>
  <Words>38485</Words>
  <Characters>219368</Characters>
  <Application>Microsoft Office Word</Application>
  <DocSecurity>0</DocSecurity>
  <Lines>1828</Lines>
  <Paragraphs>514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Glivec, INN-imatinib</vt:lpstr>
      <vt:lpstr>Glivec, INN-imatinib</vt:lpstr>
    </vt:vector>
  </TitlesOfParts>
  <Company>Novartis</Company>
  <LinksUpToDate>false</LinksUpToDate>
  <CharactersWithSpaces>257339</CharactersWithSpaces>
  <SharedDoc>false</SharedDoc>
  <HLinks>
    <vt:vector size="36" baseType="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Glivec, INN-imatinib</dc:title>
  <dc:subject>EPAR</dc:subject>
  <dc:creator>CHMP</dc:creator>
  <cp:keywords>Glivec, INN-imatinib</cp:keywords>
  <cp:lastModifiedBy>Lupescu Diana</cp:lastModifiedBy>
  <cp:revision>4</cp:revision>
  <cp:lastPrinted>2013-12-03T14:45:00Z</cp:lastPrinted>
  <dcterms:created xsi:type="dcterms:W3CDTF">2021-02-04T14:12:00Z</dcterms:created>
  <dcterms:modified xsi:type="dcterms:W3CDTF">2021-05-21T15:51:00Z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gistered">
    <vt:lpwstr>-1</vt:lpwstr>
  </property>
  <property fmtid="{D5CDD505-2E9C-101B-9397-08002B2CF9AE}" pid="3" name="Version">
    <vt:lpwstr>0</vt:lpwstr>
  </property>
  <property fmtid="{D5CDD505-2E9C-101B-9397-08002B2CF9AE}" pid="4" name="ContentTypeId">
    <vt:lpwstr>0x010100726F91DD1AE57B44B1BCEB7F1056F5D0</vt:lpwstr>
  </property>
  <property fmtid="{D5CDD505-2E9C-101B-9397-08002B2CF9AE}" pid="5" name="MSIP_Label_4929bff8-5b33-42aa-95d2-28f72e792cb0_Enabled">
    <vt:lpwstr>True</vt:lpwstr>
  </property>
  <property fmtid="{D5CDD505-2E9C-101B-9397-08002B2CF9AE}" pid="6" name="MSIP_Label_4929bff8-5b33-42aa-95d2-28f72e792cb0_SiteId">
    <vt:lpwstr>f35a6974-607f-47d4-82d7-ff31d7dc53a5</vt:lpwstr>
  </property>
  <property fmtid="{D5CDD505-2E9C-101B-9397-08002B2CF9AE}" pid="7" name="MSIP_Label_4929bff8-5b33-42aa-95d2-28f72e792cb0_SetDate">
    <vt:lpwstr>2020-02-25T13:07:29.1311209Z</vt:lpwstr>
  </property>
  <property fmtid="{D5CDD505-2E9C-101B-9397-08002B2CF9AE}" pid="8" name="MSIP_Label_4929bff8-5b33-42aa-95d2-28f72e792cb0_Name">
    <vt:lpwstr>Business Use Only</vt:lpwstr>
  </property>
  <property fmtid="{D5CDD505-2E9C-101B-9397-08002B2CF9AE}" pid="9" name="MSIP_Label_4929bff8-5b33-42aa-95d2-28f72e792cb0_ActionId">
    <vt:lpwstr>9931fa3a-0fb4-4fcf-9981-b7403272397e</vt:lpwstr>
  </property>
  <property fmtid="{D5CDD505-2E9C-101B-9397-08002B2CF9AE}" pid="10" name="MSIP_Label_4929bff8-5b33-42aa-95d2-28f72e792cb0_Extended_MSFT_Method">
    <vt:lpwstr>Automatic</vt:lpwstr>
  </property>
  <property fmtid="{D5CDD505-2E9C-101B-9397-08002B2CF9AE}" pid="11" name="Confidentiality">
    <vt:lpwstr>Business Use Only</vt:lpwstr>
  </property>
  <property fmtid="{D5CDD505-2E9C-101B-9397-08002B2CF9AE}" pid="12" name="MSIP_Label_0eea11ca-d417-4147-80ed-01a58412c458_Enabled">
    <vt:lpwstr>true</vt:lpwstr>
  </property>
  <property fmtid="{D5CDD505-2E9C-101B-9397-08002B2CF9AE}" pid="13" name="MSIP_Label_0eea11ca-d417-4147-80ed-01a58412c458_SetDate">
    <vt:lpwstr>2021-05-21T15:51:19Z</vt:lpwstr>
  </property>
  <property fmtid="{D5CDD505-2E9C-101B-9397-08002B2CF9AE}" pid="14" name="MSIP_Label_0eea11ca-d417-4147-80ed-01a58412c458_Method">
    <vt:lpwstr>Standard</vt:lpwstr>
  </property>
  <property fmtid="{D5CDD505-2E9C-101B-9397-08002B2CF9AE}" pid="15" name="MSIP_Label_0eea11ca-d417-4147-80ed-01a58412c458_Name">
    <vt:lpwstr>0eea11ca-d417-4147-80ed-01a58412c458</vt:lpwstr>
  </property>
  <property fmtid="{D5CDD505-2E9C-101B-9397-08002B2CF9AE}" pid="16" name="MSIP_Label_0eea11ca-d417-4147-80ed-01a58412c458_SiteId">
    <vt:lpwstr>bc9dc15c-61bc-4f03-b60b-e5b6d8922839</vt:lpwstr>
  </property>
  <property fmtid="{D5CDD505-2E9C-101B-9397-08002B2CF9AE}" pid="17" name="MSIP_Label_0eea11ca-d417-4147-80ed-01a58412c458_ActionId">
    <vt:lpwstr>65640b71-ccba-4cf5-b7e3-acc8309d4c20</vt:lpwstr>
  </property>
  <property fmtid="{D5CDD505-2E9C-101B-9397-08002B2CF9AE}" pid="18" name="MSIP_Label_0eea11ca-d417-4147-80ed-01a58412c458_ContentBits">
    <vt:lpwstr>2</vt:lpwstr>
  </property>
</Properties>
</file>