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26118" w14:textId="77777777" w:rsidR="00270C5A" w:rsidRPr="00ED53E2" w:rsidRDefault="00270C5A" w:rsidP="00421681">
      <w:pPr>
        <w:pStyle w:val="EndnoteText"/>
        <w:tabs>
          <w:tab w:val="clear" w:pos="567"/>
        </w:tabs>
        <w:suppressAutoHyphens/>
        <w:rPr>
          <w:color w:val="000000"/>
          <w:szCs w:val="22"/>
        </w:rPr>
      </w:pPr>
    </w:p>
    <w:p w14:paraId="04B3A1A0" w14:textId="77777777" w:rsidR="00270C5A" w:rsidRPr="00ED53E2" w:rsidRDefault="00270C5A" w:rsidP="00421681">
      <w:pPr>
        <w:widowControl w:val="0"/>
        <w:suppressAutoHyphens/>
        <w:rPr>
          <w:color w:val="000000"/>
          <w:sz w:val="22"/>
          <w:szCs w:val="22"/>
          <w:lang w:val="da-DK"/>
        </w:rPr>
      </w:pPr>
    </w:p>
    <w:p w14:paraId="7A4C2AAC" w14:textId="77777777" w:rsidR="00270C5A" w:rsidRPr="00ED53E2" w:rsidRDefault="00270C5A" w:rsidP="00421681">
      <w:pPr>
        <w:widowControl w:val="0"/>
        <w:suppressAutoHyphens/>
        <w:rPr>
          <w:color w:val="000000"/>
          <w:sz w:val="22"/>
          <w:szCs w:val="22"/>
          <w:lang w:val="da-DK"/>
        </w:rPr>
      </w:pPr>
    </w:p>
    <w:p w14:paraId="570E077D" w14:textId="77777777" w:rsidR="00270C5A" w:rsidRPr="00ED53E2" w:rsidRDefault="00270C5A" w:rsidP="00421681">
      <w:pPr>
        <w:widowControl w:val="0"/>
        <w:suppressAutoHyphens/>
        <w:rPr>
          <w:color w:val="000000"/>
          <w:sz w:val="22"/>
          <w:szCs w:val="22"/>
          <w:lang w:val="da-DK"/>
        </w:rPr>
      </w:pPr>
    </w:p>
    <w:p w14:paraId="50421BC1" w14:textId="77777777" w:rsidR="00270C5A" w:rsidRPr="00ED53E2" w:rsidRDefault="00270C5A" w:rsidP="00421681">
      <w:pPr>
        <w:widowControl w:val="0"/>
        <w:suppressAutoHyphens/>
        <w:rPr>
          <w:color w:val="000000"/>
          <w:sz w:val="22"/>
          <w:szCs w:val="22"/>
          <w:lang w:val="da-DK"/>
        </w:rPr>
      </w:pPr>
    </w:p>
    <w:p w14:paraId="132F90AF" w14:textId="77777777" w:rsidR="00270C5A" w:rsidRPr="00ED53E2" w:rsidRDefault="00270C5A" w:rsidP="00421681">
      <w:pPr>
        <w:widowControl w:val="0"/>
        <w:suppressAutoHyphens/>
        <w:rPr>
          <w:color w:val="000000"/>
          <w:sz w:val="22"/>
          <w:szCs w:val="22"/>
          <w:lang w:val="da-DK"/>
        </w:rPr>
      </w:pPr>
    </w:p>
    <w:p w14:paraId="22CE4DB0" w14:textId="77777777" w:rsidR="00270C5A" w:rsidRPr="00ED53E2" w:rsidRDefault="00270C5A" w:rsidP="00421681">
      <w:pPr>
        <w:widowControl w:val="0"/>
        <w:suppressAutoHyphens/>
        <w:rPr>
          <w:color w:val="000000"/>
          <w:sz w:val="22"/>
          <w:szCs w:val="22"/>
          <w:lang w:val="da-DK"/>
        </w:rPr>
      </w:pPr>
    </w:p>
    <w:p w14:paraId="5F8710AF" w14:textId="77777777" w:rsidR="00270C5A" w:rsidRPr="00ED53E2" w:rsidRDefault="00270C5A" w:rsidP="00421681">
      <w:pPr>
        <w:widowControl w:val="0"/>
        <w:suppressAutoHyphens/>
        <w:rPr>
          <w:color w:val="000000"/>
          <w:sz w:val="22"/>
          <w:szCs w:val="22"/>
          <w:lang w:val="da-DK"/>
        </w:rPr>
      </w:pPr>
    </w:p>
    <w:p w14:paraId="5B97E8CF" w14:textId="77777777" w:rsidR="00270C5A" w:rsidRPr="00ED53E2" w:rsidRDefault="00270C5A" w:rsidP="00421681">
      <w:pPr>
        <w:widowControl w:val="0"/>
        <w:suppressAutoHyphens/>
        <w:rPr>
          <w:color w:val="000000"/>
          <w:sz w:val="22"/>
          <w:szCs w:val="22"/>
          <w:lang w:val="da-DK"/>
        </w:rPr>
      </w:pPr>
    </w:p>
    <w:p w14:paraId="6DCB21DE" w14:textId="77777777" w:rsidR="00270C5A" w:rsidRPr="00ED53E2" w:rsidRDefault="00270C5A" w:rsidP="00421681">
      <w:pPr>
        <w:widowControl w:val="0"/>
        <w:suppressAutoHyphens/>
        <w:rPr>
          <w:color w:val="000000"/>
          <w:sz w:val="22"/>
          <w:szCs w:val="22"/>
          <w:lang w:val="da-DK"/>
        </w:rPr>
      </w:pPr>
    </w:p>
    <w:p w14:paraId="24DF253B" w14:textId="77777777" w:rsidR="00270C5A" w:rsidRPr="00ED53E2" w:rsidRDefault="00270C5A" w:rsidP="00421681">
      <w:pPr>
        <w:widowControl w:val="0"/>
        <w:suppressAutoHyphens/>
        <w:rPr>
          <w:color w:val="000000"/>
          <w:sz w:val="22"/>
          <w:szCs w:val="22"/>
          <w:lang w:val="da-DK"/>
        </w:rPr>
      </w:pPr>
    </w:p>
    <w:p w14:paraId="1FA40B59" w14:textId="77777777" w:rsidR="00270C5A" w:rsidRPr="00ED53E2" w:rsidRDefault="00270C5A" w:rsidP="00421681">
      <w:pPr>
        <w:widowControl w:val="0"/>
        <w:suppressAutoHyphens/>
        <w:rPr>
          <w:color w:val="000000"/>
          <w:sz w:val="22"/>
          <w:szCs w:val="22"/>
          <w:lang w:val="da-DK"/>
        </w:rPr>
      </w:pPr>
    </w:p>
    <w:p w14:paraId="735410AC" w14:textId="77777777" w:rsidR="00270C5A" w:rsidRPr="00ED53E2" w:rsidRDefault="00270C5A" w:rsidP="00421681">
      <w:pPr>
        <w:widowControl w:val="0"/>
        <w:suppressAutoHyphens/>
        <w:rPr>
          <w:color w:val="000000"/>
          <w:sz w:val="22"/>
          <w:szCs w:val="22"/>
          <w:lang w:val="da-DK"/>
        </w:rPr>
      </w:pPr>
    </w:p>
    <w:p w14:paraId="7B10914A" w14:textId="77777777" w:rsidR="00270C5A" w:rsidRPr="00ED53E2" w:rsidRDefault="00270C5A" w:rsidP="00421681">
      <w:pPr>
        <w:widowControl w:val="0"/>
        <w:suppressAutoHyphens/>
        <w:rPr>
          <w:color w:val="000000"/>
          <w:sz w:val="22"/>
          <w:szCs w:val="22"/>
          <w:lang w:val="da-DK"/>
        </w:rPr>
      </w:pPr>
    </w:p>
    <w:p w14:paraId="45A2B8FF" w14:textId="77777777" w:rsidR="00270C5A" w:rsidRPr="00ED53E2" w:rsidRDefault="00270C5A" w:rsidP="00421681">
      <w:pPr>
        <w:pStyle w:val="EndnoteText"/>
        <w:tabs>
          <w:tab w:val="clear" w:pos="567"/>
        </w:tabs>
        <w:suppressAutoHyphens/>
        <w:rPr>
          <w:color w:val="000000"/>
          <w:szCs w:val="22"/>
        </w:rPr>
      </w:pPr>
    </w:p>
    <w:p w14:paraId="0E9FE4E2" w14:textId="77777777" w:rsidR="00270C5A" w:rsidRPr="00ED53E2" w:rsidRDefault="00270C5A" w:rsidP="00421681">
      <w:pPr>
        <w:widowControl w:val="0"/>
        <w:suppressAutoHyphens/>
        <w:rPr>
          <w:color w:val="000000"/>
          <w:sz w:val="22"/>
          <w:szCs w:val="22"/>
          <w:lang w:val="da-DK"/>
        </w:rPr>
      </w:pPr>
    </w:p>
    <w:p w14:paraId="271C6834" w14:textId="77777777" w:rsidR="00270C5A" w:rsidRPr="00ED53E2" w:rsidRDefault="00270C5A" w:rsidP="00421681">
      <w:pPr>
        <w:widowControl w:val="0"/>
        <w:suppressAutoHyphens/>
        <w:rPr>
          <w:color w:val="000000"/>
          <w:sz w:val="22"/>
          <w:szCs w:val="22"/>
          <w:lang w:val="da-DK"/>
        </w:rPr>
      </w:pPr>
    </w:p>
    <w:p w14:paraId="07D64BEA" w14:textId="77777777" w:rsidR="00270C5A" w:rsidRPr="00ED53E2" w:rsidRDefault="00270C5A" w:rsidP="00421681">
      <w:pPr>
        <w:widowControl w:val="0"/>
        <w:suppressAutoHyphens/>
        <w:rPr>
          <w:color w:val="000000"/>
          <w:sz w:val="22"/>
          <w:szCs w:val="22"/>
          <w:lang w:val="da-DK"/>
        </w:rPr>
      </w:pPr>
    </w:p>
    <w:p w14:paraId="432B0C40" w14:textId="77777777" w:rsidR="00270C5A" w:rsidRPr="00ED53E2" w:rsidRDefault="00270C5A" w:rsidP="00421681">
      <w:pPr>
        <w:widowControl w:val="0"/>
        <w:suppressAutoHyphens/>
        <w:rPr>
          <w:color w:val="000000"/>
          <w:sz w:val="22"/>
          <w:szCs w:val="22"/>
          <w:lang w:val="da-DK"/>
        </w:rPr>
      </w:pPr>
    </w:p>
    <w:p w14:paraId="6581CE96" w14:textId="77777777" w:rsidR="00270C5A" w:rsidRPr="00ED53E2" w:rsidRDefault="00270C5A" w:rsidP="00421681">
      <w:pPr>
        <w:widowControl w:val="0"/>
        <w:suppressAutoHyphens/>
        <w:rPr>
          <w:color w:val="000000"/>
          <w:sz w:val="22"/>
          <w:szCs w:val="22"/>
          <w:lang w:val="da-DK"/>
        </w:rPr>
      </w:pPr>
    </w:p>
    <w:p w14:paraId="3FDF3A71" w14:textId="77777777" w:rsidR="00270C5A" w:rsidRPr="00ED53E2" w:rsidRDefault="00270C5A" w:rsidP="00421681">
      <w:pPr>
        <w:widowControl w:val="0"/>
        <w:suppressAutoHyphens/>
        <w:rPr>
          <w:color w:val="000000"/>
          <w:sz w:val="22"/>
          <w:szCs w:val="22"/>
          <w:lang w:val="da-DK"/>
        </w:rPr>
      </w:pPr>
    </w:p>
    <w:p w14:paraId="71D1D4BE" w14:textId="77777777" w:rsidR="00270C5A" w:rsidRPr="00ED53E2" w:rsidRDefault="00270C5A" w:rsidP="00421681">
      <w:pPr>
        <w:widowControl w:val="0"/>
        <w:suppressAutoHyphens/>
        <w:rPr>
          <w:color w:val="000000"/>
          <w:sz w:val="22"/>
          <w:szCs w:val="22"/>
          <w:lang w:val="da-DK"/>
        </w:rPr>
      </w:pPr>
    </w:p>
    <w:p w14:paraId="19DB791B" w14:textId="77777777" w:rsidR="00270C5A" w:rsidRPr="00ED53E2" w:rsidRDefault="00270C5A" w:rsidP="00421681">
      <w:pPr>
        <w:widowControl w:val="0"/>
        <w:suppressAutoHyphens/>
        <w:rPr>
          <w:color w:val="000000"/>
          <w:sz w:val="22"/>
          <w:szCs w:val="22"/>
          <w:lang w:val="da-DK"/>
        </w:rPr>
      </w:pPr>
    </w:p>
    <w:p w14:paraId="13C1D2DC" w14:textId="77777777" w:rsidR="00270C5A" w:rsidRPr="004C2A59" w:rsidRDefault="00270C5A" w:rsidP="00421681">
      <w:pPr>
        <w:pStyle w:val="Heading5"/>
        <w:keepNext w:val="0"/>
        <w:widowControl w:val="0"/>
        <w:numPr>
          <w:ilvl w:val="0"/>
          <w:numId w:val="0"/>
        </w:numPr>
        <w:tabs>
          <w:tab w:val="clear" w:pos="-720"/>
        </w:tabs>
        <w:rPr>
          <w:color w:val="000000"/>
          <w:szCs w:val="22"/>
        </w:rPr>
      </w:pPr>
      <w:r w:rsidRPr="004C2A59">
        <w:rPr>
          <w:color w:val="000000"/>
          <w:szCs w:val="22"/>
        </w:rPr>
        <w:t>BILAG I</w:t>
      </w:r>
    </w:p>
    <w:p w14:paraId="0DC2F16E" w14:textId="77777777" w:rsidR="00270C5A" w:rsidRPr="004C2A59" w:rsidRDefault="00270C5A" w:rsidP="00421681">
      <w:pPr>
        <w:widowControl w:val="0"/>
        <w:suppressAutoHyphens/>
        <w:jc w:val="center"/>
        <w:rPr>
          <w:color w:val="000000"/>
          <w:sz w:val="22"/>
          <w:szCs w:val="22"/>
          <w:lang w:val="da-DK"/>
        </w:rPr>
      </w:pPr>
    </w:p>
    <w:p w14:paraId="0AB4C296" w14:textId="77777777" w:rsidR="00270C5A" w:rsidRPr="004C2A59" w:rsidRDefault="00270C5A" w:rsidP="00421681">
      <w:pPr>
        <w:widowControl w:val="0"/>
        <w:suppressAutoHyphens/>
        <w:jc w:val="center"/>
        <w:rPr>
          <w:b/>
          <w:color w:val="000000"/>
          <w:sz w:val="22"/>
          <w:szCs w:val="22"/>
          <w:lang w:val="da-DK"/>
        </w:rPr>
      </w:pPr>
      <w:r w:rsidRPr="004C2A59">
        <w:rPr>
          <w:b/>
          <w:color w:val="000000"/>
          <w:sz w:val="22"/>
          <w:szCs w:val="22"/>
          <w:lang w:val="da-DK"/>
        </w:rPr>
        <w:t>PRODUKTRESUM</w:t>
      </w:r>
      <w:r w:rsidR="00E53600" w:rsidRPr="004C2A59">
        <w:rPr>
          <w:b/>
          <w:color w:val="000000"/>
          <w:sz w:val="22"/>
          <w:szCs w:val="22"/>
          <w:lang w:val="da-DK"/>
        </w:rPr>
        <w:t>É</w:t>
      </w:r>
    </w:p>
    <w:p w14:paraId="53999BC1" w14:textId="77777777" w:rsidR="00990E48" w:rsidRPr="004C2A59" w:rsidRDefault="00270C5A" w:rsidP="00421681">
      <w:pPr>
        <w:tabs>
          <w:tab w:val="left" w:pos="-720"/>
        </w:tabs>
        <w:suppressAutoHyphens/>
        <w:rPr>
          <w:sz w:val="22"/>
          <w:szCs w:val="22"/>
          <w:lang w:val="da-DK"/>
        </w:rPr>
      </w:pPr>
      <w:r w:rsidRPr="004C2A59">
        <w:rPr>
          <w:b/>
          <w:color w:val="000000"/>
          <w:sz w:val="22"/>
          <w:szCs w:val="22"/>
          <w:lang w:val="da-DK"/>
        </w:rPr>
        <w:br w:type="page"/>
      </w:r>
      <w:r w:rsidR="00127CCC" w:rsidRPr="004C2A59">
        <w:rPr>
          <w:noProof/>
          <w:lang w:val="en-GB" w:eastAsia="en-GB"/>
        </w:rPr>
        <w:lastRenderedPageBreak/>
        <w:drawing>
          <wp:inline distT="0" distB="0" distL="0" distR="0" wp14:anchorId="1A802DBD" wp14:editId="4267643B">
            <wp:extent cx="198755" cy="174625"/>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990E48" w:rsidRPr="004C2A59">
        <w:rPr>
          <w:noProof/>
          <w:sz w:val="22"/>
          <w:szCs w:val="22"/>
          <w:lang w:val="da-DK"/>
        </w:rPr>
        <w:t xml:space="preserve">Dette lægemiddel er underlagt supplerende overvågning. Dermed kan nye sikkerhedsoplysninger hurtigt tilvejebringes. Læger og sundhedspersonale anmodes om at indberette alle </w:t>
      </w:r>
      <w:r w:rsidR="00902770" w:rsidRPr="004C2A59">
        <w:rPr>
          <w:noProof/>
          <w:sz w:val="22"/>
          <w:szCs w:val="22"/>
          <w:lang w:val="da-DK"/>
        </w:rPr>
        <w:t>formodede</w:t>
      </w:r>
      <w:r w:rsidR="00990E48" w:rsidRPr="004C2A59">
        <w:rPr>
          <w:noProof/>
          <w:sz w:val="22"/>
          <w:szCs w:val="22"/>
          <w:lang w:val="da-DK"/>
        </w:rPr>
        <w:t xml:space="preserve"> bivirkninger. Se i pkt. 4.8, hvordan bivirkninger indberettes.</w:t>
      </w:r>
    </w:p>
    <w:p w14:paraId="46F91BD8" w14:textId="77777777" w:rsidR="00990E48" w:rsidRPr="004C2A59" w:rsidRDefault="00990E48" w:rsidP="00421681">
      <w:pPr>
        <w:tabs>
          <w:tab w:val="left" w:pos="-720"/>
        </w:tabs>
        <w:suppressAutoHyphens/>
        <w:ind w:left="567" w:hanging="567"/>
        <w:rPr>
          <w:sz w:val="22"/>
          <w:szCs w:val="22"/>
          <w:lang w:val="da-DK"/>
        </w:rPr>
      </w:pPr>
    </w:p>
    <w:p w14:paraId="5DAE1A6A" w14:textId="77777777" w:rsidR="00990E48" w:rsidRPr="004C2A59" w:rsidRDefault="00990E48" w:rsidP="00421681">
      <w:pPr>
        <w:tabs>
          <w:tab w:val="left" w:pos="-720"/>
        </w:tabs>
        <w:suppressAutoHyphens/>
        <w:ind w:left="567" w:hanging="567"/>
        <w:rPr>
          <w:sz w:val="22"/>
          <w:szCs w:val="22"/>
          <w:lang w:val="da-DK"/>
        </w:rPr>
      </w:pPr>
    </w:p>
    <w:p w14:paraId="7B383264" w14:textId="77777777" w:rsidR="00270C5A" w:rsidRPr="004C2A59" w:rsidRDefault="00270C5A" w:rsidP="00421681">
      <w:pPr>
        <w:widowControl w:val="0"/>
        <w:suppressAutoHyphens/>
        <w:ind w:left="567" w:hanging="567"/>
        <w:rPr>
          <w:color w:val="000000"/>
          <w:sz w:val="22"/>
          <w:szCs w:val="22"/>
          <w:lang w:val="da-DK"/>
        </w:rPr>
      </w:pPr>
      <w:r w:rsidRPr="004C2A59">
        <w:rPr>
          <w:b/>
          <w:color w:val="000000"/>
          <w:sz w:val="22"/>
          <w:szCs w:val="22"/>
          <w:lang w:val="da-DK"/>
        </w:rPr>
        <w:t>1.</w:t>
      </w:r>
      <w:r w:rsidRPr="004C2A59">
        <w:rPr>
          <w:b/>
          <w:color w:val="000000"/>
          <w:sz w:val="22"/>
          <w:szCs w:val="22"/>
          <w:lang w:val="da-DK"/>
        </w:rPr>
        <w:tab/>
        <w:t>LÆGEMIDLETS NAVN</w:t>
      </w:r>
    </w:p>
    <w:p w14:paraId="35F21705" w14:textId="77777777" w:rsidR="00270C5A" w:rsidRPr="004C2A59" w:rsidRDefault="00270C5A" w:rsidP="00421681">
      <w:pPr>
        <w:widowControl w:val="0"/>
        <w:suppressAutoHyphens/>
        <w:rPr>
          <w:color w:val="000000"/>
          <w:sz w:val="22"/>
          <w:szCs w:val="22"/>
          <w:lang w:val="da-DK"/>
        </w:rPr>
      </w:pPr>
    </w:p>
    <w:p w14:paraId="33EF964A" w14:textId="77777777" w:rsidR="00B2074E" w:rsidRPr="004C2A59" w:rsidRDefault="00B2074E" w:rsidP="00421681">
      <w:pPr>
        <w:widowControl w:val="0"/>
        <w:suppressAutoHyphens/>
        <w:ind w:left="567" w:hanging="567"/>
        <w:rPr>
          <w:color w:val="000000"/>
          <w:sz w:val="22"/>
          <w:szCs w:val="22"/>
          <w:lang w:val="da-DK"/>
        </w:rPr>
      </w:pPr>
      <w:r>
        <w:rPr>
          <w:color w:val="000000"/>
          <w:sz w:val="22"/>
          <w:szCs w:val="22"/>
          <w:lang w:val="da-DK"/>
        </w:rPr>
        <w:t>Glivec 100</w:t>
      </w:r>
      <w:r w:rsidR="00DA5D95">
        <w:rPr>
          <w:color w:val="000000"/>
          <w:sz w:val="22"/>
          <w:szCs w:val="22"/>
          <w:lang w:val="da-DK"/>
        </w:rPr>
        <w:t> </w:t>
      </w:r>
      <w:r>
        <w:rPr>
          <w:color w:val="000000"/>
          <w:sz w:val="22"/>
          <w:szCs w:val="22"/>
          <w:lang w:val="da-DK"/>
        </w:rPr>
        <w:t>mg hårde kapsler</w:t>
      </w:r>
    </w:p>
    <w:p w14:paraId="0965624A" w14:textId="77777777" w:rsidR="00270C5A" w:rsidRPr="004C2A59" w:rsidRDefault="00270C5A" w:rsidP="00421681">
      <w:pPr>
        <w:widowControl w:val="0"/>
        <w:suppressAutoHyphens/>
        <w:rPr>
          <w:color w:val="000000"/>
          <w:sz w:val="22"/>
          <w:szCs w:val="22"/>
          <w:lang w:val="da-DK"/>
        </w:rPr>
      </w:pPr>
    </w:p>
    <w:p w14:paraId="1178565A" w14:textId="77777777" w:rsidR="00270C5A" w:rsidRPr="004C2A59" w:rsidRDefault="00270C5A" w:rsidP="00421681">
      <w:pPr>
        <w:widowControl w:val="0"/>
        <w:suppressAutoHyphens/>
        <w:rPr>
          <w:color w:val="000000"/>
          <w:sz w:val="22"/>
          <w:szCs w:val="22"/>
          <w:lang w:val="da-DK"/>
        </w:rPr>
      </w:pPr>
    </w:p>
    <w:p w14:paraId="50956747" w14:textId="77777777" w:rsidR="00270C5A" w:rsidRPr="004C2A59" w:rsidRDefault="00270C5A" w:rsidP="006C180B">
      <w:pPr>
        <w:keepNext/>
        <w:widowControl w:val="0"/>
        <w:suppressAutoHyphens/>
        <w:ind w:left="567" w:hanging="567"/>
        <w:rPr>
          <w:color w:val="000000"/>
          <w:sz w:val="22"/>
          <w:szCs w:val="22"/>
          <w:lang w:val="da-DK"/>
        </w:rPr>
      </w:pPr>
      <w:r w:rsidRPr="004C2A59">
        <w:rPr>
          <w:b/>
          <w:color w:val="000000"/>
          <w:sz w:val="22"/>
          <w:szCs w:val="22"/>
          <w:lang w:val="da-DK"/>
        </w:rPr>
        <w:t>2.</w:t>
      </w:r>
      <w:r w:rsidRPr="004C2A59">
        <w:rPr>
          <w:b/>
          <w:color w:val="000000"/>
          <w:sz w:val="22"/>
          <w:szCs w:val="22"/>
          <w:lang w:val="da-DK"/>
        </w:rPr>
        <w:tab/>
        <w:t>KVALITATIV OG KVANTITATIV SAMMENSÆTNING</w:t>
      </w:r>
    </w:p>
    <w:p w14:paraId="0EA7EB8F" w14:textId="77777777" w:rsidR="00270C5A" w:rsidRPr="004C2A59" w:rsidRDefault="00270C5A" w:rsidP="006C180B">
      <w:pPr>
        <w:keepNext/>
        <w:widowControl w:val="0"/>
        <w:suppressAutoHyphens/>
        <w:rPr>
          <w:color w:val="000000"/>
          <w:sz w:val="22"/>
          <w:szCs w:val="22"/>
          <w:lang w:val="da-DK"/>
        </w:rPr>
      </w:pPr>
    </w:p>
    <w:p w14:paraId="05557C56" w14:textId="77777777" w:rsidR="00B2074E" w:rsidRPr="00B2074E" w:rsidRDefault="00B2074E" w:rsidP="00421681">
      <w:pPr>
        <w:pStyle w:val="EndnoteText"/>
        <w:tabs>
          <w:tab w:val="clear" w:pos="567"/>
        </w:tabs>
        <w:suppressAutoHyphens/>
        <w:rPr>
          <w:color w:val="000000"/>
          <w:szCs w:val="22"/>
        </w:rPr>
      </w:pPr>
      <w:r>
        <w:rPr>
          <w:color w:val="000000"/>
          <w:szCs w:val="22"/>
        </w:rPr>
        <w:t>Hver kapsel indeholder 100</w:t>
      </w:r>
      <w:r w:rsidR="00DA5D95">
        <w:rPr>
          <w:color w:val="000000"/>
          <w:szCs w:val="22"/>
        </w:rPr>
        <w:t> </w:t>
      </w:r>
      <w:r>
        <w:rPr>
          <w:color w:val="000000"/>
          <w:szCs w:val="22"/>
        </w:rPr>
        <w:t>mg imatinib (som mesilat).</w:t>
      </w:r>
    </w:p>
    <w:p w14:paraId="3B8FA617" w14:textId="77777777" w:rsidR="00270C5A" w:rsidRPr="004C2A59" w:rsidRDefault="00270C5A" w:rsidP="00421681">
      <w:pPr>
        <w:pStyle w:val="EndnoteText"/>
        <w:tabs>
          <w:tab w:val="clear" w:pos="567"/>
        </w:tabs>
        <w:suppressAutoHyphens/>
        <w:rPr>
          <w:color w:val="000000"/>
          <w:szCs w:val="22"/>
        </w:rPr>
      </w:pPr>
    </w:p>
    <w:p w14:paraId="10E398B3" w14:textId="77777777" w:rsidR="00C62FCA" w:rsidRPr="004C2A59" w:rsidRDefault="007F75C4" w:rsidP="00421681">
      <w:pPr>
        <w:tabs>
          <w:tab w:val="left" w:pos="-720"/>
        </w:tabs>
        <w:suppressAutoHyphens/>
        <w:rPr>
          <w:color w:val="000000"/>
          <w:sz w:val="22"/>
          <w:szCs w:val="22"/>
          <w:lang w:val="da-DK"/>
        </w:rPr>
      </w:pPr>
      <w:r w:rsidRPr="004C2A59">
        <w:rPr>
          <w:color w:val="000000"/>
          <w:sz w:val="22"/>
          <w:szCs w:val="22"/>
          <w:lang w:val="da-DK"/>
        </w:rPr>
        <w:t>A</w:t>
      </w:r>
      <w:r w:rsidR="00C62FCA" w:rsidRPr="004C2A59">
        <w:rPr>
          <w:color w:val="000000"/>
          <w:sz w:val="22"/>
          <w:szCs w:val="22"/>
          <w:lang w:val="da-DK"/>
        </w:rPr>
        <w:t>lle hjælpestoffer er anført under pkt. 6.1.</w:t>
      </w:r>
    </w:p>
    <w:p w14:paraId="0665C46D" w14:textId="77777777" w:rsidR="00270C5A" w:rsidRPr="004C2A59" w:rsidRDefault="00270C5A" w:rsidP="00421681">
      <w:pPr>
        <w:widowControl w:val="0"/>
        <w:suppressAutoHyphens/>
        <w:rPr>
          <w:color w:val="000000"/>
          <w:sz w:val="22"/>
          <w:szCs w:val="22"/>
          <w:lang w:val="da-DK"/>
        </w:rPr>
      </w:pPr>
    </w:p>
    <w:p w14:paraId="092D4252" w14:textId="77777777" w:rsidR="00270C5A" w:rsidRPr="004C2A59" w:rsidRDefault="00270C5A" w:rsidP="00421681">
      <w:pPr>
        <w:widowControl w:val="0"/>
        <w:suppressAutoHyphens/>
        <w:rPr>
          <w:color w:val="000000"/>
          <w:sz w:val="22"/>
          <w:szCs w:val="22"/>
          <w:lang w:val="da-DK"/>
        </w:rPr>
      </w:pPr>
    </w:p>
    <w:p w14:paraId="28560A86" w14:textId="77777777" w:rsidR="00270C5A" w:rsidRPr="004C2A59" w:rsidRDefault="00270C5A" w:rsidP="006C180B">
      <w:pPr>
        <w:keepNext/>
        <w:widowControl w:val="0"/>
        <w:suppressAutoHyphens/>
        <w:ind w:left="567" w:hanging="567"/>
        <w:rPr>
          <w:color w:val="000000"/>
          <w:sz w:val="22"/>
          <w:szCs w:val="22"/>
          <w:lang w:val="da-DK"/>
        </w:rPr>
      </w:pPr>
      <w:r w:rsidRPr="004C2A59">
        <w:rPr>
          <w:b/>
          <w:color w:val="000000"/>
          <w:sz w:val="22"/>
          <w:szCs w:val="22"/>
          <w:lang w:val="da-DK"/>
        </w:rPr>
        <w:t>3.</w:t>
      </w:r>
      <w:r w:rsidRPr="004C2A59">
        <w:rPr>
          <w:b/>
          <w:color w:val="000000"/>
          <w:sz w:val="22"/>
          <w:szCs w:val="22"/>
          <w:lang w:val="da-DK"/>
        </w:rPr>
        <w:tab/>
        <w:t>LÆGEMIDDELFORM</w:t>
      </w:r>
    </w:p>
    <w:p w14:paraId="07DE7C24" w14:textId="77777777" w:rsidR="00270C5A" w:rsidRPr="004C2A59" w:rsidRDefault="00270C5A" w:rsidP="006C180B">
      <w:pPr>
        <w:keepNext/>
        <w:widowControl w:val="0"/>
        <w:suppressAutoHyphens/>
        <w:rPr>
          <w:color w:val="000000"/>
          <w:sz w:val="22"/>
          <w:szCs w:val="22"/>
          <w:lang w:val="da-DK"/>
        </w:rPr>
      </w:pPr>
    </w:p>
    <w:p w14:paraId="7D4D3329" w14:textId="77777777" w:rsidR="00270C5A" w:rsidRPr="004C2A59" w:rsidRDefault="00AA3127" w:rsidP="00421681">
      <w:pPr>
        <w:widowControl w:val="0"/>
        <w:suppressAutoHyphens/>
        <w:rPr>
          <w:color w:val="000000"/>
          <w:sz w:val="22"/>
          <w:szCs w:val="22"/>
          <w:lang w:val="da-DK"/>
        </w:rPr>
      </w:pPr>
      <w:r w:rsidRPr="004C2A59">
        <w:rPr>
          <w:color w:val="000000"/>
          <w:sz w:val="22"/>
          <w:szCs w:val="22"/>
          <w:lang w:val="da-DK"/>
        </w:rPr>
        <w:t>Hård k</w:t>
      </w:r>
      <w:r w:rsidR="00270C5A" w:rsidRPr="004C2A59">
        <w:rPr>
          <w:color w:val="000000"/>
          <w:sz w:val="22"/>
          <w:szCs w:val="22"/>
          <w:lang w:val="da-DK"/>
        </w:rPr>
        <w:t>aps</w:t>
      </w:r>
      <w:r w:rsidR="00C62FCA" w:rsidRPr="004C2A59">
        <w:rPr>
          <w:color w:val="000000"/>
          <w:sz w:val="22"/>
          <w:szCs w:val="22"/>
          <w:lang w:val="da-DK"/>
        </w:rPr>
        <w:t>el</w:t>
      </w:r>
    </w:p>
    <w:p w14:paraId="15B0B40B" w14:textId="77777777" w:rsidR="00270C5A" w:rsidRPr="004C2A59" w:rsidRDefault="00270C5A" w:rsidP="00421681">
      <w:pPr>
        <w:pStyle w:val="EndnoteText"/>
        <w:tabs>
          <w:tab w:val="clear" w:pos="567"/>
        </w:tabs>
        <w:suppressAutoHyphens/>
        <w:rPr>
          <w:color w:val="000000"/>
          <w:szCs w:val="22"/>
        </w:rPr>
      </w:pPr>
    </w:p>
    <w:p w14:paraId="03442F9B" w14:textId="77777777" w:rsidR="003810FE" w:rsidRPr="003810FE" w:rsidRDefault="003810FE" w:rsidP="00421681">
      <w:pPr>
        <w:pStyle w:val="EndnoteText"/>
        <w:tabs>
          <w:tab w:val="clear" w:pos="567"/>
        </w:tabs>
        <w:suppressAutoHyphens/>
        <w:rPr>
          <w:color w:val="000000"/>
          <w:szCs w:val="22"/>
        </w:rPr>
      </w:pPr>
      <w:r w:rsidRPr="004C2A59">
        <w:rPr>
          <w:color w:val="000000"/>
          <w:szCs w:val="22"/>
        </w:rPr>
        <w:t>Hvidt</w:t>
      </w:r>
      <w:r w:rsidR="000A2A89">
        <w:rPr>
          <w:color w:val="000000"/>
          <w:szCs w:val="22"/>
        </w:rPr>
        <w:t>/gult</w:t>
      </w:r>
      <w:r w:rsidRPr="004C2A59">
        <w:rPr>
          <w:color w:val="000000"/>
          <w:szCs w:val="22"/>
        </w:rPr>
        <w:t xml:space="preserve"> pulver i en </w:t>
      </w:r>
      <w:r>
        <w:rPr>
          <w:color w:val="000000"/>
          <w:szCs w:val="22"/>
        </w:rPr>
        <w:t>orange</w:t>
      </w:r>
      <w:r w:rsidR="000A2A89">
        <w:rPr>
          <w:color w:val="000000"/>
          <w:szCs w:val="22"/>
        </w:rPr>
        <w:t>/</w:t>
      </w:r>
      <w:r w:rsidRPr="004C2A59">
        <w:rPr>
          <w:color w:val="000000"/>
          <w:szCs w:val="22"/>
        </w:rPr>
        <w:t>orange</w:t>
      </w:r>
      <w:r>
        <w:rPr>
          <w:color w:val="000000"/>
          <w:szCs w:val="22"/>
        </w:rPr>
        <w:t>grå</w:t>
      </w:r>
      <w:r w:rsidRPr="004C2A59">
        <w:rPr>
          <w:color w:val="000000"/>
          <w:szCs w:val="22"/>
        </w:rPr>
        <w:t>, uigennemsigtig kapsel, præget med ”</w:t>
      </w:r>
      <w:smartTag w:uri="urn:schemas-microsoft-com:office:smarttags" w:element="metricconverter">
        <w:r w:rsidRPr="004C2A59">
          <w:rPr>
            <w:color w:val="000000"/>
            <w:szCs w:val="22"/>
          </w:rPr>
          <w:t>NVR</w:t>
        </w:r>
      </w:smartTag>
      <w:r w:rsidRPr="004C2A59">
        <w:rPr>
          <w:color w:val="000000"/>
          <w:szCs w:val="22"/>
        </w:rPr>
        <w:t> S</w:t>
      </w:r>
      <w:r>
        <w:rPr>
          <w:color w:val="000000"/>
          <w:szCs w:val="22"/>
        </w:rPr>
        <w:t>I</w:t>
      </w:r>
      <w:r w:rsidRPr="004C2A59">
        <w:rPr>
          <w:color w:val="000000"/>
          <w:szCs w:val="22"/>
        </w:rPr>
        <w:t>”.</w:t>
      </w:r>
    </w:p>
    <w:p w14:paraId="69E2F9F7" w14:textId="77777777" w:rsidR="00270C5A" w:rsidRPr="004C2A59" w:rsidRDefault="00270C5A" w:rsidP="00421681">
      <w:pPr>
        <w:pStyle w:val="EndnoteText"/>
        <w:tabs>
          <w:tab w:val="clear" w:pos="567"/>
        </w:tabs>
        <w:suppressAutoHyphens/>
        <w:rPr>
          <w:color w:val="000000"/>
          <w:szCs w:val="22"/>
        </w:rPr>
      </w:pPr>
    </w:p>
    <w:p w14:paraId="439C5C76" w14:textId="77777777" w:rsidR="00270C5A" w:rsidRPr="004C2A59" w:rsidRDefault="00270C5A" w:rsidP="00421681">
      <w:pPr>
        <w:pStyle w:val="EndnoteText"/>
        <w:tabs>
          <w:tab w:val="clear" w:pos="567"/>
        </w:tabs>
        <w:suppressAutoHyphens/>
        <w:rPr>
          <w:color w:val="000000"/>
          <w:szCs w:val="22"/>
        </w:rPr>
      </w:pPr>
    </w:p>
    <w:p w14:paraId="609402A4" w14:textId="77777777" w:rsidR="00270C5A" w:rsidRPr="004C2A59" w:rsidRDefault="00270C5A" w:rsidP="006C180B">
      <w:pPr>
        <w:keepNext/>
        <w:widowControl w:val="0"/>
        <w:suppressAutoHyphens/>
        <w:ind w:left="567" w:hanging="567"/>
        <w:rPr>
          <w:color w:val="000000"/>
          <w:sz w:val="22"/>
          <w:szCs w:val="22"/>
          <w:lang w:val="da-DK"/>
        </w:rPr>
      </w:pPr>
      <w:r w:rsidRPr="004C2A59">
        <w:rPr>
          <w:b/>
          <w:color w:val="000000"/>
          <w:sz w:val="22"/>
          <w:szCs w:val="22"/>
          <w:lang w:val="da-DK"/>
        </w:rPr>
        <w:t>4.</w:t>
      </w:r>
      <w:r w:rsidRPr="004C2A59">
        <w:rPr>
          <w:b/>
          <w:color w:val="000000"/>
          <w:sz w:val="22"/>
          <w:szCs w:val="22"/>
          <w:lang w:val="da-DK"/>
        </w:rPr>
        <w:tab/>
        <w:t>KLINISKE OPLYSNINGER</w:t>
      </w:r>
    </w:p>
    <w:p w14:paraId="29363D5F" w14:textId="77777777" w:rsidR="00270C5A" w:rsidRPr="004C2A59" w:rsidRDefault="00270C5A" w:rsidP="006C180B">
      <w:pPr>
        <w:keepNext/>
        <w:widowControl w:val="0"/>
        <w:suppressAutoHyphens/>
        <w:rPr>
          <w:color w:val="000000"/>
          <w:sz w:val="22"/>
          <w:szCs w:val="22"/>
          <w:lang w:val="da-DK"/>
        </w:rPr>
      </w:pPr>
    </w:p>
    <w:p w14:paraId="20DD3FA7" w14:textId="77777777" w:rsidR="00270C5A" w:rsidRPr="004C2A59" w:rsidRDefault="00270C5A" w:rsidP="006C180B">
      <w:pPr>
        <w:keepNext/>
        <w:widowControl w:val="0"/>
        <w:suppressAutoHyphens/>
        <w:ind w:left="570" w:hanging="570"/>
        <w:rPr>
          <w:color w:val="000000"/>
          <w:sz w:val="22"/>
          <w:szCs w:val="22"/>
          <w:lang w:val="da-DK"/>
        </w:rPr>
      </w:pPr>
      <w:r w:rsidRPr="004C2A59">
        <w:rPr>
          <w:b/>
          <w:color w:val="000000"/>
          <w:sz w:val="22"/>
          <w:szCs w:val="22"/>
          <w:lang w:val="da-DK"/>
        </w:rPr>
        <w:t>4.1</w:t>
      </w:r>
      <w:r w:rsidRPr="004C2A59">
        <w:rPr>
          <w:b/>
          <w:color w:val="000000"/>
          <w:sz w:val="22"/>
          <w:szCs w:val="22"/>
          <w:lang w:val="da-DK"/>
        </w:rPr>
        <w:tab/>
        <w:t>Terapeutiske indikationer</w:t>
      </w:r>
    </w:p>
    <w:p w14:paraId="62DFB0D9" w14:textId="77777777" w:rsidR="00270C5A" w:rsidRPr="004C2A59" w:rsidRDefault="00270C5A" w:rsidP="006C180B">
      <w:pPr>
        <w:keepNext/>
        <w:widowControl w:val="0"/>
        <w:rPr>
          <w:color w:val="000000"/>
          <w:sz w:val="22"/>
          <w:szCs w:val="22"/>
          <w:lang w:val="da-DK"/>
        </w:rPr>
      </w:pPr>
    </w:p>
    <w:p w14:paraId="3A90641A" w14:textId="77777777" w:rsidR="00AE7292" w:rsidRPr="004C2A59" w:rsidRDefault="00AE7292" w:rsidP="006C180B">
      <w:pPr>
        <w:keepNext/>
        <w:rPr>
          <w:color w:val="000000"/>
          <w:sz w:val="22"/>
          <w:szCs w:val="22"/>
          <w:lang w:val="da-DK"/>
        </w:rPr>
      </w:pPr>
      <w:r w:rsidRPr="004C2A59">
        <w:rPr>
          <w:color w:val="000000"/>
          <w:sz w:val="22"/>
          <w:szCs w:val="22"/>
          <w:lang w:val="da-DK"/>
        </w:rPr>
        <w:t>Glivec er indi</w:t>
      </w:r>
      <w:bookmarkStart w:id="0" w:name="_GoBack"/>
      <w:bookmarkEnd w:id="0"/>
      <w:r w:rsidRPr="004C2A59">
        <w:rPr>
          <w:color w:val="000000"/>
          <w:sz w:val="22"/>
          <w:szCs w:val="22"/>
          <w:lang w:val="da-DK"/>
        </w:rPr>
        <w:t>ceret til behandling af</w:t>
      </w:r>
    </w:p>
    <w:p w14:paraId="505D092B" w14:textId="77777777" w:rsidR="00AE7292" w:rsidRPr="004C2A59" w:rsidRDefault="00CC4ADE" w:rsidP="00421681">
      <w:pPr>
        <w:numPr>
          <w:ilvl w:val="0"/>
          <w:numId w:val="8"/>
        </w:numPr>
        <w:tabs>
          <w:tab w:val="clear" w:pos="360"/>
        </w:tabs>
        <w:ind w:left="567" w:hanging="567"/>
        <w:rPr>
          <w:color w:val="000000"/>
          <w:sz w:val="22"/>
          <w:szCs w:val="22"/>
          <w:lang w:val="da-DK"/>
        </w:rPr>
      </w:pPr>
      <w:r w:rsidRPr="004C2A59">
        <w:rPr>
          <w:color w:val="000000"/>
          <w:sz w:val="22"/>
          <w:szCs w:val="22"/>
          <w:lang w:val="da-DK"/>
        </w:rPr>
        <w:t>v</w:t>
      </w:r>
      <w:r w:rsidR="00AE7292" w:rsidRPr="004C2A59">
        <w:rPr>
          <w:color w:val="000000"/>
          <w:sz w:val="22"/>
          <w:szCs w:val="22"/>
          <w:lang w:val="da-DK"/>
        </w:rPr>
        <w:t>oksne og børn med nydiagnosticeret Philadelphia</w:t>
      </w:r>
      <w:r w:rsidR="003B569E" w:rsidRPr="004C2A59">
        <w:rPr>
          <w:color w:val="000000"/>
          <w:sz w:val="22"/>
          <w:szCs w:val="22"/>
          <w:lang w:val="da-DK"/>
        </w:rPr>
        <w:t>-</w:t>
      </w:r>
      <w:r w:rsidR="00AE7292" w:rsidRPr="004C2A59">
        <w:rPr>
          <w:color w:val="000000"/>
          <w:sz w:val="22"/>
          <w:szCs w:val="22"/>
          <w:lang w:val="da-DK"/>
        </w:rPr>
        <w:t>kromosom (bcr-abl) positiv (Ph+) kronisk myeloid leukæmi (CML), for hvilke knoglemarvstransplantation ikke anses for førstevalgsbehandling.</w:t>
      </w:r>
    </w:p>
    <w:p w14:paraId="1C359AA7" w14:textId="77777777" w:rsidR="00AE7292" w:rsidRPr="004C2A59" w:rsidRDefault="00CC4ADE" w:rsidP="00421681">
      <w:pPr>
        <w:numPr>
          <w:ilvl w:val="0"/>
          <w:numId w:val="8"/>
        </w:numPr>
        <w:tabs>
          <w:tab w:val="clear" w:pos="360"/>
        </w:tabs>
        <w:ind w:left="567" w:hanging="567"/>
        <w:rPr>
          <w:color w:val="000000"/>
          <w:sz w:val="22"/>
          <w:szCs w:val="22"/>
          <w:lang w:val="da-DK"/>
        </w:rPr>
      </w:pPr>
      <w:r w:rsidRPr="004C2A59">
        <w:rPr>
          <w:color w:val="000000"/>
          <w:sz w:val="22"/>
          <w:szCs w:val="22"/>
          <w:lang w:val="da-DK"/>
        </w:rPr>
        <w:t>v</w:t>
      </w:r>
      <w:r w:rsidR="00AE7292" w:rsidRPr="004C2A59">
        <w:rPr>
          <w:color w:val="000000"/>
          <w:sz w:val="22"/>
          <w:szCs w:val="22"/>
          <w:lang w:val="da-DK"/>
        </w:rPr>
        <w:t>oksne og børn</w:t>
      </w:r>
      <w:r w:rsidR="00AE7292" w:rsidRPr="004C2A59">
        <w:rPr>
          <w:snapToGrid w:val="0"/>
          <w:color w:val="000000"/>
          <w:sz w:val="22"/>
          <w:szCs w:val="22"/>
          <w:lang w:val="da-DK" w:eastAsia="de-DE"/>
        </w:rPr>
        <w:t xml:space="preserve"> med Ph+ CML</w:t>
      </w:r>
      <w:r w:rsidR="00AE7292" w:rsidRPr="004C2A59">
        <w:rPr>
          <w:color w:val="000000"/>
          <w:sz w:val="22"/>
          <w:szCs w:val="22"/>
          <w:lang w:val="da-DK"/>
        </w:rPr>
        <w:t xml:space="preserve"> i kronisk fase efter manglende effekt af alfa-interferonbehandling, eller i accelereret fase eller blastkrise.</w:t>
      </w:r>
    </w:p>
    <w:p w14:paraId="4F7ABEF3" w14:textId="77777777" w:rsidR="00E033EA" w:rsidRPr="004C2A59" w:rsidRDefault="00E033EA" w:rsidP="00421681">
      <w:pPr>
        <w:numPr>
          <w:ilvl w:val="0"/>
          <w:numId w:val="8"/>
        </w:numPr>
        <w:tabs>
          <w:tab w:val="clear" w:pos="360"/>
          <w:tab w:val="num" w:pos="567"/>
        </w:tabs>
        <w:ind w:left="567" w:hanging="567"/>
        <w:rPr>
          <w:color w:val="000000"/>
          <w:sz w:val="22"/>
          <w:szCs w:val="22"/>
          <w:lang w:val="da-DK"/>
        </w:rPr>
      </w:pPr>
      <w:r w:rsidRPr="004C2A59">
        <w:rPr>
          <w:color w:val="000000"/>
          <w:sz w:val="22"/>
          <w:szCs w:val="22"/>
          <w:lang w:val="da-DK"/>
        </w:rPr>
        <w:t>v</w:t>
      </w:r>
      <w:r w:rsidR="00CC4ADE" w:rsidRPr="004C2A59">
        <w:rPr>
          <w:color w:val="000000"/>
          <w:sz w:val="22"/>
          <w:szCs w:val="22"/>
          <w:lang w:val="da-DK"/>
        </w:rPr>
        <w:t xml:space="preserve">oksne </w:t>
      </w:r>
      <w:r w:rsidR="00B80780" w:rsidRPr="004C2A59">
        <w:rPr>
          <w:color w:val="000000"/>
          <w:sz w:val="22"/>
          <w:szCs w:val="22"/>
          <w:lang w:val="da-DK"/>
        </w:rPr>
        <w:t>og børn</w:t>
      </w:r>
      <w:r w:rsidRPr="004C2A59">
        <w:rPr>
          <w:color w:val="000000"/>
          <w:sz w:val="22"/>
          <w:szCs w:val="22"/>
          <w:lang w:val="da-DK"/>
        </w:rPr>
        <w:t xml:space="preserve"> med nydiagnosticeret Philadelphia</w:t>
      </w:r>
      <w:r w:rsidR="003B569E" w:rsidRPr="004C2A59">
        <w:rPr>
          <w:color w:val="000000"/>
          <w:sz w:val="22"/>
          <w:szCs w:val="22"/>
          <w:lang w:val="da-DK"/>
        </w:rPr>
        <w:t>-</w:t>
      </w:r>
      <w:r w:rsidRPr="004C2A59">
        <w:rPr>
          <w:color w:val="000000"/>
          <w:sz w:val="22"/>
          <w:szCs w:val="22"/>
          <w:lang w:val="da-DK"/>
        </w:rPr>
        <w:t>kromosom</w:t>
      </w:r>
      <w:r w:rsidR="0089352A" w:rsidRPr="004C2A59">
        <w:rPr>
          <w:color w:val="000000"/>
          <w:sz w:val="22"/>
          <w:szCs w:val="22"/>
          <w:lang w:val="da-DK"/>
        </w:rPr>
        <w:t>-</w:t>
      </w:r>
      <w:r w:rsidRPr="004C2A59">
        <w:rPr>
          <w:color w:val="000000"/>
          <w:sz w:val="22"/>
          <w:szCs w:val="22"/>
          <w:lang w:val="da-DK"/>
        </w:rPr>
        <w:t xml:space="preserve">positiv akut lymfoblastær leukæmi (Ph+ </w:t>
      </w:r>
      <w:smartTag w:uri="urn:schemas-microsoft-com:office:smarttags" w:element="metricconverter">
        <w:r w:rsidRPr="004C2A59">
          <w:rPr>
            <w:color w:val="000000"/>
            <w:sz w:val="22"/>
            <w:szCs w:val="22"/>
            <w:lang w:val="da-DK"/>
          </w:rPr>
          <w:t>ALL</w:t>
        </w:r>
      </w:smartTag>
      <w:r w:rsidRPr="004C2A59">
        <w:rPr>
          <w:color w:val="000000"/>
          <w:sz w:val="22"/>
          <w:szCs w:val="22"/>
          <w:lang w:val="da-DK"/>
        </w:rPr>
        <w:t>) integreret med kemoterapi.</w:t>
      </w:r>
    </w:p>
    <w:p w14:paraId="32FC58A7" w14:textId="77777777" w:rsidR="00CC4ADE" w:rsidRPr="004C2A59" w:rsidRDefault="00E033EA" w:rsidP="006C180B">
      <w:pPr>
        <w:numPr>
          <w:ilvl w:val="0"/>
          <w:numId w:val="8"/>
        </w:numPr>
        <w:tabs>
          <w:tab w:val="clear" w:pos="360"/>
          <w:tab w:val="num" w:pos="567"/>
        </w:tabs>
        <w:ind w:left="567" w:hanging="567"/>
        <w:rPr>
          <w:color w:val="000000"/>
          <w:sz w:val="22"/>
          <w:szCs w:val="22"/>
          <w:lang w:val="da-DK"/>
        </w:rPr>
      </w:pPr>
      <w:r w:rsidRPr="004C2A59">
        <w:rPr>
          <w:color w:val="000000"/>
          <w:sz w:val="22"/>
          <w:szCs w:val="22"/>
          <w:lang w:val="da-DK"/>
        </w:rPr>
        <w:t xml:space="preserve">voksne patienter med Ph+ </w:t>
      </w:r>
      <w:smartTag w:uri="urn:schemas-microsoft-com:office:smarttags" w:element="metricconverter">
        <w:r w:rsidRPr="004C2A59">
          <w:rPr>
            <w:color w:val="000000"/>
            <w:sz w:val="22"/>
            <w:szCs w:val="22"/>
            <w:lang w:val="da-DK"/>
          </w:rPr>
          <w:t>ALL</w:t>
        </w:r>
      </w:smartTag>
      <w:r w:rsidRPr="004C2A59">
        <w:rPr>
          <w:color w:val="000000"/>
          <w:sz w:val="22"/>
          <w:szCs w:val="22"/>
          <w:lang w:val="da-DK"/>
        </w:rPr>
        <w:t xml:space="preserve"> med tilbagefald eller refraktær sygdom som monoterapi.</w:t>
      </w:r>
    </w:p>
    <w:p w14:paraId="15E1D97C" w14:textId="77777777" w:rsidR="008A6A1F" w:rsidRPr="004C2A59" w:rsidRDefault="008A6A1F" w:rsidP="00421681">
      <w:pPr>
        <w:numPr>
          <w:ilvl w:val="0"/>
          <w:numId w:val="8"/>
        </w:numPr>
        <w:tabs>
          <w:tab w:val="clear" w:pos="360"/>
          <w:tab w:val="num" w:pos="567"/>
        </w:tabs>
        <w:ind w:left="567" w:hanging="567"/>
        <w:rPr>
          <w:color w:val="000000"/>
          <w:sz w:val="22"/>
          <w:szCs w:val="22"/>
          <w:lang w:val="da-DK"/>
        </w:rPr>
      </w:pPr>
      <w:r w:rsidRPr="004C2A59">
        <w:rPr>
          <w:color w:val="000000"/>
          <w:sz w:val="22"/>
          <w:szCs w:val="22"/>
          <w:lang w:val="da-DK"/>
        </w:rPr>
        <w:t>voksne patienter med myelodysplastisk syndrom/myeloproliferative sygdomme (</w:t>
      </w:r>
      <w:smartTag w:uri="urn:schemas-microsoft-com:office:smarttags" w:element="metricconverter">
        <w:r w:rsidRPr="004C2A59">
          <w:rPr>
            <w:color w:val="000000"/>
            <w:sz w:val="22"/>
            <w:szCs w:val="22"/>
            <w:lang w:val="da-DK"/>
          </w:rPr>
          <w:t>MDS</w:t>
        </w:r>
      </w:smartTag>
      <w:r w:rsidRPr="004C2A59">
        <w:rPr>
          <w:color w:val="000000"/>
          <w:sz w:val="22"/>
          <w:szCs w:val="22"/>
          <w:lang w:val="da-DK"/>
        </w:rPr>
        <w:t>/MPD) som er forbundet med platelet-derived growth factor receptor</w:t>
      </w:r>
      <w:r w:rsidR="00E11304" w:rsidRPr="004C2A59">
        <w:rPr>
          <w:color w:val="000000"/>
          <w:sz w:val="22"/>
          <w:szCs w:val="22"/>
          <w:lang w:val="da-DK"/>
        </w:rPr>
        <w:t>-omlejring (PDGFR-</w:t>
      </w:r>
      <w:r w:rsidR="00874CA5" w:rsidRPr="004C2A59">
        <w:rPr>
          <w:color w:val="000000"/>
          <w:sz w:val="22"/>
          <w:szCs w:val="22"/>
          <w:lang w:val="da-DK"/>
        </w:rPr>
        <w:t>omlejring</w:t>
      </w:r>
      <w:r w:rsidR="00E11304" w:rsidRPr="004C2A59">
        <w:rPr>
          <w:color w:val="000000"/>
          <w:sz w:val="22"/>
          <w:szCs w:val="22"/>
          <w:lang w:val="da-DK"/>
        </w:rPr>
        <w:t>)</w:t>
      </w:r>
      <w:r w:rsidRPr="004C2A59">
        <w:rPr>
          <w:color w:val="000000"/>
          <w:sz w:val="22"/>
          <w:szCs w:val="22"/>
          <w:lang w:val="da-DK"/>
        </w:rPr>
        <w:t>.</w:t>
      </w:r>
    </w:p>
    <w:p w14:paraId="14612338" w14:textId="77777777" w:rsidR="00874CA5" w:rsidRPr="004C2A59" w:rsidRDefault="00874CA5" w:rsidP="00421681">
      <w:pPr>
        <w:numPr>
          <w:ilvl w:val="0"/>
          <w:numId w:val="8"/>
        </w:numPr>
        <w:tabs>
          <w:tab w:val="clear" w:pos="360"/>
          <w:tab w:val="num" w:pos="567"/>
        </w:tabs>
        <w:ind w:left="567" w:hanging="567"/>
        <w:rPr>
          <w:color w:val="000000"/>
          <w:sz w:val="22"/>
          <w:szCs w:val="22"/>
          <w:lang w:val="da-DK"/>
        </w:rPr>
      </w:pPr>
      <w:r w:rsidRPr="004C2A59">
        <w:rPr>
          <w:color w:val="000000"/>
          <w:sz w:val="22"/>
          <w:szCs w:val="22"/>
          <w:lang w:val="da-DK"/>
        </w:rPr>
        <w:t>voksne patienter med refraktært hypereosiniphil syndrom (HES) og/eller kronisk eosinofil leukæmi (</w:t>
      </w:r>
      <w:smartTag w:uri="urn:schemas-microsoft-com:office:smarttags" w:element="metricconverter">
        <w:r w:rsidRPr="004C2A59">
          <w:rPr>
            <w:color w:val="000000"/>
            <w:sz w:val="22"/>
            <w:szCs w:val="22"/>
            <w:lang w:val="da-DK"/>
          </w:rPr>
          <w:t>CEL</w:t>
        </w:r>
      </w:smartTag>
      <w:r w:rsidRPr="004C2A59">
        <w:rPr>
          <w:color w:val="000000"/>
          <w:sz w:val="22"/>
          <w:szCs w:val="22"/>
          <w:lang w:val="da-DK"/>
        </w:rPr>
        <w:t xml:space="preserve">) </w:t>
      </w:r>
      <w:r w:rsidR="00E94847">
        <w:rPr>
          <w:color w:val="000000"/>
          <w:sz w:val="22"/>
          <w:szCs w:val="22"/>
          <w:lang w:val="da-DK"/>
        </w:rPr>
        <w:t>med</w:t>
      </w:r>
      <w:r w:rsidRPr="004C2A59">
        <w:rPr>
          <w:color w:val="000000"/>
          <w:sz w:val="22"/>
          <w:szCs w:val="22"/>
          <w:lang w:val="da-DK"/>
        </w:rPr>
        <w:t xml:space="preserve"> FIP1L1</w:t>
      </w:r>
      <w:r w:rsidRPr="004C2A59">
        <w:rPr>
          <w:color w:val="000000"/>
          <w:sz w:val="22"/>
          <w:szCs w:val="22"/>
          <w:lang w:val="da-DK"/>
        </w:rPr>
        <w:noBreakHyphen/>
        <w:t>PDGFR</w:t>
      </w:r>
      <w:r w:rsidRPr="004C2A59">
        <w:rPr>
          <w:color w:val="000000"/>
          <w:sz w:val="22"/>
          <w:szCs w:val="22"/>
        </w:rPr>
        <w:sym w:font="Symbol" w:char="F061"/>
      </w:r>
      <w:r w:rsidR="00B1019E" w:rsidRPr="004C2A59">
        <w:rPr>
          <w:color w:val="000000"/>
          <w:sz w:val="22"/>
          <w:szCs w:val="22"/>
          <w:lang w:val="da-DK"/>
        </w:rPr>
        <w:t>-</w:t>
      </w:r>
      <w:r w:rsidRPr="004C2A59">
        <w:rPr>
          <w:color w:val="000000"/>
          <w:sz w:val="22"/>
          <w:szCs w:val="22"/>
          <w:lang w:val="da-DK"/>
        </w:rPr>
        <w:t>omlejring</w:t>
      </w:r>
      <w:r w:rsidR="00127C29" w:rsidRPr="004C2A59">
        <w:rPr>
          <w:color w:val="000000"/>
          <w:sz w:val="22"/>
          <w:szCs w:val="22"/>
          <w:lang w:val="da-DK"/>
        </w:rPr>
        <w:t>.</w:t>
      </w:r>
    </w:p>
    <w:p w14:paraId="6D90E585" w14:textId="77777777" w:rsidR="00CC4ADE" w:rsidRPr="004C2A59" w:rsidRDefault="00CC4ADE" w:rsidP="00421681">
      <w:pPr>
        <w:rPr>
          <w:color w:val="000000"/>
          <w:sz w:val="22"/>
          <w:szCs w:val="22"/>
          <w:lang w:val="da-DK"/>
        </w:rPr>
      </w:pPr>
    </w:p>
    <w:p w14:paraId="6AC218C6" w14:textId="77777777" w:rsidR="00270C5A" w:rsidRPr="004C2A59" w:rsidRDefault="00270C5A" w:rsidP="00421681">
      <w:pPr>
        <w:rPr>
          <w:color w:val="000000"/>
          <w:sz w:val="22"/>
          <w:szCs w:val="22"/>
          <w:lang w:val="da-DK"/>
        </w:rPr>
      </w:pPr>
      <w:r w:rsidRPr="004C2A59">
        <w:rPr>
          <w:color w:val="000000"/>
          <w:sz w:val="22"/>
          <w:szCs w:val="22"/>
          <w:lang w:val="da-DK"/>
        </w:rPr>
        <w:t>Glivecs effekt på resultatet af knoglemarvstransplantation er ikke blevet bestemt.</w:t>
      </w:r>
    </w:p>
    <w:p w14:paraId="333D4EB4" w14:textId="77777777" w:rsidR="00270C5A" w:rsidRPr="004C2A59" w:rsidRDefault="00270C5A" w:rsidP="00421681">
      <w:pPr>
        <w:rPr>
          <w:color w:val="000000"/>
          <w:sz w:val="22"/>
          <w:szCs w:val="22"/>
          <w:lang w:val="da-DK"/>
        </w:rPr>
      </w:pPr>
    </w:p>
    <w:p w14:paraId="52012303" w14:textId="77777777" w:rsidR="009313F9" w:rsidRPr="004C2A59" w:rsidRDefault="009313F9" w:rsidP="006C180B">
      <w:pPr>
        <w:keepNext/>
        <w:rPr>
          <w:color w:val="000000"/>
          <w:sz w:val="22"/>
          <w:szCs w:val="22"/>
          <w:lang w:val="da-DK"/>
        </w:rPr>
      </w:pPr>
      <w:r w:rsidRPr="004C2A59">
        <w:rPr>
          <w:color w:val="000000"/>
          <w:sz w:val="22"/>
          <w:szCs w:val="22"/>
          <w:lang w:val="da-DK"/>
        </w:rPr>
        <w:t>Glivec er indiceret til</w:t>
      </w:r>
    </w:p>
    <w:p w14:paraId="10A8F8D8" w14:textId="77777777" w:rsidR="009313F9" w:rsidRPr="004C2A59" w:rsidRDefault="009313F9" w:rsidP="00421681">
      <w:pPr>
        <w:numPr>
          <w:ilvl w:val="0"/>
          <w:numId w:val="9"/>
        </w:numPr>
        <w:tabs>
          <w:tab w:val="clear" w:pos="360"/>
        </w:tabs>
        <w:ind w:left="567" w:hanging="567"/>
        <w:rPr>
          <w:color w:val="000000"/>
          <w:sz w:val="22"/>
          <w:szCs w:val="22"/>
          <w:lang w:val="da-DK"/>
        </w:rPr>
      </w:pPr>
      <w:r w:rsidRPr="004C2A59">
        <w:rPr>
          <w:color w:val="000000"/>
          <w:sz w:val="22"/>
          <w:szCs w:val="22"/>
          <w:lang w:val="da-DK"/>
        </w:rPr>
        <w:t>behandling af voksne patienter med Kit (CD 117) positiv, inoperable og/eller metastaserende maligne gastrointestinale bindevævstumorer (GIST).</w:t>
      </w:r>
    </w:p>
    <w:p w14:paraId="3D5F2646" w14:textId="77777777" w:rsidR="009827C8" w:rsidRPr="004C2A59" w:rsidRDefault="009313F9" w:rsidP="00421681">
      <w:pPr>
        <w:numPr>
          <w:ilvl w:val="0"/>
          <w:numId w:val="9"/>
        </w:numPr>
        <w:tabs>
          <w:tab w:val="clear" w:pos="360"/>
        </w:tabs>
        <w:ind w:left="567" w:hanging="567"/>
        <w:rPr>
          <w:color w:val="000000"/>
          <w:sz w:val="22"/>
          <w:szCs w:val="22"/>
          <w:lang w:val="da-DK"/>
        </w:rPr>
      </w:pPr>
      <w:r w:rsidRPr="004C2A59">
        <w:rPr>
          <w:color w:val="000000"/>
          <w:sz w:val="22"/>
          <w:szCs w:val="22"/>
          <w:lang w:val="da-DK"/>
        </w:rPr>
        <w:t>adjuverende behandling af voksne patienter</w:t>
      </w:r>
      <w:r w:rsidR="008F383C" w:rsidRPr="004C2A59">
        <w:rPr>
          <w:color w:val="000000"/>
          <w:sz w:val="22"/>
          <w:szCs w:val="22"/>
          <w:lang w:val="da-DK"/>
        </w:rPr>
        <w:t>,</w:t>
      </w:r>
      <w:r w:rsidRPr="004C2A59">
        <w:rPr>
          <w:color w:val="000000"/>
          <w:sz w:val="22"/>
          <w:szCs w:val="22"/>
          <w:lang w:val="da-DK"/>
        </w:rPr>
        <w:t xml:space="preserve"> som har signifikant risiko for tilbagefald efter resektion af Kit (CD117)</w:t>
      </w:r>
      <w:r w:rsidR="00BA5C45" w:rsidRPr="004C2A59">
        <w:rPr>
          <w:color w:val="000000"/>
          <w:sz w:val="22"/>
          <w:szCs w:val="22"/>
          <w:lang w:val="da-DK"/>
        </w:rPr>
        <w:t>-</w:t>
      </w:r>
      <w:r w:rsidRPr="004C2A59">
        <w:rPr>
          <w:color w:val="000000"/>
          <w:sz w:val="22"/>
          <w:szCs w:val="22"/>
          <w:lang w:val="da-DK"/>
        </w:rPr>
        <w:t xml:space="preserve">positiv GIST. </w:t>
      </w:r>
      <w:r w:rsidR="009827C8" w:rsidRPr="004C2A59">
        <w:rPr>
          <w:color w:val="000000"/>
          <w:sz w:val="22"/>
          <w:szCs w:val="22"/>
          <w:lang w:val="da-DK"/>
        </w:rPr>
        <w:t>Patienter, der har lav eller meget lav risiko for tilbagefald</w:t>
      </w:r>
      <w:r w:rsidR="00BA5C45" w:rsidRPr="004C2A59">
        <w:rPr>
          <w:color w:val="000000"/>
          <w:sz w:val="22"/>
          <w:szCs w:val="22"/>
          <w:lang w:val="da-DK"/>
        </w:rPr>
        <w:t>,</w:t>
      </w:r>
      <w:r w:rsidR="009827C8" w:rsidRPr="004C2A59">
        <w:rPr>
          <w:color w:val="000000"/>
          <w:sz w:val="22"/>
          <w:szCs w:val="22"/>
          <w:lang w:val="da-DK"/>
        </w:rPr>
        <w:t xml:space="preserve"> bør ikke </w:t>
      </w:r>
      <w:r w:rsidR="00BA5C45" w:rsidRPr="004C2A59">
        <w:rPr>
          <w:color w:val="000000"/>
          <w:sz w:val="22"/>
          <w:szCs w:val="22"/>
          <w:lang w:val="da-DK"/>
        </w:rPr>
        <w:t>få</w:t>
      </w:r>
      <w:r w:rsidR="009827C8" w:rsidRPr="004C2A59">
        <w:rPr>
          <w:color w:val="000000"/>
          <w:sz w:val="22"/>
          <w:szCs w:val="22"/>
          <w:lang w:val="da-DK"/>
        </w:rPr>
        <w:t xml:space="preserve"> adjuverende </w:t>
      </w:r>
      <w:r w:rsidR="00E31E5F" w:rsidRPr="004C2A59">
        <w:rPr>
          <w:color w:val="000000"/>
          <w:sz w:val="22"/>
          <w:szCs w:val="22"/>
          <w:lang w:val="da-DK"/>
        </w:rPr>
        <w:t>behandling.</w:t>
      </w:r>
    </w:p>
    <w:p w14:paraId="064C20ED" w14:textId="77777777" w:rsidR="009313F9" w:rsidRPr="004C2A59" w:rsidRDefault="009313F9" w:rsidP="00421681">
      <w:pPr>
        <w:numPr>
          <w:ilvl w:val="0"/>
          <w:numId w:val="9"/>
        </w:numPr>
        <w:tabs>
          <w:tab w:val="clear" w:pos="360"/>
        </w:tabs>
        <w:ind w:left="567" w:hanging="567"/>
        <w:rPr>
          <w:color w:val="000000"/>
          <w:sz w:val="22"/>
          <w:szCs w:val="22"/>
          <w:lang w:val="da-DK"/>
        </w:rPr>
      </w:pPr>
      <w:r w:rsidRPr="004C2A59">
        <w:rPr>
          <w:color w:val="000000"/>
          <w:sz w:val="22"/>
          <w:szCs w:val="22"/>
          <w:lang w:val="da-DK"/>
        </w:rPr>
        <w:t>behandling af voksne patienter med inoperabel dermatofibrosarkom protuberans (DFSP) og voksne patienter med residiverende og/eller metastaserende DFSP som ikke er tilgængelig for kirurgi.</w:t>
      </w:r>
    </w:p>
    <w:p w14:paraId="3197E13E" w14:textId="77777777" w:rsidR="00270C5A" w:rsidRPr="004C2A59" w:rsidRDefault="00270C5A" w:rsidP="00421681">
      <w:pPr>
        <w:rPr>
          <w:color w:val="000000"/>
          <w:sz w:val="22"/>
          <w:szCs w:val="22"/>
          <w:lang w:val="da-DK"/>
        </w:rPr>
      </w:pPr>
    </w:p>
    <w:p w14:paraId="2AA8C365" w14:textId="77777777" w:rsidR="009313F9" w:rsidRPr="004C2A59" w:rsidRDefault="009313F9" w:rsidP="00421681">
      <w:pPr>
        <w:rPr>
          <w:color w:val="000000"/>
          <w:sz w:val="22"/>
          <w:szCs w:val="22"/>
          <w:lang w:val="da-DK"/>
        </w:rPr>
      </w:pPr>
      <w:r w:rsidRPr="004C2A59">
        <w:rPr>
          <w:color w:val="000000"/>
          <w:sz w:val="22"/>
          <w:szCs w:val="22"/>
          <w:lang w:val="da-DK"/>
        </w:rPr>
        <w:t xml:space="preserve">Glivecs effekt er hos voksne og børn baseret på generelle hæmatologiske og cytogene responsrater og progressionsfri overlevelse ved CML, på hæmatologiske og cytogenetiske responsrater ved Ph+ </w:t>
      </w:r>
      <w:smartTag w:uri="urn:schemas-microsoft-com:office:smarttags" w:element="metricconverter">
        <w:r w:rsidRPr="004C2A59">
          <w:rPr>
            <w:color w:val="000000"/>
            <w:sz w:val="22"/>
            <w:szCs w:val="22"/>
            <w:lang w:val="da-DK"/>
          </w:rPr>
          <w:t>ALL</w:t>
        </w:r>
      </w:smartTag>
      <w:r w:rsidRPr="004C2A59">
        <w:rPr>
          <w:color w:val="000000"/>
          <w:sz w:val="22"/>
          <w:szCs w:val="22"/>
          <w:lang w:val="da-DK"/>
        </w:rPr>
        <w:t xml:space="preserve">, </w:t>
      </w:r>
      <w:smartTag w:uri="urn:schemas-microsoft-com:office:smarttags" w:element="metricconverter">
        <w:r w:rsidRPr="004C2A59">
          <w:rPr>
            <w:color w:val="000000"/>
            <w:sz w:val="22"/>
            <w:szCs w:val="22"/>
            <w:lang w:val="da-DK"/>
          </w:rPr>
          <w:lastRenderedPageBreak/>
          <w:t>MDS</w:t>
        </w:r>
      </w:smartTag>
      <w:r w:rsidRPr="004C2A59">
        <w:rPr>
          <w:color w:val="000000"/>
          <w:sz w:val="22"/>
          <w:szCs w:val="22"/>
          <w:lang w:val="da-DK"/>
        </w:rPr>
        <w:t>/MPD, på hæmatologiske responsrater ved HES/</w:t>
      </w:r>
      <w:smartTag w:uri="urn:schemas-microsoft-com:office:smarttags" w:element="metricconverter">
        <w:r w:rsidRPr="004C2A59">
          <w:rPr>
            <w:color w:val="000000"/>
            <w:sz w:val="22"/>
            <w:szCs w:val="22"/>
            <w:lang w:val="da-DK"/>
          </w:rPr>
          <w:t>CEL</w:t>
        </w:r>
      </w:smartTag>
      <w:r w:rsidR="00BA5C45" w:rsidRPr="004C2A59">
        <w:rPr>
          <w:color w:val="000000"/>
          <w:sz w:val="22"/>
          <w:szCs w:val="22"/>
          <w:lang w:val="da-DK"/>
        </w:rPr>
        <w:t>,</w:t>
      </w:r>
      <w:r w:rsidRPr="004C2A59">
        <w:rPr>
          <w:color w:val="000000"/>
          <w:sz w:val="22"/>
          <w:szCs w:val="22"/>
          <w:lang w:val="da-DK"/>
        </w:rPr>
        <w:t xml:space="preserve"> på objektive responsrater hos voksne med inoperabel og/eller metastaserende GIST og DFSP </w:t>
      </w:r>
      <w:r w:rsidR="00BA5C45" w:rsidRPr="004C2A59">
        <w:rPr>
          <w:color w:val="000000"/>
          <w:sz w:val="22"/>
          <w:szCs w:val="22"/>
          <w:lang w:val="da-DK"/>
        </w:rPr>
        <w:t>samt på</w:t>
      </w:r>
      <w:r w:rsidRPr="004C2A59">
        <w:rPr>
          <w:color w:val="000000"/>
          <w:sz w:val="22"/>
          <w:szCs w:val="22"/>
          <w:lang w:val="da-DK"/>
        </w:rPr>
        <w:t xml:space="preserve"> recidivfri overlevelse i adjuverende GIST. Der er kun begrænset erfaring med Glivec hos patienter med </w:t>
      </w:r>
      <w:smartTag w:uri="urn:schemas-microsoft-com:office:smarttags" w:element="metricconverter">
        <w:r w:rsidRPr="004C2A59">
          <w:rPr>
            <w:color w:val="000000"/>
            <w:sz w:val="22"/>
            <w:szCs w:val="22"/>
            <w:lang w:val="da-DK"/>
          </w:rPr>
          <w:t>MDS</w:t>
        </w:r>
      </w:smartTag>
      <w:r w:rsidRPr="004C2A59">
        <w:rPr>
          <w:color w:val="000000"/>
          <w:sz w:val="22"/>
          <w:szCs w:val="22"/>
          <w:lang w:val="da-DK"/>
        </w:rPr>
        <w:t>/MPD forbundet med PDGFR-omlejring (se pkt 5.1). Med undtagelse af nyligt diagnosticerede patienter med CML i kronisk fase, er der ikke gennemført kontrollerede undersøgelser, der har vist klinisk bedring eller øget overlevelse ved disse sygdomme.</w:t>
      </w:r>
    </w:p>
    <w:p w14:paraId="275CB230" w14:textId="77777777" w:rsidR="00327F71" w:rsidRPr="004C2A59" w:rsidRDefault="00327F71" w:rsidP="00421681">
      <w:pPr>
        <w:widowControl w:val="0"/>
        <w:rPr>
          <w:color w:val="000000"/>
          <w:sz w:val="22"/>
          <w:szCs w:val="22"/>
          <w:lang w:val="da-DK"/>
        </w:rPr>
      </w:pPr>
    </w:p>
    <w:p w14:paraId="2A2CB3A1" w14:textId="77777777" w:rsidR="00270C5A" w:rsidRPr="004C2A59" w:rsidRDefault="00270C5A" w:rsidP="006C180B">
      <w:pPr>
        <w:keepNext/>
        <w:widowControl w:val="0"/>
        <w:suppressAutoHyphens/>
        <w:ind w:left="567" w:hanging="567"/>
        <w:rPr>
          <w:color w:val="000000"/>
          <w:sz w:val="22"/>
          <w:szCs w:val="22"/>
          <w:lang w:val="da-DK"/>
        </w:rPr>
      </w:pPr>
      <w:r w:rsidRPr="004C2A59">
        <w:rPr>
          <w:b/>
          <w:color w:val="000000"/>
          <w:sz w:val="22"/>
          <w:szCs w:val="22"/>
          <w:lang w:val="da-DK"/>
        </w:rPr>
        <w:t>4.2</w:t>
      </w:r>
      <w:r w:rsidRPr="004C2A59">
        <w:rPr>
          <w:b/>
          <w:color w:val="000000"/>
          <w:sz w:val="22"/>
          <w:szCs w:val="22"/>
          <w:lang w:val="da-DK"/>
        </w:rPr>
        <w:tab/>
        <w:t xml:space="preserve">Dosering og </w:t>
      </w:r>
      <w:r w:rsidR="002845E8" w:rsidRPr="004C2A59">
        <w:rPr>
          <w:b/>
          <w:color w:val="000000"/>
          <w:sz w:val="22"/>
          <w:szCs w:val="22"/>
          <w:lang w:val="da-DK"/>
        </w:rPr>
        <w:t>administration</w:t>
      </w:r>
    </w:p>
    <w:p w14:paraId="0FF3F950" w14:textId="77777777" w:rsidR="00270C5A" w:rsidRPr="004C2A59" w:rsidRDefault="00270C5A" w:rsidP="006C180B">
      <w:pPr>
        <w:keepNext/>
        <w:widowControl w:val="0"/>
        <w:rPr>
          <w:color w:val="000000"/>
          <w:sz w:val="22"/>
          <w:szCs w:val="22"/>
          <w:lang w:val="da-DK"/>
        </w:rPr>
      </w:pPr>
    </w:p>
    <w:p w14:paraId="1DB03307" w14:textId="77777777" w:rsidR="00270C5A" w:rsidRPr="004C2A59" w:rsidRDefault="00270C5A" w:rsidP="00421681">
      <w:pPr>
        <w:widowControl w:val="0"/>
        <w:rPr>
          <w:color w:val="000000"/>
          <w:sz w:val="22"/>
          <w:szCs w:val="22"/>
          <w:lang w:val="da-DK"/>
        </w:rPr>
      </w:pPr>
      <w:r w:rsidRPr="004C2A59">
        <w:rPr>
          <w:color w:val="000000"/>
          <w:sz w:val="22"/>
          <w:szCs w:val="22"/>
          <w:lang w:val="da-DK"/>
        </w:rPr>
        <w:t xml:space="preserve">Behandlingen bør initieres af en læge med erfaring i behandling af patienter med </w:t>
      </w:r>
      <w:r w:rsidR="00327F71" w:rsidRPr="004C2A59">
        <w:rPr>
          <w:color w:val="000000"/>
          <w:sz w:val="22"/>
          <w:szCs w:val="22"/>
          <w:lang w:val="da-DK"/>
        </w:rPr>
        <w:t>maligne hæmatologiske lidelser og/eller maligne sarkomer</w:t>
      </w:r>
      <w:r w:rsidR="00203FD4" w:rsidRPr="004C2A59">
        <w:rPr>
          <w:color w:val="000000"/>
          <w:sz w:val="22"/>
          <w:szCs w:val="22"/>
          <w:lang w:val="da-DK"/>
        </w:rPr>
        <w:t xml:space="preserve"> eller som passende</w:t>
      </w:r>
      <w:r w:rsidR="00327F71" w:rsidRPr="004C2A59">
        <w:rPr>
          <w:color w:val="000000"/>
          <w:sz w:val="22"/>
          <w:szCs w:val="22"/>
          <w:lang w:val="da-DK"/>
        </w:rPr>
        <w:t>.</w:t>
      </w:r>
    </w:p>
    <w:p w14:paraId="0BA25988" w14:textId="77777777" w:rsidR="00270C5A" w:rsidRPr="004C2A59" w:rsidRDefault="00270C5A" w:rsidP="00421681">
      <w:pPr>
        <w:widowControl w:val="0"/>
        <w:rPr>
          <w:color w:val="000000"/>
          <w:sz w:val="22"/>
          <w:szCs w:val="22"/>
          <w:lang w:val="da-DK"/>
        </w:rPr>
      </w:pPr>
    </w:p>
    <w:p w14:paraId="6E515C8B" w14:textId="77777777" w:rsidR="00270C5A" w:rsidRPr="004C2A59" w:rsidRDefault="00270C5A" w:rsidP="00421681">
      <w:pPr>
        <w:pStyle w:val="EndnoteText"/>
        <w:tabs>
          <w:tab w:val="clear" w:pos="567"/>
        </w:tabs>
        <w:rPr>
          <w:color w:val="000000"/>
          <w:szCs w:val="22"/>
        </w:rPr>
      </w:pPr>
      <w:r w:rsidRPr="004C2A59">
        <w:rPr>
          <w:color w:val="000000"/>
          <w:szCs w:val="22"/>
        </w:rPr>
        <w:t>Den ordinerede dosis bør administreres oralt sammen med et måltid og et stort glas vand</w:t>
      </w:r>
      <w:r w:rsidR="00257657" w:rsidRPr="004C2A59">
        <w:rPr>
          <w:color w:val="000000"/>
          <w:szCs w:val="22"/>
        </w:rPr>
        <w:t xml:space="preserve"> for at minimere risikoen for gastrointestinale </w:t>
      </w:r>
      <w:r w:rsidR="00A86E2A" w:rsidRPr="004C2A59">
        <w:rPr>
          <w:color w:val="000000"/>
          <w:szCs w:val="22"/>
        </w:rPr>
        <w:t>irritationer</w:t>
      </w:r>
      <w:r w:rsidR="00257657" w:rsidRPr="004C2A59">
        <w:rPr>
          <w:color w:val="000000"/>
          <w:szCs w:val="22"/>
        </w:rPr>
        <w:t>. Doser på 400 mg og 600 mg bør administreres 1 gang daglig, mens daglige doser på 800 </w:t>
      </w:r>
      <w:r w:rsidR="006C7977" w:rsidRPr="004C2A59">
        <w:rPr>
          <w:color w:val="000000"/>
          <w:szCs w:val="22"/>
        </w:rPr>
        <w:t xml:space="preserve">mg </w:t>
      </w:r>
      <w:r w:rsidR="00257657" w:rsidRPr="004C2A59">
        <w:rPr>
          <w:color w:val="000000"/>
          <w:szCs w:val="22"/>
        </w:rPr>
        <w:t xml:space="preserve">bør </w:t>
      </w:r>
      <w:r w:rsidR="00A407DE" w:rsidRPr="004C2A59">
        <w:rPr>
          <w:color w:val="000000"/>
          <w:szCs w:val="22"/>
        </w:rPr>
        <w:t>administreres</w:t>
      </w:r>
      <w:r w:rsidR="00257657" w:rsidRPr="004C2A59">
        <w:rPr>
          <w:color w:val="000000"/>
          <w:szCs w:val="22"/>
        </w:rPr>
        <w:t xml:space="preserve"> </w:t>
      </w:r>
      <w:r w:rsidR="00747E0F" w:rsidRPr="004C2A59">
        <w:rPr>
          <w:color w:val="000000"/>
          <w:szCs w:val="22"/>
        </w:rPr>
        <w:t xml:space="preserve">som 400 mg 2 gange daglig, én dosis </w:t>
      </w:r>
      <w:r w:rsidR="00257657" w:rsidRPr="004C2A59">
        <w:rPr>
          <w:color w:val="000000"/>
          <w:szCs w:val="22"/>
        </w:rPr>
        <w:t xml:space="preserve">om morgnen og </w:t>
      </w:r>
      <w:r w:rsidR="00747E0F" w:rsidRPr="004C2A59">
        <w:rPr>
          <w:color w:val="000000"/>
          <w:szCs w:val="22"/>
        </w:rPr>
        <w:t xml:space="preserve">én dosis </w:t>
      </w:r>
      <w:r w:rsidR="00257657" w:rsidRPr="004C2A59">
        <w:rPr>
          <w:color w:val="000000"/>
          <w:szCs w:val="22"/>
        </w:rPr>
        <w:t>om aftenen</w:t>
      </w:r>
      <w:r w:rsidRPr="004C2A59">
        <w:rPr>
          <w:color w:val="000000"/>
          <w:szCs w:val="22"/>
        </w:rPr>
        <w:t xml:space="preserve">. Til patienter (børn), der ikke er i stand til at synke kapslerne, kan indholdet opløses i et glas almindeligt vand eller æblejuice. Da dyreundersøgelser har vist reproduktionstoksicitet, og den potentielle risiko for humane fostre er ukendt, bør kvinder i den fødedygtige alder tilrådes at udvise forsigtighed ved åbning af kapsler og håndtering af indholdet, samt at undgå hud- og øjenkontakt eller inhalation (se </w:t>
      </w:r>
      <w:r w:rsidR="003B2976" w:rsidRPr="004C2A59">
        <w:rPr>
          <w:color w:val="000000"/>
          <w:szCs w:val="22"/>
        </w:rPr>
        <w:t>pkt.</w:t>
      </w:r>
      <w:r w:rsidRPr="004C2A59">
        <w:rPr>
          <w:color w:val="000000"/>
          <w:szCs w:val="22"/>
        </w:rPr>
        <w:t xml:space="preserve"> 4.6). Der bør vaskes hænder straks efter håndtering af åbne ka</w:t>
      </w:r>
      <w:r w:rsidR="00156361" w:rsidRPr="004C2A59">
        <w:rPr>
          <w:color w:val="000000"/>
          <w:szCs w:val="22"/>
        </w:rPr>
        <w:t>p</w:t>
      </w:r>
      <w:r w:rsidRPr="004C2A59">
        <w:rPr>
          <w:color w:val="000000"/>
          <w:szCs w:val="22"/>
        </w:rPr>
        <w:t>sler.</w:t>
      </w:r>
    </w:p>
    <w:p w14:paraId="42582BCB" w14:textId="77777777" w:rsidR="00270C5A" w:rsidRPr="004C2A59" w:rsidRDefault="00270C5A" w:rsidP="00421681">
      <w:pPr>
        <w:rPr>
          <w:color w:val="000000"/>
          <w:sz w:val="22"/>
          <w:szCs w:val="22"/>
          <w:lang w:val="da-DK"/>
        </w:rPr>
      </w:pPr>
    </w:p>
    <w:p w14:paraId="4B94E8C8" w14:textId="77777777" w:rsidR="00270C5A" w:rsidRPr="004C2A59" w:rsidRDefault="00270C5A" w:rsidP="006C180B">
      <w:pPr>
        <w:keepNext/>
        <w:rPr>
          <w:color w:val="000000"/>
          <w:sz w:val="22"/>
          <w:szCs w:val="22"/>
          <w:u w:val="single"/>
          <w:lang w:val="da-DK"/>
        </w:rPr>
      </w:pPr>
      <w:r w:rsidRPr="004C2A59">
        <w:rPr>
          <w:color w:val="000000"/>
          <w:sz w:val="22"/>
          <w:szCs w:val="22"/>
          <w:u w:val="single"/>
          <w:lang w:val="da-DK"/>
        </w:rPr>
        <w:t>Dosering ved CML</w:t>
      </w:r>
      <w:r w:rsidR="000E1E64" w:rsidRPr="004C2A59">
        <w:rPr>
          <w:color w:val="000000"/>
          <w:sz w:val="22"/>
          <w:szCs w:val="22"/>
          <w:u w:val="single"/>
          <w:lang w:val="da-DK"/>
        </w:rPr>
        <w:t xml:space="preserve"> hos voksne patienter</w:t>
      </w:r>
    </w:p>
    <w:p w14:paraId="2AB318EC" w14:textId="77777777" w:rsidR="00270C5A" w:rsidRPr="004C2A59" w:rsidRDefault="00270C5A" w:rsidP="00421681">
      <w:pPr>
        <w:rPr>
          <w:color w:val="000000"/>
          <w:sz w:val="22"/>
          <w:szCs w:val="22"/>
          <w:lang w:val="da-DK"/>
        </w:rPr>
      </w:pPr>
      <w:r w:rsidRPr="004C2A59">
        <w:rPr>
          <w:color w:val="000000"/>
          <w:sz w:val="22"/>
          <w:szCs w:val="22"/>
          <w:lang w:val="da-DK"/>
        </w:rPr>
        <w:t>Den anbefalede dosis af Glivec er 400</w:t>
      </w:r>
      <w:r w:rsidR="00C17108" w:rsidRPr="004C2A59">
        <w:rPr>
          <w:color w:val="000000"/>
          <w:sz w:val="22"/>
          <w:szCs w:val="22"/>
          <w:lang w:val="da-DK"/>
        </w:rPr>
        <w:t> mg</w:t>
      </w:r>
      <w:r w:rsidRPr="004C2A59">
        <w:rPr>
          <w:color w:val="000000"/>
          <w:sz w:val="22"/>
          <w:szCs w:val="22"/>
          <w:lang w:val="da-DK"/>
        </w:rPr>
        <w:t>/dag til</w:t>
      </w:r>
      <w:r w:rsidR="001A6600" w:rsidRPr="004C2A59">
        <w:rPr>
          <w:color w:val="000000"/>
          <w:sz w:val="22"/>
          <w:szCs w:val="22"/>
          <w:lang w:val="da-DK"/>
        </w:rPr>
        <w:t xml:space="preserve"> voksne</w:t>
      </w:r>
      <w:r w:rsidRPr="004C2A59">
        <w:rPr>
          <w:color w:val="000000"/>
          <w:sz w:val="22"/>
          <w:szCs w:val="22"/>
          <w:lang w:val="da-DK"/>
        </w:rPr>
        <w:t xml:space="preserve"> patienter med CML i kronisk fase. CLM i kronisk fase defineres ved</w:t>
      </w:r>
      <w:r w:rsidR="008F2C92" w:rsidRPr="004C2A59">
        <w:rPr>
          <w:color w:val="000000"/>
          <w:sz w:val="22"/>
          <w:szCs w:val="22"/>
          <w:lang w:val="da-DK"/>
        </w:rPr>
        <w:t>,</w:t>
      </w:r>
      <w:r w:rsidRPr="004C2A59">
        <w:rPr>
          <w:color w:val="000000"/>
          <w:sz w:val="22"/>
          <w:szCs w:val="22"/>
          <w:lang w:val="da-DK"/>
        </w:rPr>
        <w:t xml:space="preserve"> at alle følgende kriterier er opfyldt: blaster &lt;15% i blod og knoglemarv, perifere blodbasofiltal &lt;20%, trombocyttal &gt;100</w:t>
      </w:r>
      <w:r w:rsidR="0078334D" w:rsidRPr="004C2A59">
        <w:rPr>
          <w:color w:val="000000"/>
          <w:sz w:val="22"/>
          <w:szCs w:val="22"/>
          <w:lang w:val="da-DK"/>
        </w:rPr>
        <w:t> </w:t>
      </w:r>
      <w:r w:rsidRPr="004C2A59">
        <w:rPr>
          <w:color w:val="000000"/>
          <w:sz w:val="22"/>
          <w:szCs w:val="22"/>
          <w:lang w:val="da-DK"/>
        </w:rPr>
        <w:t>x</w:t>
      </w:r>
      <w:r w:rsidR="0078334D" w:rsidRPr="004C2A59">
        <w:rPr>
          <w:color w:val="000000"/>
          <w:sz w:val="22"/>
          <w:szCs w:val="22"/>
          <w:lang w:val="da-DK"/>
        </w:rPr>
        <w:t> </w:t>
      </w:r>
      <w:r w:rsidRPr="004C2A59">
        <w:rPr>
          <w:color w:val="000000"/>
          <w:sz w:val="22"/>
          <w:szCs w:val="22"/>
          <w:lang w:val="da-DK"/>
        </w:rPr>
        <w:t>10</w:t>
      </w:r>
      <w:r w:rsidRPr="004C2A59">
        <w:rPr>
          <w:color w:val="000000"/>
          <w:sz w:val="22"/>
          <w:szCs w:val="22"/>
          <w:vertAlign w:val="superscript"/>
          <w:lang w:val="da-DK"/>
        </w:rPr>
        <w:t>9</w:t>
      </w:r>
      <w:r w:rsidRPr="004C2A59">
        <w:rPr>
          <w:color w:val="000000"/>
          <w:sz w:val="22"/>
          <w:szCs w:val="22"/>
          <w:lang w:val="da-DK"/>
        </w:rPr>
        <w:t>/l.</w:t>
      </w:r>
    </w:p>
    <w:p w14:paraId="33CFEE87" w14:textId="77777777" w:rsidR="00270C5A" w:rsidRPr="004C2A59" w:rsidRDefault="00270C5A" w:rsidP="00421681">
      <w:pPr>
        <w:rPr>
          <w:color w:val="000000"/>
          <w:sz w:val="22"/>
          <w:szCs w:val="22"/>
          <w:lang w:val="da-DK"/>
        </w:rPr>
      </w:pPr>
    </w:p>
    <w:p w14:paraId="4AFE6DE2" w14:textId="77777777" w:rsidR="00270C5A" w:rsidRPr="004C2A59" w:rsidRDefault="00270C5A" w:rsidP="00421681">
      <w:pPr>
        <w:rPr>
          <w:color w:val="000000"/>
          <w:sz w:val="22"/>
          <w:szCs w:val="22"/>
          <w:lang w:val="da-DK"/>
        </w:rPr>
      </w:pPr>
      <w:r w:rsidRPr="004C2A59">
        <w:rPr>
          <w:color w:val="000000"/>
          <w:sz w:val="22"/>
          <w:szCs w:val="22"/>
          <w:lang w:val="da-DK"/>
        </w:rPr>
        <w:t>Den anbefalede dosis af Glivec er 600 mg/dag til</w:t>
      </w:r>
      <w:r w:rsidR="001A6600" w:rsidRPr="004C2A59">
        <w:rPr>
          <w:color w:val="000000"/>
          <w:sz w:val="22"/>
          <w:szCs w:val="22"/>
          <w:lang w:val="da-DK"/>
        </w:rPr>
        <w:t xml:space="preserve"> voksne</w:t>
      </w:r>
      <w:r w:rsidRPr="004C2A59">
        <w:rPr>
          <w:color w:val="000000"/>
          <w:sz w:val="22"/>
          <w:szCs w:val="22"/>
          <w:lang w:val="da-DK"/>
        </w:rPr>
        <w:t xml:space="preserve"> patienter i accelereret fase. Accelereret fase defineres som tilstedeværelse af én eller flere af følgende: blaster </w:t>
      </w:r>
      <w:r w:rsidRPr="004C2A59">
        <w:rPr>
          <w:snapToGrid w:val="0"/>
          <w:color w:val="000000"/>
          <w:sz w:val="22"/>
          <w:szCs w:val="22"/>
          <w:lang w:val="da-DK"/>
        </w:rPr>
        <w:sym w:font="Symbol" w:char="F0B3"/>
      </w:r>
      <w:r w:rsidRPr="004C2A59">
        <w:rPr>
          <w:color w:val="000000"/>
          <w:sz w:val="22"/>
          <w:szCs w:val="22"/>
          <w:lang w:val="da-DK"/>
        </w:rPr>
        <w:t xml:space="preserve">15%, men &lt;30% i blod eller knoglemarv, blaster plus promyelocytter </w:t>
      </w:r>
      <w:r w:rsidRPr="004C2A59">
        <w:rPr>
          <w:snapToGrid w:val="0"/>
          <w:color w:val="000000"/>
          <w:sz w:val="22"/>
          <w:szCs w:val="22"/>
          <w:lang w:val="da-DK"/>
        </w:rPr>
        <w:sym w:font="Symbol" w:char="F0B3"/>
      </w:r>
      <w:r w:rsidRPr="004C2A59">
        <w:rPr>
          <w:color w:val="000000"/>
          <w:sz w:val="22"/>
          <w:szCs w:val="22"/>
          <w:lang w:val="da-DK"/>
        </w:rPr>
        <w:t xml:space="preserve">30% i blod eller knoglemarv (hvilket giver &lt;30% blaster), perifere blodbasofiltal </w:t>
      </w:r>
      <w:r w:rsidRPr="004C2A59">
        <w:rPr>
          <w:snapToGrid w:val="0"/>
          <w:color w:val="000000"/>
          <w:sz w:val="22"/>
          <w:szCs w:val="22"/>
          <w:lang w:val="da-DK"/>
        </w:rPr>
        <w:sym w:font="Symbol" w:char="F0B3"/>
      </w:r>
      <w:r w:rsidRPr="004C2A59">
        <w:rPr>
          <w:color w:val="000000"/>
          <w:sz w:val="22"/>
          <w:szCs w:val="22"/>
          <w:lang w:val="da-DK"/>
        </w:rPr>
        <w:t>20%, trombocyttal &lt;100</w:t>
      </w:r>
      <w:r w:rsidR="0078334D" w:rsidRPr="004C2A59">
        <w:rPr>
          <w:color w:val="000000"/>
          <w:sz w:val="22"/>
          <w:szCs w:val="22"/>
          <w:lang w:val="da-DK"/>
        </w:rPr>
        <w:t> </w:t>
      </w:r>
      <w:r w:rsidRPr="004C2A59">
        <w:rPr>
          <w:color w:val="000000"/>
          <w:sz w:val="22"/>
          <w:szCs w:val="22"/>
          <w:lang w:val="da-DK"/>
        </w:rPr>
        <w:t>x</w:t>
      </w:r>
      <w:r w:rsidR="0078334D" w:rsidRPr="004C2A59">
        <w:rPr>
          <w:color w:val="000000"/>
          <w:sz w:val="22"/>
          <w:szCs w:val="22"/>
          <w:lang w:val="da-DK"/>
        </w:rPr>
        <w:t> </w:t>
      </w:r>
      <w:r w:rsidRPr="004C2A59">
        <w:rPr>
          <w:color w:val="000000"/>
          <w:sz w:val="22"/>
          <w:szCs w:val="22"/>
          <w:lang w:val="da-DK"/>
        </w:rPr>
        <w:t>10</w:t>
      </w:r>
      <w:r w:rsidRPr="004C2A59">
        <w:rPr>
          <w:color w:val="000000"/>
          <w:sz w:val="22"/>
          <w:szCs w:val="22"/>
          <w:vertAlign w:val="superscript"/>
          <w:lang w:val="da-DK"/>
        </w:rPr>
        <w:t>9</w:t>
      </w:r>
      <w:r w:rsidRPr="004C2A59">
        <w:rPr>
          <w:color w:val="000000"/>
          <w:sz w:val="22"/>
          <w:szCs w:val="22"/>
          <w:lang w:val="da-DK"/>
        </w:rPr>
        <w:t>/l uafhængigt af behandlingen.</w:t>
      </w:r>
    </w:p>
    <w:p w14:paraId="1DCA63D3" w14:textId="77777777" w:rsidR="00270C5A" w:rsidRPr="004C2A59" w:rsidRDefault="00270C5A" w:rsidP="00421681">
      <w:pPr>
        <w:rPr>
          <w:color w:val="000000"/>
          <w:sz w:val="22"/>
          <w:szCs w:val="22"/>
          <w:lang w:val="da-DK"/>
        </w:rPr>
      </w:pPr>
    </w:p>
    <w:p w14:paraId="78645EA1" w14:textId="77777777" w:rsidR="00270C5A" w:rsidRPr="004C2A59" w:rsidRDefault="00270C5A" w:rsidP="00421681">
      <w:pPr>
        <w:rPr>
          <w:color w:val="000000"/>
          <w:sz w:val="22"/>
          <w:szCs w:val="22"/>
          <w:lang w:val="da-DK"/>
        </w:rPr>
      </w:pPr>
      <w:r w:rsidRPr="004C2A59">
        <w:rPr>
          <w:color w:val="000000"/>
          <w:sz w:val="22"/>
          <w:szCs w:val="22"/>
          <w:lang w:val="da-DK"/>
        </w:rPr>
        <w:t xml:space="preserve">Den anbefalede dosis af Glivec er 600 mg/dag til </w:t>
      </w:r>
      <w:r w:rsidR="001A6600" w:rsidRPr="004C2A59">
        <w:rPr>
          <w:color w:val="000000"/>
          <w:sz w:val="22"/>
          <w:szCs w:val="22"/>
          <w:lang w:val="da-DK"/>
        </w:rPr>
        <w:t xml:space="preserve">voksne </w:t>
      </w:r>
      <w:r w:rsidRPr="004C2A59">
        <w:rPr>
          <w:color w:val="000000"/>
          <w:sz w:val="22"/>
          <w:szCs w:val="22"/>
          <w:lang w:val="da-DK"/>
        </w:rPr>
        <w:t xml:space="preserve">patienter i blastkrise. Blastkrise defineres som </w:t>
      </w:r>
      <w:r w:rsidRPr="004C2A59">
        <w:rPr>
          <w:snapToGrid w:val="0"/>
          <w:color w:val="000000"/>
          <w:sz w:val="22"/>
          <w:szCs w:val="22"/>
          <w:lang w:val="da-DK"/>
        </w:rPr>
        <w:sym w:font="Symbol" w:char="F0B3"/>
      </w:r>
      <w:r w:rsidRPr="004C2A59">
        <w:rPr>
          <w:color w:val="000000"/>
          <w:sz w:val="22"/>
          <w:szCs w:val="22"/>
          <w:lang w:val="da-DK"/>
        </w:rPr>
        <w:t>30% blaster i blod eller knoglemarv eller ekstramedullær sygdom ud over hepatosplenomegali.</w:t>
      </w:r>
    </w:p>
    <w:p w14:paraId="3D8F438B" w14:textId="77777777" w:rsidR="00270C5A" w:rsidRPr="004C2A59" w:rsidRDefault="00270C5A" w:rsidP="00421681">
      <w:pPr>
        <w:rPr>
          <w:color w:val="000000"/>
          <w:sz w:val="22"/>
          <w:szCs w:val="22"/>
          <w:lang w:val="da-DK"/>
        </w:rPr>
      </w:pPr>
    </w:p>
    <w:p w14:paraId="3C1F0B7B" w14:textId="77777777" w:rsidR="00270C5A" w:rsidRPr="004C2A59" w:rsidRDefault="00270C5A" w:rsidP="00421681">
      <w:pPr>
        <w:widowControl w:val="0"/>
        <w:rPr>
          <w:color w:val="000000"/>
          <w:sz w:val="22"/>
          <w:szCs w:val="22"/>
          <w:lang w:val="da-DK"/>
        </w:rPr>
      </w:pPr>
      <w:r w:rsidRPr="004C2A59">
        <w:rPr>
          <w:color w:val="000000"/>
          <w:sz w:val="22"/>
          <w:szCs w:val="22"/>
          <w:lang w:val="da-DK"/>
        </w:rPr>
        <w:t>Behandlingsvarighed: I kliniske undersøgelser fortsattes behandling med Glivec indtil sygdomsprogression. Effekt af seponering af behandling efter opnåelse af komplet cytogenetisk respons er ikke undersøgt.</w:t>
      </w:r>
    </w:p>
    <w:p w14:paraId="0E083B50" w14:textId="77777777" w:rsidR="00270C5A" w:rsidRPr="004C2A59" w:rsidRDefault="00270C5A" w:rsidP="00421681">
      <w:pPr>
        <w:widowControl w:val="0"/>
        <w:rPr>
          <w:color w:val="000000"/>
          <w:sz w:val="22"/>
          <w:szCs w:val="22"/>
          <w:lang w:val="da-DK"/>
        </w:rPr>
      </w:pPr>
    </w:p>
    <w:p w14:paraId="6CD8266E" w14:textId="77777777" w:rsidR="00610A3A" w:rsidRPr="004C2A59" w:rsidRDefault="00270C5A" w:rsidP="00421681">
      <w:pPr>
        <w:rPr>
          <w:color w:val="000000"/>
          <w:sz w:val="22"/>
          <w:szCs w:val="22"/>
          <w:lang w:val="da-DK"/>
        </w:rPr>
      </w:pPr>
      <w:r w:rsidRPr="004C2A59">
        <w:rPr>
          <w:color w:val="000000"/>
          <w:sz w:val="22"/>
          <w:szCs w:val="22"/>
          <w:lang w:val="da-DK"/>
        </w:rPr>
        <w:t>Dosisøgninger fra 400</w:t>
      </w:r>
      <w:r w:rsidR="00C17108" w:rsidRPr="004C2A59">
        <w:rPr>
          <w:color w:val="000000"/>
          <w:sz w:val="22"/>
          <w:szCs w:val="22"/>
          <w:lang w:val="da-DK"/>
        </w:rPr>
        <w:t> mg</w:t>
      </w:r>
      <w:r w:rsidRPr="004C2A59">
        <w:rPr>
          <w:color w:val="000000"/>
          <w:sz w:val="22"/>
          <w:szCs w:val="22"/>
          <w:lang w:val="da-DK"/>
        </w:rPr>
        <w:t xml:space="preserve"> til 600 mg </w:t>
      </w:r>
      <w:r w:rsidR="00A407DE" w:rsidRPr="004C2A59">
        <w:rPr>
          <w:color w:val="000000"/>
          <w:sz w:val="22"/>
          <w:szCs w:val="22"/>
          <w:lang w:val="da-DK"/>
        </w:rPr>
        <w:t xml:space="preserve">eller 800 mg </w:t>
      </w:r>
      <w:r w:rsidRPr="004C2A59">
        <w:rPr>
          <w:color w:val="000000"/>
          <w:sz w:val="22"/>
          <w:szCs w:val="22"/>
          <w:lang w:val="da-DK"/>
        </w:rPr>
        <w:t>til patienter med CML i kronisk fase, eller fra 600 mg til maksimalt 800 mg (givet som 400 mg 2 gange daglig) til patienter i accelereret fase eller blastkrise kan, hvis der ikke opstår svære bivirkninger og svær ikke-leukæmirelateret neutropeni eller trombocytopeni, overvejes i følgende tilfælde: Sygdomsprogression (til enhver tid), udeblivende tilfredsstillende hæmatologisk respons efter mindst 3 måneders behandling,</w:t>
      </w:r>
      <w:r w:rsidR="00A407DE" w:rsidRPr="004C2A59">
        <w:rPr>
          <w:color w:val="000000"/>
          <w:sz w:val="22"/>
          <w:szCs w:val="22"/>
          <w:lang w:val="da-DK"/>
        </w:rPr>
        <w:t xml:space="preserve"> udeblivende opnåelse af cytogenetisk respons efter 12</w:t>
      </w:r>
      <w:r w:rsidR="00552DC6" w:rsidRPr="004C2A59">
        <w:rPr>
          <w:color w:val="000000"/>
          <w:sz w:val="22"/>
          <w:szCs w:val="22"/>
          <w:lang w:val="da-DK"/>
        </w:rPr>
        <w:t> </w:t>
      </w:r>
      <w:r w:rsidR="00A407DE" w:rsidRPr="004C2A59">
        <w:rPr>
          <w:color w:val="000000"/>
          <w:sz w:val="22"/>
          <w:szCs w:val="22"/>
          <w:lang w:val="da-DK"/>
        </w:rPr>
        <w:t>måneders behandling,</w:t>
      </w:r>
      <w:r w:rsidRPr="004C2A59">
        <w:rPr>
          <w:color w:val="000000"/>
          <w:sz w:val="22"/>
          <w:szCs w:val="22"/>
          <w:lang w:val="da-DK"/>
        </w:rPr>
        <w:t xml:space="preserve"> samt hvis tidligere hæmatologisk</w:t>
      </w:r>
      <w:r w:rsidR="00A407DE" w:rsidRPr="004C2A59">
        <w:rPr>
          <w:color w:val="000000"/>
          <w:sz w:val="22"/>
          <w:szCs w:val="22"/>
          <w:lang w:val="da-DK"/>
        </w:rPr>
        <w:t xml:space="preserve"> og/eller cytogenetisk</w:t>
      </w:r>
      <w:r w:rsidRPr="004C2A59">
        <w:rPr>
          <w:color w:val="000000"/>
          <w:sz w:val="22"/>
          <w:szCs w:val="22"/>
          <w:lang w:val="da-DK"/>
        </w:rPr>
        <w:t xml:space="preserve"> respons ikke genopnås. Patienterne bør, på baggrund af risikoen for øget bivirkningsincidens ved højere doser, monitoreres tæt efter dosistitrering.</w:t>
      </w:r>
    </w:p>
    <w:p w14:paraId="3B4736E8" w14:textId="77777777" w:rsidR="00270C5A" w:rsidRPr="004C2A59" w:rsidRDefault="00270C5A" w:rsidP="00421681">
      <w:pPr>
        <w:pStyle w:val="EndnoteText"/>
        <w:tabs>
          <w:tab w:val="clear" w:pos="567"/>
        </w:tabs>
        <w:rPr>
          <w:color w:val="000000"/>
          <w:szCs w:val="22"/>
        </w:rPr>
      </w:pPr>
    </w:p>
    <w:p w14:paraId="36124051" w14:textId="77777777" w:rsidR="000E1E64" w:rsidRPr="004C2A59" w:rsidRDefault="000E1E64" w:rsidP="006C180B">
      <w:pPr>
        <w:pStyle w:val="EndnoteText"/>
        <w:keepNext/>
        <w:tabs>
          <w:tab w:val="clear" w:pos="567"/>
        </w:tabs>
        <w:rPr>
          <w:color w:val="000000"/>
          <w:szCs w:val="22"/>
          <w:u w:val="single"/>
        </w:rPr>
      </w:pPr>
      <w:r w:rsidRPr="004C2A59">
        <w:rPr>
          <w:color w:val="000000"/>
          <w:szCs w:val="22"/>
          <w:u w:val="single"/>
        </w:rPr>
        <w:t>Dosering ved CML hos børn</w:t>
      </w:r>
    </w:p>
    <w:p w14:paraId="753A3BB0" w14:textId="77777777" w:rsidR="00270C5A" w:rsidRPr="004C2A59" w:rsidRDefault="00270C5A" w:rsidP="00421681">
      <w:pPr>
        <w:pStyle w:val="EndnoteText"/>
        <w:tabs>
          <w:tab w:val="clear" w:pos="567"/>
        </w:tabs>
        <w:rPr>
          <w:color w:val="000000"/>
          <w:szCs w:val="22"/>
        </w:rPr>
      </w:pPr>
      <w:r w:rsidRPr="004C2A59">
        <w:rPr>
          <w:color w:val="000000"/>
          <w:szCs w:val="22"/>
        </w:rPr>
        <w:t>Dosering til børn bør baseres på legemsoverfladeareal (mg/m</w:t>
      </w:r>
      <w:r w:rsidRPr="004C2A59">
        <w:rPr>
          <w:color w:val="000000"/>
          <w:szCs w:val="22"/>
          <w:vertAlign w:val="superscript"/>
        </w:rPr>
        <w:t>2</w:t>
      </w:r>
      <w:r w:rsidRPr="004C2A59">
        <w:rPr>
          <w:color w:val="000000"/>
          <w:szCs w:val="22"/>
        </w:rPr>
        <w:t xml:space="preserve">). Der anbefales </w:t>
      </w:r>
      <w:r w:rsidR="000E1E64" w:rsidRPr="004C2A59">
        <w:rPr>
          <w:color w:val="000000"/>
          <w:szCs w:val="22"/>
        </w:rPr>
        <w:t xml:space="preserve">en </w:t>
      </w:r>
      <w:r w:rsidRPr="004C2A59">
        <w:rPr>
          <w:color w:val="000000"/>
          <w:szCs w:val="22"/>
        </w:rPr>
        <w:t>doser</w:t>
      </w:r>
      <w:r w:rsidR="000E1E64" w:rsidRPr="004C2A59">
        <w:rPr>
          <w:color w:val="000000"/>
          <w:szCs w:val="22"/>
        </w:rPr>
        <w:t>ing</w:t>
      </w:r>
      <w:r w:rsidRPr="004C2A59">
        <w:rPr>
          <w:color w:val="000000"/>
          <w:szCs w:val="22"/>
        </w:rPr>
        <w:t xml:space="preserve"> på 340 mg/m</w:t>
      </w:r>
      <w:r w:rsidRPr="004C2A59">
        <w:rPr>
          <w:color w:val="000000"/>
          <w:szCs w:val="22"/>
          <w:vertAlign w:val="superscript"/>
        </w:rPr>
        <w:t>2</w:t>
      </w:r>
      <w:r w:rsidRPr="004C2A59">
        <w:rPr>
          <w:color w:val="000000"/>
          <w:szCs w:val="22"/>
        </w:rPr>
        <w:t xml:space="preserve"> daglig til børn med CML i kronisk fase og i fremskredne faser</w:t>
      </w:r>
      <w:r w:rsidR="000E1E64" w:rsidRPr="004C2A59">
        <w:rPr>
          <w:color w:val="000000"/>
          <w:szCs w:val="22"/>
        </w:rPr>
        <w:t xml:space="preserve"> (må ikke overskride en total dosering på 800 mg)</w:t>
      </w:r>
      <w:r w:rsidRPr="004C2A59">
        <w:rPr>
          <w:color w:val="000000"/>
          <w:szCs w:val="22"/>
        </w:rPr>
        <w:t xml:space="preserve">. Behandlingen kan gives én gang daglig eller alternativt deles i to - én dosis om morgenen og én om aftenen. De aktuelle dosisanbefalinger er baseret på et lille antal pædiatriske patienter (se </w:t>
      </w:r>
      <w:r w:rsidR="003B2976" w:rsidRPr="004C2A59">
        <w:rPr>
          <w:color w:val="000000"/>
          <w:szCs w:val="22"/>
        </w:rPr>
        <w:t>pkt.</w:t>
      </w:r>
      <w:r w:rsidRPr="004C2A59">
        <w:rPr>
          <w:color w:val="000000"/>
          <w:szCs w:val="22"/>
        </w:rPr>
        <w:t xml:space="preserve"> 5.1 og 5.2). Der er ingen erfaringer med behandling af børn under </w:t>
      </w:r>
      <w:r w:rsidR="000E1E64" w:rsidRPr="004C2A59">
        <w:rPr>
          <w:color w:val="000000"/>
          <w:szCs w:val="22"/>
        </w:rPr>
        <w:t>2</w:t>
      </w:r>
      <w:r w:rsidR="00C02CD8" w:rsidRPr="004C2A59">
        <w:rPr>
          <w:color w:val="000000"/>
          <w:szCs w:val="22"/>
        </w:rPr>
        <w:t> </w:t>
      </w:r>
      <w:r w:rsidRPr="004C2A59">
        <w:rPr>
          <w:color w:val="000000"/>
          <w:szCs w:val="22"/>
        </w:rPr>
        <w:t>år.</w:t>
      </w:r>
    </w:p>
    <w:p w14:paraId="5610CE17" w14:textId="77777777" w:rsidR="00270C5A" w:rsidRPr="004C2A59" w:rsidRDefault="00270C5A" w:rsidP="00421681">
      <w:pPr>
        <w:widowControl w:val="0"/>
        <w:rPr>
          <w:color w:val="000000"/>
          <w:sz w:val="22"/>
          <w:szCs w:val="22"/>
          <w:lang w:val="da-DK"/>
        </w:rPr>
      </w:pPr>
    </w:p>
    <w:p w14:paraId="5DBF2BA2" w14:textId="77777777" w:rsidR="00B5074E" w:rsidRPr="004C2A59" w:rsidRDefault="00B5074E" w:rsidP="00421681">
      <w:pPr>
        <w:widowControl w:val="0"/>
        <w:rPr>
          <w:color w:val="000000"/>
          <w:sz w:val="22"/>
          <w:szCs w:val="22"/>
          <w:lang w:val="da-DK"/>
        </w:rPr>
      </w:pPr>
      <w:r w:rsidRPr="004C2A59">
        <w:rPr>
          <w:color w:val="000000"/>
          <w:sz w:val="22"/>
          <w:szCs w:val="22"/>
          <w:lang w:val="da-DK"/>
        </w:rPr>
        <w:t>Dosisøgning fra 340 mg/m</w:t>
      </w:r>
      <w:r w:rsidRPr="004C2A59">
        <w:rPr>
          <w:color w:val="000000"/>
          <w:sz w:val="22"/>
          <w:szCs w:val="22"/>
          <w:vertAlign w:val="superscript"/>
          <w:lang w:val="da-DK"/>
        </w:rPr>
        <w:t>2</w:t>
      </w:r>
      <w:r w:rsidRPr="004C2A59">
        <w:rPr>
          <w:color w:val="000000"/>
          <w:sz w:val="22"/>
          <w:szCs w:val="22"/>
          <w:lang w:val="da-DK"/>
        </w:rPr>
        <w:t> daglig til 570 mg/m</w:t>
      </w:r>
      <w:r w:rsidRPr="004C2A59">
        <w:rPr>
          <w:color w:val="000000"/>
          <w:sz w:val="22"/>
          <w:szCs w:val="22"/>
          <w:vertAlign w:val="superscript"/>
          <w:lang w:val="da-DK"/>
        </w:rPr>
        <w:t>2</w:t>
      </w:r>
      <w:r w:rsidRPr="004C2A59">
        <w:rPr>
          <w:color w:val="000000"/>
          <w:sz w:val="22"/>
          <w:szCs w:val="22"/>
          <w:lang w:val="da-DK"/>
        </w:rPr>
        <w:t xml:space="preserve"> daglig (uden at overstige total dosis på 800 mg) kan overvejes hos børn ved fravær af alvorlige bivirkninger og svær ikke-leukæmirelateret neutropeni eller </w:t>
      </w:r>
      <w:r w:rsidRPr="004C2A59">
        <w:rPr>
          <w:color w:val="000000"/>
          <w:sz w:val="22"/>
          <w:szCs w:val="22"/>
          <w:lang w:val="da-DK"/>
        </w:rPr>
        <w:lastRenderedPageBreak/>
        <w:t>trombocytopeni ved følgende omstændigheder: sygdomsprogression (på ethvert tidspunkt); hvis der ikke er opnået tilfredsstillende hæmatologisk respons efter mindst 3 måneders behandling; hvis der ikke er opnået cytogenetisk respons efter 12 måneders behandling; eller ved tab af tidligere opnået hæmatologisk og/eller cytogenetisk respons. Patienterne bør monitoreres tæt under dosiseskaleringen, da der er mulighed for øget forekomst af bivirkninger ved højere doseringer.</w:t>
      </w:r>
    </w:p>
    <w:p w14:paraId="09F9D98B" w14:textId="77777777" w:rsidR="00B5074E" w:rsidRPr="004C2A59" w:rsidRDefault="00B5074E" w:rsidP="00421681">
      <w:pPr>
        <w:widowControl w:val="0"/>
        <w:rPr>
          <w:color w:val="000000"/>
          <w:sz w:val="22"/>
          <w:szCs w:val="22"/>
          <w:lang w:val="da-DK"/>
        </w:rPr>
      </w:pPr>
    </w:p>
    <w:p w14:paraId="511B6E5B" w14:textId="77777777" w:rsidR="00932ED4" w:rsidRPr="004C2A59" w:rsidRDefault="00932ED4" w:rsidP="006C180B">
      <w:pPr>
        <w:keepNext/>
        <w:widowControl w:val="0"/>
        <w:rPr>
          <w:color w:val="000000"/>
          <w:sz w:val="22"/>
          <w:szCs w:val="22"/>
          <w:lang w:val="da-DK"/>
        </w:rPr>
      </w:pPr>
      <w:r w:rsidRPr="004C2A59">
        <w:rPr>
          <w:color w:val="000000"/>
          <w:sz w:val="22"/>
          <w:szCs w:val="22"/>
          <w:u w:val="single"/>
          <w:lang w:val="da-DK"/>
        </w:rPr>
        <w:t>Dosering ved Ph+ ALL</w:t>
      </w:r>
      <w:r w:rsidR="00B80780" w:rsidRPr="004C2A59">
        <w:rPr>
          <w:color w:val="000000"/>
          <w:sz w:val="22"/>
          <w:szCs w:val="22"/>
          <w:u w:val="single"/>
          <w:lang w:val="da-DK"/>
        </w:rPr>
        <w:t xml:space="preserve"> hos voksne patienter</w:t>
      </w:r>
    </w:p>
    <w:p w14:paraId="24657021" w14:textId="77777777" w:rsidR="00932ED4" w:rsidRPr="004C2A59" w:rsidRDefault="00932ED4" w:rsidP="00421681">
      <w:pPr>
        <w:widowControl w:val="0"/>
        <w:rPr>
          <w:color w:val="000000"/>
          <w:sz w:val="22"/>
          <w:szCs w:val="22"/>
          <w:lang w:val="da-DK"/>
        </w:rPr>
      </w:pPr>
      <w:r w:rsidRPr="004C2A59">
        <w:rPr>
          <w:color w:val="000000"/>
          <w:sz w:val="22"/>
          <w:szCs w:val="22"/>
          <w:lang w:val="da-DK"/>
        </w:rPr>
        <w:t xml:space="preserve">Den anbefalede dosis af Glivec er 600 mg/dag til </w:t>
      </w:r>
      <w:r w:rsidR="001A6600" w:rsidRPr="004C2A59">
        <w:rPr>
          <w:color w:val="000000"/>
          <w:sz w:val="22"/>
          <w:szCs w:val="22"/>
          <w:lang w:val="da-DK"/>
        </w:rPr>
        <w:t xml:space="preserve">voksne </w:t>
      </w:r>
      <w:r w:rsidRPr="004C2A59">
        <w:rPr>
          <w:color w:val="000000"/>
          <w:sz w:val="22"/>
          <w:szCs w:val="22"/>
          <w:lang w:val="da-DK"/>
        </w:rPr>
        <w:t xml:space="preserve">patienter med Ph+ </w:t>
      </w:r>
      <w:smartTag w:uri="urn:schemas-microsoft-com:office:smarttags" w:element="metricconverter">
        <w:r w:rsidRPr="004C2A59">
          <w:rPr>
            <w:color w:val="000000"/>
            <w:sz w:val="22"/>
            <w:szCs w:val="22"/>
            <w:lang w:val="da-DK"/>
          </w:rPr>
          <w:t>ALL</w:t>
        </w:r>
      </w:smartTag>
      <w:r w:rsidRPr="004C2A59">
        <w:rPr>
          <w:color w:val="000000"/>
          <w:sz w:val="22"/>
          <w:szCs w:val="22"/>
          <w:lang w:val="da-DK"/>
        </w:rPr>
        <w:t>. Gennem alle faser af omsorgen bør behandlingen overvåges af hæmatologiske eksperter, som er ansvarlige for denne sygdom.</w:t>
      </w:r>
    </w:p>
    <w:p w14:paraId="628B5803" w14:textId="77777777" w:rsidR="00932ED4" w:rsidRPr="004C2A59" w:rsidRDefault="00932ED4" w:rsidP="00421681">
      <w:pPr>
        <w:widowControl w:val="0"/>
        <w:rPr>
          <w:color w:val="000000"/>
          <w:sz w:val="22"/>
          <w:szCs w:val="22"/>
          <w:lang w:val="da-DK"/>
        </w:rPr>
      </w:pPr>
    </w:p>
    <w:p w14:paraId="16BC4382" w14:textId="77777777" w:rsidR="00932ED4" w:rsidRPr="004C2A59" w:rsidRDefault="00932ED4" w:rsidP="00421681">
      <w:pPr>
        <w:widowControl w:val="0"/>
        <w:rPr>
          <w:color w:val="000000"/>
          <w:sz w:val="22"/>
          <w:szCs w:val="22"/>
          <w:lang w:val="da-DK"/>
        </w:rPr>
      </w:pPr>
      <w:r w:rsidRPr="004C2A59">
        <w:rPr>
          <w:color w:val="000000"/>
          <w:sz w:val="22"/>
          <w:szCs w:val="22"/>
          <w:lang w:val="da-DK"/>
        </w:rPr>
        <w:t xml:space="preserve">Behandlingsskema: Eksisterende data har vist, at Glivec er effektiv og sikker ved administration af 600 mg/dag i kombination med kemoterapi i induktionsfasen, i konsoliderings- og vedligeholdelsesfaser </w:t>
      </w:r>
      <w:r w:rsidR="00FF581A" w:rsidRPr="004C2A59">
        <w:rPr>
          <w:color w:val="000000"/>
          <w:sz w:val="22"/>
          <w:szCs w:val="22"/>
          <w:lang w:val="da-DK"/>
        </w:rPr>
        <w:t>af</w:t>
      </w:r>
      <w:r w:rsidRPr="004C2A59">
        <w:rPr>
          <w:color w:val="000000"/>
          <w:sz w:val="22"/>
          <w:szCs w:val="22"/>
          <w:lang w:val="da-DK"/>
        </w:rPr>
        <w:t xml:space="preserve"> kemoterapi (se pkt. 5.1) brugt i behandlingen af voksne patienter med nydiagnosticeret Ph+</w:t>
      </w:r>
      <w:smartTag w:uri="urn:schemas-microsoft-com:office:smarttags" w:element="metricconverter">
        <w:r w:rsidRPr="004C2A59">
          <w:rPr>
            <w:color w:val="000000"/>
            <w:sz w:val="22"/>
            <w:szCs w:val="22"/>
            <w:lang w:val="da-DK"/>
          </w:rPr>
          <w:t>ALL</w:t>
        </w:r>
      </w:smartTag>
      <w:r w:rsidRPr="004C2A59">
        <w:rPr>
          <w:color w:val="000000"/>
          <w:sz w:val="22"/>
          <w:szCs w:val="22"/>
          <w:lang w:val="da-DK"/>
        </w:rPr>
        <w:t>. Varigheden af behandling med Glivec kan variere med det valgte behandlingsprogram, men generelt har længere eksponering for Glivec givet de bedste resultater.</w:t>
      </w:r>
    </w:p>
    <w:p w14:paraId="4F769297" w14:textId="77777777" w:rsidR="00932ED4" w:rsidRPr="004C2A59" w:rsidRDefault="00932ED4" w:rsidP="00421681">
      <w:pPr>
        <w:widowControl w:val="0"/>
        <w:rPr>
          <w:color w:val="000000"/>
          <w:sz w:val="22"/>
          <w:szCs w:val="22"/>
          <w:lang w:val="da-DK"/>
        </w:rPr>
      </w:pPr>
    </w:p>
    <w:p w14:paraId="12E285D2" w14:textId="77777777" w:rsidR="00932ED4" w:rsidRPr="004C2A59" w:rsidRDefault="00932ED4" w:rsidP="00421681">
      <w:pPr>
        <w:pStyle w:val="EndnoteText"/>
        <w:tabs>
          <w:tab w:val="clear" w:pos="567"/>
        </w:tabs>
        <w:rPr>
          <w:color w:val="000000"/>
          <w:szCs w:val="22"/>
        </w:rPr>
      </w:pPr>
      <w:r w:rsidRPr="004C2A59">
        <w:rPr>
          <w:color w:val="000000"/>
          <w:szCs w:val="22"/>
        </w:rPr>
        <w:t>Glivec monoterapi med 600 mg/dag er sikker og effektiv hos voksne patienter med recidiverende eller refraktiv Ph+</w:t>
      </w:r>
      <w:smartTag w:uri="urn:schemas-microsoft-com:office:smarttags" w:element="metricconverter">
        <w:r w:rsidRPr="004C2A59">
          <w:rPr>
            <w:color w:val="000000"/>
            <w:szCs w:val="22"/>
          </w:rPr>
          <w:t>ALL</w:t>
        </w:r>
      </w:smartTag>
      <w:r w:rsidRPr="004C2A59">
        <w:rPr>
          <w:color w:val="000000"/>
          <w:szCs w:val="22"/>
        </w:rPr>
        <w:t>, og kan gives indtil der sker sygdomsprogression.</w:t>
      </w:r>
    </w:p>
    <w:p w14:paraId="17349066" w14:textId="77777777" w:rsidR="008A6A1F" w:rsidRPr="004C2A59" w:rsidRDefault="008A6A1F" w:rsidP="00421681">
      <w:pPr>
        <w:pStyle w:val="EndnoteText"/>
        <w:tabs>
          <w:tab w:val="clear" w:pos="567"/>
        </w:tabs>
        <w:rPr>
          <w:color w:val="000000"/>
          <w:szCs w:val="22"/>
        </w:rPr>
      </w:pPr>
    </w:p>
    <w:p w14:paraId="56945AFE" w14:textId="77777777" w:rsidR="00B80780" w:rsidRPr="004C2A59" w:rsidRDefault="00B80780" w:rsidP="006C180B">
      <w:pPr>
        <w:pStyle w:val="EndnoteText"/>
        <w:keepNext/>
        <w:tabs>
          <w:tab w:val="clear" w:pos="567"/>
        </w:tabs>
        <w:rPr>
          <w:color w:val="000000"/>
          <w:szCs w:val="22"/>
          <w:u w:val="single"/>
        </w:rPr>
      </w:pPr>
      <w:r w:rsidRPr="004C2A59">
        <w:rPr>
          <w:color w:val="000000"/>
          <w:szCs w:val="22"/>
          <w:u w:val="single"/>
        </w:rPr>
        <w:t>Dosering ved Ph+</w:t>
      </w:r>
      <w:r w:rsidR="00D60EA3" w:rsidRPr="004C2A59">
        <w:rPr>
          <w:color w:val="000000"/>
          <w:szCs w:val="22"/>
          <w:u w:val="single"/>
        </w:rPr>
        <w:t xml:space="preserve"> </w:t>
      </w:r>
      <w:r w:rsidRPr="004C2A59">
        <w:rPr>
          <w:color w:val="000000"/>
          <w:szCs w:val="22"/>
          <w:u w:val="single"/>
        </w:rPr>
        <w:t>ALL hos børn</w:t>
      </w:r>
    </w:p>
    <w:p w14:paraId="1473961F" w14:textId="77777777" w:rsidR="00B80780" w:rsidRPr="004C2A59" w:rsidRDefault="00B80780" w:rsidP="00421681">
      <w:pPr>
        <w:pStyle w:val="EndnoteText"/>
        <w:tabs>
          <w:tab w:val="clear" w:pos="567"/>
        </w:tabs>
        <w:rPr>
          <w:color w:val="000000"/>
          <w:szCs w:val="22"/>
        </w:rPr>
      </w:pPr>
      <w:r w:rsidRPr="004C2A59">
        <w:rPr>
          <w:color w:val="000000"/>
          <w:szCs w:val="22"/>
        </w:rPr>
        <w:t>Dosering hos børn bør baseres på legemsoverflade (mg/m</w:t>
      </w:r>
      <w:r w:rsidRPr="004C2A59">
        <w:rPr>
          <w:color w:val="000000"/>
          <w:szCs w:val="22"/>
          <w:vertAlign w:val="superscript"/>
        </w:rPr>
        <w:t>2</w:t>
      </w:r>
      <w:r w:rsidRPr="004C2A59">
        <w:rPr>
          <w:color w:val="000000"/>
          <w:szCs w:val="22"/>
        </w:rPr>
        <w:t>). Der anbefales en dos</w:t>
      </w:r>
      <w:r w:rsidR="0089352A" w:rsidRPr="004C2A59">
        <w:rPr>
          <w:color w:val="000000"/>
          <w:szCs w:val="22"/>
        </w:rPr>
        <w:t>is</w:t>
      </w:r>
      <w:r w:rsidRPr="004C2A59">
        <w:rPr>
          <w:color w:val="000000"/>
          <w:szCs w:val="22"/>
        </w:rPr>
        <w:t xml:space="preserve"> på 340 mg/m</w:t>
      </w:r>
      <w:r w:rsidRPr="004C2A59">
        <w:rPr>
          <w:color w:val="000000"/>
          <w:szCs w:val="22"/>
          <w:vertAlign w:val="superscript"/>
        </w:rPr>
        <w:t>2</w:t>
      </w:r>
      <w:r w:rsidRPr="004C2A59">
        <w:rPr>
          <w:color w:val="000000"/>
          <w:szCs w:val="22"/>
        </w:rPr>
        <w:t xml:space="preserve"> daglig til børn med Ph+</w:t>
      </w:r>
      <w:r w:rsidR="00D60EA3" w:rsidRPr="004C2A59">
        <w:rPr>
          <w:color w:val="000000"/>
          <w:szCs w:val="22"/>
        </w:rPr>
        <w:t xml:space="preserve"> </w:t>
      </w:r>
      <w:r w:rsidRPr="004C2A59">
        <w:rPr>
          <w:color w:val="000000"/>
          <w:szCs w:val="22"/>
        </w:rPr>
        <w:t>ALL (totaldos</w:t>
      </w:r>
      <w:r w:rsidR="0089352A" w:rsidRPr="004C2A59">
        <w:rPr>
          <w:color w:val="000000"/>
          <w:szCs w:val="22"/>
        </w:rPr>
        <w:t>is</w:t>
      </w:r>
      <w:r w:rsidRPr="004C2A59">
        <w:rPr>
          <w:color w:val="000000"/>
          <w:szCs w:val="22"/>
        </w:rPr>
        <w:t xml:space="preserve"> på 600 mg</w:t>
      </w:r>
      <w:r w:rsidR="0089352A" w:rsidRPr="004C2A59">
        <w:rPr>
          <w:color w:val="000000"/>
          <w:szCs w:val="22"/>
        </w:rPr>
        <w:t xml:space="preserve"> må ikke overskrides</w:t>
      </w:r>
      <w:r w:rsidRPr="004C2A59">
        <w:rPr>
          <w:color w:val="000000"/>
          <w:szCs w:val="22"/>
        </w:rPr>
        <w:t>).</w:t>
      </w:r>
    </w:p>
    <w:p w14:paraId="3152E08E" w14:textId="77777777" w:rsidR="00B80780" w:rsidRPr="004C2A59" w:rsidRDefault="00B80780" w:rsidP="00421681">
      <w:pPr>
        <w:pStyle w:val="EndnoteText"/>
        <w:tabs>
          <w:tab w:val="clear" w:pos="567"/>
        </w:tabs>
        <w:rPr>
          <w:color w:val="000000"/>
          <w:szCs w:val="22"/>
        </w:rPr>
      </w:pPr>
    </w:p>
    <w:p w14:paraId="537D7164" w14:textId="77777777" w:rsidR="008A6A1F" w:rsidRPr="004C2A59" w:rsidRDefault="008A6A1F" w:rsidP="006C180B">
      <w:pPr>
        <w:keepNext/>
        <w:widowControl w:val="0"/>
        <w:rPr>
          <w:color w:val="000000"/>
          <w:sz w:val="22"/>
          <w:szCs w:val="22"/>
          <w:u w:val="single"/>
          <w:lang w:val="da-DK"/>
        </w:rPr>
      </w:pPr>
      <w:r w:rsidRPr="004C2A59">
        <w:rPr>
          <w:color w:val="000000"/>
          <w:sz w:val="22"/>
          <w:szCs w:val="22"/>
          <w:u w:val="single"/>
          <w:lang w:val="da-DK"/>
        </w:rPr>
        <w:t xml:space="preserve">Dosering ved </w:t>
      </w:r>
      <w:smartTag w:uri="urn:schemas-microsoft-com:office:smarttags" w:element="metricconverter">
        <w:r w:rsidRPr="004C2A59">
          <w:rPr>
            <w:color w:val="000000"/>
            <w:sz w:val="22"/>
            <w:szCs w:val="22"/>
            <w:u w:val="single"/>
            <w:lang w:val="da-DK"/>
          </w:rPr>
          <w:t>MDS</w:t>
        </w:r>
      </w:smartTag>
      <w:r w:rsidRPr="004C2A59">
        <w:rPr>
          <w:color w:val="000000"/>
          <w:sz w:val="22"/>
          <w:szCs w:val="22"/>
          <w:u w:val="single"/>
          <w:lang w:val="da-DK"/>
        </w:rPr>
        <w:t>/MPD</w:t>
      </w:r>
    </w:p>
    <w:p w14:paraId="0E73DFF3" w14:textId="77777777" w:rsidR="008A6A1F" w:rsidRPr="004C2A59" w:rsidRDefault="008A6A1F" w:rsidP="00421681">
      <w:pPr>
        <w:pStyle w:val="EndnoteText"/>
        <w:tabs>
          <w:tab w:val="clear" w:pos="567"/>
        </w:tabs>
        <w:rPr>
          <w:color w:val="000000"/>
          <w:szCs w:val="22"/>
        </w:rPr>
      </w:pPr>
      <w:r w:rsidRPr="004C2A59">
        <w:rPr>
          <w:color w:val="000000"/>
          <w:szCs w:val="22"/>
        </w:rPr>
        <w:t xml:space="preserve">Den anbefalede dosis af Glivec er 400 mg/dag til </w:t>
      </w:r>
      <w:r w:rsidR="001A6600" w:rsidRPr="004C2A59">
        <w:rPr>
          <w:color w:val="000000"/>
          <w:szCs w:val="22"/>
        </w:rPr>
        <w:t xml:space="preserve">voksne </w:t>
      </w:r>
      <w:r w:rsidRPr="004C2A59">
        <w:rPr>
          <w:color w:val="000000"/>
          <w:szCs w:val="22"/>
        </w:rPr>
        <w:t xml:space="preserve">patienter med </w:t>
      </w:r>
      <w:smartTag w:uri="urn:schemas-microsoft-com:office:smarttags" w:element="metricconverter">
        <w:r w:rsidRPr="004C2A59">
          <w:rPr>
            <w:color w:val="000000"/>
            <w:szCs w:val="22"/>
          </w:rPr>
          <w:t>MDS</w:t>
        </w:r>
      </w:smartTag>
      <w:r w:rsidRPr="004C2A59">
        <w:rPr>
          <w:color w:val="000000"/>
          <w:szCs w:val="22"/>
        </w:rPr>
        <w:t>/MPD.</w:t>
      </w:r>
    </w:p>
    <w:p w14:paraId="0E631FDB" w14:textId="77777777" w:rsidR="008A6A1F" w:rsidRPr="004C2A59" w:rsidRDefault="008A6A1F" w:rsidP="00421681">
      <w:pPr>
        <w:pStyle w:val="EndnoteText"/>
        <w:tabs>
          <w:tab w:val="clear" w:pos="567"/>
        </w:tabs>
        <w:rPr>
          <w:color w:val="000000"/>
          <w:szCs w:val="22"/>
        </w:rPr>
      </w:pPr>
    </w:p>
    <w:p w14:paraId="0BC9DF57" w14:textId="77777777" w:rsidR="00E744B7" w:rsidRPr="004C2A59" w:rsidRDefault="00E744B7" w:rsidP="00421681">
      <w:pPr>
        <w:pStyle w:val="EndnoteText"/>
        <w:tabs>
          <w:tab w:val="clear" w:pos="567"/>
        </w:tabs>
        <w:rPr>
          <w:color w:val="000000"/>
          <w:szCs w:val="22"/>
        </w:rPr>
      </w:pPr>
      <w:r w:rsidRPr="004C2A59">
        <w:rPr>
          <w:color w:val="000000"/>
          <w:szCs w:val="22"/>
        </w:rPr>
        <w:t xml:space="preserve">Behandlingsvarighed: I det eneste kliniske studie, der er udført indtil nu, fortsattes behandlingen med Glivec indtil sygdomsprogression </w:t>
      </w:r>
      <w:r w:rsidR="00C143A3" w:rsidRPr="004C2A59">
        <w:rPr>
          <w:color w:val="000000"/>
          <w:szCs w:val="22"/>
        </w:rPr>
        <w:t>(se pkt. 5.1). På opgørelsestidspunktet var medianen for behandlingstiden</w:t>
      </w:r>
      <w:r w:rsidR="007352B5" w:rsidRPr="004C2A59">
        <w:rPr>
          <w:color w:val="000000"/>
          <w:szCs w:val="22"/>
        </w:rPr>
        <w:t xml:space="preserve"> 47 må</w:t>
      </w:r>
      <w:r w:rsidR="00C143A3" w:rsidRPr="004C2A59">
        <w:rPr>
          <w:color w:val="000000"/>
          <w:szCs w:val="22"/>
        </w:rPr>
        <w:t>neder (24 dage – 60 måneder).</w:t>
      </w:r>
    </w:p>
    <w:p w14:paraId="5A89CAB8" w14:textId="77777777" w:rsidR="00932ED4" w:rsidRPr="004C2A59" w:rsidRDefault="00932ED4" w:rsidP="00421681">
      <w:pPr>
        <w:rPr>
          <w:color w:val="000000"/>
          <w:sz w:val="22"/>
          <w:szCs w:val="22"/>
          <w:u w:val="single"/>
          <w:lang w:val="da-DK"/>
        </w:rPr>
      </w:pPr>
    </w:p>
    <w:p w14:paraId="7332E4EF" w14:textId="77777777" w:rsidR="00874CA5" w:rsidRPr="004C2A59" w:rsidRDefault="00874CA5" w:rsidP="006C180B">
      <w:pPr>
        <w:pStyle w:val="EndnoteText"/>
        <w:keepNext/>
        <w:tabs>
          <w:tab w:val="clear" w:pos="567"/>
        </w:tabs>
        <w:rPr>
          <w:color w:val="000000"/>
          <w:szCs w:val="22"/>
          <w:u w:val="single"/>
        </w:rPr>
      </w:pPr>
      <w:r w:rsidRPr="004C2A59">
        <w:rPr>
          <w:color w:val="000000"/>
          <w:szCs w:val="22"/>
          <w:u w:val="single"/>
        </w:rPr>
        <w:t>Dosering ved HES/</w:t>
      </w:r>
      <w:smartTag w:uri="urn:schemas-microsoft-com:office:smarttags" w:element="metricconverter">
        <w:r w:rsidRPr="004C2A59">
          <w:rPr>
            <w:color w:val="000000"/>
            <w:szCs w:val="22"/>
            <w:u w:val="single"/>
          </w:rPr>
          <w:t>CEL</w:t>
        </w:r>
      </w:smartTag>
    </w:p>
    <w:p w14:paraId="02859AD7" w14:textId="77777777" w:rsidR="00874CA5" w:rsidRPr="004C2A59" w:rsidRDefault="00874CA5" w:rsidP="00421681">
      <w:pPr>
        <w:widowControl w:val="0"/>
        <w:rPr>
          <w:color w:val="000000"/>
          <w:sz w:val="22"/>
          <w:szCs w:val="22"/>
          <w:lang w:val="da-DK"/>
        </w:rPr>
      </w:pPr>
      <w:r w:rsidRPr="004C2A59">
        <w:rPr>
          <w:color w:val="000000"/>
          <w:sz w:val="22"/>
          <w:szCs w:val="22"/>
          <w:lang w:val="da-DK"/>
        </w:rPr>
        <w:t xml:space="preserve">Den anbefalede dosis af Glivec er 100 mg/dag til </w:t>
      </w:r>
      <w:r w:rsidR="001A6600" w:rsidRPr="004C2A59">
        <w:rPr>
          <w:color w:val="000000"/>
          <w:sz w:val="22"/>
          <w:szCs w:val="22"/>
          <w:lang w:val="da-DK"/>
        </w:rPr>
        <w:t xml:space="preserve">voksne </w:t>
      </w:r>
      <w:r w:rsidRPr="004C2A59">
        <w:rPr>
          <w:color w:val="000000"/>
          <w:sz w:val="22"/>
          <w:szCs w:val="22"/>
          <w:lang w:val="da-DK"/>
        </w:rPr>
        <w:t>patienter med HES/</w:t>
      </w:r>
      <w:smartTag w:uri="urn:schemas-microsoft-com:office:smarttags" w:element="metricconverter">
        <w:r w:rsidRPr="004C2A59">
          <w:rPr>
            <w:color w:val="000000"/>
            <w:sz w:val="22"/>
            <w:szCs w:val="22"/>
            <w:lang w:val="da-DK"/>
          </w:rPr>
          <w:t>CEL</w:t>
        </w:r>
      </w:smartTag>
      <w:r w:rsidRPr="004C2A59">
        <w:rPr>
          <w:color w:val="000000"/>
          <w:sz w:val="22"/>
          <w:szCs w:val="22"/>
          <w:lang w:val="da-DK"/>
        </w:rPr>
        <w:t>.</w:t>
      </w:r>
    </w:p>
    <w:p w14:paraId="5A91E0E0" w14:textId="77777777" w:rsidR="00874CA5" w:rsidRPr="004C2A59" w:rsidRDefault="00874CA5" w:rsidP="00421681">
      <w:pPr>
        <w:widowControl w:val="0"/>
        <w:rPr>
          <w:color w:val="000000"/>
          <w:sz w:val="22"/>
          <w:szCs w:val="22"/>
          <w:lang w:val="da-DK"/>
        </w:rPr>
      </w:pPr>
    </w:p>
    <w:p w14:paraId="296CE91D" w14:textId="77777777" w:rsidR="00874CA5" w:rsidRPr="004C2A59" w:rsidRDefault="00874CA5" w:rsidP="00421681">
      <w:pPr>
        <w:widowControl w:val="0"/>
        <w:rPr>
          <w:color w:val="000000"/>
          <w:sz w:val="22"/>
          <w:szCs w:val="22"/>
          <w:lang w:val="da-DK"/>
        </w:rPr>
      </w:pPr>
      <w:r w:rsidRPr="004C2A59">
        <w:rPr>
          <w:color w:val="000000"/>
          <w:sz w:val="22"/>
          <w:szCs w:val="22"/>
          <w:lang w:val="da-DK"/>
        </w:rPr>
        <w:t>Dosisøgning fra 100 mg til 400 mg kan overvejes, hvis der ikke er observeret bivirkninger</w:t>
      </w:r>
      <w:r w:rsidR="007352B5" w:rsidRPr="004C2A59">
        <w:rPr>
          <w:color w:val="000000"/>
          <w:sz w:val="22"/>
          <w:szCs w:val="22"/>
          <w:lang w:val="da-DK"/>
        </w:rPr>
        <w:t>,</w:t>
      </w:r>
      <w:r w:rsidRPr="004C2A59">
        <w:rPr>
          <w:color w:val="000000"/>
          <w:sz w:val="22"/>
          <w:szCs w:val="22"/>
          <w:lang w:val="da-DK"/>
        </w:rPr>
        <w:t xml:space="preserve"> og respons på behandlingen vurderes som værende utilstrækkeligt.</w:t>
      </w:r>
    </w:p>
    <w:p w14:paraId="5237D20E" w14:textId="77777777" w:rsidR="00874CA5" w:rsidRPr="004C2A59" w:rsidRDefault="00874CA5" w:rsidP="00421681">
      <w:pPr>
        <w:widowControl w:val="0"/>
        <w:rPr>
          <w:color w:val="000000"/>
          <w:sz w:val="22"/>
          <w:szCs w:val="22"/>
          <w:u w:val="single"/>
          <w:lang w:val="da-DK"/>
        </w:rPr>
      </w:pPr>
    </w:p>
    <w:p w14:paraId="428238BB" w14:textId="77777777" w:rsidR="007F75C4" w:rsidRPr="004C2A59" w:rsidRDefault="007F75C4" w:rsidP="00421681">
      <w:pPr>
        <w:widowControl w:val="0"/>
        <w:rPr>
          <w:color w:val="000000"/>
          <w:sz w:val="22"/>
          <w:szCs w:val="22"/>
          <w:lang w:val="da-DK"/>
        </w:rPr>
      </w:pPr>
      <w:r w:rsidRPr="004C2A59">
        <w:rPr>
          <w:color w:val="000000"/>
          <w:sz w:val="22"/>
          <w:szCs w:val="22"/>
          <w:lang w:val="da-DK"/>
        </w:rPr>
        <w:t>Behandling bør fortsættes</w:t>
      </w:r>
      <w:r w:rsidR="00681D97" w:rsidRPr="004C2A59">
        <w:rPr>
          <w:color w:val="000000"/>
          <w:sz w:val="22"/>
          <w:szCs w:val="22"/>
          <w:lang w:val="da-DK"/>
        </w:rPr>
        <w:t>,</w:t>
      </w:r>
      <w:r w:rsidRPr="004C2A59">
        <w:rPr>
          <w:color w:val="000000"/>
          <w:sz w:val="22"/>
          <w:szCs w:val="22"/>
          <w:lang w:val="da-DK"/>
        </w:rPr>
        <w:t xml:space="preserve"> så længe patienten har gavn af det.</w:t>
      </w:r>
    </w:p>
    <w:p w14:paraId="18C72904" w14:textId="77777777" w:rsidR="007F75C4" w:rsidRPr="004C2A59" w:rsidRDefault="007F75C4" w:rsidP="00421681">
      <w:pPr>
        <w:widowControl w:val="0"/>
        <w:rPr>
          <w:color w:val="000000"/>
          <w:sz w:val="22"/>
          <w:szCs w:val="22"/>
          <w:u w:val="single"/>
          <w:lang w:val="da-DK"/>
        </w:rPr>
      </w:pPr>
    </w:p>
    <w:p w14:paraId="2B7D3215" w14:textId="77777777" w:rsidR="00270C5A" w:rsidRPr="004C2A59" w:rsidRDefault="00270C5A" w:rsidP="006C180B">
      <w:pPr>
        <w:keepNext/>
        <w:rPr>
          <w:color w:val="000000"/>
          <w:sz w:val="22"/>
          <w:szCs w:val="22"/>
          <w:u w:val="single"/>
          <w:lang w:val="da-DK"/>
        </w:rPr>
      </w:pPr>
      <w:r w:rsidRPr="004C2A59">
        <w:rPr>
          <w:color w:val="000000"/>
          <w:sz w:val="22"/>
          <w:szCs w:val="22"/>
          <w:u w:val="single"/>
          <w:lang w:val="da-DK"/>
        </w:rPr>
        <w:t>Dosering ved GIST</w:t>
      </w:r>
    </w:p>
    <w:p w14:paraId="7CF708DF" w14:textId="77777777" w:rsidR="00270C5A" w:rsidRPr="004C2A59" w:rsidRDefault="00270C5A" w:rsidP="00421681">
      <w:pPr>
        <w:rPr>
          <w:color w:val="000000"/>
          <w:sz w:val="22"/>
          <w:szCs w:val="22"/>
          <w:lang w:val="da-DK"/>
        </w:rPr>
      </w:pPr>
      <w:r w:rsidRPr="004C2A59">
        <w:rPr>
          <w:color w:val="000000"/>
          <w:sz w:val="22"/>
          <w:szCs w:val="22"/>
          <w:lang w:val="da-DK"/>
        </w:rPr>
        <w:t>Den anbefalede dosis af Glivec er 400</w:t>
      </w:r>
      <w:r w:rsidR="00C17108" w:rsidRPr="004C2A59">
        <w:rPr>
          <w:color w:val="000000"/>
          <w:sz w:val="22"/>
          <w:szCs w:val="22"/>
          <w:lang w:val="da-DK"/>
        </w:rPr>
        <w:t> mg</w:t>
      </w:r>
      <w:r w:rsidRPr="004C2A59">
        <w:rPr>
          <w:color w:val="000000"/>
          <w:sz w:val="22"/>
          <w:szCs w:val="22"/>
          <w:lang w:val="da-DK"/>
        </w:rPr>
        <w:t xml:space="preserve">/dag til </w:t>
      </w:r>
      <w:r w:rsidR="001A6600" w:rsidRPr="004C2A59">
        <w:rPr>
          <w:color w:val="000000"/>
          <w:sz w:val="22"/>
          <w:szCs w:val="22"/>
          <w:lang w:val="da-DK"/>
        </w:rPr>
        <w:t xml:space="preserve">voksne </w:t>
      </w:r>
      <w:r w:rsidRPr="004C2A59">
        <w:rPr>
          <w:color w:val="000000"/>
          <w:sz w:val="22"/>
          <w:szCs w:val="22"/>
          <w:lang w:val="da-DK"/>
        </w:rPr>
        <w:t>patienter med inoperable og/eller metastaserende maligne GIST.</w:t>
      </w:r>
    </w:p>
    <w:p w14:paraId="2C1C4A86" w14:textId="77777777" w:rsidR="00270C5A" w:rsidRPr="004C2A59" w:rsidRDefault="00270C5A" w:rsidP="00421681">
      <w:pPr>
        <w:widowControl w:val="0"/>
        <w:rPr>
          <w:color w:val="000000"/>
          <w:sz w:val="22"/>
          <w:szCs w:val="22"/>
          <w:lang w:val="da-DK"/>
        </w:rPr>
      </w:pPr>
    </w:p>
    <w:p w14:paraId="5463C5BA" w14:textId="77777777" w:rsidR="009313F9" w:rsidRPr="004C2A59" w:rsidRDefault="00270C5A" w:rsidP="00421681">
      <w:pPr>
        <w:widowControl w:val="0"/>
        <w:rPr>
          <w:color w:val="000000"/>
          <w:sz w:val="22"/>
          <w:szCs w:val="22"/>
          <w:lang w:val="da-DK"/>
        </w:rPr>
      </w:pPr>
      <w:r w:rsidRPr="004C2A59">
        <w:rPr>
          <w:color w:val="000000"/>
          <w:sz w:val="22"/>
          <w:szCs w:val="22"/>
          <w:lang w:val="da-DK"/>
        </w:rPr>
        <w:t>Der findes begrænsede data vedrørende effekt af dosisøgning fra 400</w:t>
      </w:r>
      <w:r w:rsidR="00C17108" w:rsidRPr="004C2A59">
        <w:rPr>
          <w:color w:val="000000"/>
          <w:sz w:val="22"/>
          <w:szCs w:val="22"/>
          <w:lang w:val="da-DK"/>
        </w:rPr>
        <w:t> mg</w:t>
      </w:r>
      <w:r w:rsidRPr="004C2A59">
        <w:rPr>
          <w:color w:val="000000"/>
          <w:sz w:val="22"/>
          <w:szCs w:val="22"/>
          <w:lang w:val="da-DK"/>
        </w:rPr>
        <w:t xml:space="preserve"> til 600</w:t>
      </w:r>
      <w:r w:rsidR="00C17108" w:rsidRPr="004C2A59">
        <w:rPr>
          <w:color w:val="000000"/>
          <w:sz w:val="22"/>
          <w:szCs w:val="22"/>
          <w:lang w:val="da-DK"/>
        </w:rPr>
        <w:t> mg</w:t>
      </w:r>
      <w:r w:rsidRPr="004C2A59">
        <w:rPr>
          <w:color w:val="000000"/>
          <w:sz w:val="22"/>
          <w:szCs w:val="22"/>
          <w:lang w:val="da-DK"/>
        </w:rPr>
        <w:t xml:space="preserve"> </w:t>
      </w:r>
      <w:r w:rsidR="008C333D" w:rsidRPr="004C2A59">
        <w:rPr>
          <w:color w:val="000000"/>
          <w:sz w:val="22"/>
          <w:szCs w:val="22"/>
          <w:lang w:val="da-DK"/>
        </w:rPr>
        <w:t xml:space="preserve">eller 800 mg </w:t>
      </w:r>
      <w:r w:rsidRPr="004C2A59">
        <w:rPr>
          <w:color w:val="000000"/>
          <w:sz w:val="22"/>
          <w:szCs w:val="22"/>
          <w:lang w:val="da-DK"/>
        </w:rPr>
        <w:t>hos patienter</w:t>
      </w:r>
      <w:r w:rsidR="008F2C92" w:rsidRPr="004C2A59">
        <w:rPr>
          <w:color w:val="000000"/>
          <w:sz w:val="22"/>
          <w:szCs w:val="22"/>
          <w:lang w:val="da-DK"/>
        </w:rPr>
        <w:t>,</w:t>
      </w:r>
      <w:r w:rsidRPr="004C2A59">
        <w:rPr>
          <w:color w:val="000000"/>
          <w:sz w:val="22"/>
          <w:szCs w:val="22"/>
          <w:lang w:val="da-DK"/>
        </w:rPr>
        <w:t xml:space="preserve"> der oplever bedring ved den lavere dosis (se </w:t>
      </w:r>
      <w:r w:rsidR="003B2976" w:rsidRPr="004C2A59">
        <w:rPr>
          <w:color w:val="000000"/>
          <w:sz w:val="22"/>
          <w:szCs w:val="22"/>
          <w:lang w:val="da-DK"/>
        </w:rPr>
        <w:t>pkt.</w:t>
      </w:r>
      <w:r w:rsidRPr="004C2A59">
        <w:rPr>
          <w:color w:val="000000"/>
          <w:sz w:val="22"/>
          <w:szCs w:val="22"/>
          <w:lang w:val="da-DK"/>
        </w:rPr>
        <w:t xml:space="preserve"> 5.1)</w:t>
      </w:r>
      <w:r w:rsidR="009313F9" w:rsidRPr="004C2A59">
        <w:rPr>
          <w:color w:val="000000"/>
          <w:sz w:val="22"/>
          <w:szCs w:val="22"/>
          <w:lang w:val="da-DK"/>
        </w:rPr>
        <w:t>.</w:t>
      </w:r>
    </w:p>
    <w:p w14:paraId="12A5629D" w14:textId="77777777" w:rsidR="009313F9" w:rsidRPr="004C2A59" w:rsidRDefault="009313F9" w:rsidP="00421681">
      <w:pPr>
        <w:widowControl w:val="0"/>
        <w:rPr>
          <w:color w:val="000000"/>
          <w:sz w:val="22"/>
          <w:szCs w:val="22"/>
          <w:lang w:val="da-DK"/>
        </w:rPr>
      </w:pPr>
    </w:p>
    <w:p w14:paraId="6DC4E60B" w14:textId="77777777" w:rsidR="009313F9" w:rsidRPr="004C2A59" w:rsidRDefault="009313F9" w:rsidP="00421681">
      <w:pPr>
        <w:widowControl w:val="0"/>
        <w:rPr>
          <w:color w:val="000000"/>
          <w:sz w:val="22"/>
          <w:szCs w:val="22"/>
          <w:lang w:val="da-DK"/>
        </w:rPr>
      </w:pPr>
      <w:r w:rsidRPr="004C2A59">
        <w:rPr>
          <w:color w:val="000000"/>
          <w:sz w:val="22"/>
          <w:szCs w:val="22"/>
          <w:lang w:val="da-DK"/>
        </w:rPr>
        <w:t>Behandlingsvarighed: I kliniske undersøgelser med GIST-patienter, blev behandling med Glivec fortsat indtil sygdomsprogression. På analysetidspunktet var behandlingsvarighedsmedianen 7 måneder (7 dage til 13 måneder). Effekt af seponering efter opnåelse af respons er ikke undersøgt.</w:t>
      </w:r>
    </w:p>
    <w:p w14:paraId="35BA1900" w14:textId="77777777" w:rsidR="009313F9" w:rsidRPr="004C2A59" w:rsidRDefault="009313F9" w:rsidP="00421681">
      <w:pPr>
        <w:widowControl w:val="0"/>
        <w:rPr>
          <w:color w:val="000000"/>
          <w:sz w:val="22"/>
          <w:szCs w:val="22"/>
          <w:lang w:val="da-DK"/>
        </w:rPr>
      </w:pPr>
    </w:p>
    <w:p w14:paraId="3F5DE925" w14:textId="77777777" w:rsidR="009313F9" w:rsidRPr="004C2A59" w:rsidRDefault="009313F9" w:rsidP="00421681">
      <w:pPr>
        <w:widowControl w:val="0"/>
        <w:rPr>
          <w:color w:val="000000"/>
          <w:sz w:val="22"/>
          <w:szCs w:val="22"/>
          <w:lang w:val="da-DK"/>
        </w:rPr>
      </w:pPr>
      <w:r w:rsidRPr="004C2A59">
        <w:rPr>
          <w:color w:val="000000"/>
          <w:sz w:val="22"/>
          <w:szCs w:val="22"/>
          <w:lang w:val="da-DK"/>
        </w:rPr>
        <w:t xml:space="preserve">Den anbefalede dosis af Glivec er 400 mg/dag for adjuverende behandling af voksne efter resektion af GIST. </w:t>
      </w:r>
      <w:r w:rsidR="00394C49" w:rsidRPr="004C2A59">
        <w:rPr>
          <w:color w:val="000000"/>
          <w:sz w:val="22"/>
          <w:szCs w:val="22"/>
          <w:lang w:val="da-DK"/>
        </w:rPr>
        <w:t>Optimal behandlingsvarighed er endnu ikke fastlagt. Behandlingsvarighed</w:t>
      </w:r>
      <w:r w:rsidR="00681D97" w:rsidRPr="004C2A59">
        <w:rPr>
          <w:color w:val="000000"/>
          <w:sz w:val="22"/>
          <w:szCs w:val="22"/>
          <w:lang w:val="da-DK"/>
        </w:rPr>
        <w:t>en</w:t>
      </w:r>
      <w:r w:rsidR="00394C49" w:rsidRPr="004C2A59">
        <w:rPr>
          <w:color w:val="000000"/>
          <w:sz w:val="22"/>
          <w:szCs w:val="22"/>
          <w:lang w:val="da-DK"/>
        </w:rPr>
        <w:t xml:space="preserve"> i det kliniske forsøg, der ligger til grund for denne indikation, var </w:t>
      </w:r>
      <w:r w:rsidR="00E5511E" w:rsidRPr="004C2A59">
        <w:rPr>
          <w:color w:val="000000"/>
          <w:sz w:val="22"/>
          <w:szCs w:val="22"/>
          <w:lang w:val="da-DK"/>
        </w:rPr>
        <w:t>36</w:t>
      </w:r>
      <w:r w:rsidR="00A92529" w:rsidRPr="004C2A59">
        <w:rPr>
          <w:color w:val="000000"/>
          <w:sz w:val="22"/>
          <w:szCs w:val="22"/>
          <w:lang w:val="da-DK"/>
        </w:rPr>
        <w:t> </w:t>
      </w:r>
      <w:r w:rsidR="00394C49" w:rsidRPr="004C2A59">
        <w:rPr>
          <w:color w:val="000000"/>
          <w:sz w:val="22"/>
          <w:szCs w:val="22"/>
          <w:lang w:val="da-DK"/>
        </w:rPr>
        <w:t>måneder</w:t>
      </w:r>
      <w:r w:rsidR="00E5511E" w:rsidRPr="004C2A59">
        <w:rPr>
          <w:color w:val="000000"/>
          <w:sz w:val="22"/>
          <w:szCs w:val="22"/>
          <w:lang w:val="da-DK"/>
        </w:rPr>
        <w:t xml:space="preserve"> (se pkt. 5.1)</w:t>
      </w:r>
      <w:r w:rsidR="00394C49" w:rsidRPr="004C2A59">
        <w:rPr>
          <w:color w:val="000000"/>
          <w:sz w:val="22"/>
          <w:szCs w:val="22"/>
          <w:lang w:val="da-DK"/>
        </w:rPr>
        <w:t>.</w:t>
      </w:r>
    </w:p>
    <w:p w14:paraId="10C6099C" w14:textId="77777777" w:rsidR="00E277CB" w:rsidRPr="004C2A59" w:rsidRDefault="00E277CB" w:rsidP="00421681">
      <w:pPr>
        <w:widowControl w:val="0"/>
        <w:rPr>
          <w:color w:val="000000"/>
          <w:sz w:val="22"/>
          <w:szCs w:val="22"/>
          <w:lang w:val="da-DK"/>
        </w:rPr>
      </w:pPr>
    </w:p>
    <w:p w14:paraId="186B5EFF" w14:textId="77777777" w:rsidR="00932ED4" w:rsidRPr="004C2A59" w:rsidRDefault="00932ED4" w:rsidP="006C180B">
      <w:pPr>
        <w:keepNext/>
        <w:widowControl w:val="0"/>
        <w:rPr>
          <w:color w:val="000000"/>
          <w:sz w:val="22"/>
          <w:szCs w:val="22"/>
          <w:u w:val="single"/>
          <w:lang w:val="da-DK"/>
        </w:rPr>
      </w:pPr>
      <w:r w:rsidRPr="004C2A59">
        <w:rPr>
          <w:color w:val="000000"/>
          <w:sz w:val="22"/>
          <w:szCs w:val="22"/>
          <w:u w:val="single"/>
          <w:lang w:val="da-DK"/>
        </w:rPr>
        <w:t>Dosering ved DFSP</w:t>
      </w:r>
    </w:p>
    <w:p w14:paraId="6A280E63" w14:textId="77777777" w:rsidR="00932ED4" w:rsidRPr="004C2A59" w:rsidRDefault="00932ED4" w:rsidP="00421681">
      <w:pPr>
        <w:widowControl w:val="0"/>
        <w:rPr>
          <w:color w:val="000000"/>
          <w:sz w:val="22"/>
          <w:szCs w:val="22"/>
          <w:lang w:val="da-DK"/>
        </w:rPr>
      </w:pPr>
      <w:r w:rsidRPr="004C2A59">
        <w:rPr>
          <w:color w:val="000000"/>
          <w:sz w:val="22"/>
          <w:szCs w:val="22"/>
          <w:lang w:val="da-DK"/>
        </w:rPr>
        <w:t xml:space="preserve">Den anbefalede dosis af Glivec er 800 mg/dag til </w:t>
      </w:r>
      <w:r w:rsidR="001A6600" w:rsidRPr="004C2A59">
        <w:rPr>
          <w:color w:val="000000"/>
          <w:sz w:val="22"/>
          <w:szCs w:val="22"/>
          <w:lang w:val="da-DK"/>
        </w:rPr>
        <w:t xml:space="preserve">voksne </w:t>
      </w:r>
      <w:r w:rsidRPr="004C2A59">
        <w:rPr>
          <w:color w:val="000000"/>
          <w:sz w:val="22"/>
          <w:szCs w:val="22"/>
          <w:lang w:val="da-DK"/>
        </w:rPr>
        <w:t>patienter med DSFP.</w:t>
      </w:r>
    </w:p>
    <w:p w14:paraId="1DBCDD2F" w14:textId="77777777" w:rsidR="00932ED4" w:rsidRPr="004C2A59" w:rsidRDefault="00932ED4" w:rsidP="00421681">
      <w:pPr>
        <w:widowControl w:val="0"/>
        <w:rPr>
          <w:color w:val="000000"/>
          <w:sz w:val="22"/>
          <w:szCs w:val="22"/>
          <w:u w:val="single"/>
          <w:lang w:val="da-DK"/>
        </w:rPr>
      </w:pPr>
    </w:p>
    <w:p w14:paraId="717E1928" w14:textId="77777777" w:rsidR="00270C5A" w:rsidRPr="004C2A59" w:rsidRDefault="00270C5A" w:rsidP="006C180B">
      <w:pPr>
        <w:keepNext/>
        <w:widowControl w:val="0"/>
        <w:rPr>
          <w:color w:val="000000"/>
          <w:sz w:val="22"/>
          <w:szCs w:val="22"/>
          <w:u w:val="single"/>
          <w:lang w:val="nb-NO"/>
        </w:rPr>
      </w:pPr>
      <w:r w:rsidRPr="004C2A59">
        <w:rPr>
          <w:color w:val="000000"/>
          <w:sz w:val="22"/>
          <w:szCs w:val="22"/>
          <w:u w:val="single"/>
          <w:lang w:val="nb-NO"/>
        </w:rPr>
        <w:lastRenderedPageBreak/>
        <w:t>Dosisjustering i forbindelse med bivirkninger</w:t>
      </w:r>
    </w:p>
    <w:p w14:paraId="0D97FF82" w14:textId="77777777" w:rsidR="00270C5A" w:rsidRPr="004C2A59" w:rsidRDefault="00270C5A" w:rsidP="006C180B">
      <w:pPr>
        <w:pStyle w:val="Heading3"/>
        <w:widowControl w:val="0"/>
        <w:numPr>
          <w:ilvl w:val="0"/>
          <w:numId w:val="0"/>
        </w:numPr>
        <w:tabs>
          <w:tab w:val="clear" w:pos="-720"/>
        </w:tabs>
        <w:suppressAutoHyphens w:val="0"/>
        <w:jc w:val="left"/>
        <w:rPr>
          <w:i/>
          <w:noProof w:val="0"/>
          <w:color w:val="000000"/>
          <w:szCs w:val="22"/>
          <w:u w:val="none"/>
          <w:lang w:val="nb-NO"/>
        </w:rPr>
      </w:pPr>
      <w:r w:rsidRPr="004C2A59">
        <w:rPr>
          <w:i/>
          <w:noProof w:val="0"/>
          <w:color w:val="000000"/>
          <w:szCs w:val="22"/>
          <w:u w:val="none"/>
          <w:lang w:val="nb-NO"/>
        </w:rPr>
        <w:t>Ikke-hæmatologiske bivirkninger</w:t>
      </w:r>
    </w:p>
    <w:p w14:paraId="1B31C7F7" w14:textId="77777777" w:rsidR="00270C5A" w:rsidRPr="004C2A59" w:rsidRDefault="00270C5A" w:rsidP="00421681">
      <w:pPr>
        <w:pStyle w:val="EndnoteText"/>
        <w:tabs>
          <w:tab w:val="clear" w:pos="567"/>
        </w:tabs>
        <w:rPr>
          <w:color w:val="000000"/>
          <w:szCs w:val="22"/>
        </w:rPr>
      </w:pPr>
      <w:r w:rsidRPr="004C2A59">
        <w:rPr>
          <w:color w:val="000000"/>
          <w:szCs w:val="22"/>
        </w:rPr>
        <w:t>Hvis der opstår alvorlige ikke-hæmatologiske bivirkninger ved behandling med Glivec, skal behandlingen seponeres, indtil bivirkningerne er ophørt. Alt efter bivirkningernes sværhedsgrad kan behandlingen derefter genoptages.</w:t>
      </w:r>
    </w:p>
    <w:p w14:paraId="5FD108E0" w14:textId="77777777" w:rsidR="00270C5A" w:rsidRPr="004C2A59" w:rsidRDefault="00270C5A" w:rsidP="00421681">
      <w:pPr>
        <w:pStyle w:val="EndnoteText"/>
        <w:tabs>
          <w:tab w:val="clear" w:pos="567"/>
        </w:tabs>
        <w:rPr>
          <w:color w:val="000000"/>
          <w:szCs w:val="22"/>
        </w:rPr>
      </w:pPr>
    </w:p>
    <w:p w14:paraId="714E516A" w14:textId="77777777" w:rsidR="00270C5A" w:rsidRPr="004C2A59" w:rsidRDefault="00270C5A" w:rsidP="00421681">
      <w:pPr>
        <w:pStyle w:val="EndnoteText"/>
        <w:tabs>
          <w:tab w:val="clear" w:pos="567"/>
        </w:tabs>
        <w:rPr>
          <w:color w:val="000000"/>
          <w:szCs w:val="22"/>
        </w:rPr>
      </w:pPr>
      <w:r w:rsidRPr="004C2A59">
        <w:rPr>
          <w:color w:val="000000"/>
          <w:szCs w:val="22"/>
        </w:rPr>
        <w:t>Hvis der opstår stigninger i bilirubin &gt;3 x IULN (institutional upper limit of normal) eller i levertransaminaser &gt;5 x IULN, skal Glivec seponeres indtil bilirubinniveauerne er faldet til &lt;1,5 x IULN og transaminaseniveauer til &lt;2,5 x IULN. Behandling med Glivec kan da genoptages ved reduceret daglig dosis. Hos voksne bør dosis reduceres fra 400 til 300</w:t>
      </w:r>
      <w:r w:rsidR="00C17108" w:rsidRPr="004C2A59">
        <w:rPr>
          <w:color w:val="000000"/>
          <w:szCs w:val="22"/>
        </w:rPr>
        <w:t> mg</w:t>
      </w:r>
      <w:r w:rsidRPr="004C2A59">
        <w:rPr>
          <w:color w:val="000000"/>
          <w:szCs w:val="22"/>
        </w:rPr>
        <w:t xml:space="preserve"> eller fra 600 til 400</w:t>
      </w:r>
      <w:r w:rsidR="00C17108" w:rsidRPr="004C2A59">
        <w:rPr>
          <w:color w:val="000000"/>
          <w:szCs w:val="22"/>
        </w:rPr>
        <w:t> mg</w:t>
      </w:r>
      <w:r w:rsidR="00932ED4" w:rsidRPr="004C2A59">
        <w:rPr>
          <w:color w:val="000000"/>
          <w:szCs w:val="22"/>
        </w:rPr>
        <w:t>, eller fra 800 mg til 600 mg,</w:t>
      </w:r>
      <w:r w:rsidRPr="004C2A59">
        <w:rPr>
          <w:color w:val="000000"/>
          <w:szCs w:val="22"/>
        </w:rPr>
        <w:t xml:space="preserve"> og hos børn fra 340 til 260 mg/m</w:t>
      </w:r>
      <w:r w:rsidRPr="004C2A59">
        <w:rPr>
          <w:color w:val="000000"/>
          <w:szCs w:val="22"/>
          <w:vertAlign w:val="superscript"/>
        </w:rPr>
        <w:t>2</w:t>
      </w:r>
      <w:r w:rsidRPr="004C2A59">
        <w:rPr>
          <w:color w:val="000000"/>
          <w:szCs w:val="22"/>
        </w:rPr>
        <w:t>/dag.</w:t>
      </w:r>
    </w:p>
    <w:p w14:paraId="649639C1" w14:textId="77777777" w:rsidR="00270C5A" w:rsidRPr="004C2A59" w:rsidRDefault="00270C5A" w:rsidP="00421681">
      <w:pPr>
        <w:pStyle w:val="EndnoteText"/>
        <w:tabs>
          <w:tab w:val="clear" w:pos="567"/>
        </w:tabs>
        <w:rPr>
          <w:color w:val="000000"/>
          <w:szCs w:val="22"/>
        </w:rPr>
      </w:pPr>
    </w:p>
    <w:p w14:paraId="723290D4" w14:textId="77777777" w:rsidR="00270C5A" w:rsidRPr="004C2A59" w:rsidRDefault="00270C5A" w:rsidP="006C180B">
      <w:pPr>
        <w:pStyle w:val="EndnoteText"/>
        <w:keepNext/>
        <w:tabs>
          <w:tab w:val="clear" w:pos="567"/>
        </w:tabs>
        <w:rPr>
          <w:i/>
          <w:color w:val="000000"/>
          <w:szCs w:val="22"/>
        </w:rPr>
      </w:pPr>
      <w:r w:rsidRPr="004C2A59">
        <w:rPr>
          <w:i/>
          <w:color w:val="000000"/>
          <w:szCs w:val="22"/>
        </w:rPr>
        <w:t>Hæmatologiske bivirkninger</w:t>
      </w:r>
    </w:p>
    <w:p w14:paraId="18EB0E8D" w14:textId="77777777" w:rsidR="00270C5A" w:rsidRPr="004C2A59" w:rsidRDefault="00270C5A" w:rsidP="00421681">
      <w:pPr>
        <w:pStyle w:val="EndnoteText"/>
        <w:tabs>
          <w:tab w:val="clear" w:pos="567"/>
        </w:tabs>
        <w:rPr>
          <w:color w:val="000000"/>
          <w:szCs w:val="22"/>
        </w:rPr>
      </w:pPr>
      <w:r w:rsidRPr="004C2A59">
        <w:rPr>
          <w:color w:val="000000"/>
          <w:szCs w:val="22"/>
        </w:rPr>
        <w:t>I tilfælde af svær neutropeni og trombocytopeni anbefales dosisreduktion eller seponering af behandlingen, som angivet i nedenstående tabel:</w:t>
      </w:r>
    </w:p>
    <w:p w14:paraId="0C9A02AE" w14:textId="77777777" w:rsidR="00270C5A" w:rsidRPr="004C2A59" w:rsidRDefault="00270C5A" w:rsidP="00421681">
      <w:pPr>
        <w:pStyle w:val="EndnoteText"/>
        <w:tabs>
          <w:tab w:val="clear" w:pos="567"/>
        </w:tabs>
        <w:rPr>
          <w:color w:val="000000"/>
          <w:szCs w:val="22"/>
        </w:rPr>
      </w:pPr>
    </w:p>
    <w:p w14:paraId="0B657D52" w14:textId="77777777" w:rsidR="00270C5A" w:rsidRPr="004C2A59" w:rsidRDefault="00270C5A" w:rsidP="006C180B">
      <w:pPr>
        <w:pStyle w:val="EndnoteText"/>
        <w:keepNext/>
        <w:tabs>
          <w:tab w:val="clear" w:pos="567"/>
        </w:tabs>
        <w:rPr>
          <w:color w:val="000000"/>
          <w:szCs w:val="22"/>
        </w:rPr>
      </w:pPr>
      <w:r w:rsidRPr="004C2A59">
        <w:rPr>
          <w:color w:val="000000"/>
          <w:szCs w:val="22"/>
        </w:rPr>
        <w:t>Dosisjusteringer på grund af neutropeni og trombocytopeni</w:t>
      </w:r>
    </w:p>
    <w:p w14:paraId="4F85576E" w14:textId="77777777" w:rsidR="00E51623" w:rsidRPr="004C2A59" w:rsidRDefault="00E51623" w:rsidP="006C180B">
      <w:pPr>
        <w:pStyle w:val="EndnoteText"/>
        <w:keepNext/>
        <w:tabs>
          <w:tab w:val="clear" w:pos="567"/>
        </w:tabs>
        <w:rPr>
          <w:color w:val="000000"/>
          <w:szCs w:val="22"/>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693"/>
        <w:gridCol w:w="4394"/>
      </w:tblGrid>
      <w:tr w:rsidR="00E51623" w:rsidRPr="00DA2798" w14:paraId="0250CE37" w14:textId="77777777" w:rsidTr="006C180B">
        <w:trPr>
          <w:cantSplit/>
        </w:trPr>
        <w:tc>
          <w:tcPr>
            <w:tcW w:w="1985" w:type="dxa"/>
            <w:tcBorders>
              <w:bottom w:val="single" w:sz="6" w:space="0" w:color="auto"/>
              <w:right w:val="single" w:sz="6" w:space="0" w:color="auto"/>
            </w:tcBorders>
          </w:tcPr>
          <w:p w14:paraId="4977E9FB" w14:textId="77777777" w:rsidR="00E51623" w:rsidRPr="004C2A59" w:rsidRDefault="00E51623" w:rsidP="006C180B">
            <w:pPr>
              <w:pStyle w:val="EndnoteText"/>
              <w:keepNext/>
              <w:tabs>
                <w:tab w:val="clear" w:pos="567"/>
              </w:tabs>
              <w:rPr>
                <w:color w:val="000000"/>
                <w:szCs w:val="22"/>
                <w:lang w:val="en-US"/>
              </w:rPr>
            </w:pPr>
            <w:r w:rsidRPr="004C2A59">
              <w:rPr>
                <w:color w:val="000000"/>
                <w:szCs w:val="22"/>
                <w:lang w:val="en-US"/>
              </w:rPr>
              <w:t>HES/</w:t>
            </w:r>
            <w:smartTag w:uri="urn:schemas-microsoft-com:office:smarttags" w:element="metricconverter">
              <w:r w:rsidRPr="004C2A59">
                <w:rPr>
                  <w:color w:val="000000"/>
                  <w:szCs w:val="22"/>
                  <w:lang w:val="en-US"/>
                </w:rPr>
                <w:t>CEL</w:t>
              </w:r>
            </w:smartTag>
            <w:r w:rsidRPr="004C2A59">
              <w:rPr>
                <w:color w:val="000000"/>
                <w:szCs w:val="22"/>
                <w:lang w:val="en-US"/>
              </w:rPr>
              <w:t xml:space="preserve"> (start dosering 100 mg)</w:t>
            </w:r>
          </w:p>
        </w:tc>
        <w:tc>
          <w:tcPr>
            <w:tcW w:w="2693" w:type="dxa"/>
            <w:tcBorders>
              <w:left w:val="single" w:sz="6" w:space="0" w:color="auto"/>
              <w:bottom w:val="single" w:sz="6" w:space="0" w:color="auto"/>
              <w:right w:val="single" w:sz="6" w:space="0" w:color="auto"/>
            </w:tcBorders>
          </w:tcPr>
          <w:p w14:paraId="185825EA" w14:textId="77777777" w:rsidR="00E51623" w:rsidRPr="004C2A59" w:rsidRDefault="00E51623" w:rsidP="006C180B">
            <w:pPr>
              <w:pStyle w:val="Table"/>
              <w:keepLines w:val="0"/>
              <w:widowControl w:val="0"/>
              <w:suppressLineNumber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ANC &lt;1,0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08B352C9" w14:textId="77777777" w:rsidR="00E51623" w:rsidRPr="004C2A59" w:rsidRDefault="00E51623" w:rsidP="006C180B">
            <w:pPr>
              <w:pStyle w:val="Table"/>
              <w:keepLines w:val="0"/>
              <w:widowControl w:val="0"/>
              <w:suppressLineNumber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og/eller</w:t>
            </w:r>
          </w:p>
          <w:p w14:paraId="627B9527" w14:textId="77777777" w:rsidR="00E51623" w:rsidRPr="004C2A59" w:rsidRDefault="00E51623" w:rsidP="006C180B">
            <w:pPr>
              <w:pStyle w:val="Table"/>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trombocytter &lt;50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tc>
        <w:tc>
          <w:tcPr>
            <w:tcW w:w="4394" w:type="dxa"/>
            <w:tcBorders>
              <w:left w:val="single" w:sz="6" w:space="0" w:color="auto"/>
              <w:bottom w:val="single" w:sz="6" w:space="0" w:color="auto"/>
            </w:tcBorders>
          </w:tcPr>
          <w:p w14:paraId="3A15D27C" w14:textId="77777777" w:rsidR="00E51623" w:rsidRPr="004C2A59" w:rsidRDefault="00E51623" w:rsidP="006C180B">
            <w:pPr>
              <w:pStyle w:val="Table"/>
              <w:keepLines w:val="0"/>
              <w:widowControl w:val="0"/>
              <w:suppressLineNumbers/>
              <w:tabs>
                <w:tab w:val="clear" w:pos="284"/>
              </w:tabs>
              <w:spacing w:before="0" w:after="0"/>
              <w:ind w:left="459" w:hanging="425"/>
              <w:rPr>
                <w:rFonts w:ascii="Times New Roman" w:hAnsi="Times New Roman"/>
                <w:color w:val="000000"/>
                <w:sz w:val="22"/>
                <w:szCs w:val="22"/>
                <w:lang w:val="da-DK"/>
              </w:rPr>
            </w:pPr>
            <w:r w:rsidRPr="004C2A59">
              <w:rPr>
                <w:rFonts w:ascii="Times New Roman" w:hAnsi="Times New Roman"/>
                <w:color w:val="000000"/>
                <w:sz w:val="22"/>
                <w:szCs w:val="22"/>
                <w:lang w:val="da-DK"/>
              </w:rPr>
              <w:t>1.</w:t>
            </w:r>
            <w:r w:rsidRPr="004C2A59">
              <w:rPr>
                <w:rFonts w:ascii="Times New Roman" w:hAnsi="Times New Roman"/>
                <w:color w:val="000000"/>
                <w:sz w:val="22"/>
                <w:szCs w:val="22"/>
                <w:lang w:val="da-DK"/>
              </w:rPr>
              <w:tab/>
              <w:t>Seponer Glivec indtil ANC </w:t>
            </w:r>
            <w:r w:rsidRPr="004C2A59">
              <w:rPr>
                <w:rFonts w:ascii="Times New Roman" w:hAnsi="Times New Roman"/>
                <w:color w:val="000000"/>
                <w:sz w:val="22"/>
                <w:szCs w:val="22"/>
                <w:lang w:val="en-GB"/>
              </w:rPr>
              <w:sym w:font="Symbol" w:char="F0B3"/>
            </w:r>
            <w:r w:rsidRPr="004C2A59">
              <w:rPr>
                <w:rFonts w:ascii="Times New Roman" w:hAnsi="Times New Roman"/>
                <w:color w:val="000000"/>
                <w:sz w:val="22"/>
                <w:szCs w:val="22"/>
                <w:lang w:val="da-DK"/>
              </w:rPr>
              <w:t>1,5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og trombocytter </w:t>
            </w:r>
            <w:r w:rsidRPr="004C2A59">
              <w:rPr>
                <w:rFonts w:ascii="Times New Roman" w:hAnsi="Times New Roman"/>
                <w:color w:val="000000"/>
                <w:sz w:val="22"/>
                <w:szCs w:val="22"/>
                <w:lang w:val="en-GB"/>
              </w:rPr>
              <w:sym w:font="Symbol" w:char="F0B3"/>
            </w:r>
            <w:r w:rsidRPr="004C2A59">
              <w:rPr>
                <w:rFonts w:ascii="Times New Roman" w:hAnsi="Times New Roman"/>
                <w:color w:val="000000"/>
                <w:sz w:val="22"/>
                <w:szCs w:val="22"/>
                <w:lang w:val="da-DK"/>
              </w:rPr>
              <w:t>75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7238A64D" w14:textId="77777777" w:rsidR="00E51623" w:rsidRPr="004C2A59" w:rsidRDefault="00E51623" w:rsidP="006C180B">
            <w:pPr>
              <w:pStyle w:val="Table"/>
              <w:keepLines w:val="0"/>
              <w:widowControl w:val="0"/>
              <w:suppressLineNumbers/>
              <w:tabs>
                <w:tab w:val="clear" w:pos="284"/>
              </w:tabs>
              <w:spacing w:before="0" w:after="0"/>
              <w:ind w:left="459" w:hanging="425"/>
              <w:rPr>
                <w:rFonts w:ascii="Times New Roman" w:hAnsi="Times New Roman"/>
                <w:color w:val="000000"/>
                <w:sz w:val="22"/>
                <w:szCs w:val="22"/>
                <w:lang w:val="da-DK"/>
              </w:rPr>
            </w:pPr>
            <w:r w:rsidRPr="004C2A59">
              <w:rPr>
                <w:rFonts w:ascii="Times New Roman" w:hAnsi="Times New Roman"/>
                <w:color w:val="000000"/>
                <w:sz w:val="22"/>
                <w:szCs w:val="22"/>
                <w:lang w:val="da-DK"/>
              </w:rPr>
              <w:t>2.</w:t>
            </w:r>
            <w:r w:rsidRPr="004C2A59">
              <w:rPr>
                <w:rFonts w:ascii="Times New Roman" w:hAnsi="Times New Roman"/>
                <w:color w:val="000000"/>
                <w:sz w:val="22"/>
                <w:szCs w:val="22"/>
                <w:lang w:val="da-DK"/>
              </w:rPr>
              <w:tab/>
              <w:t>Genoptag Glivec-behandlingen ved den tidligere dosis (dvs. før svære bivirkninger).</w:t>
            </w:r>
          </w:p>
        </w:tc>
      </w:tr>
      <w:tr w:rsidR="00E51623" w:rsidRPr="00F852D1" w14:paraId="523DEB1D" w14:textId="77777777" w:rsidTr="006C180B">
        <w:trPr>
          <w:cantSplit/>
        </w:trPr>
        <w:tc>
          <w:tcPr>
            <w:tcW w:w="1985" w:type="dxa"/>
            <w:tcBorders>
              <w:bottom w:val="single" w:sz="6" w:space="0" w:color="auto"/>
              <w:right w:val="single" w:sz="6" w:space="0" w:color="auto"/>
            </w:tcBorders>
          </w:tcPr>
          <w:p w14:paraId="7103B95E" w14:textId="77777777" w:rsidR="00E51623" w:rsidRPr="004C2A59" w:rsidRDefault="00E51623" w:rsidP="00421681">
            <w:pPr>
              <w:pStyle w:val="EndnoteText"/>
              <w:tabs>
                <w:tab w:val="clear" w:pos="567"/>
              </w:tabs>
              <w:rPr>
                <w:color w:val="000000"/>
                <w:szCs w:val="22"/>
              </w:rPr>
            </w:pPr>
            <w:r w:rsidRPr="004C2A59">
              <w:rPr>
                <w:color w:val="000000"/>
                <w:szCs w:val="22"/>
              </w:rPr>
              <w:t xml:space="preserve">CML i kronisk fase, </w:t>
            </w:r>
            <w:smartTag w:uri="urn:schemas-microsoft-com:office:smarttags" w:element="metricconverter">
              <w:r w:rsidRPr="004C2A59">
                <w:rPr>
                  <w:color w:val="000000"/>
                  <w:szCs w:val="22"/>
                </w:rPr>
                <w:t>MDS</w:t>
              </w:r>
            </w:smartTag>
            <w:r w:rsidRPr="004C2A59">
              <w:rPr>
                <w:color w:val="000000"/>
                <w:szCs w:val="22"/>
              </w:rPr>
              <w:t>/MPD og GIST (startdosis 400 mg)</w:t>
            </w:r>
          </w:p>
          <w:p w14:paraId="36EB3D7E" w14:textId="77777777" w:rsidR="00E51623" w:rsidRPr="004C2A59" w:rsidRDefault="00E51623" w:rsidP="00421681">
            <w:pPr>
              <w:pStyle w:val="EndnoteText"/>
              <w:tabs>
                <w:tab w:val="clear" w:pos="567"/>
              </w:tabs>
              <w:rPr>
                <w:color w:val="000000"/>
                <w:szCs w:val="22"/>
              </w:rPr>
            </w:pPr>
            <w:r w:rsidRPr="004C2A59">
              <w:rPr>
                <w:color w:val="000000"/>
                <w:szCs w:val="22"/>
              </w:rPr>
              <w:t>HES/</w:t>
            </w:r>
            <w:smartTag w:uri="urn:schemas-microsoft-com:office:smarttags" w:element="metricconverter">
              <w:r w:rsidRPr="004C2A59">
                <w:rPr>
                  <w:color w:val="000000"/>
                  <w:szCs w:val="22"/>
                </w:rPr>
                <w:t>CEL</w:t>
              </w:r>
            </w:smartTag>
          </w:p>
          <w:p w14:paraId="79A2DC5E" w14:textId="77777777" w:rsidR="00E51623" w:rsidRPr="004C2A59" w:rsidRDefault="00E51623" w:rsidP="00421681">
            <w:pPr>
              <w:pStyle w:val="EndnoteText"/>
              <w:tabs>
                <w:tab w:val="clear" w:pos="567"/>
              </w:tabs>
              <w:rPr>
                <w:color w:val="000000"/>
                <w:szCs w:val="22"/>
              </w:rPr>
            </w:pPr>
            <w:r w:rsidRPr="004C2A59">
              <w:rPr>
                <w:color w:val="000000"/>
                <w:szCs w:val="22"/>
              </w:rPr>
              <w:t>(ved 400 mg dosis)</w:t>
            </w:r>
          </w:p>
        </w:tc>
        <w:tc>
          <w:tcPr>
            <w:tcW w:w="2693" w:type="dxa"/>
            <w:tcBorders>
              <w:left w:val="single" w:sz="6" w:space="0" w:color="auto"/>
              <w:bottom w:val="single" w:sz="6" w:space="0" w:color="auto"/>
              <w:right w:val="single" w:sz="6" w:space="0" w:color="auto"/>
            </w:tcBorders>
          </w:tcPr>
          <w:p w14:paraId="77ECFAEE" w14:textId="77777777" w:rsidR="00E51623" w:rsidRPr="004C2A59" w:rsidRDefault="00E51623" w:rsidP="00421681">
            <w:pPr>
              <w:pStyle w:val="Table"/>
              <w:keepNext w:val="0"/>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ANC &lt;1,0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5963752B" w14:textId="77777777" w:rsidR="00E51623" w:rsidRPr="004C2A59" w:rsidRDefault="00E51623" w:rsidP="00421681">
            <w:pPr>
              <w:pStyle w:val="Table"/>
              <w:keepNext w:val="0"/>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og/eller</w:t>
            </w:r>
          </w:p>
          <w:p w14:paraId="5792E470" w14:textId="77777777" w:rsidR="00E51623" w:rsidRPr="004C2A59" w:rsidRDefault="00E51623" w:rsidP="00421681">
            <w:pPr>
              <w:pStyle w:val="EndnoteText"/>
              <w:tabs>
                <w:tab w:val="clear" w:pos="567"/>
              </w:tabs>
              <w:rPr>
                <w:color w:val="000000"/>
                <w:szCs w:val="22"/>
              </w:rPr>
            </w:pPr>
            <w:r w:rsidRPr="004C2A59">
              <w:rPr>
                <w:color w:val="000000"/>
                <w:szCs w:val="22"/>
              </w:rPr>
              <w:t>trombocytter &lt;50 x 10</w:t>
            </w:r>
            <w:r w:rsidRPr="004C2A59">
              <w:rPr>
                <w:color w:val="000000"/>
                <w:szCs w:val="22"/>
                <w:vertAlign w:val="superscript"/>
              </w:rPr>
              <w:t>9</w:t>
            </w:r>
            <w:r w:rsidRPr="004C2A59">
              <w:rPr>
                <w:color w:val="000000"/>
                <w:szCs w:val="22"/>
              </w:rPr>
              <w:t>/l</w:t>
            </w:r>
          </w:p>
        </w:tc>
        <w:tc>
          <w:tcPr>
            <w:tcW w:w="4394" w:type="dxa"/>
            <w:tcBorders>
              <w:left w:val="single" w:sz="6" w:space="0" w:color="auto"/>
              <w:bottom w:val="single" w:sz="6" w:space="0" w:color="auto"/>
            </w:tcBorders>
          </w:tcPr>
          <w:p w14:paraId="39527328" w14:textId="77777777" w:rsidR="00E51623" w:rsidRPr="004C2A59" w:rsidRDefault="00E51623" w:rsidP="00421681">
            <w:pPr>
              <w:pStyle w:val="Table"/>
              <w:keepNext w:val="0"/>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1.</w:t>
            </w:r>
            <w:r w:rsidRPr="004C2A59">
              <w:rPr>
                <w:rFonts w:ascii="Times New Roman" w:hAnsi="Times New Roman"/>
                <w:color w:val="000000"/>
                <w:sz w:val="22"/>
                <w:szCs w:val="22"/>
                <w:lang w:val="da-DK"/>
              </w:rPr>
              <w:tab/>
              <w:t xml:space="preserve">Seponer Glivec indtil ANC </w:t>
            </w:r>
            <w:r w:rsidRPr="004C2A59">
              <w:rPr>
                <w:rFonts w:ascii="Times New Roman" w:hAnsi="Times New Roman"/>
                <w:color w:val="000000"/>
                <w:sz w:val="22"/>
                <w:szCs w:val="22"/>
                <w:lang w:val="da-DK"/>
              </w:rPr>
              <w:sym w:font="Symbol" w:char="F0B3"/>
            </w:r>
            <w:r w:rsidRPr="004C2A59">
              <w:rPr>
                <w:rFonts w:ascii="Times New Roman" w:hAnsi="Times New Roman"/>
                <w:color w:val="000000"/>
                <w:sz w:val="22"/>
                <w:szCs w:val="22"/>
                <w:lang w:val="da-DK"/>
              </w:rPr>
              <w:t>1,5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 xml:space="preserve">/l og trombocytter </w:t>
            </w:r>
            <w:r w:rsidRPr="004C2A59">
              <w:rPr>
                <w:rFonts w:ascii="Times New Roman" w:hAnsi="Times New Roman"/>
                <w:color w:val="000000"/>
                <w:sz w:val="22"/>
                <w:szCs w:val="22"/>
                <w:lang w:val="da-DK"/>
              </w:rPr>
              <w:sym w:font="Symbol" w:char="F0B3"/>
            </w:r>
            <w:r w:rsidRPr="004C2A59">
              <w:rPr>
                <w:rFonts w:ascii="Times New Roman" w:hAnsi="Times New Roman"/>
                <w:color w:val="000000"/>
                <w:sz w:val="22"/>
                <w:szCs w:val="22"/>
                <w:lang w:val="da-DK"/>
              </w:rPr>
              <w:t>75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2B189089" w14:textId="77777777" w:rsidR="00E51623" w:rsidRPr="004C2A59" w:rsidRDefault="00E51623" w:rsidP="00421681">
            <w:pPr>
              <w:pStyle w:val="Table"/>
              <w:keepNext w:val="0"/>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2.</w:t>
            </w:r>
            <w:r w:rsidRPr="004C2A59">
              <w:rPr>
                <w:rFonts w:ascii="Times New Roman" w:hAnsi="Times New Roman"/>
                <w:color w:val="000000"/>
                <w:sz w:val="22"/>
                <w:szCs w:val="22"/>
                <w:lang w:val="da-DK"/>
              </w:rPr>
              <w:tab/>
              <w:t>Genoptag Glivec-behandlingen ved den tidligere dosis (dvs. før svære bivirkninger).</w:t>
            </w:r>
          </w:p>
          <w:p w14:paraId="686DAACA" w14:textId="77777777" w:rsidR="00E51623" w:rsidRPr="004C2A59" w:rsidRDefault="00E51623" w:rsidP="00421681">
            <w:pPr>
              <w:pStyle w:val="EndnoteText"/>
              <w:tabs>
                <w:tab w:val="clear" w:pos="567"/>
              </w:tabs>
              <w:ind w:left="459" w:hanging="459"/>
              <w:rPr>
                <w:color w:val="000000"/>
                <w:szCs w:val="22"/>
              </w:rPr>
            </w:pPr>
            <w:r w:rsidRPr="004C2A59">
              <w:rPr>
                <w:color w:val="000000"/>
                <w:szCs w:val="22"/>
              </w:rPr>
              <w:t>3.</w:t>
            </w:r>
            <w:r w:rsidRPr="004C2A59">
              <w:rPr>
                <w:color w:val="000000"/>
                <w:szCs w:val="22"/>
              </w:rPr>
              <w:tab/>
              <w:t>I tilfælde af recidiverende ANC &lt;1,0 x 10</w:t>
            </w:r>
            <w:r w:rsidRPr="004C2A59">
              <w:rPr>
                <w:color w:val="000000"/>
                <w:szCs w:val="22"/>
                <w:vertAlign w:val="superscript"/>
              </w:rPr>
              <w:t>9</w:t>
            </w:r>
            <w:r w:rsidRPr="004C2A59">
              <w:rPr>
                <w:color w:val="000000"/>
                <w:szCs w:val="22"/>
              </w:rPr>
              <w:t>/l og/eller trombocytter &lt;50 x 10</w:t>
            </w:r>
            <w:r w:rsidRPr="004C2A59">
              <w:rPr>
                <w:color w:val="000000"/>
                <w:szCs w:val="22"/>
                <w:vertAlign w:val="superscript"/>
              </w:rPr>
              <w:t>9</w:t>
            </w:r>
            <w:r w:rsidRPr="004C2A59">
              <w:rPr>
                <w:color w:val="000000"/>
                <w:szCs w:val="22"/>
              </w:rPr>
              <w:t>/l, gentag trin 1 og genoptag behandling med Glivec i en reduceret dosis på 300 mg.</w:t>
            </w:r>
          </w:p>
        </w:tc>
      </w:tr>
      <w:tr w:rsidR="00E51623" w:rsidRPr="00F852D1" w14:paraId="5A979443" w14:textId="77777777" w:rsidTr="006C180B">
        <w:trPr>
          <w:cantSplit/>
        </w:trPr>
        <w:tc>
          <w:tcPr>
            <w:tcW w:w="1985" w:type="dxa"/>
            <w:tcBorders>
              <w:top w:val="single" w:sz="6" w:space="0" w:color="auto"/>
              <w:left w:val="single" w:sz="4" w:space="0" w:color="auto"/>
              <w:bottom w:val="single" w:sz="4" w:space="0" w:color="auto"/>
              <w:right w:val="single" w:sz="6" w:space="0" w:color="auto"/>
            </w:tcBorders>
          </w:tcPr>
          <w:p w14:paraId="2C71884F" w14:textId="77777777" w:rsidR="00E51623" w:rsidRPr="004C2A59" w:rsidRDefault="00E51623" w:rsidP="00421681">
            <w:pPr>
              <w:pStyle w:val="EndnoteText"/>
              <w:tabs>
                <w:tab w:val="clear" w:pos="567"/>
              </w:tabs>
              <w:rPr>
                <w:color w:val="000000"/>
                <w:szCs w:val="22"/>
              </w:rPr>
            </w:pPr>
            <w:r w:rsidRPr="004C2A59">
              <w:rPr>
                <w:color w:val="000000"/>
                <w:szCs w:val="22"/>
              </w:rPr>
              <w:t>Børn med CML i kronisk fase</w:t>
            </w:r>
          </w:p>
          <w:p w14:paraId="1A871133" w14:textId="77777777" w:rsidR="00E51623" w:rsidRPr="004C2A59" w:rsidRDefault="00E51623" w:rsidP="00421681">
            <w:pPr>
              <w:pStyle w:val="EndnoteText"/>
              <w:tabs>
                <w:tab w:val="clear" w:pos="567"/>
              </w:tabs>
              <w:rPr>
                <w:color w:val="000000"/>
                <w:szCs w:val="22"/>
              </w:rPr>
            </w:pPr>
            <w:r w:rsidRPr="004C2A59">
              <w:rPr>
                <w:color w:val="000000"/>
                <w:szCs w:val="22"/>
              </w:rPr>
              <w:t>(ved en dosis på 340 mg/m</w:t>
            </w:r>
            <w:r w:rsidRPr="004C2A59">
              <w:rPr>
                <w:color w:val="000000"/>
                <w:szCs w:val="22"/>
                <w:vertAlign w:val="superscript"/>
              </w:rPr>
              <w:t>2</w:t>
            </w:r>
            <w:r w:rsidRPr="004C2A59">
              <w:rPr>
                <w:color w:val="000000"/>
                <w:szCs w:val="22"/>
              </w:rPr>
              <w:t>)</w:t>
            </w:r>
          </w:p>
        </w:tc>
        <w:tc>
          <w:tcPr>
            <w:tcW w:w="2693" w:type="dxa"/>
            <w:tcBorders>
              <w:top w:val="single" w:sz="6" w:space="0" w:color="auto"/>
              <w:left w:val="single" w:sz="6" w:space="0" w:color="auto"/>
              <w:bottom w:val="single" w:sz="4" w:space="0" w:color="auto"/>
              <w:right w:val="single" w:sz="6" w:space="0" w:color="auto"/>
            </w:tcBorders>
          </w:tcPr>
          <w:p w14:paraId="4AAB847A" w14:textId="77777777" w:rsidR="00E51623" w:rsidRPr="004C2A59" w:rsidRDefault="00E51623" w:rsidP="00421681">
            <w:pPr>
              <w:pStyle w:val="Table"/>
              <w:keepNext w:val="0"/>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ANC &lt;1,0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310629F1" w14:textId="77777777" w:rsidR="00E51623" w:rsidRPr="004C2A59" w:rsidRDefault="00E51623" w:rsidP="00421681">
            <w:pPr>
              <w:pStyle w:val="Table"/>
              <w:keepNext w:val="0"/>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og/eller</w:t>
            </w:r>
          </w:p>
          <w:p w14:paraId="5483D26C" w14:textId="77777777" w:rsidR="00E51623" w:rsidRPr="004C2A59" w:rsidRDefault="00E51623" w:rsidP="00421681">
            <w:pPr>
              <w:pStyle w:val="Table"/>
              <w:keepNext w:val="0"/>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trombocytter &lt;50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tc>
        <w:tc>
          <w:tcPr>
            <w:tcW w:w="4394" w:type="dxa"/>
            <w:tcBorders>
              <w:top w:val="single" w:sz="6" w:space="0" w:color="auto"/>
              <w:left w:val="single" w:sz="6" w:space="0" w:color="auto"/>
              <w:bottom w:val="single" w:sz="4" w:space="0" w:color="auto"/>
              <w:right w:val="single" w:sz="4" w:space="0" w:color="auto"/>
            </w:tcBorders>
          </w:tcPr>
          <w:p w14:paraId="602C6B33" w14:textId="77777777" w:rsidR="00E51623" w:rsidRPr="004C2A59" w:rsidRDefault="00E51623" w:rsidP="00421681">
            <w:pPr>
              <w:pStyle w:val="Table"/>
              <w:keepNext w:val="0"/>
              <w:keepLines w:val="0"/>
              <w:widowControl w:val="0"/>
              <w:suppressLineNumbers/>
              <w:tabs>
                <w:tab w:val="clear" w:pos="284"/>
              </w:tabs>
              <w:spacing w:before="0" w:after="0"/>
              <w:ind w:left="459" w:hanging="425"/>
              <w:rPr>
                <w:rFonts w:ascii="Times New Roman" w:hAnsi="Times New Roman"/>
                <w:color w:val="000000"/>
                <w:sz w:val="22"/>
                <w:szCs w:val="22"/>
                <w:lang w:val="da-DK"/>
              </w:rPr>
            </w:pPr>
            <w:r w:rsidRPr="004C2A59">
              <w:rPr>
                <w:rFonts w:ascii="Times New Roman" w:hAnsi="Times New Roman"/>
                <w:color w:val="000000"/>
                <w:sz w:val="22"/>
                <w:szCs w:val="22"/>
                <w:lang w:val="da-DK"/>
              </w:rPr>
              <w:t>1.</w:t>
            </w:r>
            <w:r w:rsidRPr="004C2A59">
              <w:rPr>
                <w:rFonts w:ascii="Times New Roman" w:hAnsi="Times New Roman"/>
                <w:color w:val="000000"/>
                <w:sz w:val="22"/>
                <w:szCs w:val="22"/>
                <w:lang w:val="da-DK"/>
              </w:rPr>
              <w:tab/>
              <w:t xml:space="preserve">Seponer Glivec indtil ANC </w:t>
            </w:r>
            <w:r w:rsidRPr="004C2A59">
              <w:rPr>
                <w:rFonts w:ascii="Times New Roman" w:hAnsi="Times New Roman"/>
                <w:color w:val="000000"/>
                <w:sz w:val="22"/>
                <w:szCs w:val="22"/>
                <w:lang w:val="da-DK"/>
              </w:rPr>
              <w:sym w:font="Symbol" w:char="F0B3"/>
            </w:r>
            <w:r w:rsidRPr="004C2A59">
              <w:rPr>
                <w:rFonts w:ascii="Times New Roman" w:hAnsi="Times New Roman"/>
                <w:color w:val="000000"/>
                <w:sz w:val="22"/>
                <w:szCs w:val="22"/>
                <w:lang w:val="da-DK"/>
              </w:rPr>
              <w:t>1,5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 xml:space="preserve">/l og trombocytter </w:t>
            </w:r>
            <w:r w:rsidRPr="004C2A59">
              <w:rPr>
                <w:rFonts w:ascii="Times New Roman" w:hAnsi="Times New Roman"/>
                <w:color w:val="000000"/>
                <w:sz w:val="22"/>
                <w:szCs w:val="22"/>
                <w:lang w:val="da-DK"/>
              </w:rPr>
              <w:sym w:font="Symbol" w:char="F0B3"/>
            </w:r>
            <w:r w:rsidRPr="004C2A59">
              <w:rPr>
                <w:rFonts w:ascii="Times New Roman" w:hAnsi="Times New Roman"/>
                <w:color w:val="000000"/>
                <w:sz w:val="22"/>
                <w:szCs w:val="22"/>
                <w:lang w:val="da-DK"/>
              </w:rPr>
              <w:t>75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231967EF" w14:textId="77777777" w:rsidR="00E51623" w:rsidRPr="004C2A59" w:rsidRDefault="00E51623" w:rsidP="00421681">
            <w:pPr>
              <w:pStyle w:val="Table"/>
              <w:keepNext w:val="0"/>
              <w:keepLines w:val="0"/>
              <w:widowControl w:val="0"/>
              <w:suppressLineNumbers/>
              <w:tabs>
                <w:tab w:val="clear" w:pos="284"/>
              </w:tabs>
              <w:spacing w:before="0" w:after="0"/>
              <w:ind w:left="459" w:hanging="425"/>
              <w:rPr>
                <w:rFonts w:ascii="Times New Roman" w:hAnsi="Times New Roman"/>
                <w:color w:val="000000"/>
                <w:sz w:val="22"/>
                <w:szCs w:val="22"/>
                <w:lang w:val="da-DK"/>
              </w:rPr>
            </w:pPr>
            <w:r w:rsidRPr="004C2A59">
              <w:rPr>
                <w:rFonts w:ascii="Times New Roman" w:hAnsi="Times New Roman"/>
                <w:color w:val="000000"/>
                <w:sz w:val="22"/>
                <w:szCs w:val="22"/>
                <w:lang w:val="da-DK"/>
              </w:rPr>
              <w:t>2.</w:t>
            </w:r>
            <w:r w:rsidRPr="004C2A59">
              <w:rPr>
                <w:rFonts w:ascii="Times New Roman" w:hAnsi="Times New Roman"/>
                <w:color w:val="000000"/>
                <w:sz w:val="22"/>
                <w:szCs w:val="22"/>
                <w:lang w:val="da-DK"/>
              </w:rPr>
              <w:tab/>
              <w:t>Genoptag Glivec-behandlingen ved den tidligere dosis (dvs. før svære bivirkninger).</w:t>
            </w:r>
          </w:p>
          <w:p w14:paraId="20B4FE96" w14:textId="77777777" w:rsidR="00E51623" w:rsidRPr="004C2A59" w:rsidRDefault="00E51623" w:rsidP="00421681">
            <w:pPr>
              <w:pStyle w:val="Table"/>
              <w:keepNext w:val="0"/>
              <w:keepLines w:val="0"/>
              <w:widowControl w:val="0"/>
              <w:suppressLineNumbers/>
              <w:tabs>
                <w:tab w:val="clear" w:pos="284"/>
              </w:tabs>
              <w:spacing w:before="0" w:after="0"/>
              <w:ind w:left="459" w:hanging="425"/>
              <w:rPr>
                <w:rFonts w:ascii="Times New Roman" w:hAnsi="Times New Roman"/>
                <w:color w:val="000000"/>
                <w:sz w:val="22"/>
                <w:szCs w:val="22"/>
                <w:lang w:val="da-DK"/>
              </w:rPr>
            </w:pPr>
            <w:r w:rsidRPr="004C2A59">
              <w:rPr>
                <w:rFonts w:ascii="Times New Roman" w:hAnsi="Times New Roman"/>
                <w:color w:val="000000"/>
                <w:sz w:val="22"/>
                <w:szCs w:val="22"/>
                <w:lang w:val="da-DK"/>
              </w:rPr>
              <w:t>3.</w:t>
            </w:r>
            <w:r w:rsidRPr="004C2A59">
              <w:rPr>
                <w:rFonts w:ascii="Times New Roman" w:hAnsi="Times New Roman"/>
                <w:color w:val="000000"/>
                <w:sz w:val="22"/>
                <w:szCs w:val="22"/>
                <w:lang w:val="da-DK"/>
              </w:rPr>
              <w:tab/>
              <w:t>I tilfælde af recidiverende ANC &lt;1,0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og/eller trombocytter &lt;50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gentag trin 1 og genoptag behandling med Glivec i en reduceret dosis på 260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w:t>
            </w:r>
          </w:p>
        </w:tc>
      </w:tr>
      <w:tr w:rsidR="00E51623" w:rsidRPr="00F852D1" w14:paraId="63A275AB" w14:textId="77777777" w:rsidTr="006C180B">
        <w:trPr>
          <w:cantSplit/>
        </w:trPr>
        <w:tc>
          <w:tcPr>
            <w:tcW w:w="1985" w:type="dxa"/>
            <w:tcBorders>
              <w:top w:val="single" w:sz="4" w:space="0" w:color="auto"/>
              <w:left w:val="single" w:sz="4" w:space="0" w:color="auto"/>
              <w:bottom w:val="nil"/>
              <w:right w:val="single" w:sz="6" w:space="0" w:color="auto"/>
            </w:tcBorders>
          </w:tcPr>
          <w:p w14:paraId="041FAB08" w14:textId="77777777" w:rsidR="00E51623" w:rsidRPr="004C2A59" w:rsidRDefault="00E51623" w:rsidP="00421681">
            <w:pPr>
              <w:pStyle w:val="EndnoteText"/>
              <w:tabs>
                <w:tab w:val="clear" w:pos="567"/>
              </w:tabs>
              <w:rPr>
                <w:color w:val="000000"/>
                <w:szCs w:val="22"/>
              </w:rPr>
            </w:pPr>
            <w:r w:rsidRPr="004C2A59">
              <w:rPr>
                <w:color w:val="000000"/>
                <w:szCs w:val="22"/>
              </w:rPr>
              <w:t xml:space="preserve">CML i accelereret fase og blastkrise og Ph+ </w:t>
            </w:r>
            <w:smartTag w:uri="urn:schemas-microsoft-com:office:smarttags" w:element="metricconverter">
              <w:r w:rsidRPr="004C2A59">
                <w:rPr>
                  <w:color w:val="000000"/>
                  <w:szCs w:val="22"/>
                </w:rPr>
                <w:t>ALL</w:t>
              </w:r>
            </w:smartTag>
            <w:r w:rsidRPr="004C2A59">
              <w:rPr>
                <w:color w:val="000000"/>
                <w:szCs w:val="22"/>
              </w:rPr>
              <w:t xml:space="preserve"> (startdosis 600 mg)</w:t>
            </w:r>
          </w:p>
        </w:tc>
        <w:tc>
          <w:tcPr>
            <w:tcW w:w="2693" w:type="dxa"/>
            <w:tcBorders>
              <w:top w:val="single" w:sz="4" w:space="0" w:color="auto"/>
              <w:left w:val="single" w:sz="6" w:space="0" w:color="auto"/>
              <w:bottom w:val="nil"/>
              <w:right w:val="single" w:sz="6" w:space="0" w:color="auto"/>
            </w:tcBorders>
          </w:tcPr>
          <w:p w14:paraId="4DF0F978" w14:textId="77777777" w:rsidR="00E51623" w:rsidRPr="004C2A59" w:rsidRDefault="00E51623" w:rsidP="00421681">
            <w:pPr>
              <w:pStyle w:val="Table"/>
              <w:keepNext w:val="0"/>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vertAlign w:val="superscript"/>
                <w:lang w:val="da-DK"/>
              </w:rPr>
              <w:t>a</w:t>
            </w:r>
            <w:r w:rsidRPr="004C2A59">
              <w:rPr>
                <w:rFonts w:ascii="Times New Roman" w:hAnsi="Times New Roman"/>
                <w:color w:val="000000"/>
                <w:sz w:val="22"/>
                <w:szCs w:val="22"/>
                <w:lang w:val="da-DK"/>
              </w:rPr>
              <w:t>ANC&lt;0,5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309F46D6" w14:textId="77777777" w:rsidR="00E51623" w:rsidRPr="004C2A59" w:rsidRDefault="00E51623" w:rsidP="00421681">
            <w:pPr>
              <w:pStyle w:val="Table"/>
              <w:keepNext w:val="0"/>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og/eller</w:t>
            </w:r>
          </w:p>
          <w:p w14:paraId="696D5C34" w14:textId="77777777" w:rsidR="00E51623" w:rsidRPr="004C2A59" w:rsidRDefault="00E51623" w:rsidP="00421681">
            <w:pPr>
              <w:pStyle w:val="EndnoteText"/>
              <w:tabs>
                <w:tab w:val="clear" w:pos="567"/>
              </w:tabs>
              <w:rPr>
                <w:color w:val="000000"/>
                <w:szCs w:val="22"/>
              </w:rPr>
            </w:pPr>
            <w:r w:rsidRPr="004C2A59">
              <w:rPr>
                <w:color w:val="000000"/>
                <w:szCs w:val="22"/>
              </w:rPr>
              <w:t>trombocytter &lt;10 x 10</w:t>
            </w:r>
            <w:r w:rsidRPr="004C2A59">
              <w:rPr>
                <w:color w:val="000000"/>
                <w:szCs w:val="22"/>
                <w:vertAlign w:val="superscript"/>
              </w:rPr>
              <w:t>9</w:t>
            </w:r>
            <w:r w:rsidRPr="004C2A59">
              <w:rPr>
                <w:color w:val="000000"/>
                <w:szCs w:val="22"/>
              </w:rPr>
              <w:t>/l</w:t>
            </w:r>
          </w:p>
        </w:tc>
        <w:tc>
          <w:tcPr>
            <w:tcW w:w="4394" w:type="dxa"/>
            <w:tcBorders>
              <w:top w:val="single" w:sz="4" w:space="0" w:color="auto"/>
              <w:left w:val="single" w:sz="6" w:space="0" w:color="auto"/>
              <w:bottom w:val="nil"/>
              <w:right w:val="single" w:sz="4" w:space="0" w:color="auto"/>
            </w:tcBorders>
          </w:tcPr>
          <w:p w14:paraId="23771647" w14:textId="77777777" w:rsidR="00E51623" w:rsidRPr="004C2A59" w:rsidRDefault="00E51623" w:rsidP="00421681">
            <w:pPr>
              <w:pStyle w:val="Table"/>
              <w:keepNext w:val="0"/>
              <w:keepLines w:val="0"/>
              <w:widowControl w:val="0"/>
              <w:suppressLineNumbers/>
              <w:tabs>
                <w:tab w:val="clear" w:pos="284"/>
              </w:tabs>
              <w:spacing w:before="0" w:after="0"/>
              <w:ind w:left="459" w:hanging="425"/>
              <w:rPr>
                <w:rFonts w:ascii="Times New Roman" w:hAnsi="Times New Roman"/>
                <w:color w:val="000000"/>
                <w:sz w:val="22"/>
                <w:szCs w:val="22"/>
                <w:lang w:val="da-DK"/>
              </w:rPr>
            </w:pPr>
            <w:r w:rsidRPr="004C2A59">
              <w:rPr>
                <w:rFonts w:ascii="Times New Roman" w:hAnsi="Times New Roman"/>
                <w:color w:val="000000"/>
                <w:sz w:val="22"/>
                <w:szCs w:val="22"/>
                <w:lang w:val="da-DK"/>
              </w:rPr>
              <w:t>1.</w:t>
            </w:r>
            <w:r w:rsidRPr="004C2A59">
              <w:rPr>
                <w:rFonts w:ascii="Times New Roman" w:hAnsi="Times New Roman"/>
                <w:color w:val="000000"/>
                <w:sz w:val="22"/>
                <w:szCs w:val="22"/>
                <w:lang w:val="da-DK"/>
              </w:rPr>
              <w:tab/>
              <w:t>Undersøg om cytopeni er relateret til leukæmi (marv-aspirat eller biopsi).</w:t>
            </w:r>
          </w:p>
          <w:p w14:paraId="2A9E5E09" w14:textId="77777777" w:rsidR="00E51623" w:rsidRPr="004C2A59" w:rsidRDefault="00E51623" w:rsidP="00421681">
            <w:pPr>
              <w:pStyle w:val="Table"/>
              <w:keepNext w:val="0"/>
              <w:keepLines w:val="0"/>
              <w:widowControl w:val="0"/>
              <w:suppressLineNumbers/>
              <w:tabs>
                <w:tab w:val="clear" w:pos="284"/>
              </w:tabs>
              <w:spacing w:before="0" w:after="0"/>
              <w:ind w:left="459" w:hanging="425"/>
              <w:rPr>
                <w:rFonts w:ascii="Times New Roman" w:hAnsi="Times New Roman"/>
                <w:color w:val="000000"/>
                <w:sz w:val="22"/>
                <w:szCs w:val="22"/>
                <w:lang w:val="da-DK"/>
              </w:rPr>
            </w:pPr>
            <w:r w:rsidRPr="004C2A59">
              <w:rPr>
                <w:rFonts w:ascii="Times New Roman" w:hAnsi="Times New Roman"/>
                <w:color w:val="000000"/>
                <w:sz w:val="22"/>
                <w:szCs w:val="22"/>
                <w:lang w:val="da-DK"/>
              </w:rPr>
              <w:t>2.</w:t>
            </w:r>
            <w:r w:rsidRPr="004C2A59">
              <w:rPr>
                <w:rFonts w:ascii="Times New Roman" w:hAnsi="Times New Roman"/>
                <w:color w:val="000000"/>
                <w:sz w:val="22"/>
                <w:szCs w:val="22"/>
                <w:lang w:val="da-DK"/>
              </w:rPr>
              <w:tab/>
              <w:t>Hvis cytopeni ikke er leukæmirelateret, reducér Glivec-dosis til 400 mg.</w:t>
            </w:r>
          </w:p>
          <w:p w14:paraId="188A5A9C" w14:textId="77777777" w:rsidR="00E51623" w:rsidRPr="004C2A59" w:rsidRDefault="00E51623" w:rsidP="00421681">
            <w:pPr>
              <w:pStyle w:val="Table"/>
              <w:keepNext w:val="0"/>
              <w:keepLines w:val="0"/>
              <w:widowControl w:val="0"/>
              <w:suppressLineNumbers/>
              <w:tabs>
                <w:tab w:val="clear" w:pos="284"/>
              </w:tabs>
              <w:spacing w:before="0" w:after="0"/>
              <w:ind w:left="459" w:hanging="425"/>
              <w:rPr>
                <w:rFonts w:ascii="Times New Roman" w:hAnsi="Times New Roman"/>
                <w:color w:val="000000"/>
                <w:sz w:val="22"/>
                <w:szCs w:val="22"/>
                <w:lang w:val="da-DK"/>
              </w:rPr>
            </w:pPr>
            <w:r w:rsidRPr="004C2A59">
              <w:rPr>
                <w:rFonts w:ascii="Times New Roman" w:hAnsi="Times New Roman"/>
                <w:color w:val="000000"/>
                <w:sz w:val="22"/>
                <w:szCs w:val="22"/>
                <w:lang w:val="da-DK"/>
              </w:rPr>
              <w:t>3.</w:t>
            </w:r>
            <w:r w:rsidRPr="004C2A59">
              <w:rPr>
                <w:rFonts w:ascii="Times New Roman" w:hAnsi="Times New Roman"/>
                <w:color w:val="000000"/>
                <w:sz w:val="22"/>
                <w:szCs w:val="22"/>
                <w:lang w:val="da-DK"/>
              </w:rPr>
              <w:tab/>
              <w:t>Hvis cytopeni vedvarer i 2 uger, reducér dosis yderligere til 300 mg.</w:t>
            </w:r>
          </w:p>
          <w:p w14:paraId="0EC2D643" w14:textId="77777777" w:rsidR="00E51623" w:rsidRPr="004C2A59" w:rsidRDefault="00E51623" w:rsidP="00421681">
            <w:pPr>
              <w:pStyle w:val="EndnoteText"/>
              <w:tabs>
                <w:tab w:val="clear" w:pos="567"/>
              </w:tabs>
              <w:ind w:left="459" w:hanging="425"/>
              <w:rPr>
                <w:color w:val="000000"/>
                <w:szCs w:val="22"/>
              </w:rPr>
            </w:pPr>
            <w:r w:rsidRPr="004C2A59">
              <w:rPr>
                <w:color w:val="000000"/>
                <w:szCs w:val="22"/>
              </w:rPr>
              <w:t>4.</w:t>
            </w:r>
            <w:r w:rsidRPr="004C2A59">
              <w:rPr>
                <w:color w:val="000000"/>
                <w:szCs w:val="22"/>
              </w:rPr>
              <w:tab/>
              <w:t xml:space="preserve">Hvis cytopeni vedvarer i 4 uger og stadig ikke er leukæmirelateret, seponér Glivec-behandling indtil ANC </w:t>
            </w:r>
            <w:r w:rsidRPr="004C2A59">
              <w:rPr>
                <w:color w:val="000000"/>
                <w:szCs w:val="22"/>
              </w:rPr>
              <w:sym w:font="Symbol" w:char="F0B3"/>
            </w:r>
            <w:r w:rsidRPr="004C2A59">
              <w:rPr>
                <w:color w:val="000000"/>
                <w:szCs w:val="22"/>
              </w:rPr>
              <w:t>1,0 x 10</w:t>
            </w:r>
            <w:r w:rsidRPr="004C2A59">
              <w:rPr>
                <w:color w:val="000000"/>
                <w:szCs w:val="22"/>
                <w:vertAlign w:val="superscript"/>
              </w:rPr>
              <w:t>9</w:t>
            </w:r>
            <w:r w:rsidRPr="004C2A59">
              <w:rPr>
                <w:color w:val="000000"/>
                <w:szCs w:val="22"/>
              </w:rPr>
              <w:t xml:space="preserve">/l og trombocytter </w:t>
            </w:r>
            <w:r w:rsidRPr="004C2A59">
              <w:rPr>
                <w:color w:val="000000"/>
                <w:szCs w:val="22"/>
              </w:rPr>
              <w:sym w:font="Symbol" w:char="F0B3"/>
            </w:r>
            <w:r w:rsidRPr="004C2A59">
              <w:rPr>
                <w:color w:val="000000"/>
                <w:szCs w:val="22"/>
              </w:rPr>
              <w:t>20 x 10</w:t>
            </w:r>
            <w:r w:rsidRPr="004C2A59">
              <w:rPr>
                <w:color w:val="000000"/>
                <w:szCs w:val="22"/>
                <w:vertAlign w:val="superscript"/>
              </w:rPr>
              <w:t>9</w:t>
            </w:r>
            <w:r w:rsidRPr="004C2A59">
              <w:rPr>
                <w:color w:val="000000"/>
                <w:szCs w:val="22"/>
              </w:rPr>
              <w:t>/l og genoptag herefter behandlingen med 300 mg.</w:t>
            </w:r>
          </w:p>
        </w:tc>
      </w:tr>
      <w:tr w:rsidR="00E51623" w:rsidRPr="00F852D1" w14:paraId="00F470EF" w14:textId="77777777" w:rsidTr="006C180B">
        <w:trPr>
          <w:cantSplit/>
        </w:trPr>
        <w:tc>
          <w:tcPr>
            <w:tcW w:w="1985" w:type="dxa"/>
            <w:tcBorders>
              <w:top w:val="single" w:sz="6" w:space="0" w:color="auto"/>
              <w:left w:val="single" w:sz="4" w:space="0" w:color="auto"/>
              <w:bottom w:val="nil"/>
              <w:right w:val="single" w:sz="6" w:space="0" w:color="auto"/>
            </w:tcBorders>
          </w:tcPr>
          <w:p w14:paraId="6A891D33" w14:textId="77777777" w:rsidR="00E51623" w:rsidRPr="004C2A59" w:rsidRDefault="00E51623" w:rsidP="00421681">
            <w:pPr>
              <w:pStyle w:val="EndnoteText"/>
              <w:tabs>
                <w:tab w:val="clear" w:pos="567"/>
              </w:tabs>
              <w:rPr>
                <w:color w:val="000000"/>
                <w:szCs w:val="22"/>
              </w:rPr>
            </w:pPr>
            <w:r w:rsidRPr="004C2A59">
              <w:rPr>
                <w:color w:val="000000"/>
                <w:szCs w:val="22"/>
              </w:rPr>
              <w:lastRenderedPageBreak/>
              <w:t>Børn med CML i accelereret fase og blastkrise (startdosis 340 mg/m</w:t>
            </w:r>
            <w:r w:rsidRPr="004C2A59">
              <w:rPr>
                <w:color w:val="000000"/>
                <w:szCs w:val="22"/>
                <w:vertAlign w:val="superscript"/>
              </w:rPr>
              <w:t>2</w:t>
            </w:r>
            <w:r w:rsidRPr="004C2A59">
              <w:rPr>
                <w:color w:val="000000"/>
                <w:szCs w:val="22"/>
              </w:rPr>
              <w:t>)</w:t>
            </w:r>
          </w:p>
        </w:tc>
        <w:tc>
          <w:tcPr>
            <w:tcW w:w="2693" w:type="dxa"/>
            <w:tcBorders>
              <w:top w:val="single" w:sz="6" w:space="0" w:color="auto"/>
              <w:left w:val="single" w:sz="6" w:space="0" w:color="auto"/>
              <w:bottom w:val="nil"/>
              <w:right w:val="single" w:sz="6" w:space="0" w:color="auto"/>
            </w:tcBorders>
          </w:tcPr>
          <w:p w14:paraId="293225F0" w14:textId="77777777" w:rsidR="00E51623" w:rsidRPr="004C2A59" w:rsidDel="00607BA6" w:rsidRDefault="00E51623" w:rsidP="00421681">
            <w:pPr>
              <w:pStyle w:val="Table"/>
              <w:keepNext w:val="0"/>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vertAlign w:val="superscript"/>
                <w:lang w:val="da-DK"/>
              </w:rPr>
              <w:t>a</w:t>
            </w:r>
            <w:r w:rsidRPr="004C2A59">
              <w:rPr>
                <w:rFonts w:ascii="Times New Roman" w:hAnsi="Times New Roman"/>
                <w:color w:val="000000"/>
                <w:sz w:val="22"/>
                <w:szCs w:val="22"/>
                <w:lang w:val="da-DK"/>
              </w:rPr>
              <w:t>ANC&lt;0,5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og/eller trombocytter &lt;10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tc>
        <w:tc>
          <w:tcPr>
            <w:tcW w:w="4394" w:type="dxa"/>
            <w:tcBorders>
              <w:top w:val="single" w:sz="6" w:space="0" w:color="auto"/>
              <w:left w:val="single" w:sz="6" w:space="0" w:color="auto"/>
              <w:bottom w:val="nil"/>
              <w:right w:val="single" w:sz="4" w:space="0" w:color="auto"/>
            </w:tcBorders>
          </w:tcPr>
          <w:p w14:paraId="03E63E0F" w14:textId="77777777" w:rsidR="00E51623" w:rsidRPr="004C2A59" w:rsidRDefault="00E51623" w:rsidP="00421681">
            <w:pPr>
              <w:pStyle w:val="Table"/>
              <w:keepNext w:val="0"/>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1.</w:t>
            </w:r>
            <w:r w:rsidRPr="004C2A59">
              <w:rPr>
                <w:rFonts w:ascii="Times New Roman" w:hAnsi="Times New Roman"/>
                <w:color w:val="000000"/>
                <w:sz w:val="22"/>
                <w:szCs w:val="22"/>
                <w:lang w:val="da-DK"/>
              </w:rPr>
              <w:tab/>
              <w:t>Undersøg om cytopeni er relateret til leukæmi (marv-spirat eller biopsi).</w:t>
            </w:r>
          </w:p>
          <w:p w14:paraId="32E77F12" w14:textId="77777777" w:rsidR="00E51623" w:rsidRPr="004C2A59" w:rsidRDefault="00E51623" w:rsidP="00421681">
            <w:pPr>
              <w:pStyle w:val="Table"/>
              <w:keepNext w:val="0"/>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2.</w:t>
            </w:r>
            <w:r w:rsidRPr="004C2A59">
              <w:rPr>
                <w:rFonts w:ascii="Times New Roman" w:hAnsi="Times New Roman"/>
                <w:color w:val="000000"/>
                <w:sz w:val="22"/>
                <w:szCs w:val="22"/>
                <w:lang w:val="da-DK"/>
              </w:rPr>
              <w:tab/>
              <w:t>Hvis cytopeni ikke er leukæmirelateret, reducér Glivec-dosis til 260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w:t>
            </w:r>
          </w:p>
          <w:p w14:paraId="7602A329" w14:textId="77777777" w:rsidR="00E51623" w:rsidRPr="004C2A59" w:rsidRDefault="00E51623" w:rsidP="00421681">
            <w:pPr>
              <w:pStyle w:val="Table"/>
              <w:keepNext w:val="0"/>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3.</w:t>
            </w:r>
            <w:r w:rsidRPr="004C2A59">
              <w:rPr>
                <w:rFonts w:ascii="Times New Roman" w:hAnsi="Times New Roman"/>
                <w:color w:val="000000"/>
                <w:sz w:val="22"/>
                <w:szCs w:val="22"/>
                <w:lang w:val="da-DK"/>
              </w:rPr>
              <w:tab/>
              <w:t>Hvis cytopeni vedvarer i 2 uger, reducér dosis yderligere til 200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w:t>
            </w:r>
          </w:p>
          <w:p w14:paraId="5E3A62FD" w14:textId="77777777" w:rsidR="00E51623" w:rsidRPr="004C2A59" w:rsidRDefault="00E51623" w:rsidP="00421681">
            <w:pPr>
              <w:pStyle w:val="Table"/>
              <w:keepNext w:val="0"/>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4.</w:t>
            </w:r>
            <w:r w:rsidRPr="004C2A59">
              <w:rPr>
                <w:rFonts w:ascii="Times New Roman" w:hAnsi="Times New Roman"/>
                <w:color w:val="000000"/>
                <w:sz w:val="22"/>
                <w:szCs w:val="22"/>
                <w:lang w:val="da-DK"/>
              </w:rPr>
              <w:tab/>
              <w:t xml:space="preserve">Hvis cytopeni vedvarer i 4 uger og stadig ikke er leukæmirelateret, seponér Glivec-behandlingen indtil ANC </w:t>
            </w:r>
            <w:r w:rsidRPr="004C2A59">
              <w:rPr>
                <w:rFonts w:ascii="Times New Roman" w:hAnsi="Times New Roman"/>
                <w:color w:val="000000"/>
                <w:sz w:val="22"/>
                <w:szCs w:val="22"/>
              </w:rPr>
              <w:sym w:font="Symbol" w:char="F0B3"/>
            </w:r>
            <w:r w:rsidRPr="004C2A59">
              <w:rPr>
                <w:rFonts w:ascii="Times New Roman" w:hAnsi="Times New Roman"/>
                <w:color w:val="000000"/>
                <w:sz w:val="22"/>
                <w:szCs w:val="22"/>
                <w:lang w:val="da-DK"/>
              </w:rPr>
              <w: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 xml:space="preserve">l og trombocytter </w:t>
            </w:r>
            <w:r w:rsidRPr="004C2A59">
              <w:rPr>
                <w:rFonts w:ascii="Times New Roman" w:hAnsi="Times New Roman"/>
                <w:color w:val="000000"/>
                <w:sz w:val="22"/>
                <w:szCs w:val="22"/>
              </w:rPr>
              <w:sym w:font="Symbol" w:char="F0B3"/>
            </w:r>
            <w:r w:rsidRPr="004C2A59">
              <w:rPr>
                <w:rFonts w:ascii="Times New Roman" w:hAnsi="Times New Roman"/>
                <w:color w:val="000000"/>
                <w:sz w:val="22"/>
                <w:szCs w:val="22"/>
                <w:lang w:val="da-DK"/>
              </w:rPr>
              <w:t>20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og genoptag behandling med 200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w:t>
            </w:r>
          </w:p>
        </w:tc>
      </w:tr>
      <w:tr w:rsidR="00E51623" w:rsidRPr="00F852D1" w14:paraId="763A27EE" w14:textId="77777777" w:rsidTr="006C180B">
        <w:trPr>
          <w:cantSplit/>
        </w:trPr>
        <w:tc>
          <w:tcPr>
            <w:tcW w:w="1985" w:type="dxa"/>
            <w:tcBorders>
              <w:top w:val="single" w:sz="6" w:space="0" w:color="auto"/>
              <w:left w:val="single" w:sz="4" w:space="0" w:color="auto"/>
              <w:bottom w:val="nil"/>
              <w:right w:val="single" w:sz="6" w:space="0" w:color="auto"/>
            </w:tcBorders>
          </w:tcPr>
          <w:p w14:paraId="3C9D3F51" w14:textId="77777777" w:rsidR="00E51623" w:rsidRPr="004C2A59" w:rsidRDefault="00E51623" w:rsidP="006C180B">
            <w:pPr>
              <w:pStyle w:val="EndnoteText"/>
              <w:keepNext/>
              <w:tabs>
                <w:tab w:val="clear" w:pos="567"/>
              </w:tabs>
              <w:rPr>
                <w:color w:val="000000"/>
                <w:szCs w:val="22"/>
              </w:rPr>
            </w:pPr>
            <w:r w:rsidRPr="004C2A59">
              <w:rPr>
                <w:color w:val="000000"/>
                <w:szCs w:val="22"/>
              </w:rPr>
              <w:t>DFSP</w:t>
            </w:r>
          </w:p>
          <w:p w14:paraId="7792CCA2" w14:textId="77777777" w:rsidR="00E51623" w:rsidRPr="004C2A59" w:rsidRDefault="00E51623" w:rsidP="006C180B">
            <w:pPr>
              <w:pStyle w:val="EndnoteText"/>
              <w:keepNext/>
              <w:tabs>
                <w:tab w:val="clear" w:pos="567"/>
              </w:tabs>
              <w:rPr>
                <w:color w:val="000000"/>
                <w:szCs w:val="22"/>
              </w:rPr>
            </w:pPr>
            <w:r w:rsidRPr="004C2A59">
              <w:rPr>
                <w:color w:val="000000"/>
                <w:szCs w:val="22"/>
              </w:rPr>
              <w:t>(ved 800 mg dosis)</w:t>
            </w:r>
          </w:p>
        </w:tc>
        <w:tc>
          <w:tcPr>
            <w:tcW w:w="2693" w:type="dxa"/>
            <w:tcBorders>
              <w:top w:val="single" w:sz="6" w:space="0" w:color="auto"/>
              <w:left w:val="single" w:sz="6" w:space="0" w:color="auto"/>
              <w:bottom w:val="nil"/>
              <w:right w:val="single" w:sz="6" w:space="0" w:color="auto"/>
            </w:tcBorders>
          </w:tcPr>
          <w:p w14:paraId="55C14FB9" w14:textId="77777777" w:rsidR="00E51623" w:rsidRPr="004C2A59" w:rsidRDefault="00E51623" w:rsidP="006C180B">
            <w:pPr>
              <w:pStyle w:val="Table"/>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ANC &lt;1,0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741C4332" w14:textId="77777777" w:rsidR="00E51623" w:rsidRPr="004C2A59" w:rsidRDefault="00E51623" w:rsidP="006C180B">
            <w:pPr>
              <w:pStyle w:val="Table"/>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og/eller</w:t>
            </w:r>
          </w:p>
          <w:p w14:paraId="7B4AD0F1" w14:textId="77777777" w:rsidR="00E51623" w:rsidRPr="004C2A59" w:rsidRDefault="00E51623" w:rsidP="006C180B">
            <w:pPr>
              <w:pStyle w:val="Table"/>
              <w:keepLines w:val="0"/>
              <w:widowControl w:val="0"/>
              <w:suppressLineNumbers/>
              <w:tabs>
                <w:tab w:val="clear" w:pos="284"/>
              </w:tabs>
              <w:spacing w:before="0" w:after="0"/>
              <w:rPr>
                <w:rFonts w:ascii="Times New Roman" w:hAnsi="Times New Roman"/>
                <w:color w:val="000000"/>
                <w:sz w:val="22"/>
                <w:szCs w:val="22"/>
                <w:vertAlign w:val="superscript"/>
                <w:lang w:val="da-DK"/>
              </w:rPr>
            </w:pPr>
            <w:r w:rsidRPr="004C2A59">
              <w:rPr>
                <w:rFonts w:ascii="Times New Roman" w:hAnsi="Times New Roman"/>
                <w:color w:val="000000"/>
                <w:sz w:val="22"/>
                <w:szCs w:val="22"/>
                <w:lang w:val="da-DK"/>
              </w:rPr>
              <w:t>trombocytter &lt;50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tc>
        <w:tc>
          <w:tcPr>
            <w:tcW w:w="4394" w:type="dxa"/>
            <w:tcBorders>
              <w:top w:val="single" w:sz="6" w:space="0" w:color="auto"/>
              <w:left w:val="single" w:sz="6" w:space="0" w:color="auto"/>
              <w:bottom w:val="nil"/>
              <w:right w:val="single" w:sz="4" w:space="0" w:color="auto"/>
            </w:tcBorders>
          </w:tcPr>
          <w:p w14:paraId="003EB074" w14:textId="77777777" w:rsidR="00E51623" w:rsidRPr="004C2A59" w:rsidRDefault="00E51623" w:rsidP="006C180B">
            <w:pPr>
              <w:pStyle w:val="Table"/>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1.</w:t>
            </w:r>
            <w:r w:rsidRPr="004C2A59">
              <w:rPr>
                <w:rFonts w:ascii="Times New Roman" w:hAnsi="Times New Roman"/>
                <w:color w:val="000000"/>
                <w:sz w:val="22"/>
                <w:szCs w:val="22"/>
                <w:lang w:val="da-DK"/>
              </w:rPr>
              <w:tab/>
              <w:t xml:space="preserve">Stop Glivec indtil ANC </w:t>
            </w:r>
            <w:r w:rsidRPr="004C2A59">
              <w:rPr>
                <w:rFonts w:ascii="Times New Roman" w:hAnsi="Times New Roman"/>
                <w:color w:val="000000"/>
                <w:sz w:val="22"/>
                <w:szCs w:val="22"/>
                <w:lang w:val="en-GB"/>
              </w:rPr>
              <w:sym w:font="Symbol" w:char="F0B3"/>
            </w:r>
            <w:r w:rsidRPr="004C2A59">
              <w:rPr>
                <w:rFonts w:ascii="Times New Roman" w:hAnsi="Times New Roman"/>
                <w:color w:val="000000"/>
                <w:sz w:val="22"/>
                <w:szCs w:val="22"/>
                <w:lang w:val="da-DK"/>
              </w:rPr>
              <w:t>1,5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 xml:space="preserve">/l og trombocytter </w:t>
            </w:r>
            <w:r w:rsidRPr="004C2A59">
              <w:rPr>
                <w:rFonts w:ascii="Times New Roman" w:hAnsi="Times New Roman"/>
                <w:color w:val="000000"/>
                <w:sz w:val="22"/>
                <w:szCs w:val="22"/>
                <w:lang w:val="en-GB"/>
              </w:rPr>
              <w:sym w:font="Symbol" w:char="F0B3"/>
            </w:r>
            <w:r w:rsidRPr="004C2A59">
              <w:rPr>
                <w:rFonts w:ascii="Times New Roman" w:hAnsi="Times New Roman"/>
                <w:color w:val="000000"/>
                <w:sz w:val="22"/>
                <w:szCs w:val="22"/>
                <w:lang w:val="da-DK"/>
              </w:rPr>
              <w:t>75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00041235" w14:textId="77777777" w:rsidR="00E51623" w:rsidRPr="004C2A59" w:rsidRDefault="00E51623" w:rsidP="006C180B">
            <w:pPr>
              <w:pStyle w:val="Table"/>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2.</w:t>
            </w:r>
            <w:r w:rsidRPr="004C2A59">
              <w:rPr>
                <w:rFonts w:ascii="Times New Roman" w:hAnsi="Times New Roman"/>
                <w:color w:val="000000"/>
                <w:sz w:val="22"/>
                <w:szCs w:val="22"/>
                <w:lang w:val="da-DK"/>
              </w:rPr>
              <w:tab/>
              <w:t>Genoptag behandling med Glivec 600 mg.</w:t>
            </w:r>
          </w:p>
          <w:p w14:paraId="373B3A59" w14:textId="77777777" w:rsidR="00E51623" w:rsidRPr="004C2A59" w:rsidDel="00E714E1" w:rsidRDefault="00E51623" w:rsidP="006C180B">
            <w:pPr>
              <w:pStyle w:val="Table"/>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3.</w:t>
            </w:r>
            <w:r w:rsidRPr="004C2A59">
              <w:rPr>
                <w:rFonts w:ascii="Times New Roman" w:hAnsi="Times New Roman"/>
                <w:color w:val="000000"/>
                <w:sz w:val="22"/>
                <w:szCs w:val="22"/>
                <w:lang w:val="da-DK"/>
              </w:rPr>
              <w:tab/>
              <w:t>I tilfælde af tilbagevenden af ANC &lt;1,0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og/eller trombocytter &lt;50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gentages trin 1 og Glivec reintroduceres med nedsat dosering på 400 mg.</w:t>
            </w:r>
          </w:p>
        </w:tc>
      </w:tr>
      <w:tr w:rsidR="00E51623" w:rsidRPr="00F852D1" w14:paraId="47EDBC24" w14:textId="77777777" w:rsidTr="006C180B">
        <w:trPr>
          <w:cantSplit/>
        </w:trPr>
        <w:tc>
          <w:tcPr>
            <w:tcW w:w="9072" w:type="dxa"/>
            <w:gridSpan w:val="3"/>
            <w:tcBorders>
              <w:left w:val="single" w:sz="4" w:space="0" w:color="auto"/>
              <w:bottom w:val="single" w:sz="4" w:space="0" w:color="auto"/>
              <w:right w:val="single" w:sz="4" w:space="0" w:color="auto"/>
            </w:tcBorders>
          </w:tcPr>
          <w:p w14:paraId="301AD7B0" w14:textId="77777777" w:rsidR="00E51623" w:rsidRPr="004C2A59" w:rsidRDefault="00E51623" w:rsidP="00421681">
            <w:pPr>
              <w:pStyle w:val="EndnoteText"/>
              <w:tabs>
                <w:tab w:val="clear" w:pos="567"/>
              </w:tabs>
              <w:rPr>
                <w:color w:val="000000"/>
                <w:szCs w:val="22"/>
              </w:rPr>
            </w:pPr>
            <w:r w:rsidRPr="004C2A59">
              <w:rPr>
                <w:color w:val="000000"/>
                <w:szCs w:val="22"/>
              </w:rPr>
              <w:t>ANC = fuldstændigt antal neutrofilocytter</w:t>
            </w:r>
          </w:p>
          <w:p w14:paraId="10D14917" w14:textId="77777777" w:rsidR="00E51623" w:rsidRPr="004C2A59" w:rsidRDefault="00E51623" w:rsidP="00421681">
            <w:pPr>
              <w:pStyle w:val="EndnoteText"/>
              <w:tabs>
                <w:tab w:val="clear" w:pos="567"/>
              </w:tabs>
              <w:rPr>
                <w:color w:val="000000"/>
                <w:szCs w:val="22"/>
              </w:rPr>
            </w:pPr>
            <w:r w:rsidRPr="004C2A59">
              <w:rPr>
                <w:color w:val="000000"/>
                <w:szCs w:val="22"/>
                <w:vertAlign w:val="superscript"/>
              </w:rPr>
              <w:t>a</w:t>
            </w:r>
            <w:r w:rsidRPr="004C2A59">
              <w:rPr>
                <w:color w:val="000000"/>
                <w:szCs w:val="22"/>
              </w:rPr>
              <w:t>opstået efter mindst 1 måneds behandling</w:t>
            </w:r>
          </w:p>
        </w:tc>
      </w:tr>
    </w:tbl>
    <w:p w14:paraId="0657812E" w14:textId="77777777" w:rsidR="00E51623" w:rsidRPr="004C2A59" w:rsidRDefault="00E51623" w:rsidP="00421681">
      <w:pPr>
        <w:widowControl w:val="0"/>
        <w:rPr>
          <w:color w:val="000000"/>
          <w:sz w:val="22"/>
          <w:szCs w:val="22"/>
          <w:lang w:val="da-DK"/>
        </w:rPr>
      </w:pPr>
    </w:p>
    <w:p w14:paraId="66037BDA" w14:textId="77777777" w:rsidR="001A6600" w:rsidRPr="004C2A59" w:rsidRDefault="001A6600" w:rsidP="006C180B">
      <w:pPr>
        <w:keepNext/>
        <w:widowControl w:val="0"/>
        <w:rPr>
          <w:color w:val="000000"/>
          <w:sz w:val="22"/>
          <w:szCs w:val="22"/>
          <w:u w:val="single"/>
          <w:lang w:val="da-DK"/>
        </w:rPr>
      </w:pPr>
      <w:r w:rsidRPr="004C2A59">
        <w:rPr>
          <w:color w:val="000000"/>
          <w:sz w:val="22"/>
          <w:szCs w:val="22"/>
          <w:u w:val="single"/>
          <w:lang w:val="da-DK"/>
        </w:rPr>
        <w:t>Specielle populationer</w:t>
      </w:r>
    </w:p>
    <w:p w14:paraId="2EB3589A" w14:textId="77777777" w:rsidR="00610A3A" w:rsidRPr="004C2A59" w:rsidRDefault="00270C5A" w:rsidP="00421681">
      <w:pPr>
        <w:rPr>
          <w:color w:val="000000"/>
          <w:sz w:val="22"/>
          <w:szCs w:val="22"/>
          <w:lang w:val="da-DK"/>
        </w:rPr>
      </w:pPr>
      <w:r w:rsidRPr="004C2A59">
        <w:rPr>
          <w:i/>
          <w:color w:val="000000"/>
          <w:sz w:val="22"/>
          <w:szCs w:val="22"/>
          <w:lang w:val="da-DK"/>
        </w:rPr>
        <w:t>Anvendelse til børn:</w:t>
      </w:r>
      <w:r w:rsidRPr="004C2A59">
        <w:rPr>
          <w:color w:val="000000"/>
          <w:sz w:val="22"/>
          <w:szCs w:val="22"/>
          <w:lang w:val="da-DK"/>
        </w:rPr>
        <w:t xml:space="preserve"> </w:t>
      </w:r>
      <w:r w:rsidR="00D556B0" w:rsidRPr="004C2A59">
        <w:rPr>
          <w:color w:val="000000"/>
          <w:sz w:val="22"/>
          <w:szCs w:val="22"/>
          <w:lang w:val="da-DK"/>
        </w:rPr>
        <w:t xml:space="preserve">Der er ingen erfaring med behandling af </w:t>
      </w:r>
      <w:r w:rsidR="000C1887" w:rsidRPr="004C2A59">
        <w:rPr>
          <w:color w:val="000000"/>
          <w:sz w:val="22"/>
          <w:szCs w:val="22"/>
          <w:lang w:val="da-DK"/>
        </w:rPr>
        <w:t xml:space="preserve">børn </w:t>
      </w:r>
      <w:r w:rsidR="00D556B0" w:rsidRPr="004C2A59">
        <w:rPr>
          <w:color w:val="000000"/>
          <w:sz w:val="22"/>
          <w:szCs w:val="22"/>
          <w:lang w:val="da-DK"/>
        </w:rPr>
        <w:t>under 2</w:t>
      </w:r>
      <w:r w:rsidR="000414CF" w:rsidRPr="004C2A59">
        <w:rPr>
          <w:color w:val="000000"/>
          <w:sz w:val="22"/>
          <w:szCs w:val="22"/>
          <w:lang w:val="da-DK"/>
        </w:rPr>
        <w:t> </w:t>
      </w:r>
      <w:r w:rsidR="00D556B0" w:rsidRPr="004C2A59">
        <w:rPr>
          <w:color w:val="000000"/>
          <w:sz w:val="22"/>
          <w:szCs w:val="22"/>
          <w:lang w:val="da-DK"/>
        </w:rPr>
        <w:t xml:space="preserve">år </w:t>
      </w:r>
      <w:r w:rsidR="000C1887" w:rsidRPr="004C2A59">
        <w:rPr>
          <w:color w:val="000000"/>
          <w:sz w:val="22"/>
          <w:szCs w:val="22"/>
          <w:lang w:val="da-DK"/>
        </w:rPr>
        <w:t>med CML</w:t>
      </w:r>
      <w:r w:rsidR="00EF4A68" w:rsidRPr="004C2A59">
        <w:rPr>
          <w:color w:val="000000"/>
          <w:sz w:val="22"/>
          <w:szCs w:val="22"/>
          <w:lang w:val="da-DK"/>
        </w:rPr>
        <w:t xml:space="preserve"> og børn under 1 år med Ph+</w:t>
      </w:r>
      <w:r w:rsidR="007872F1" w:rsidRPr="004C2A59">
        <w:rPr>
          <w:color w:val="000000"/>
          <w:sz w:val="22"/>
          <w:szCs w:val="22"/>
          <w:lang w:val="da-DK"/>
        </w:rPr>
        <w:t xml:space="preserve"> </w:t>
      </w:r>
      <w:r w:rsidR="00EF4A68" w:rsidRPr="004C2A59">
        <w:rPr>
          <w:color w:val="000000"/>
          <w:sz w:val="22"/>
          <w:szCs w:val="22"/>
          <w:lang w:val="da-DK"/>
        </w:rPr>
        <w:t>ALL</w:t>
      </w:r>
      <w:r w:rsidR="000C1887" w:rsidRPr="004C2A59">
        <w:rPr>
          <w:color w:val="000000"/>
          <w:sz w:val="22"/>
          <w:szCs w:val="22"/>
          <w:lang w:val="da-DK"/>
        </w:rPr>
        <w:t xml:space="preserve"> </w:t>
      </w:r>
      <w:r w:rsidR="00D556B0" w:rsidRPr="004C2A59">
        <w:rPr>
          <w:color w:val="000000"/>
          <w:sz w:val="22"/>
          <w:szCs w:val="22"/>
          <w:lang w:val="da-DK"/>
        </w:rPr>
        <w:t xml:space="preserve">(se pkt. 5.1). Der er </w:t>
      </w:r>
      <w:r w:rsidR="004B234A" w:rsidRPr="004C2A59">
        <w:rPr>
          <w:color w:val="000000"/>
          <w:sz w:val="22"/>
          <w:szCs w:val="22"/>
          <w:lang w:val="da-DK"/>
        </w:rPr>
        <w:t xml:space="preserve">meget begrænset erfaring hos børn med </w:t>
      </w:r>
      <w:smartTag w:uri="urn:schemas-microsoft-com:office:smarttags" w:element="metricconverter">
        <w:r w:rsidR="004B234A" w:rsidRPr="004C2A59">
          <w:rPr>
            <w:color w:val="000000"/>
            <w:sz w:val="22"/>
            <w:szCs w:val="22"/>
            <w:lang w:val="da-DK"/>
          </w:rPr>
          <w:t>MDS</w:t>
        </w:r>
      </w:smartTag>
      <w:r w:rsidR="004B234A" w:rsidRPr="004C2A59">
        <w:rPr>
          <w:color w:val="000000"/>
          <w:sz w:val="22"/>
          <w:szCs w:val="22"/>
          <w:lang w:val="da-DK"/>
        </w:rPr>
        <w:t>/MPD</w:t>
      </w:r>
      <w:r w:rsidR="00983394" w:rsidRPr="004C2A59">
        <w:rPr>
          <w:color w:val="000000"/>
          <w:sz w:val="22"/>
          <w:szCs w:val="22"/>
          <w:lang w:val="da-DK"/>
        </w:rPr>
        <w:t xml:space="preserve">, </w:t>
      </w:r>
      <w:r w:rsidR="004B234A" w:rsidRPr="004C2A59">
        <w:rPr>
          <w:color w:val="000000"/>
          <w:sz w:val="22"/>
          <w:szCs w:val="22"/>
          <w:lang w:val="da-DK"/>
        </w:rPr>
        <w:t>DFSP</w:t>
      </w:r>
      <w:r w:rsidR="00FA7B4A" w:rsidRPr="004C2A59">
        <w:rPr>
          <w:color w:val="000000"/>
          <w:sz w:val="22"/>
          <w:szCs w:val="22"/>
          <w:lang w:val="da-DK"/>
        </w:rPr>
        <w:t>,</w:t>
      </w:r>
      <w:r w:rsidR="00D556B0" w:rsidRPr="004C2A59">
        <w:rPr>
          <w:color w:val="000000"/>
          <w:sz w:val="22"/>
          <w:szCs w:val="22"/>
          <w:lang w:val="da-DK"/>
        </w:rPr>
        <w:t xml:space="preserve"> GIST</w:t>
      </w:r>
      <w:r w:rsidR="005E0B66" w:rsidRPr="004C2A59">
        <w:rPr>
          <w:color w:val="000000"/>
          <w:sz w:val="22"/>
          <w:szCs w:val="22"/>
          <w:lang w:val="da-DK"/>
        </w:rPr>
        <w:t xml:space="preserve"> og HES/</w:t>
      </w:r>
      <w:smartTag w:uri="urn:schemas-microsoft-com:office:smarttags" w:element="metricconverter">
        <w:r w:rsidR="005E0B66" w:rsidRPr="004C2A59">
          <w:rPr>
            <w:color w:val="000000"/>
            <w:sz w:val="22"/>
            <w:szCs w:val="22"/>
            <w:lang w:val="da-DK"/>
          </w:rPr>
          <w:t>CEL</w:t>
        </w:r>
      </w:smartTag>
      <w:r w:rsidR="00D556B0" w:rsidRPr="004C2A59">
        <w:rPr>
          <w:color w:val="000000"/>
          <w:sz w:val="22"/>
          <w:szCs w:val="22"/>
          <w:lang w:val="da-DK"/>
        </w:rPr>
        <w:t>.</w:t>
      </w:r>
    </w:p>
    <w:p w14:paraId="315ACFD5" w14:textId="77777777" w:rsidR="00C155DA" w:rsidRPr="004C2A59" w:rsidRDefault="00C155DA" w:rsidP="00421681">
      <w:pPr>
        <w:rPr>
          <w:color w:val="000000"/>
          <w:sz w:val="22"/>
          <w:szCs w:val="22"/>
          <w:lang w:val="da-DK"/>
        </w:rPr>
      </w:pPr>
    </w:p>
    <w:p w14:paraId="03E3E796" w14:textId="77777777" w:rsidR="00FA7B4A" w:rsidRPr="004C2A59" w:rsidRDefault="00A94FDC" w:rsidP="00421681">
      <w:pPr>
        <w:rPr>
          <w:color w:val="000000"/>
          <w:sz w:val="22"/>
          <w:szCs w:val="22"/>
          <w:lang w:val="da-DK"/>
        </w:rPr>
      </w:pPr>
      <w:r w:rsidRPr="004C2A59">
        <w:rPr>
          <w:color w:val="000000"/>
          <w:sz w:val="22"/>
          <w:szCs w:val="22"/>
          <w:lang w:val="da-DK"/>
        </w:rPr>
        <w:t>Imatinibs s</w:t>
      </w:r>
      <w:r w:rsidR="00C155DA" w:rsidRPr="004C2A59">
        <w:rPr>
          <w:color w:val="000000"/>
          <w:sz w:val="22"/>
          <w:szCs w:val="22"/>
          <w:lang w:val="da-DK"/>
        </w:rPr>
        <w:t>ikkerhed</w:t>
      </w:r>
      <w:r w:rsidR="00FA7B4A" w:rsidRPr="004C2A59">
        <w:rPr>
          <w:color w:val="000000"/>
          <w:sz w:val="22"/>
          <w:szCs w:val="22"/>
          <w:lang w:val="da-DK"/>
        </w:rPr>
        <w:t xml:space="preserve"> og </w:t>
      </w:r>
      <w:r w:rsidR="00C155DA" w:rsidRPr="004C2A59">
        <w:rPr>
          <w:color w:val="000000"/>
          <w:sz w:val="22"/>
          <w:szCs w:val="22"/>
          <w:lang w:val="da-DK"/>
        </w:rPr>
        <w:t>virkning</w:t>
      </w:r>
      <w:r w:rsidR="00FA7B4A" w:rsidRPr="004C2A59">
        <w:rPr>
          <w:color w:val="000000"/>
          <w:sz w:val="22"/>
          <w:szCs w:val="22"/>
          <w:lang w:val="da-DK"/>
        </w:rPr>
        <w:t xml:space="preserve"> hos børn</w:t>
      </w:r>
      <w:r w:rsidR="00C54825" w:rsidRPr="004C2A59">
        <w:rPr>
          <w:color w:val="000000"/>
          <w:sz w:val="22"/>
          <w:szCs w:val="22"/>
          <w:lang w:val="da-DK"/>
        </w:rPr>
        <w:t xml:space="preserve"> under 18 år</w:t>
      </w:r>
      <w:r w:rsidR="00FA7B4A" w:rsidRPr="004C2A59">
        <w:rPr>
          <w:color w:val="000000"/>
          <w:sz w:val="22"/>
          <w:szCs w:val="22"/>
          <w:lang w:val="da-DK"/>
        </w:rPr>
        <w:t xml:space="preserve"> med </w:t>
      </w:r>
      <w:smartTag w:uri="urn:schemas-microsoft-com:office:smarttags" w:element="metricconverter">
        <w:r w:rsidR="00FA7B4A" w:rsidRPr="004C2A59">
          <w:rPr>
            <w:color w:val="000000"/>
            <w:sz w:val="22"/>
            <w:szCs w:val="22"/>
            <w:lang w:val="da-DK"/>
          </w:rPr>
          <w:t>MDS</w:t>
        </w:r>
      </w:smartTag>
      <w:r w:rsidR="00FA7B4A" w:rsidRPr="004C2A59">
        <w:rPr>
          <w:color w:val="000000"/>
          <w:sz w:val="22"/>
          <w:szCs w:val="22"/>
          <w:lang w:val="da-DK"/>
        </w:rPr>
        <w:t>/MPD, DFSP, GIST og HES/CEL</w:t>
      </w:r>
      <w:r w:rsidR="00C54825" w:rsidRPr="004C2A59">
        <w:rPr>
          <w:color w:val="000000"/>
          <w:sz w:val="22"/>
          <w:szCs w:val="22"/>
          <w:lang w:val="da-DK"/>
        </w:rPr>
        <w:t xml:space="preserve"> </w:t>
      </w:r>
      <w:r w:rsidR="00FA7B4A" w:rsidRPr="004C2A59">
        <w:rPr>
          <w:color w:val="000000"/>
          <w:sz w:val="22"/>
          <w:szCs w:val="22"/>
          <w:lang w:val="da-DK"/>
        </w:rPr>
        <w:t xml:space="preserve">er ikke </w:t>
      </w:r>
      <w:r w:rsidR="00C155DA" w:rsidRPr="004C2A59">
        <w:rPr>
          <w:color w:val="000000"/>
          <w:sz w:val="22"/>
          <w:szCs w:val="22"/>
          <w:lang w:val="da-DK"/>
        </w:rPr>
        <w:t>klarlagt</w:t>
      </w:r>
      <w:r w:rsidR="00FA7B4A" w:rsidRPr="004C2A59">
        <w:rPr>
          <w:color w:val="000000"/>
          <w:sz w:val="22"/>
          <w:szCs w:val="22"/>
          <w:lang w:val="da-DK"/>
        </w:rPr>
        <w:t xml:space="preserve"> i kliniske studier. </w:t>
      </w:r>
      <w:r w:rsidR="00C54825" w:rsidRPr="004C2A59">
        <w:rPr>
          <w:color w:val="000000"/>
          <w:sz w:val="22"/>
          <w:szCs w:val="22"/>
          <w:lang w:val="da-DK"/>
        </w:rPr>
        <w:t>De</w:t>
      </w:r>
      <w:r w:rsidR="00FA7B4A" w:rsidRPr="004C2A59">
        <w:rPr>
          <w:color w:val="000000"/>
          <w:sz w:val="22"/>
          <w:szCs w:val="22"/>
          <w:lang w:val="da-DK"/>
        </w:rPr>
        <w:t xml:space="preserve"> </w:t>
      </w:r>
      <w:r w:rsidR="00C155DA" w:rsidRPr="004C2A59">
        <w:rPr>
          <w:color w:val="000000"/>
          <w:sz w:val="22"/>
          <w:szCs w:val="22"/>
          <w:lang w:val="da-DK"/>
        </w:rPr>
        <w:t xml:space="preserve">foreliggende </w:t>
      </w:r>
      <w:r w:rsidR="00FA7B4A" w:rsidRPr="004C2A59">
        <w:rPr>
          <w:color w:val="000000"/>
          <w:sz w:val="22"/>
          <w:szCs w:val="22"/>
          <w:lang w:val="da-DK"/>
        </w:rPr>
        <w:t xml:space="preserve">publicerede data er opsummeret i </w:t>
      </w:r>
      <w:r w:rsidR="00C155DA" w:rsidRPr="004C2A59">
        <w:rPr>
          <w:color w:val="000000"/>
          <w:sz w:val="22"/>
          <w:szCs w:val="22"/>
          <w:lang w:val="da-DK"/>
        </w:rPr>
        <w:t>pkt.</w:t>
      </w:r>
      <w:r w:rsidR="00FA7B4A" w:rsidRPr="004C2A59">
        <w:rPr>
          <w:color w:val="000000"/>
          <w:sz w:val="22"/>
          <w:szCs w:val="22"/>
          <w:lang w:val="da-DK"/>
        </w:rPr>
        <w:t xml:space="preserve"> 5.1, men </w:t>
      </w:r>
      <w:r w:rsidR="00D453FD" w:rsidRPr="004C2A59">
        <w:rPr>
          <w:color w:val="000000"/>
          <w:sz w:val="22"/>
          <w:szCs w:val="22"/>
          <w:lang w:val="da-DK"/>
        </w:rPr>
        <w:t>der kan ikke gives nogen anbefaling</w:t>
      </w:r>
      <w:r w:rsidR="00C155DA" w:rsidRPr="004C2A59">
        <w:rPr>
          <w:color w:val="000000"/>
          <w:sz w:val="22"/>
          <w:szCs w:val="22"/>
          <w:lang w:val="da-DK"/>
        </w:rPr>
        <w:t>er</w:t>
      </w:r>
      <w:r w:rsidR="00D453FD" w:rsidRPr="004C2A59">
        <w:rPr>
          <w:color w:val="000000"/>
          <w:sz w:val="22"/>
          <w:szCs w:val="22"/>
          <w:lang w:val="da-DK"/>
        </w:rPr>
        <w:t xml:space="preserve"> </w:t>
      </w:r>
      <w:r w:rsidR="00C155DA" w:rsidRPr="004C2A59">
        <w:rPr>
          <w:color w:val="000000"/>
          <w:sz w:val="22"/>
          <w:szCs w:val="22"/>
          <w:lang w:val="da-DK"/>
        </w:rPr>
        <w:t xml:space="preserve">vedrørende </w:t>
      </w:r>
      <w:r w:rsidR="00FA7B4A" w:rsidRPr="004C2A59">
        <w:rPr>
          <w:color w:val="000000"/>
          <w:sz w:val="22"/>
          <w:szCs w:val="22"/>
          <w:lang w:val="da-DK"/>
        </w:rPr>
        <w:t>dosering.</w:t>
      </w:r>
    </w:p>
    <w:p w14:paraId="59382ABA" w14:textId="77777777" w:rsidR="00270C5A" w:rsidRPr="004C2A59" w:rsidRDefault="00270C5A" w:rsidP="00421681">
      <w:pPr>
        <w:rPr>
          <w:color w:val="000000"/>
          <w:sz w:val="22"/>
          <w:szCs w:val="22"/>
          <w:lang w:val="da-DK"/>
        </w:rPr>
      </w:pPr>
    </w:p>
    <w:p w14:paraId="5ACBF51D" w14:textId="77777777" w:rsidR="00270C5A" w:rsidRPr="004C2A59" w:rsidRDefault="00270C5A" w:rsidP="00421681">
      <w:pPr>
        <w:pStyle w:val="EndnoteText"/>
        <w:tabs>
          <w:tab w:val="clear" w:pos="567"/>
        </w:tabs>
        <w:rPr>
          <w:color w:val="000000"/>
          <w:szCs w:val="22"/>
        </w:rPr>
      </w:pPr>
      <w:r w:rsidRPr="004C2A59">
        <w:rPr>
          <w:i/>
          <w:color w:val="000000"/>
          <w:szCs w:val="22"/>
        </w:rPr>
        <w:t>Leverinsufficiens:</w:t>
      </w:r>
      <w:r w:rsidR="0069041A" w:rsidRPr="004C2A59">
        <w:rPr>
          <w:color w:val="000000"/>
          <w:szCs w:val="22"/>
        </w:rPr>
        <w:t xml:space="preserve"> </w:t>
      </w:r>
      <w:r w:rsidR="000147FD" w:rsidRPr="004C2A59">
        <w:rPr>
          <w:color w:val="000000"/>
          <w:szCs w:val="22"/>
        </w:rPr>
        <w:t>I</w:t>
      </w:r>
      <w:r w:rsidRPr="004C2A59">
        <w:rPr>
          <w:color w:val="000000"/>
          <w:szCs w:val="22"/>
        </w:rPr>
        <w:t xml:space="preserve">matinib metaboliseres </w:t>
      </w:r>
      <w:r w:rsidR="000147FD" w:rsidRPr="004C2A59">
        <w:rPr>
          <w:color w:val="000000"/>
          <w:szCs w:val="22"/>
        </w:rPr>
        <w:t xml:space="preserve">primært </w:t>
      </w:r>
      <w:r w:rsidRPr="004C2A59">
        <w:rPr>
          <w:color w:val="000000"/>
          <w:szCs w:val="22"/>
        </w:rPr>
        <w:t>i leveren</w:t>
      </w:r>
      <w:r w:rsidR="000147FD" w:rsidRPr="004C2A59">
        <w:rPr>
          <w:color w:val="000000"/>
          <w:szCs w:val="22"/>
        </w:rPr>
        <w:t>. Patienter med mild, moderat eller svær nedsat leverfunktion</w:t>
      </w:r>
      <w:r w:rsidR="00747E0F" w:rsidRPr="004C2A59">
        <w:rPr>
          <w:color w:val="000000"/>
          <w:szCs w:val="22"/>
        </w:rPr>
        <w:t xml:space="preserve"> bør gives den mindste anbefalede</w:t>
      </w:r>
      <w:r w:rsidR="00156361" w:rsidRPr="004C2A59">
        <w:rPr>
          <w:color w:val="000000"/>
          <w:szCs w:val="22"/>
        </w:rPr>
        <w:t xml:space="preserve"> dosis på 400 mg daglig. Dosis kan reduceres</w:t>
      </w:r>
      <w:r w:rsidR="005E0B66" w:rsidRPr="004C2A59">
        <w:rPr>
          <w:color w:val="000000"/>
          <w:szCs w:val="22"/>
        </w:rPr>
        <w:t xml:space="preserve"> ved intolerance</w:t>
      </w:r>
      <w:r w:rsidR="00156361" w:rsidRPr="004C2A59">
        <w:rPr>
          <w:color w:val="000000"/>
          <w:szCs w:val="22"/>
        </w:rPr>
        <w:t xml:space="preserve"> (se </w:t>
      </w:r>
      <w:r w:rsidR="003B2976" w:rsidRPr="004C2A59">
        <w:rPr>
          <w:color w:val="000000"/>
          <w:szCs w:val="22"/>
        </w:rPr>
        <w:t>pkt.</w:t>
      </w:r>
      <w:r w:rsidR="00156361" w:rsidRPr="004C2A59">
        <w:rPr>
          <w:color w:val="000000"/>
          <w:szCs w:val="22"/>
        </w:rPr>
        <w:t xml:space="preserve"> 4.4, 4.8 og 5.2).</w:t>
      </w:r>
    </w:p>
    <w:p w14:paraId="5D8747AE" w14:textId="77777777" w:rsidR="00270C5A" w:rsidRPr="004C2A59" w:rsidRDefault="00270C5A" w:rsidP="00421681">
      <w:pPr>
        <w:pStyle w:val="EndnoteText"/>
        <w:tabs>
          <w:tab w:val="clear" w:pos="567"/>
        </w:tabs>
        <w:rPr>
          <w:color w:val="000000"/>
          <w:szCs w:val="22"/>
        </w:rPr>
      </w:pPr>
    </w:p>
    <w:p w14:paraId="29D5B880" w14:textId="77777777" w:rsidR="0069041A" w:rsidRPr="004C2A59" w:rsidRDefault="0069041A" w:rsidP="006C180B">
      <w:pPr>
        <w:pStyle w:val="EndnoteText"/>
        <w:keepNext/>
        <w:tabs>
          <w:tab w:val="clear" w:pos="567"/>
        </w:tabs>
        <w:rPr>
          <w:color w:val="000000"/>
          <w:szCs w:val="22"/>
        </w:rPr>
      </w:pPr>
      <w:r w:rsidRPr="004C2A59">
        <w:rPr>
          <w:color w:val="000000"/>
          <w:szCs w:val="22"/>
        </w:rPr>
        <w:t xml:space="preserve">Klassificering af </w:t>
      </w:r>
      <w:r w:rsidR="007D1CD3" w:rsidRPr="004C2A59">
        <w:rPr>
          <w:color w:val="000000"/>
          <w:szCs w:val="22"/>
        </w:rPr>
        <w:t xml:space="preserve">nedsat </w:t>
      </w:r>
      <w:r w:rsidRPr="004C2A59">
        <w:rPr>
          <w:color w:val="000000"/>
          <w:szCs w:val="22"/>
        </w:rPr>
        <w:t>leverfunktion</w:t>
      </w:r>
      <w:r w:rsidR="00AD4F03" w:rsidRPr="004C2A59">
        <w:rPr>
          <w:color w:val="000000"/>
          <w:szCs w:val="22"/>
        </w:rPr>
        <w:t>:</w:t>
      </w:r>
    </w:p>
    <w:p w14:paraId="0713DB9F" w14:textId="77777777" w:rsidR="0069041A" w:rsidRPr="004C2A59" w:rsidRDefault="0069041A" w:rsidP="006C180B">
      <w:pPr>
        <w:pStyle w:val="Text"/>
        <w:keepNext/>
        <w:spacing w:before="0"/>
        <w:jc w:val="left"/>
        <w:rPr>
          <w:color w:val="000000"/>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3"/>
        <w:gridCol w:w="5762"/>
      </w:tblGrid>
      <w:tr w:rsidR="0069041A" w:rsidRPr="004C2A59" w14:paraId="2CC1D887" w14:textId="77777777" w:rsidTr="006C180B">
        <w:trPr>
          <w:cantSplit/>
        </w:trPr>
        <w:tc>
          <w:tcPr>
            <w:tcW w:w="3369" w:type="dxa"/>
          </w:tcPr>
          <w:p w14:paraId="1FDD236D" w14:textId="77777777" w:rsidR="0069041A" w:rsidRPr="004C2A59" w:rsidRDefault="00747E0F" w:rsidP="006C180B">
            <w:pPr>
              <w:pStyle w:val="Text"/>
              <w:keepNext/>
              <w:tabs>
                <w:tab w:val="left" w:pos="567"/>
              </w:tabs>
              <w:spacing w:before="0"/>
              <w:jc w:val="left"/>
              <w:rPr>
                <w:color w:val="000000"/>
                <w:sz w:val="22"/>
                <w:szCs w:val="22"/>
                <w:lang w:val="en-GB"/>
              </w:rPr>
            </w:pPr>
            <w:r w:rsidRPr="004C2A59">
              <w:rPr>
                <w:color w:val="000000"/>
                <w:sz w:val="22"/>
                <w:szCs w:val="22"/>
              </w:rPr>
              <w:t>Nedsat l</w:t>
            </w:r>
            <w:r w:rsidR="0069041A" w:rsidRPr="004C2A59">
              <w:rPr>
                <w:color w:val="000000"/>
                <w:sz w:val="22"/>
                <w:szCs w:val="22"/>
              </w:rPr>
              <w:t>everfunktion</w:t>
            </w:r>
          </w:p>
        </w:tc>
        <w:tc>
          <w:tcPr>
            <w:tcW w:w="5918" w:type="dxa"/>
          </w:tcPr>
          <w:p w14:paraId="01A4DD13" w14:textId="77777777" w:rsidR="0069041A" w:rsidRPr="004C2A59" w:rsidRDefault="0069041A" w:rsidP="006C180B">
            <w:pPr>
              <w:pStyle w:val="Text"/>
              <w:keepNext/>
              <w:tabs>
                <w:tab w:val="left" w:pos="567"/>
              </w:tabs>
              <w:spacing w:before="0"/>
              <w:jc w:val="left"/>
              <w:rPr>
                <w:color w:val="000000"/>
                <w:sz w:val="22"/>
                <w:szCs w:val="22"/>
                <w:lang w:val="en-GB"/>
              </w:rPr>
            </w:pPr>
            <w:r w:rsidRPr="004C2A59">
              <w:rPr>
                <w:color w:val="000000"/>
                <w:sz w:val="22"/>
                <w:szCs w:val="22"/>
              </w:rPr>
              <w:t>Leverfunktionstest</w:t>
            </w:r>
          </w:p>
        </w:tc>
      </w:tr>
      <w:tr w:rsidR="0069041A" w:rsidRPr="00DA2798" w14:paraId="51A95D91" w14:textId="77777777" w:rsidTr="006C180B">
        <w:trPr>
          <w:cantSplit/>
        </w:trPr>
        <w:tc>
          <w:tcPr>
            <w:tcW w:w="3369" w:type="dxa"/>
          </w:tcPr>
          <w:p w14:paraId="239C767B" w14:textId="77777777" w:rsidR="0069041A" w:rsidRPr="004C2A59" w:rsidRDefault="0069041A" w:rsidP="006C180B">
            <w:pPr>
              <w:pStyle w:val="Text"/>
              <w:keepNext/>
              <w:tabs>
                <w:tab w:val="left" w:pos="567"/>
              </w:tabs>
              <w:spacing w:before="0"/>
              <w:jc w:val="left"/>
              <w:rPr>
                <w:color w:val="000000"/>
                <w:sz w:val="22"/>
                <w:szCs w:val="22"/>
                <w:lang w:val="en-GB"/>
              </w:rPr>
            </w:pPr>
            <w:r w:rsidRPr="004C2A59">
              <w:rPr>
                <w:color w:val="000000"/>
                <w:sz w:val="22"/>
                <w:szCs w:val="22"/>
              </w:rPr>
              <w:t>Mild</w:t>
            </w:r>
          </w:p>
        </w:tc>
        <w:tc>
          <w:tcPr>
            <w:tcW w:w="5918" w:type="dxa"/>
          </w:tcPr>
          <w:p w14:paraId="447A1DF2" w14:textId="77777777" w:rsidR="0069041A" w:rsidRPr="004C2A59" w:rsidRDefault="00F80863" w:rsidP="006C180B">
            <w:pPr>
              <w:keepNext/>
              <w:tabs>
                <w:tab w:val="left" w:pos="567"/>
              </w:tabs>
              <w:rPr>
                <w:snapToGrid w:val="0"/>
                <w:color w:val="000000"/>
                <w:sz w:val="22"/>
                <w:szCs w:val="22"/>
                <w:lang w:val="da-DK"/>
              </w:rPr>
            </w:pPr>
            <w:r w:rsidRPr="004C2A59">
              <w:rPr>
                <w:snapToGrid w:val="0"/>
                <w:color w:val="000000"/>
                <w:sz w:val="22"/>
                <w:szCs w:val="22"/>
                <w:lang w:val="da-DK"/>
              </w:rPr>
              <w:t>Total</w:t>
            </w:r>
            <w:r w:rsidR="009D694F" w:rsidRPr="004C2A59">
              <w:rPr>
                <w:snapToGrid w:val="0"/>
                <w:color w:val="000000"/>
                <w:sz w:val="22"/>
                <w:szCs w:val="22"/>
                <w:lang w:val="da-DK"/>
              </w:rPr>
              <w:t>-</w:t>
            </w:r>
            <w:r w:rsidRPr="004C2A59">
              <w:rPr>
                <w:snapToGrid w:val="0"/>
                <w:color w:val="000000"/>
                <w:sz w:val="22"/>
                <w:szCs w:val="22"/>
                <w:lang w:val="da-DK"/>
              </w:rPr>
              <w:t>bilirubin</w:t>
            </w:r>
            <w:r w:rsidR="0069041A" w:rsidRPr="004C2A59">
              <w:rPr>
                <w:snapToGrid w:val="0"/>
                <w:color w:val="000000"/>
                <w:sz w:val="22"/>
                <w:szCs w:val="22"/>
                <w:lang w:val="da-DK"/>
              </w:rPr>
              <w:t xml:space="preserve"> = 1,5 ULN</w:t>
            </w:r>
          </w:p>
          <w:p w14:paraId="1BDB9329" w14:textId="77777777" w:rsidR="0069041A" w:rsidRPr="004C2A59" w:rsidRDefault="0069041A" w:rsidP="006C180B">
            <w:pPr>
              <w:pStyle w:val="Text"/>
              <w:keepNext/>
              <w:tabs>
                <w:tab w:val="left" w:pos="567"/>
              </w:tabs>
              <w:spacing w:before="0"/>
              <w:jc w:val="left"/>
              <w:rPr>
                <w:color w:val="000000"/>
                <w:sz w:val="22"/>
                <w:szCs w:val="22"/>
                <w:lang w:val="da-DK"/>
              </w:rPr>
            </w:pPr>
            <w:r w:rsidRPr="004C2A59">
              <w:rPr>
                <w:snapToGrid w:val="0"/>
                <w:color w:val="000000"/>
                <w:sz w:val="22"/>
                <w:szCs w:val="22"/>
                <w:lang w:val="da-DK"/>
              </w:rPr>
              <w:t>AS</w:t>
            </w:r>
            <w:r w:rsidR="00E60059" w:rsidRPr="004C2A59">
              <w:rPr>
                <w:snapToGrid w:val="0"/>
                <w:color w:val="000000"/>
                <w:sz w:val="22"/>
                <w:szCs w:val="22"/>
                <w:lang w:val="da-DK"/>
              </w:rPr>
              <w:t>A</w:t>
            </w:r>
            <w:r w:rsidRPr="004C2A59">
              <w:rPr>
                <w:snapToGrid w:val="0"/>
                <w:color w:val="000000"/>
                <w:sz w:val="22"/>
                <w:szCs w:val="22"/>
                <w:lang w:val="da-DK"/>
              </w:rPr>
              <w:t>T: &gt;ULN (</w:t>
            </w:r>
            <w:r w:rsidR="005F141F" w:rsidRPr="004C2A59">
              <w:rPr>
                <w:snapToGrid w:val="0"/>
                <w:color w:val="000000"/>
                <w:sz w:val="22"/>
                <w:szCs w:val="22"/>
                <w:lang w:val="da-DK"/>
              </w:rPr>
              <w:t>k</w:t>
            </w:r>
            <w:r w:rsidRPr="004C2A59">
              <w:rPr>
                <w:snapToGrid w:val="0"/>
                <w:color w:val="000000"/>
                <w:sz w:val="22"/>
                <w:szCs w:val="22"/>
                <w:lang w:val="da-DK"/>
              </w:rPr>
              <w:t xml:space="preserve">an </w:t>
            </w:r>
            <w:r w:rsidR="005F141F" w:rsidRPr="004C2A59">
              <w:rPr>
                <w:snapToGrid w:val="0"/>
                <w:color w:val="000000"/>
                <w:sz w:val="22"/>
                <w:szCs w:val="22"/>
                <w:lang w:val="da-DK"/>
              </w:rPr>
              <w:t xml:space="preserve">være </w:t>
            </w:r>
            <w:r w:rsidRPr="004C2A59">
              <w:rPr>
                <w:snapToGrid w:val="0"/>
                <w:color w:val="000000"/>
                <w:sz w:val="22"/>
                <w:szCs w:val="22"/>
                <w:lang w:val="da-DK"/>
              </w:rPr>
              <w:t xml:space="preserve">normal </w:t>
            </w:r>
            <w:r w:rsidR="005F141F" w:rsidRPr="004C2A59">
              <w:rPr>
                <w:snapToGrid w:val="0"/>
                <w:color w:val="000000"/>
                <w:sz w:val="22"/>
                <w:szCs w:val="22"/>
                <w:lang w:val="da-DK"/>
              </w:rPr>
              <w:t>eller</w:t>
            </w:r>
            <w:r w:rsidRPr="004C2A59">
              <w:rPr>
                <w:snapToGrid w:val="0"/>
                <w:color w:val="000000"/>
                <w:sz w:val="22"/>
                <w:szCs w:val="22"/>
                <w:lang w:val="da-DK"/>
              </w:rPr>
              <w:t xml:space="preserve"> &lt;ULN </w:t>
            </w:r>
            <w:r w:rsidR="005F141F" w:rsidRPr="004C2A59">
              <w:rPr>
                <w:snapToGrid w:val="0"/>
                <w:color w:val="000000"/>
                <w:sz w:val="22"/>
                <w:szCs w:val="22"/>
                <w:lang w:val="da-DK"/>
              </w:rPr>
              <w:t>hvis</w:t>
            </w:r>
            <w:r w:rsidRPr="004C2A59">
              <w:rPr>
                <w:snapToGrid w:val="0"/>
                <w:color w:val="000000"/>
                <w:sz w:val="22"/>
                <w:szCs w:val="22"/>
                <w:lang w:val="da-DK"/>
              </w:rPr>
              <w:t xml:space="preserve"> </w:t>
            </w:r>
            <w:r w:rsidR="007C671F" w:rsidRPr="004C2A59">
              <w:rPr>
                <w:snapToGrid w:val="0"/>
                <w:color w:val="000000"/>
                <w:sz w:val="22"/>
                <w:szCs w:val="22"/>
                <w:lang w:val="da-DK"/>
              </w:rPr>
              <w:t>t</w:t>
            </w:r>
            <w:r w:rsidR="00F80863" w:rsidRPr="004C2A59">
              <w:rPr>
                <w:snapToGrid w:val="0"/>
                <w:color w:val="000000"/>
                <w:sz w:val="22"/>
                <w:szCs w:val="22"/>
                <w:lang w:val="da-DK"/>
              </w:rPr>
              <w:t>otal</w:t>
            </w:r>
            <w:r w:rsidR="009D694F" w:rsidRPr="004C2A59">
              <w:rPr>
                <w:snapToGrid w:val="0"/>
                <w:color w:val="000000"/>
                <w:sz w:val="22"/>
                <w:szCs w:val="22"/>
                <w:lang w:val="da-DK"/>
              </w:rPr>
              <w:t>-</w:t>
            </w:r>
            <w:r w:rsidR="00F80863" w:rsidRPr="004C2A59">
              <w:rPr>
                <w:snapToGrid w:val="0"/>
                <w:color w:val="000000"/>
                <w:sz w:val="22"/>
                <w:szCs w:val="22"/>
                <w:lang w:val="da-DK"/>
              </w:rPr>
              <w:t>bilirubin</w:t>
            </w:r>
            <w:r w:rsidRPr="004C2A59">
              <w:rPr>
                <w:snapToGrid w:val="0"/>
                <w:color w:val="000000"/>
                <w:sz w:val="22"/>
                <w:szCs w:val="22"/>
                <w:lang w:val="da-DK"/>
              </w:rPr>
              <w:t xml:space="preserve"> </w:t>
            </w:r>
            <w:r w:rsidR="005F141F" w:rsidRPr="004C2A59">
              <w:rPr>
                <w:snapToGrid w:val="0"/>
                <w:color w:val="000000"/>
                <w:sz w:val="22"/>
                <w:szCs w:val="22"/>
                <w:lang w:val="da-DK"/>
              </w:rPr>
              <w:t>er</w:t>
            </w:r>
            <w:r w:rsidRPr="004C2A59">
              <w:rPr>
                <w:snapToGrid w:val="0"/>
                <w:color w:val="000000"/>
                <w:sz w:val="22"/>
                <w:szCs w:val="22"/>
                <w:lang w:val="da-DK"/>
              </w:rPr>
              <w:t xml:space="preserve"> &gt;ULN)</w:t>
            </w:r>
          </w:p>
        </w:tc>
      </w:tr>
      <w:tr w:rsidR="0069041A" w:rsidRPr="00F852D1" w14:paraId="56934DF6" w14:textId="77777777" w:rsidTr="006C180B">
        <w:trPr>
          <w:cantSplit/>
        </w:trPr>
        <w:tc>
          <w:tcPr>
            <w:tcW w:w="3369" w:type="dxa"/>
          </w:tcPr>
          <w:p w14:paraId="69775D10" w14:textId="77777777" w:rsidR="0069041A" w:rsidRPr="004C2A59" w:rsidRDefault="0069041A" w:rsidP="006C180B">
            <w:pPr>
              <w:pStyle w:val="Text"/>
              <w:keepNext/>
              <w:tabs>
                <w:tab w:val="left" w:pos="567"/>
              </w:tabs>
              <w:spacing w:before="0"/>
              <w:jc w:val="left"/>
              <w:rPr>
                <w:color w:val="000000"/>
                <w:sz w:val="22"/>
                <w:szCs w:val="22"/>
                <w:lang w:val="en-GB"/>
              </w:rPr>
            </w:pPr>
            <w:r w:rsidRPr="004C2A59">
              <w:rPr>
                <w:color w:val="000000"/>
                <w:sz w:val="22"/>
                <w:szCs w:val="22"/>
              </w:rPr>
              <w:t>Moderat</w:t>
            </w:r>
          </w:p>
        </w:tc>
        <w:tc>
          <w:tcPr>
            <w:tcW w:w="5918" w:type="dxa"/>
          </w:tcPr>
          <w:p w14:paraId="233A2367" w14:textId="77777777" w:rsidR="0069041A" w:rsidRPr="00F852D1" w:rsidRDefault="0069041A" w:rsidP="006C180B">
            <w:pPr>
              <w:keepNext/>
              <w:tabs>
                <w:tab w:val="left" w:pos="567"/>
              </w:tabs>
              <w:rPr>
                <w:snapToGrid w:val="0"/>
                <w:color w:val="000000"/>
                <w:sz w:val="22"/>
                <w:szCs w:val="22"/>
                <w:lang w:val="sv-SE"/>
              </w:rPr>
            </w:pPr>
            <w:r w:rsidRPr="00F852D1">
              <w:rPr>
                <w:snapToGrid w:val="0"/>
                <w:color w:val="000000"/>
                <w:sz w:val="22"/>
                <w:szCs w:val="22"/>
                <w:lang w:val="sv-SE"/>
              </w:rPr>
              <w:t>Total</w:t>
            </w:r>
            <w:r w:rsidR="009D694F" w:rsidRPr="00F852D1">
              <w:rPr>
                <w:snapToGrid w:val="0"/>
                <w:color w:val="000000"/>
                <w:sz w:val="22"/>
                <w:szCs w:val="22"/>
                <w:lang w:val="sv-SE"/>
              </w:rPr>
              <w:t>-</w:t>
            </w:r>
            <w:r w:rsidRPr="00F852D1">
              <w:rPr>
                <w:snapToGrid w:val="0"/>
                <w:color w:val="000000"/>
                <w:sz w:val="22"/>
                <w:szCs w:val="22"/>
                <w:lang w:val="sv-SE"/>
              </w:rPr>
              <w:t>bilirubin: &gt;1,5</w:t>
            </w:r>
            <w:r w:rsidRPr="00F852D1">
              <w:rPr>
                <w:color w:val="000000"/>
                <w:sz w:val="22"/>
                <w:szCs w:val="22"/>
                <w:lang w:val="sv-SE"/>
              </w:rPr>
              <w:t>–</w:t>
            </w:r>
            <w:r w:rsidRPr="00F852D1">
              <w:rPr>
                <w:snapToGrid w:val="0"/>
                <w:color w:val="000000"/>
                <w:sz w:val="22"/>
                <w:szCs w:val="22"/>
                <w:lang w:val="sv-SE"/>
              </w:rPr>
              <w:t>3,0 ULN</w:t>
            </w:r>
          </w:p>
          <w:p w14:paraId="086CF22D" w14:textId="77777777" w:rsidR="0069041A" w:rsidRPr="00F852D1" w:rsidRDefault="00E60059" w:rsidP="006C180B">
            <w:pPr>
              <w:pStyle w:val="Text"/>
              <w:keepNext/>
              <w:tabs>
                <w:tab w:val="left" w:pos="567"/>
              </w:tabs>
              <w:spacing w:before="0"/>
              <w:jc w:val="left"/>
              <w:rPr>
                <w:color w:val="000000"/>
                <w:sz w:val="22"/>
                <w:szCs w:val="22"/>
                <w:lang w:val="sv-SE"/>
              </w:rPr>
            </w:pPr>
            <w:r w:rsidRPr="00F852D1">
              <w:rPr>
                <w:snapToGrid w:val="0"/>
                <w:color w:val="000000"/>
                <w:sz w:val="22"/>
                <w:szCs w:val="22"/>
                <w:lang w:val="sv-SE"/>
              </w:rPr>
              <w:t>ASAT</w:t>
            </w:r>
            <w:r w:rsidR="005F141F" w:rsidRPr="00F852D1">
              <w:rPr>
                <w:snapToGrid w:val="0"/>
                <w:color w:val="000000"/>
                <w:sz w:val="22"/>
                <w:szCs w:val="22"/>
                <w:lang w:val="sv-SE"/>
              </w:rPr>
              <w:t>: alt</w:t>
            </w:r>
          </w:p>
        </w:tc>
      </w:tr>
      <w:tr w:rsidR="0069041A" w:rsidRPr="00F852D1" w14:paraId="7A3887B1" w14:textId="77777777" w:rsidTr="006C180B">
        <w:trPr>
          <w:cantSplit/>
        </w:trPr>
        <w:tc>
          <w:tcPr>
            <w:tcW w:w="3369" w:type="dxa"/>
          </w:tcPr>
          <w:p w14:paraId="6C22B73F" w14:textId="77777777" w:rsidR="0069041A" w:rsidRPr="004C2A59" w:rsidRDefault="0069041A" w:rsidP="006C180B">
            <w:pPr>
              <w:pStyle w:val="Text"/>
              <w:keepNext/>
              <w:tabs>
                <w:tab w:val="left" w:pos="567"/>
              </w:tabs>
              <w:spacing w:before="0"/>
              <w:jc w:val="left"/>
              <w:rPr>
                <w:color w:val="000000"/>
                <w:sz w:val="22"/>
                <w:szCs w:val="22"/>
                <w:lang w:val="en-GB"/>
              </w:rPr>
            </w:pPr>
            <w:r w:rsidRPr="004C2A59">
              <w:rPr>
                <w:color w:val="000000"/>
                <w:sz w:val="22"/>
                <w:szCs w:val="22"/>
              </w:rPr>
              <w:t>Svær</w:t>
            </w:r>
          </w:p>
        </w:tc>
        <w:tc>
          <w:tcPr>
            <w:tcW w:w="5918" w:type="dxa"/>
          </w:tcPr>
          <w:p w14:paraId="0ADCE6C6" w14:textId="77777777" w:rsidR="0069041A" w:rsidRPr="00F852D1" w:rsidRDefault="00F80863" w:rsidP="006C180B">
            <w:pPr>
              <w:keepNext/>
              <w:tabs>
                <w:tab w:val="left" w:pos="567"/>
              </w:tabs>
              <w:rPr>
                <w:snapToGrid w:val="0"/>
                <w:color w:val="000000"/>
                <w:sz w:val="22"/>
                <w:szCs w:val="22"/>
                <w:lang w:val="sv-SE"/>
              </w:rPr>
            </w:pPr>
            <w:r w:rsidRPr="00F852D1">
              <w:rPr>
                <w:snapToGrid w:val="0"/>
                <w:color w:val="000000"/>
                <w:sz w:val="22"/>
                <w:szCs w:val="22"/>
                <w:lang w:val="sv-SE"/>
              </w:rPr>
              <w:t>Total</w:t>
            </w:r>
            <w:r w:rsidR="009D694F" w:rsidRPr="00F852D1">
              <w:rPr>
                <w:snapToGrid w:val="0"/>
                <w:color w:val="000000"/>
                <w:sz w:val="22"/>
                <w:szCs w:val="22"/>
                <w:lang w:val="sv-SE"/>
              </w:rPr>
              <w:t>-</w:t>
            </w:r>
            <w:r w:rsidRPr="00F852D1">
              <w:rPr>
                <w:snapToGrid w:val="0"/>
                <w:color w:val="000000"/>
                <w:sz w:val="22"/>
                <w:szCs w:val="22"/>
                <w:lang w:val="sv-SE"/>
              </w:rPr>
              <w:t>bilirubin</w:t>
            </w:r>
            <w:r w:rsidR="0069041A" w:rsidRPr="00F852D1">
              <w:rPr>
                <w:snapToGrid w:val="0"/>
                <w:color w:val="000000"/>
                <w:sz w:val="22"/>
                <w:szCs w:val="22"/>
                <w:lang w:val="sv-SE"/>
              </w:rPr>
              <w:t>: &gt;3</w:t>
            </w:r>
            <w:r w:rsidR="0069041A" w:rsidRPr="00F852D1">
              <w:rPr>
                <w:color w:val="000000"/>
                <w:sz w:val="22"/>
                <w:szCs w:val="22"/>
                <w:lang w:val="sv-SE"/>
              </w:rPr>
              <w:t>–</w:t>
            </w:r>
            <w:r w:rsidR="0069041A" w:rsidRPr="00F852D1">
              <w:rPr>
                <w:snapToGrid w:val="0"/>
                <w:color w:val="000000"/>
                <w:sz w:val="22"/>
                <w:szCs w:val="22"/>
                <w:lang w:val="sv-SE"/>
              </w:rPr>
              <w:t>10 ULN</w:t>
            </w:r>
          </w:p>
          <w:p w14:paraId="578DE935" w14:textId="77777777" w:rsidR="0069041A" w:rsidRPr="00F852D1" w:rsidRDefault="00E60059" w:rsidP="006C180B">
            <w:pPr>
              <w:pStyle w:val="Text"/>
              <w:keepNext/>
              <w:tabs>
                <w:tab w:val="left" w:pos="567"/>
              </w:tabs>
              <w:spacing w:before="0"/>
              <w:jc w:val="left"/>
              <w:rPr>
                <w:color w:val="000000"/>
                <w:sz w:val="22"/>
                <w:szCs w:val="22"/>
                <w:lang w:val="sv-SE"/>
              </w:rPr>
            </w:pPr>
            <w:r w:rsidRPr="00F852D1">
              <w:rPr>
                <w:snapToGrid w:val="0"/>
                <w:color w:val="000000"/>
                <w:sz w:val="22"/>
                <w:szCs w:val="22"/>
                <w:lang w:val="sv-SE"/>
              </w:rPr>
              <w:t>ASAT</w:t>
            </w:r>
            <w:r w:rsidR="005F141F" w:rsidRPr="00F852D1">
              <w:rPr>
                <w:snapToGrid w:val="0"/>
                <w:color w:val="000000"/>
                <w:sz w:val="22"/>
                <w:szCs w:val="22"/>
                <w:lang w:val="sv-SE"/>
              </w:rPr>
              <w:t>: alt</w:t>
            </w:r>
          </w:p>
        </w:tc>
      </w:tr>
    </w:tbl>
    <w:p w14:paraId="65BA91A7" w14:textId="77777777" w:rsidR="0069041A" w:rsidRPr="00F852D1" w:rsidRDefault="0069041A" w:rsidP="006C180B">
      <w:pPr>
        <w:pStyle w:val="Text"/>
        <w:keepNext/>
        <w:spacing w:before="0"/>
        <w:jc w:val="left"/>
        <w:rPr>
          <w:color w:val="000000"/>
          <w:sz w:val="22"/>
          <w:szCs w:val="22"/>
          <w:lang w:val="it-IT"/>
        </w:rPr>
      </w:pPr>
      <w:r w:rsidRPr="00F852D1">
        <w:rPr>
          <w:color w:val="000000"/>
          <w:sz w:val="22"/>
          <w:szCs w:val="22"/>
          <w:lang w:val="it-IT"/>
        </w:rPr>
        <w:t xml:space="preserve">ULN = </w:t>
      </w:r>
      <w:r w:rsidR="00AB457E" w:rsidRPr="00F852D1">
        <w:rPr>
          <w:color w:val="000000"/>
          <w:sz w:val="22"/>
          <w:szCs w:val="22"/>
          <w:lang w:val="it-IT"/>
        </w:rPr>
        <w:t xml:space="preserve">laboratoriets </w:t>
      </w:r>
      <w:r w:rsidR="00BD5405" w:rsidRPr="00F852D1">
        <w:rPr>
          <w:color w:val="000000"/>
          <w:sz w:val="22"/>
          <w:szCs w:val="22"/>
          <w:lang w:val="it-IT"/>
        </w:rPr>
        <w:t>øvre normalgrænse</w:t>
      </w:r>
    </w:p>
    <w:p w14:paraId="4172935A" w14:textId="77777777" w:rsidR="0069041A" w:rsidRPr="00F852D1" w:rsidRDefault="0069041A" w:rsidP="00421681">
      <w:pPr>
        <w:autoSpaceDE w:val="0"/>
        <w:autoSpaceDN w:val="0"/>
        <w:adjustRightInd w:val="0"/>
        <w:ind w:left="993" w:hanging="993"/>
        <w:rPr>
          <w:rFonts w:eastAsia="MS Mincho"/>
          <w:bCs/>
          <w:color w:val="000000"/>
          <w:sz w:val="22"/>
          <w:szCs w:val="22"/>
          <w:lang w:val="it-IT" w:eastAsia="ja-JP"/>
        </w:rPr>
      </w:pPr>
      <w:r w:rsidRPr="00F852D1">
        <w:rPr>
          <w:rFonts w:eastAsia="MS Mincho"/>
          <w:bCs/>
          <w:color w:val="000000"/>
          <w:sz w:val="22"/>
          <w:szCs w:val="22"/>
          <w:lang w:val="it-IT" w:eastAsia="ja-JP"/>
        </w:rPr>
        <w:t>AS</w:t>
      </w:r>
      <w:r w:rsidR="00A94FDC" w:rsidRPr="00F852D1">
        <w:rPr>
          <w:rFonts w:eastAsia="MS Mincho"/>
          <w:bCs/>
          <w:color w:val="000000"/>
          <w:sz w:val="22"/>
          <w:szCs w:val="22"/>
          <w:lang w:val="it-IT" w:eastAsia="ja-JP"/>
        </w:rPr>
        <w:t>A</w:t>
      </w:r>
      <w:r w:rsidRPr="00F852D1">
        <w:rPr>
          <w:rFonts w:eastAsia="MS Mincho"/>
          <w:bCs/>
          <w:color w:val="000000"/>
          <w:sz w:val="22"/>
          <w:szCs w:val="22"/>
          <w:lang w:val="it-IT" w:eastAsia="ja-JP"/>
        </w:rPr>
        <w:t xml:space="preserve">T = </w:t>
      </w:r>
      <w:r w:rsidRPr="00F852D1">
        <w:rPr>
          <w:color w:val="000000"/>
          <w:sz w:val="22"/>
          <w:szCs w:val="22"/>
          <w:lang w:val="it-IT"/>
        </w:rPr>
        <w:t>aspartataminotransferase</w:t>
      </w:r>
    </w:p>
    <w:p w14:paraId="638BBBCF" w14:textId="77777777" w:rsidR="0069041A" w:rsidRPr="00F852D1" w:rsidRDefault="0069041A" w:rsidP="00421681">
      <w:pPr>
        <w:pStyle w:val="EndnoteText"/>
        <w:tabs>
          <w:tab w:val="clear" w:pos="567"/>
        </w:tabs>
        <w:rPr>
          <w:color w:val="000000"/>
          <w:szCs w:val="22"/>
          <w:lang w:val="it-IT"/>
        </w:rPr>
      </w:pPr>
    </w:p>
    <w:p w14:paraId="02B0E56C" w14:textId="77777777" w:rsidR="00EA0B5C" w:rsidRPr="004C2A59" w:rsidRDefault="00EA0B5C" w:rsidP="00421681">
      <w:pPr>
        <w:pStyle w:val="EndnoteText"/>
        <w:tabs>
          <w:tab w:val="clear" w:pos="567"/>
        </w:tabs>
        <w:rPr>
          <w:color w:val="000000"/>
          <w:szCs w:val="22"/>
        </w:rPr>
      </w:pPr>
      <w:r w:rsidRPr="004C2A59">
        <w:rPr>
          <w:i/>
          <w:color w:val="000000"/>
          <w:szCs w:val="22"/>
        </w:rPr>
        <w:t>Nyreinsufficiens:</w:t>
      </w:r>
      <w:r w:rsidRPr="004C2A59">
        <w:rPr>
          <w:color w:val="000000"/>
          <w:szCs w:val="22"/>
        </w:rPr>
        <w:t xml:space="preserve"> Patienter med </w:t>
      </w:r>
      <w:r w:rsidR="00400E0F" w:rsidRPr="004C2A59">
        <w:rPr>
          <w:color w:val="000000"/>
          <w:szCs w:val="22"/>
        </w:rPr>
        <w:t xml:space="preserve">nedsat </w:t>
      </w:r>
      <w:r w:rsidRPr="004C2A59">
        <w:rPr>
          <w:color w:val="000000"/>
          <w:szCs w:val="22"/>
        </w:rPr>
        <w:t>nyre</w:t>
      </w:r>
      <w:r w:rsidR="00400E0F" w:rsidRPr="004C2A59">
        <w:rPr>
          <w:color w:val="000000"/>
          <w:szCs w:val="22"/>
        </w:rPr>
        <w:t>funktion</w:t>
      </w:r>
      <w:r w:rsidR="001A6600" w:rsidRPr="004C2A59">
        <w:rPr>
          <w:color w:val="000000"/>
          <w:szCs w:val="22"/>
        </w:rPr>
        <w:t xml:space="preserve"> eller i dialyse</w:t>
      </w:r>
      <w:r w:rsidRPr="004C2A59">
        <w:rPr>
          <w:color w:val="000000"/>
          <w:szCs w:val="22"/>
        </w:rPr>
        <w:t xml:space="preserve"> bør gives den </w:t>
      </w:r>
      <w:r w:rsidR="00400E0F" w:rsidRPr="004C2A59">
        <w:rPr>
          <w:color w:val="000000"/>
          <w:szCs w:val="22"/>
        </w:rPr>
        <w:t>mindste</w:t>
      </w:r>
      <w:r w:rsidRPr="004C2A59">
        <w:rPr>
          <w:color w:val="000000"/>
          <w:szCs w:val="22"/>
        </w:rPr>
        <w:t xml:space="preserve"> anbefalede dosis på 400</w:t>
      </w:r>
      <w:r w:rsidR="00BA2B60" w:rsidRPr="004C2A59">
        <w:rPr>
          <w:color w:val="000000"/>
          <w:szCs w:val="22"/>
        </w:rPr>
        <w:t> </w:t>
      </w:r>
      <w:r w:rsidRPr="004C2A59">
        <w:rPr>
          <w:color w:val="000000"/>
          <w:szCs w:val="22"/>
        </w:rPr>
        <w:t>mg dagligt som startdosis. Forsigtighed anbefales dog hos disse patienter. Dosis kan reduceres</w:t>
      </w:r>
      <w:r w:rsidR="001D73A5" w:rsidRPr="004C2A59">
        <w:rPr>
          <w:color w:val="000000"/>
          <w:szCs w:val="22"/>
        </w:rPr>
        <w:t>,</w:t>
      </w:r>
      <w:r w:rsidRPr="004C2A59">
        <w:rPr>
          <w:color w:val="000000"/>
          <w:szCs w:val="22"/>
        </w:rPr>
        <w:t xml:space="preserve"> hvis den ikke tolereres</w:t>
      </w:r>
      <w:r w:rsidR="00611454" w:rsidRPr="004C2A59">
        <w:rPr>
          <w:color w:val="000000"/>
          <w:szCs w:val="22"/>
        </w:rPr>
        <w:t xml:space="preserve">. Hvis </w:t>
      </w:r>
      <w:r w:rsidR="00400E0F" w:rsidRPr="004C2A59">
        <w:rPr>
          <w:color w:val="000000"/>
          <w:szCs w:val="22"/>
        </w:rPr>
        <w:t>dosis</w:t>
      </w:r>
      <w:r w:rsidR="00611454" w:rsidRPr="004C2A59">
        <w:rPr>
          <w:color w:val="000000"/>
          <w:szCs w:val="22"/>
        </w:rPr>
        <w:t xml:space="preserve"> tolereres</w:t>
      </w:r>
      <w:r w:rsidRPr="004C2A59">
        <w:rPr>
          <w:color w:val="000000"/>
          <w:szCs w:val="22"/>
        </w:rPr>
        <w:t>,</w:t>
      </w:r>
      <w:r w:rsidR="00611454" w:rsidRPr="004C2A59">
        <w:rPr>
          <w:color w:val="000000"/>
          <w:szCs w:val="22"/>
        </w:rPr>
        <w:t xml:space="preserve"> kan </w:t>
      </w:r>
      <w:r w:rsidR="00400E0F" w:rsidRPr="004C2A59">
        <w:rPr>
          <w:color w:val="000000"/>
          <w:szCs w:val="22"/>
        </w:rPr>
        <w:t>den</w:t>
      </w:r>
      <w:r w:rsidR="00611454" w:rsidRPr="004C2A59">
        <w:rPr>
          <w:color w:val="000000"/>
          <w:szCs w:val="22"/>
        </w:rPr>
        <w:t xml:space="preserve"> </w:t>
      </w:r>
      <w:r w:rsidRPr="004C2A59">
        <w:rPr>
          <w:color w:val="000000"/>
          <w:szCs w:val="22"/>
        </w:rPr>
        <w:t>øges ved manglede effekt (se pkt. 4.4 og 5.2).</w:t>
      </w:r>
    </w:p>
    <w:p w14:paraId="575DFEF4" w14:textId="77777777" w:rsidR="00610A3A" w:rsidRPr="004C2A59" w:rsidRDefault="00610A3A" w:rsidP="00421681">
      <w:pPr>
        <w:pStyle w:val="EndnoteText"/>
        <w:tabs>
          <w:tab w:val="clear" w:pos="567"/>
        </w:tabs>
        <w:rPr>
          <w:color w:val="000000"/>
          <w:szCs w:val="22"/>
        </w:rPr>
      </w:pPr>
    </w:p>
    <w:p w14:paraId="4C0AC29D" w14:textId="77777777" w:rsidR="00270C5A" w:rsidRPr="004C2A59" w:rsidRDefault="00270C5A" w:rsidP="00421681">
      <w:pPr>
        <w:pStyle w:val="EndnoteText"/>
        <w:tabs>
          <w:tab w:val="clear" w:pos="567"/>
        </w:tabs>
        <w:rPr>
          <w:color w:val="000000"/>
          <w:szCs w:val="22"/>
        </w:rPr>
      </w:pPr>
      <w:r w:rsidRPr="004C2A59">
        <w:rPr>
          <w:i/>
          <w:color w:val="000000"/>
          <w:szCs w:val="22"/>
        </w:rPr>
        <w:t>Ældre patienter:</w:t>
      </w:r>
      <w:r w:rsidRPr="004C2A59">
        <w:rPr>
          <w:color w:val="000000"/>
          <w:szCs w:val="22"/>
        </w:rPr>
        <w:t xml:space="preserve"> Imatinibs farmakokinetik er ikke specifikt undersøgt hos ældre. Der er ikke set signifikante aldersrelaterede farmakokinetiske forskelle hos voksne patienter i kliniske afprøvninger, </w:t>
      </w:r>
      <w:r w:rsidRPr="004C2A59">
        <w:rPr>
          <w:color w:val="000000"/>
          <w:szCs w:val="22"/>
        </w:rPr>
        <w:lastRenderedPageBreak/>
        <w:t>hvor mere end 20% patienter af de inkluderede patienter var over 65</w:t>
      </w:r>
      <w:r w:rsidR="00C02CD8" w:rsidRPr="004C2A59">
        <w:rPr>
          <w:color w:val="000000"/>
          <w:szCs w:val="22"/>
        </w:rPr>
        <w:t> </w:t>
      </w:r>
      <w:r w:rsidRPr="004C2A59">
        <w:rPr>
          <w:color w:val="000000"/>
          <w:szCs w:val="22"/>
        </w:rPr>
        <w:t>år. Specifik dosisjustering er ikke nødvendig til ældre patienter.</w:t>
      </w:r>
    </w:p>
    <w:p w14:paraId="53D8E810" w14:textId="77777777" w:rsidR="00270C5A" w:rsidRPr="004C2A59" w:rsidRDefault="00270C5A" w:rsidP="00421681">
      <w:pPr>
        <w:widowControl w:val="0"/>
        <w:rPr>
          <w:color w:val="000000"/>
          <w:sz w:val="22"/>
          <w:szCs w:val="22"/>
          <w:lang w:val="da-DK"/>
        </w:rPr>
      </w:pPr>
    </w:p>
    <w:p w14:paraId="434B7E49" w14:textId="77777777" w:rsidR="00270C5A" w:rsidRPr="004C2A59" w:rsidRDefault="00270C5A" w:rsidP="006C180B">
      <w:pPr>
        <w:keepNext/>
        <w:widowControl w:val="0"/>
        <w:suppressAutoHyphens/>
        <w:ind w:left="570" w:hanging="570"/>
        <w:rPr>
          <w:color w:val="000000"/>
          <w:sz w:val="22"/>
          <w:szCs w:val="22"/>
          <w:lang w:val="da-DK"/>
        </w:rPr>
      </w:pPr>
      <w:r w:rsidRPr="004C2A59">
        <w:rPr>
          <w:b/>
          <w:color w:val="000000"/>
          <w:sz w:val="22"/>
          <w:szCs w:val="22"/>
          <w:lang w:val="da-DK"/>
        </w:rPr>
        <w:t>4.3</w:t>
      </w:r>
      <w:r w:rsidRPr="004C2A59">
        <w:rPr>
          <w:b/>
          <w:color w:val="000000"/>
          <w:sz w:val="22"/>
          <w:szCs w:val="22"/>
          <w:lang w:val="da-DK"/>
        </w:rPr>
        <w:tab/>
        <w:t>Kontraindikationer</w:t>
      </w:r>
    </w:p>
    <w:p w14:paraId="42389381" w14:textId="77777777" w:rsidR="00270C5A" w:rsidRPr="004C2A59" w:rsidRDefault="00270C5A" w:rsidP="006C180B">
      <w:pPr>
        <w:keepNext/>
        <w:widowControl w:val="0"/>
        <w:rPr>
          <w:color w:val="000000"/>
          <w:sz w:val="22"/>
          <w:szCs w:val="22"/>
          <w:lang w:val="da-DK"/>
        </w:rPr>
      </w:pPr>
    </w:p>
    <w:p w14:paraId="0F7FA5AA" w14:textId="77777777" w:rsidR="00D72B16" w:rsidRPr="004C2A59" w:rsidRDefault="00C62FCA" w:rsidP="00421681">
      <w:pPr>
        <w:widowControl w:val="0"/>
        <w:rPr>
          <w:color w:val="000000"/>
          <w:sz w:val="22"/>
          <w:szCs w:val="22"/>
          <w:lang w:val="da-DK"/>
        </w:rPr>
      </w:pPr>
      <w:r w:rsidRPr="004C2A59">
        <w:rPr>
          <w:color w:val="000000"/>
          <w:sz w:val="22"/>
          <w:szCs w:val="22"/>
          <w:lang w:val="da-DK"/>
        </w:rPr>
        <w:t>Overfølsomhed over for det aktive stof eller over for et eller</w:t>
      </w:r>
      <w:r w:rsidR="00D72B16" w:rsidRPr="004C2A59">
        <w:rPr>
          <w:color w:val="000000"/>
          <w:sz w:val="22"/>
          <w:szCs w:val="22"/>
          <w:lang w:val="da-DK"/>
        </w:rPr>
        <w:t xml:space="preserve"> flere af hjælpestofferne</w:t>
      </w:r>
      <w:r w:rsidR="002845E8" w:rsidRPr="004C2A59">
        <w:rPr>
          <w:color w:val="000000"/>
          <w:sz w:val="22"/>
          <w:szCs w:val="22"/>
          <w:lang w:val="da-DK"/>
        </w:rPr>
        <w:t xml:space="preserve"> anført i pkt. 6.1</w:t>
      </w:r>
      <w:r w:rsidR="00D72B16" w:rsidRPr="004C2A59">
        <w:rPr>
          <w:color w:val="000000"/>
          <w:sz w:val="22"/>
          <w:szCs w:val="22"/>
          <w:lang w:val="da-DK"/>
        </w:rPr>
        <w:t>.</w:t>
      </w:r>
    </w:p>
    <w:p w14:paraId="2F033084" w14:textId="77777777" w:rsidR="00270C5A" w:rsidRPr="004C2A59" w:rsidRDefault="00270C5A" w:rsidP="00421681">
      <w:pPr>
        <w:widowControl w:val="0"/>
        <w:rPr>
          <w:color w:val="000000"/>
          <w:sz w:val="22"/>
          <w:szCs w:val="22"/>
          <w:lang w:val="da-DK"/>
        </w:rPr>
      </w:pPr>
    </w:p>
    <w:p w14:paraId="286915EA" w14:textId="77777777" w:rsidR="00270C5A" w:rsidRPr="004C2A59" w:rsidRDefault="00270C5A" w:rsidP="006C180B">
      <w:pPr>
        <w:keepNext/>
        <w:widowControl w:val="0"/>
        <w:suppressAutoHyphens/>
        <w:ind w:left="567" w:hanging="567"/>
        <w:rPr>
          <w:b/>
          <w:color w:val="000000"/>
          <w:sz w:val="22"/>
          <w:szCs w:val="22"/>
          <w:lang w:val="da-DK"/>
        </w:rPr>
      </w:pPr>
      <w:r w:rsidRPr="004C2A59">
        <w:rPr>
          <w:b/>
          <w:color w:val="000000"/>
          <w:sz w:val="22"/>
          <w:szCs w:val="22"/>
          <w:lang w:val="da-DK"/>
        </w:rPr>
        <w:t>4.4</w:t>
      </w:r>
      <w:r w:rsidRPr="004C2A59">
        <w:rPr>
          <w:b/>
          <w:color w:val="000000"/>
          <w:sz w:val="22"/>
          <w:szCs w:val="22"/>
          <w:lang w:val="da-DK"/>
        </w:rPr>
        <w:tab/>
        <w:t>Særlige advarsler og forsigtighedsregler vedrørende brugen</w:t>
      </w:r>
    </w:p>
    <w:p w14:paraId="627A834E" w14:textId="77777777" w:rsidR="00270C5A" w:rsidRPr="004C2A59" w:rsidRDefault="00270C5A" w:rsidP="006C180B">
      <w:pPr>
        <w:keepNext/>
        <w:widowControl w:val="0"/>
        <w:suppressAutoHyphens/>
        <w:ind w:left="567" w:hanging="567"/>
        <w:rPr>
          <w:color w:val="000000"/>
          <w:sz w:val="22"/>
          <w:szCs w:val="22"/>
          <w:lang w:val="da-DK"/>
        </w:rPr>
      </w:pPr>
    </w:p>
    <w:p w14:paraId="110C2440" w14:textId="77777777" w:rsidR="00270C5A" w:rsidRPr="004C2A59" w:rsidRDefault="00270C5A" w:rsidP="00421681">
      <w:pPr>
        <w:pStyle w:val="EndnoteText"/>
        <w:tabs>
          <w:tab w:val="clear" w:pos="567"/>
          <w:tab w:val="left" w:pos="7655"/>
        </w:tabs>
        <w:rPr>
          <w:color w:val="000000"/>
          <w:szCs w:val="22"/>
        </w:rPr>
      </w:pPr>
      <w:r w:rsidRPr="004C2A59">
        <w:rPr>
          <w:color w:val="000000"/>
          <w:szCs w:val="22"/>
        </w:rPr>
        <w:t>Når Glivec administreres sammen med andre lægemidler, er der risiko for lægemiddelinteraktioner.</w:t>
      </w:r>
      <w:r w:rsidR="00611454" w:rsidRPr="004C2A59">
        <w:rPr>
          <w:color w:val="000000"/>
          <w:szCs w:val="22"/>
        </w:rPr>
        <w:t xml:space="preserve"> Der bør udvises forsigtighed, når Glivec tages sammen med </w:t>
      </w:r>
      <w:r w:rsidR="008D4AE6" w:rsidRPr="004C2A59">
        <w:rPr>
          <w:color w:val="000000"/>
          <w:szCs w:val="22"/>
        </w:rPr>
        <w:t xml:space="preserve">proteasehæmmere, azol-antimykotika, </w:t>
      </w:r>
      <w:r w:rsidR="00560FB6" w:rsidRPr="004C2A59">
        <w:rPr>
          <w:color w:val="000000"/>
          <w:szCs w:val="22"/>
        </w:rPr>
        <w:t xml:space="preserve">visse </w:t>
      </w:r>
      <w:r w:rsidR="008D4AE6" w:rsidRPr="004C2A59">
        <w:rPr>
          <w:color w:val="000000"/>
          <w:szCs w:val="22"/>
        </w:rPr>
        <w:t>makrolider (se pkt. 4.5)</w:t>
      </w:r>
      <w:r w:rsidR="00611454" w:rsidRPr="004C2A59">
        <w:rPr>
          <w:color w:val="000000"/>
          <w:szCs w:val="22"/>
        </w:rPr>
        <w:t>, CYP3A4</w:t>
      </w:r>
      <w:r w:rsidR="00442CD6" w:rsidRPr="004C2A59">
        <w:rPr>
          <w:color w:val="000000"/>
          <w:szCs w:val="22"/>
        </w:rPr>
        <w:t>-</w:t>
      </w:r>
      <w:r w:rsidR="00611454" w:rsidRPr="004C2A59">
        <w:rPr>
          <w:color w:val="000000"/>
          <w:szCs w:val="22"/>
        </w:rPr>
        <w:t>substrater med et snævert terapeutisk vindue (</w:t>
      </w:r>
      <w:r w:rsidR="00803F41" w:rsidRPr="004C2A59">
        <w:rPr>
          <w:color w:val="000000"/>
          <w:szCs w:val="22"/>
        </w:rPr>
        <w:t>f.eks.</w:t>
      </w:r>
      <w:r w:rsidR="00611454" w:rsidRPr="004C2A59">
        <w:rPr>
          <w:color w:val="000000"/>
          <w:szCs w:val="22"/>
        </w:rPr>
        <w:t xml:space="preserve"> c</w:t>
      </w:r>
      <w:r w:rsidR="00400E0F" w:rsidRPr="004C2A59">
        <w:rPr>
          <w:color w:val="000000"/>
          <w:szCs w:val="22"/>
        </w:rPr>
        <w:t>i</w:t>
      </w:r>
      <w:r w:rsidR="00611454" w:rsidRPr="004C2A59">
        <w:rPr>
          <w:color w:val="000000"/>
          <w:szCs w:val="22"/>
        </w:rPr>
        <w:t>closporin</w:t>
      </w:r>
      <w:r w:rsidR="008D4AE6" w:rsidRPr="004C2A59">
        <w:rPr>
          <w:color w:val="000000"/>
          <w:szCs w:val="22"/>
        </w:rPr>
        <w:t>,</w:t>
      </w:r>
      <w:r w:rsidR="00611454" w:rsidRPr="004C2A59">
        <w:rPr>
          <w:color w:val="000000"/>
          <w:szCs w:val="22"/>
        </w:rPr>
        <w:t xml:space="preserve"> pimozid</w:t>
      </w:r>
      <w:r w:rsidR="008D4AE6" w:rsidRPr="004C2A59">
        <w:rPr>
          <w:color w:val="000000"/>
          <w:szCs w:val="22"/>
        </w:rPr>
        <w:t>, tacrolimus, sirolimus, ergotamin, di</w:t>
      </w:r>
      <w:r w:rsidR="00560FB6" w:rsidRPr="004C2A59">
        <w:rPr>
          <w:color w:val="000000"/>
          <w:szCs w:val="22"/>
        </w:rPr>
        <w:t>hydro</w:t>
      </w:r>
      <w:r w:rsidR="008D4AE6" w:rsidRPr="004C2A59">
        <w:rPr>
          <w:color w:val="000000"/>
          <w:szCs w:val="22"/>
        </w:rPr>
        <w:t>ergotamin, fentanyl, alfentanil, terfenadin, bortezomib, docetaxel, quinidin</w:t>
      </w:r>
      <w:r w:rsidR="00611454" w:rsidRPr="004C2A59">
        <w:rPr>
          <w:color w:val="000000"/>
          <w:szCs w:val="22"/>
        </w:rPr>
        <w:t>) eller warfarin og andre coumarin-derivater (se pkt. 4.5).</w:t>
      </w:r>
    </w:p>
    <w:p w14:paraId="19D767B8" w14:textId="77777777" w:rsidR="00270C5A" w:rsidRPr="004C2A59" w:rsidRDefault="00270C5A" w:rsidP="00421681">
      <w:pPr>
        <w:pStyle w:val="EndnoteText"/>
        <w:tabs>
          <w:tab w:val="clear" w:pos="567"/>
          <w:tab w:val="left" w:pos="7655"/>
        </w:tabs>
        <w:rPr>
          <w:color w:val="000000"/>
          <w:szCs w:val="22"/>
        </w:rPr>
      </w:pPr>
    </w:p>
    <w:p w14:paraId="77B2C7B8" w14:textId="77777777" w:rsidR="00270C5A" w:rsidRPr="004C2A59" w:rsidRDefault="00270C5A" w:rsidP="00421681">
      <w:pPr>
        <w:pStyle w:val="EndnoteText"/>
        <w:tabs>
          <w:tab w:val="clear" w:pos="567"/>
          <w:tab w:val="left" w:pos="7655"/>
        </w:tabs>
        <w:rPr>
          <w:color w:val="000000"/>
        </w:rPr>
      </w:pPr>
      <w:r w:rsidRPr="004C2A59">
        <w:rPr>
          <w:color w:val="000000"/>
          <w:szCs w:val="22"/>
        </w:rPr>
        <w:t xml:space="preserve">Samtidig anvendelse af imatinib og lægemidler, der inducerer CYP3A4 (f.eks. dexamethason, phenytoin, carbamazepin, rifampicin, phenobarbital eller </w:t>
      </w:r>
      <w:r w:rsidRPr="004C2A59">
        <w:rPr>
          <w:i/>
          <w:color w:val="000000"/>
          <w:szCs w:val="22"/>
        </w:rPr>
        <w:t>Hypericum perforatum</w:t>
      </w:r>
      <w:r w:rsidRPr="004C2A59">
        <w:rPr>
          <w:color w:val="000000"/>
          <w:szCs w:val="22"/>
        </w:rPr>
        <w:t xml:space="preserve">, også kendt som prikbladet perikum) kan signifikant reducere følsomheden over for Glivec, og dermed potientielt øge risikoen for terapeutisk svigt. Samtidig anvendelse af stærke CYP3A4 induktorer og imatinib bør derfor undgås (se </w:t>
      </w:r>
      <w:r w:rsidR="003B2976" w:rsidRPr="004C2A59">
        <w:rPr>
          <w:color w:val="000000"/>
          <w:szCs w:val="22"/>
        </w:rPr>
        <w:t>pkt.</w:t>
      </w:r>
      <w:r w:rsidRPr="004C2A59">
        <w:rPr>
          <w:color w:val="000000"/>
          <w:szCs w:val="22"/>
        </w:rPr>
        <w:t xml:space="preserve"> 4.5).</w:t>
      </w:r>
    </w:p>
    <w:p w14:paraId="20A4E1CB" w14:textId="77777777" w:rsidR="00610A3A" w:rsidRPr="004C2A59" w:rsidRDefault="00610A3A" w:rsidP="00421681">
      <w:pPr>
        <w:widowControl w:val="0"/>
        <w:rPr>
          <w:color w:val="000000"/>
          <w:sz w:val="22"/>
          <w:szCs w:val="22"/>
          <w:lang w:val="da-DK"/>
        </w:rPr>
      </w:pPr>
    </w:p>
    <w:p w14:paraId="7076FDA3" w14:textId="77777777" w:rsidR="002845E8" w:rsidRPr="004C2A59" w:rsidRDefault="002845E8" w:rsidP="006C180B">
      <w:pPr>
        <w:keepNext/>
        <w:widowControl w:val="0"/>
        <w:rPr>
          <w:color w:val="000000"/>
          <w:sz w:val="22"/>
          <w:szCs w:val="22"/>
          <w:u w:val="single"/>
          <w:lang w:val="da-DK"/>
        </w:rPr>
      </w:pPr>
      <w:r w:rsidRPr="004C2A59">
        <w:rPr>
          <w:color w:val="000000"/>
          <w:sz w:val="22"/>
          <w:szCs w:val="22"/>
          <w:u w:val="single"/>
          <w:lang w:val="da-DK"/>
        </w:rPr>
        <w:t>Hypotyroidisme</w:t>
      </w:r>
    </w:p>
    <w:p w14:paraId="1FED4EB4" w14:textId="77777777" w:rsidR="00EA0B5C" w:rsidRPr="004C2A59" w:rsidRDefault="00EA0B5C" w:rsidP="00421681">
      <w:pPr>
        <w:widowControl w:val="0"/>
        <w:rPr>
          <w:color w:val="000000"/>
          <w:sz w:val="22"/>
          <w:szCs w:val="22"/>
          <w:lang w:val="da-DK"/>
        </w:rPr>
      </w:pPr>
      <w:r w:rsidRPr="004C2A59">
        <w:rPr>
          <w:color w:val="000000"/>
          <w:sz w:val="22"/>
          <w:szCs w:val="22"/>
          <w:lang w:val="da-DK"/>
        </w:rPr>
        <w:t>Kliniske tilfælde af hypotyroidisme er rapporteret hos patienter</w:t>
      </w:r>
      <w:r w:rsidR="00400E0F" w:rsidRPr="004C2A59">
        <w:rPr>
          <w:color w:val="000000"/>
          <w:sz w:val="22"/>
          <w:szCs w:val="22"/>
          <w:lang w:val="da-DK"/>
        </w:rPr>
        <w:t>,</w:t>
      </w:r>
      <w:r w:rsidRPr="004C2A59">
        <w:rPr>
          <w:color w:val="000000"/>
          <w:sz w:val="22"/>
          <w:szCs w:val="22"/>
          <w:lang w:val="da-DK"/>
        </w:rPr>
        <w:t xml:space="preserve"> der har fået foretaget tyroidektomi</w:t>
      </w:r>
      <w:r w:rsidR="008E4862" w:rsidRPr="004C2A59">
        <w:rPr>
          <w:color w:val="000000"/>
          <w:sz w:val="22"/>
          <w:szCs w:val="22"/>
          <w:lang w:val="da-DK"/>
        </w:rPr>
        <w:t>,</w:t>
      </w:r>
      <w:r w:rsidRPr="004C2A59">
        <w:rPr>
          <w:color w:val="000000"/>
          <w:sz w:val="22"/>
          <w:szCs w:val="22"/>
          <w:lang w:val="da-DK"/>
        </w:rPr>
        <w:t xml:space="preserve"> og som er i levothyroxin</w:t>
      </w:r>
      <w:r w:rsidR="00E11304" w:rsidRPr="004C2A59">
        <w:rPr>
          <w:color w:val="000000"/>
          <w:sz w:val="22"/>
          <w:szCs w:val="22"/>
          <w:lang w:val="da-DK"/>
        </w:rPr>
        <w:t>-</w:t>
      </w:r>
      <w:r w:rsidRPr="004C2A59">
        <w:rPr>
          <w:color w:val="000000"/>
          <w:sz w:val="22"/>
          <w:szCs w:val="22"/>
          <w:lang w:val="da-DK"/>
        </w:rPr>
        <w:t>erstatningsterapi samtidig med Glivec</w:t>
      </w:r>
      <w:r w:rsidR="00E11304" w:rsidRPr="004C2A59">
        <w:rPr>
          <w:color w:val="000000"/>
          <w:sz w:val="22"/>
          <w:szCs w:val="22"/>
          <w:lang w:val="da-DK"/>
        </w:rPr>
        <w:t>-</w:t>
      </w:r>
      <w:r w:rsidRPr="004C2A59">
        <w:rPr>
          <w:color w:val="000000"/>
          <w:sz w:val="22"/>
          <w:szCs w:val="22"/>
          <w:lang w:val="da-DK"/>
        </w:rPr>
        <w:t>behandling</w:t>
      </w:r>
      <w:r w:rsidR="008E4862" w:rsidRPr="004C2A59">
        <w:rPr>
          <w:color w:val="000000"/>
          <w:sz w:val="22"/>
          <w:szCs w:val="22"/>
          <w:lang w:val="da-DK"/>
        </w:rPr>
        <w:t xml:space="preserve"> (se pkt. 4.5)</w:t>
      </w:r>
      <w:r w:rsidRPr="004C2A59">
        <w:rPr>
          <w:color w:val="000000"/>
          <w:sz w:val="22"/>
          <w:szCs w:val="22"/>
          <w:lang w:val="da-DK"/>
        </w:rPr>
        <w:t xml:space="preserve">. </w:t>
      </w:r>
      <w:r w:rsidR="00611454" w:rsidRPr="004C2A59">
        <w:rPr>
          <w:color w:val="000000"/>
          <w:sz w:val="22"/>
          <w:szCs w:val="22"/>
          <w:lang w:val="da-DK"/>
        </w:rPr>
        <w:t>Thyroid-stimulerende hormon (</w:t>
      </w:r>
      <w:r w:rsidRPr="004C2A59">
        <w:rPr>
          <w:color w:val="000000"/>
          <w:sz w:val="22"/>
          <w:szCs w:val="22"/>
          <w:lang w:val="da-DK"/>
        </w:rPr>
        <w:t>T</w:t>
      </w:r>
      <w:r w:rsidR="00DE7BB2" w:rsidRPr="004C2A59">
        <w:rPr>
          <w:color w:val="000000"/>
          <w:sz w:val="22"/>
          <w:szCs w:val="22"/>
          <w:lang w:val="da-DK"/>
        </w:rPr>
        <w:t>SH</w:t>
      </w:r>
      <w:r w:rsidR="00611454" w:rsidRPr="004C2A59">
        <w:rPr>
          <w:color w:val="000000"/>
          <w:sz w:val="22"/>
          <w:szCs w:val="22"/>
          <w:lang w:val="da-DK"/>
        </w:rPr>
        <w:t>)</w:t>
      </w:r>
      <w:r w:rsidR="00400E0F" w:rsidRPr="004C2A59">
        <w:rPr>
          <w:color w:val="000000"/>
          <w:sz w:val="22"/>
          <w:szCs w:val="22"/>
          <w:lang w:val="da-DK"/>
        </w:rPr>
        <w:t>-</w:t>
      </w:r>
      <w:r w:rsidRPr="004C2A59">
        <w:rPr>
          <w:color w:val="000000"/>
          <w:sz w:val="22"/>
          <w:szCs w:val="22"/>
          <w:lang w:val="da-DK"/>
        </w:rPr>
        <w:t>niveauer bør følges nøje hos sådanne patienter</w:t>
      </w:r>
      <w:r w:rsidR="00BA2B60" w:rsidRPr="004C2A59">
        <w:rPr>
          <w:color w:val="000000"/>
          <w:sz w:val="22"/>
          <w:szCs w:val="22"/>
          <w:lang w:val="da-DK"/>
        </w:rPr>
        <w:t>.</w:t>
      </w:r>
    </w:p>
    <w:p w14:paraId="6DF105DC" w14:textId="77777777" w:rsidR="00EA0B5C" w:rsidRPr="004C2A59" w:rsidRDefault="00EA0B5C" w:rsidP="00421681">
      <w:pPr>
        <w:widowControl w:val="0"/>
        <w:rPr>
          <w:color w:val="000000"/>
          <w:sz w:val="22"/>
          <w:szCs w:val="22"/>
          <w:lang w:val="da-DK"/>
        </w:rPr>
      </w:pPr>
    </w:p>
    <w:p w14:paraId="527ACB25" w14:textId="77777777" w:rsidR="002845E8" w:rsidRPr="004C2A59" w:rsidRDefault="002845E8" w:rsidP="006C180B">
      <w:pPr>
        <w:keepNext/>
        <w:widowControl w:val="0"/>
        <w:rPr>
          <w:color w:val="000000"/>
          <w:sz w:val="22"/>
          <w:szCs w:val="22"/>
          <w:u w:val="single"/>
          <w:lang w:val="da-DK"/>
        </w:rPr>
      </w:pPr>
      <w:r w:rsidRPr="004C2A59">
        <w:rPr>
          <w:color w:val="000000"/>
          <w:sz w:val="22"/>
          <w:szCs w:val="22"/>
          <w:u w:val="single"/>
          <w:lang w:val="da-DK"/>
        </w:rPr>
        <w:t>Hepatoto</w:t>
      </w:r>
      <w:r w:rsidR="007853D4" w:rsidRPr="004C2A59">
        <w:rPr>
          <w:color w:val="000000"/>
          <w:sz w:val="22"/>
          <w:szCs w:val="22"/>
          <w:u w:val="single"/>
          <w:lang w:val="da-DK"/>
        </w:rPr>
        <w:t>ks</w:t>
      </w:r>
      <w:r w:rsidRPr="004C2A59">
        <w:rPr>
          <w:color w:val="000000"/>
          <w:sz w:val="22"/>
          <w:szCs w:val="22"/>
          <w:u w:val="single"/>
          <w:lang w:val="da-DK"/>
        </w:rPr>
        <w:t>icitet</w:t>
      </w:r>
    </w:p>
    <w:p w14:paraId="4BD03EF4" w14:textId="77777777" w:rsidR="00270C5A" w:rsidRPr="004C2A59" w:rsidRDefault="00270C5A" w:rsidP="00421681">
      <w:pPr>
        <w:rPr>
          <w:color w:val="000000"/>
          <w:sz w:val="22"/>
          <w:szCs w:val="22"/>
          <w:lang w:val="da-DK"/>
        </w:rPr>
      </w:pPr>
      <w:r w:rsidRPr="004C2A59">
        <w:rPr>
          <w:color w:val="000000"/>
          <w:sz w:val="22"/>
          <w:szCs w:val="22"/>
          <w:lang w:val="da-DK"/>
        </w:rPr>
        <w:t xml:space="preserve">Glivec metaboliseres primært i leveren, og kun 13% udskilles via nyrerne. </w:t>
      </w:r>
      <w:r w:rsidR="002524E8" w:rsidRPr="004C2A59">
        <w:rPr>
          <w:color w:val="000000"/>
          <w:sz w:val="22"/>
          <w:szCs w:val="22"/>
          <w:lang w:val="da-DK"/>
        </w:rPr>
        <w:t>Hos patienter med nedsat leverfunktion (</w:t>
      </w:r>
      <w:r w:rsidR="00400E0F" w:rsidRPr="004C2A59">
        <w:rPr>
          <w:color w:val="000000"/>
          <w:sz w:val="22"/>
          <w:szCs w:val="22"/>
          <w:lang w:val="da-DK"/>
        </w:rPr>
        <w:t>let</w:t>
      </w:r>
      <w:r w:rsidR="002524E8" w:rsidRPr="004C2A59">
        <w:rPr>
          <w:color w:val="000000"/>
          <w:sz w:val="22"/>
          <w:szCs w:val="22"/>
          <w:lang w:val="da-DK"/>
        </w:rPr>
        <w:t xml:space="preserve">, moderat </w:t>
      </w:r>
      <w:r w:rsidR="007277BA" w:rsidRPr="004C2A59">
        <w:rPr>
          <w:color w:val="000000"/>
          <w:sz w:val="22"/>
          <w:szCs w:val="22"/>
          <w:lang w:val="da-DK"/>
        </w:rPr>
        <w:t xml:space="preserve">eller </w:t>
      </w:r>
      <w:r w:rsidR="002524E8" w:rsidRPr="004C2A59">
        <w:rPr>
          <w:color w:val="000000"/>
          <w:sz w:val="22"/>
          <w:szCs w:val="22"/>
          <w:lang w:val="da-DK"/>
        </w:rPr>
        <w:t>svær)</w:t>
      </w:r>
      <w:r w:rsidRPr="004C2A59">
        <w:rPr>
          <w:color w:val="000000"/>
          <w:sz w:val="22"/>
          <w:szCs w:val="22"/>
          <w:lang w:val="da-DK"/>
        </w:rPr>
        <w:t xml:space="preserve"> bør perifere blodtal og leverenzymer monitoreres omhyggeligt (se </w:t>
      </w:r>
      <w:r w:rsidR="003B2976" w:rsidRPr="004C2A59">
        <w:rPr>
          <w:color w:val="000000"/>
          <w:sz w:val="22"/>
          <w:szCs w:val="22"/>
          <w:lang w:val="da-DK"/>
        </w:rPr>
        <w:t>pkt.</w:t>
      </w:r>
      <w:r w:rsidRPr="004C2A59">
        <w:rPr>
          <w:color w:val="000000"/>
          <w:sz w:val="22"/>
          <w:szCs w:val="22"/>
          <w:lang w:val="da-DK"/>
        </w:rPr>
        <w:t xml:space="preserve"> 4.2</w:t>
      </w:r>
      <w:r w:rsidR="002524E8" w:rsidRPr="004C2A59">
        <w:rPr>
          <w:color w:val="000000"/>
          <w:sz w:val="22"/>
          <w:szCs w:val="22"/>
          <w:lang w:val="da-DK"/>
        </w:rPr>
        <w:t>,</w:t>
      </w:r>
      <w:r w:rsidRPr="004C2A59">
        <w:rPr>
          <w:color w:val="000000"/>
          <w:sz w:val="22"/>
          <w:szCs w:val="22"/>
          <w:lang w:val="da-DK"/>
        </w:rPr>
        <w:t xml:space="preserve"> 4.8</w:t>
      </w:r>
      <w:r w:rsidR="002524E8" w:rsidRPr="004C2A59">
        <w:rPr>
          <w:color w:val="000000"/>
          <w:sz w:val="22"/>
          <w:szCs w:val="22"/>
          <w:lang w:val="da-DK"/>
        </w:rPr>
        <w:t xml:space="preserve"> og 5.2</w:t>
      </w:r>
      <w:r w:rsidRPr="004C2A59">
        <w:rPr>
          <w:color w:val="000000"/>
          <w:sz w:val="22"/>
          <w:szCs w:val="22"/>
          <w:lang w:val="da-DK"/>
        </w:rPr>
        <w:t>). Det bør bemærkes, at GIST-patienter kan have levermetastaser, hvilket kan medføre leverinsufficiens.</w:t>
      </w:r>
    </w:p>
    <w:p w14:paraId="0F0C01CB" w14:textId="77777777" w:rsidR="008E2585" w:rsidRPr="004C2A59" w:rsidRDefault="008E2585" w:rsidP="00421681">
      <w:pPr>
        <w:rPr>
          <w:color w:val="000000"/>
          <w:sz w:val="22"/>
          <w:szCs w:val="22"/>
          <w:lang w:val="da-DK"/>
        </w:rPr>
      </w:pPr>
    </w:p>
    <w:p w14:paraId="5AAD727B" w14:textId="77777777" w:rsidR="008E2585" w:rsidRPr="004C2A59" w:rsidRDefault="00956490" w:rsidP="00421681">
      <w:pPr>
        <w:rPr>
          <w:color w:val="000000"/>
          <w:sz w:val="22"/>
          <w:szCs w:val="22"/>
          <w:lang w:val="da-DK"/>
        </w:rPr>
      </w:pPr>
      <w:r w:rsidRPr="004C2A59">
        <w:rPr>
          <w:color w:val="000000"/>
          <w:sz w:val="22"/>
          <w:szCs w:val="22"/>
          <w:lang w:val="da-DK"/>
        </w:rPr>
        <w:t xml:space="preserve">Tilfælde af leverskade, inklusive leversvigt og levernekrose er blevet observeret med imatinib. </w:t>
      </w:r>
      <w:r w:rsidR="008E2585" w:rsidRPr="004C2A59">
        <w:rPr>
          <w:color w:val="000000"/>
          <w:sz w:val="22"/>
          <w:szCs w:val="22"/>
          <w:lang w:val="da-DK"/>
        </w:rPr>
        <w:t>Når imatinib kombineres med højdosis kemoterapi</w:t>
      </w:r>
      <w:r w:rsidRPr="004C2A59">
        <w:rPr>
          <w:color w:val="000000"/>
          <w:sz w:val="22"/>
          <w:szCs w:val="22"/>
          <w:lang w:val="da-DK"/>
        </w:rPr>
        <w:t>, ses en øget forekomst af alvorlige leverreaktioner. Nøje m</w:t>
      </w:r>
      <w:r w:rsidR="008E2585" w:rsidRPr="004C2A59">
        <w:rPr>
          <w:color w:val="000000"/>
          <w:sz w:val="22"/>
          <w:szCs w:val="22"/>
          <w:lang w:val="da-DK"/>
        </w:rPr>
        <w:t xml:space="preserve">onitoring af leverfunktionen </w:t>
      </w:r>
      <w:r w:rsidRPr="004C2A59">
        <w:rPr>
          <w:color w:val="000000"/>
          <w:sz w:val="22"/>
          <w:szCs w:val="22"/>
          <w:lang w:val="da-DK"/>
        </w:rPr>
        <w:t>skal udføres</w:t>
      </w:r>
      <w:r w:rsidR="008E2585" w:rsidRPr="004C2A59">
        <w:rPr>
          <w:color w:val="000000"/>
          <w:sz w:val="22"/>
          <w:szCs w:val="22"/>
          <w:lang w:val="da-DK"/>
        </w:rPr>
        <w:t xml:space="preserve"> i tilfælde, hvor imatinib kombineres med kemoterapiregimer, som også vides at være forbundet med leverdysfunktion (se pkt. 4.5 og 4.8).</w:t>
      </w:r>
    </w:p>
    <w:p w14:paraId="4B0DB931" w14:textId="77777777" w:rsidR="00270C5A" w:rsidRPr="004C2A59" w:rsidRDefault="00270C5A" w:rsidP="00421681">
      <w:pPr>
        <w:widowControl w:val="0"/>
        <w:rPr>
          <w:color w:val="000000"/>
          <w:sz w:val="22"/>
          <w:szCs w:val="22"/>
          <w:lang w:val="da-DK"/>
        </w:rPr>
      </w:pPr>
    </w:p>
    <w:p w14:paraId="688664D7" w14:textId="77777777" w:rsidR="00EF7B53" w:rsidRPr="004C2A59" w:rsidRDefault="00EF7B53" w:rsidP="006C180B">
      <w:pPr>
        <w:keepNext/>
        <w:rPr>
          <w:color w:val="000000"/>
          <w:sz w:val="22"/>
          <w:szCs w:val="22"/>
          <w:u w:val="single"/>
          <w:lang w:val="da-DK"/>
        </w:rPr>
      </w:pPr>
      <w:r w:rsidRPr="004C2A59">
        <w:rPr>
          <w:color w:val="000000"/>
          <w:sz w:val="22"/>
          <w:szCs w:val="22"/>
          <w:u w:val="single"/>
          <w:lang w:val="da-DK"/>
        </w:rPr>
        <w:t>Væske</w:t>
      </w:r>
      <w:r w:rsidR="007853D4" w:rsidRPr="004C2A59">
        <w:rPr>
          <w:color w:val="000000"/>
          <w:sz w:val="22"/>
          <w:szCs w:val="22"/>
          <w:u w:val="single"/>
          <w:lang w:val="da-DK"/>
        </w:rPr>
        <w:t>retention</w:t>
      </w:r>
    </w:p>
    <w:p w14:paraId="06D7765C" w14:textId="77777777" w:rsidR="00270C5A" w:rsidRPr="004C2A59" w:rsidRDefault="00270C5A" w:rsidP="00421681">
      <w:pPr>
        <w:pStyle w:val="EndnoteText"/>
        <w:tabs>
          <w:tab w:val="clear" w:pos="567"/>
        </w:tabs>
        <w:rPr>
          <w:color w:val="000000"/>
          <w:szCs w:val="22"/>
        </w:rPr>
      </w:pPr>
      <w:r w:rsidRPr="004C2A59">
        <w:rPr>
          <w:color w:val="000000"/>
          <w:szCs w:val="22"/>
        </w:rPr>
        <w:t>Hos ca. 2</w:t>
      </w:r>
      <w:r w:rsidR="00EA0B5C" w:rsidRPr="004C2A59">
        <w:rPr>
          <w:color w:val="000000"/>
          <w:szCs w:val="22"/>
        </w:rPr>
        <w:t>,5</w:t>
      </w:r>
      <w:r w:rsidRPr="004C2A59">
        <w:rPr>
          <w:color w:val="000000"/>
          <w:szCs w:val="22"/>
        </w:rPr>
        <w:t xml:space="preserve">% af </w:t>
      </w:r>
      <w:r w:rsidR="00EA0B5C" w:rsidRPr="004C2A59">
        <w:rPr>
          <w:color w:val="000000"/>
          <w:szCs w:val="22"/>
        </w:rPr>
        <w:t>nyligt diagnosticerede CML</w:t>
      </w:r>
      <w:r w:rsidR="00E11304" w:rsidRPr="004C2A59">
        <w:rPr>
          <w:color w:val="000000"/>
          <w:szCs w:val="22"/>
        </w:rPr>
        <w:t>-</w:t>
      </w:r>
      <w:r w:rsidR="00EA0B5C" w:rsidRPr="004C2A59">
        <w:rPr>
          <w:color w:val="000000"/>
          <w:szCs w:val="22"/>
        </w:rPr>
        <w:t>patienter i behandling med</w:t>
      </w:r>
      <w:r w:rsidRPr="004C2A59">
        <w:rPr>
          <w:color w:val="000000"/>
          <w:szCs w:val="22"/>
        </w:rPr>
        <w:t xml:space="preserve"> Glivec er der rapporteret tilfælde af svær væskeretention (pleuraeksudat, ødem, </w:t>
      </w:r>
      <w:r w:rsidR="00E60059" w:rsidRPr="004C2A59">
        <w:rPr>
          <w:color w:val="000000"/>
          <w:szCs w:val="22"/>
        </w:rPr>
        <w:t>pulmonal</w:t>
      </w:r>
      <w:r w:rsidRPr="004C2A59">
        <w:rPr>
          <w:color w:val="000000"/>
          <w:szCs w:val="22"/>
        </w:rPr>
        <w:t>t ødem</w:t>
      </w:r>
      <w:r w:rsidR="008E4862" w:rsidRPr="004C2A59">
        <w:rPr>
          <w:color w:val="000000"/>
          <w:szCs w:val="22"/>
        </w:rPr>
        <w:t>,</w:t>
      </w:r>
      <w:r w:rsidRPr="004C2A59">
        <w:rPr>
          <w:color w:val="000000"/>
          <w:szCs w:val="22"/>
        </w:rPr>
        <w:t>ascites</w:t>
      </w:r>
      <w:r w:rsidR="008E4862" w:rsidRPr="004C2A59">
        <w:rPr>
          <w:color w:val="000000"/>
          <w:szCs w:val="22"/>
        </w:rPr>
        <w:t xml:space="preserve">, </w:t>
      </w:r>
      <w:r w:rsidR="00060A4F" w:rsidRPr="004C2A59">
        <w:rPr>
          <w:color w:val="000000"/>
          <w:szCs w:val="22"/>
        </w:rPr>
        <w:t>perifert</w:t>
      </w:r>
      <w:r w:rsidR="008E4862" w:rsidRPr="004C2A59">
        <w:rPr>
          <w:color w:val="000000"/>
          <w:szCs w:val="22"/>
        </w:rPr>
        <w:t xml:space="preserve"> ødem</w:t>
      </w:r>
      <w:r w:rsidRPr="004C2A59">
        <w:rPr>
          <w:color w:val="000000"/>
          <w:szCs w:val="22"/>
        </w:rPr>
        <w:t>). Det anbefales derfor stærkt, at patienterne vejes jævnligt. Uventede, hurtige vægtstigninger bør undersøges nøje, og om nødvendigt bør understøttende terapi indledes, og relevante indgreb foretages. Der er i kliniske undersøgelser set øget incidens af disse hændelser hos ældre patienter og hos patienter med hjertesygdom i anamnesen. Der bør derfor udvises forsigtighed hos patienter med kardiel dysfunktion.</w:t>
      </w:r>
    </w:p>
    <w:p w14:paraId="12E44A44" w14:textId="77777777" w:rsidR="00270C5A" w:rsidRPr="004C2A59" w:rsidRDefault="00270C5A" w:rsidP="00421681">
      <w:pPr>
        <w:widowControl w:val="0"/>
        <w:rPr>
          <w:color w:val="000000"/>
          <w:sz w:val="22"/>
          <w:szCs w:val="22"/>
          <w:lang w:val="da-DK"/>
        </w:rPr>
      </w:pPr>
    </w:p>
    <w:p w14:paraId="5B01D7EF" w14:textId="77777777" w:rsidR="00EF7B53" w:rsidRPr="004C2A59" w:rsidRDefault="00EF7B53" w:rsidP="006C180B">
      <w:pPr>
        <w:keepNext/>
        <w:widowControl w:val="0"/>
        <w:rPr>
          <w:color w:val="000000"/>
          <w:sz w:val="22"/>
          <w:szCs w:val="22"/>
          <w:u w:val="single"/>
          <w:lang w:val="da-DK"/>
        </w:rPr>
      </w:pPr>
      <w:r w:rsidRPr="004C2A59">
        <w:rPr>
          <w:color w:val="000000"/>
          <w:sz w:val="22"/>
          <w:szCs w:val="22"/>
          <w:u w:val="single"/>
          <w:lang w:val="da-DK"/>
        </w:rPr>
        <w:t>Patienter med hjertesygdom</w:t>
      </w:r>
    </w:p>
    <w:p w14:paraId="70C5E5BB" w14:textId="77777777" w:rsidR="004B234A" w:rsidRPr="004C2A59" w:rsidRDefault="004B234A" w:rsidP="00421681">
      <w:pPr>
        <w:widowControl w:val="0"/>
        <w:rPr>
          <w:color w:val="000000"/>
          <w:sz w:val="22"/>
          <w:szCs w:val="22"/>
          <w:lang w:val="da-DK"/>
        </w:rPr>
      </w:pPr>
      <w:r w:rsidRPr="004C2A59">
        <w:rPr>
          <w:color w:val="000000"/>
          <w:sz w:val="22"/>
          <w:szCs w:val="22"/>
          <w:lang w:val="da-DK"/>
        </w:rPr>
        <w:t>Patienter med hjertesygdom, risikofaktorer for hjerte</w:t>
      </w:r>
      <w:r w:rsidR="00872821" w:rsidRPr="004C2A59">
        <w:rPr>
          <w:color w:val="000000"/>
          <w:sz w:val="22"/>
          <w:szCs w:val="22"/>
          <w:lang w:val="da-DK"/>
        </w:rPr>
        <w:t>insufficiens</w:t>
      </w:r>
      <w:r w:rsidR="00972A6F" w:rsidRPr="004C2A59">
        <w:rPr>
          <w:color w:val="000000"/>
          <w:sz w:val="22"/>
          <w:szCs w:val="22"/>
          <w:lang w:val="da-DK"/>
        </w:rPr>
        <w:t xml:space="preserve"> eller nyre</w:t>
      </w:r>
      <w:r w:rsidR="007853D4" w:rsidRPr="004C2A59">
        <w:rPr>
          <w:color w:val="000000"/>
          <w:sz w:val="22"/>
          <w:szCs w:val="22"/>
          <w:lang w:val="da-DK"/>
        </w:rPr>
        <w:t>insufficiens i anamnesen</w:t>
      </w:r>
      <w:r w:rsidRPr="004C2A59">
        <w:rPr>
          <w:color w:val="000000"/>
          <w:sz w:val="22"/>
          <w:szCs w:val="22"/>
          <w:lang w:val="da-DK"/>
        </w:rPr>
        <w:t xml:space="preserve"> </w:t>
      </w:r>
      <w:r w:rsidR="007853D4" w:rsidRPr="004C2A59">
        <w:rPr>
          <w:color w:val="000000"/>
          <w:sz w:val="22"/>
          <w:szCs w:val="22"/>
          <w:lang w:val="da-DK"/>
        </w:rPr>
        <w:t>skal</w:t>
      </w:r>
      <w:r w:rsidRPr="004C2A59">
        <w:rPr>
          <w:color w:val="000000"/>
          <w:sz w:val="22"/>
          <w:szCs w:val="22"/>
          <w:lang w:val="da-DK"/>
        </w:rPr>
        <w:t xml:space="preserve"> monitore</w:t>
      </w:r>
      <w:r w:rsidR="00972A6F" w:rsidRPr="004C2A59">
        <w:rPr>
          <w:color w:val="000000"/>
          <w:sz w:val="22"/>
          <w:szCs w:val="22"/>
          <w:lang w:val="da-DK"/>
        </w:rPr>
        <w:t>re</w:t>
      </w:r>
      <w:r w:rsidRPr="004C2A59">
        <w:rPr>
          <w:color w:val="000000"/>
          <w:sz w:val="22"/>
          <w:szCs w:val="22"/>
          <w:lang w:val="da-DK"/>
        </w:rPr>
        <w:t xml:space="preserve">s omhyggeligt, og </w:t>
      </w:r>
      <w:r w:rsidR="0068586E" w:rsidRPr="004C2A59">
        <w:rPr>
          <w:color w:val="000000"/>
          <w:sz w:val="22"/>
          <w:szCs w:val="22"/>
          <w:lang w:val="da-DK"/>
        </w:rPr>
        <w:t>alle</w:t>
      </w:r>
      <w:r w:rsidRPr="004C2A59">
        <w:rPr>
          <w:color w:val="000000"/>
          <w:sz w:val="22"/>
          <w:szCs w:val="22"/>
          <w:lang w:val="da-DK"/>
        </w:rPr>
        <w:t xml:space="preserve"> patient</w:t>
      </w:r>
      <w:r w:rsidR="00234E95" w:rsidRPr="004C2A59">
        <w:rPr>
          <w:color w:val="000000"/>
          <w:sz w:val="22"/>
          <w:szCs w:val="22"/>
          <w:lang w:val="da-DK"/>
        </w:rPr>
        <w:t>er</w:t>
      </w:r>
      <w:r w:rsidRPr="004C2A59">
        <w:rPr>
          <w:color w:val="000000"/>
          <w:sz w:val="22"/>
          <w:szCs w:val="22"/>
          <w:lang w:val="da-DK"/>
        </w:rPr>
        <w:t xml:space="preserve">, som har symptomer </w:t>
      </w:r>
      <w:r w:rsidR="0068586E" w:rsidRPr="004C2A59">
        <w:rPr>
          <w:color w:val="000000"/>
          <w:sz w:val="22"/>
          <w:szCs w:val="22"/>
          <w:lang w:val="da-DK"/>
        </w:rPr>
        <w:t>forenelige med</w:t>
      </w:r>
      <w:r w:rsidRPr="004C2A59">
        <w:rPr>
          <w:color w:val="000000"/>
          <w:sz w:val="22"/>
          <w:szCs w:val="22"/>
          <w:lang w:val="da-DK"/>
        </w:rPr>
        <w:t xml:space="preserve"> hjerte</w:t>
      </w:r>
      <w:r w:rsidR="00972A6F" w:rsidRPr="004C2A59">
        <w:rPr>
          <w:color w:val="000000"/>
          <w:sz w:val="22"/>
          <w:szCs w:val="22"/>
          <w:lang w:val="da-DK"/>
        </w:rPr>
        <w:t>- eller nyre</w:t>
      </w:r>
      <w:r w:rsidR="00872821" w:rsidRPr="004C2A59">
        <w:rPr>
          <w:color w:val="000000"/>
          <w:sz w:val="22"/>
          <w:szCs w:val="22"/>
          <w:lang w:val="da-DK"/>
        </w:rPr>
        <w:t>insufficiens</w:t>
      </w:r>
      <w:r w:rsidR="00BD52CE" w:rsidRPr="004C2A59">
        <w:rPr>
          <w:color w:val="000000"/>
          <w:sz w:val="22"/>
          <w:szCs w:val="22"/>
          <w:lang w:val="da-DK"/>
        </w:rPr>
        <w:t>,</w:t>
      </w:r>
      <w:r w:rsidRPr="004C2A59">
        <w:rPr>
          <w:color w:val="000000"/>
          <w:sz w:val="22"/>
          <w:szCs w:val="22"/>
          <w:lang w:val="da-DK"/>
        </w:rPr>
        <w:t xml:space="preserve"> bør undersøges og behandles.</w:t>
      </w:r>
    </w:p>
    <w:p w14:paraId="730B2513" w14:textId="77777777" w:rsidR="0068586E" w:rsidRPr="004C2A59" w:rsidRDefault="0068586E" w:rsidP="00421681">
      <w:pPr>
        <w:widowControl w:val="0"/>
        <w:rPr>
          <w:color w:val="000000"/>
          <w:sz w:val="22"/>
          <w:szCs w:val="22"/>
          <w:lang w:val="da-DK"/>
        </w:rPr>
      </w:pPr>
    </w:p>
    <w:p w14:paraId="0D9A4AB5" w14:textId="77777777" w:rsidR="007C3E4D" w:rsidRPr="004C2A59" w:rsidRDefault="00832B39" w:rsidP="00421681">
      <w:pPr>
        <w:widowControl w:val="0"/>
        <w:rPr>
          <w:color w:val="000000"/>
          <w:sz w:val="22"/>
          <w:szCs w:val="22"/>
          <w:lang w:val="da-DK"/>
        </w:rPr>
      </w:pPr>
      <w:r w:rsidRPr="004C2A59">
        <w:rPr>
          <w:color w:val="000000"/>
          <w:sz w:val="22"/>
          <w:szCs w:val="22"/>
          <w:lang w:val="da-DK"/>
        </w:rPr>
        <w:t xml:space="preserve">Hos </w:t>
      </w:r>
      <w:r w:rsidR="00F638F4" w:rsidRPr="004C2A59">
        <w:rPr>
          <w:color w:val="000000"/>
          <w:sz w:val="22"/>
          <w:szCs w:val="22"/>
          <w:lang w:val="da-DK"/>
        </w:rPr>
        <w:t>p</w:t>
      </w:r>
      <w:r w:rsidRPr="004C2A59">
        <w:rPr>
          <w:color w:val="000000"/>
          <w:sz w:val="22"/>
          <w:szCs w:val="22"/>
          <w:lang w:val="da-DK"/>
        </w:rPr>
        <w:t>atienter med h</w:t>
      </w:r>
      <w:r w:rsidR="007C3E4D" w:rsidRPr="004C2A59">
        <w:rPr>
          <w:color w:val="000000"/>
          <w:sz w:val="22"/>
          <w:szCs w:val="22"/>
          <w:lang w:val="da-DK"/>
        </w:rPr>
        <w:t xml:space="preserve">ypereosinofilt syndrom (HES) </w:t>
      </w:r>
      <w:r w:rsidRPr="004C2A59">
        <w:rPr>
          <w:color w:val="000000"/>
          <w:sz w:val="22"/>
          <w:szCs w:val="22"/>
          <w:lang w:val="da-DK"/>
        </w:rPr>
        <w:t>med skjult infiltration af HES</w:t>
      </w:r>
      <w:r w:rsidR="00F451C2" w:rsidRPr="004C2A59">
        <w:rPr>
          <w:color w:val="000000"/>
          <w:sz w:val="22"/>
          <w:szCs w:val="22"/>
          <w:lang w:val="da-DK"/>
        </w:rPr>
        <w:t>-</w:t>
      </w:r>
      <w:r w:rsidRPr="004C2A59">
        <w:rPr>
          <w:color w:val="000000"/>
          <w:sz w:val="22"/>
          <w:szCs w:val="22"/>
          <w:lang w:val="da-DK"/>
        </w:rPr>
        <w:t xml:space="preserve">celler i myokardiet, har der været isolerede tilfælde af </w:t>
      </w:r>
      <w:r w:rsidR="00F451C2" w:rsidRPr="004C2A59">
        <w:rPr>
          <w:color w:val="000000"/>
          <w:sz w:val="22"/>
          <w:szCs w:val="22"/>
          <w:lang w:val="da-DK"/>
        </w:rPr>
        <w:t>k</w:t>
      </w:r>
      <w:r w:rsidRPr="004C2A59">
        <w:rPr>
          <w:color w:val="000000"/>
          <w:sz w:val="22"/>
          <w:szCs w:val="22"/>
          <w:lang w:val="da-DK"/>
        </w:rPr>
        <w:t>ar</w:t>
      </w:r>
      <w:r w:rsidR="00F451C2" w:rsidRPr="004C2A59">
        <w:rPr>
          <w:color w:val="000000"/>
          <w:sz w:val="22"/>
          <w:szCs w:val="22"/>
          <w:lang w:val="da-DK"/>
        </w:rPr>
        <w:t>d</w:t>
      </w:r>
      <w:r w:rsidRPr="004C2A59">
        <w:rPr>
          <w:color w:val="000000"/>
          <w:sz w:val="22"/>
          <w:szCs w:val="22"/>
          <w:lang w:val="da-DK"/>
        </w:rPr>
        <w:t xml:space="preserve">iogent </w:t>
      </w:r>
      <w:r w:rsidR="00F451C2" w:rsidRPr="004C2A59">
        <w:rPr>
          <w:color w:val="000000"/>
          <w:sz w:val="22"/>
          <w:szCs w:val="22"/>
          <w:lang w:val="da-DK"/>
        </w:rPr>
        <w:t>s</w:t>
      </w:r>
      <w:r w:rsidRPr="004C2A59">
        <w:rPr>
          <w:color w:val="000000"/>
          <w:sz w:val="22"/>
          <w:szCs w:val="22"/>
          <w:lang w:val="da-DK"/>
        </w:rPr>
        <w:t>ho</w:t>
      </w:r>
      <w:r w:rsidR="00F451C2" w:rsidRPr="004C2A59">
        <w:rPr>
          <w:color w:val="000000"/>
          <w:sz w:val="22"/>
          <w:szCs w:val="22"/>
          <w:lang w:val="da-DK"/>
        </w:rPr>
        <w:t>c</w:t>
      </w:r>
      <w:r w:rsidRPr="004C2A59">
        <w:rPr>
          <w:color w:val="000000"/>
          <w:sz w:val="22"/>
          <w:szCs w:val="22"/>
          <w:lang w:val="da-DK"/>
        </w:rPr>
        <w:t>k/dysfunktion af venstre ventrikel</w:t>
      </w:r>
      <w:r w:rsidR="007C3E4D" w:rsidRPr="004C2A59">
        <w:rPr>
          <w:color w:val="000000"/>
          <w:sz w:val="22"/>
          <w:szCs w:val="22"/>
          <w:lang w:val="da-DK"/>
        </w:rPr>
        <w:t xml:space="preserve"> </w:t>
      </w:r>
      <w:r w:rsidR="00F451C2" w:rsidRPr="004C2A59">
        <w:rPr>
          <w:color w:val="000000"/>
          <w:sz w:val="22"/>
          <w:szCs w:val="22"/>
          <w:lang w:val="da-DK"/>
        </w:rPr>
        <w:t xml:space="preserve">i </w:t>
      </w:r>
      <w:r w:rsidRPr="004C2A59">
        <w:rPr>
          <w:color w:val="000000"/>
          <w:sz w:val="22"/>
          <w:szCs w:val="22"/>
          <w:lang w:val="da-DK"/>
        </w:rPr>
        <w:t>forb</w:t>
      </w:r>
      <w:r w:rsidR="00F451C2" w:rsidRPr="004C2A59">
        <w:rPr>
          <w:color w:val="000000"/>
          <w:sz w:val="22"/>
          <w:szCs w:val="22"/>
          <w:lang w:val="da-DK"/>
        </w:rPr>
        <w:t>i</w:t>
      </w:r>
      <w:r w:rsidRPr="004C2A59">
        <w:rPr>
          <w:color w:val="000000"/>
          <w:sz w:val="22"/>
          <w:szCs w:val="22"/>
          <w:lang w:val="da-DK"/>
        </w:rPr>
        <w:t>nde</w:t>
      </w:r>
      <w:r w:rsidR="00F451C2" w:rsidRPr="004C2A59">
        <w:rPr>
          <w:color w:val="000000"/>
          <w:sz w:val="22"/>
          <w:szCs w:val="22"/>
          <w:lang w:val="da-DK"/>
        </w:rPr>
        <w:t>lse</w:t>
      </w:r>
      <w:r w:rsidRPr="004C2A59">
        <w:rPr>
          <w:color w:val="000000"/>
          <w:sz w:val="22"/>
          <w:szCs w:val="22"/>
          <w:lang w:val="da-DK"/>
        </w:rPr>
        <w:t xml:space="preserve"> med HES</w:t>
      </w:r>
      <w:r w:rsidR="00F451C2" w:rsidRPr="004C2A59">
        <w:rPr>
          <w:color w:val="000000"/>
          <w:sz w:val="22"/>
          <w:szCs w:val="22"/>
          <w:lang w:val="da-DK"/>
        </w:rPr>
        <w:t>-</w:t>
      </w:r>
      <w:r w:rsidRPr="004C2A59">
        <w:rPr>
          <w:color w:val="000000"/>
          <w:sz w:val="22"/>
          <w:szCs w:val="22"/>
          <w:lang w:val="da-DK"/>
        </w:rPr>
        <w:t>celledegranulering ved</w:t>
      </w:r>
      <w:r w:rsidR="00C53EE1" w:rsidRPr="004C2A59">
        <w:rPr>
          <w:color w:val="000000"/>
          <w:sz w:val="22"/>
          <w:szCs w:val="22"/>
          <w:lang w:val="da-DK"/>
        </w:rPr>
        <w:t xml:space="preserve"> </w:t>
      </w:r>
      <w:r w:rsidRPr="004C2A59">
        <w:rPr>
          <w:color w:val="000000"/>
          <w:sz w:val="22"/>
          <w:szCs w:val="22"/>
          <w:lang w:val="da-DK"/>
        </w:rPr>
        <w:t>i</w:t>
      </w:r>
      <w:r w:rsidR="0068586E" w:rsidRPr="004C2A59">
        <w:rPr>
          <w:color w:val="000000"/>
          <w:sz w:val="22"/>
          <w:szCs w:val="22"/>
          <w:lang w:val="da-DK"/>
        </w:rPr>
        <w:t>nitiering af imatinibterap</w:t>
      </w:r>
      <w:r w:rsidR="00F638F4" w:rsidRPr="004C2A59">
        <w:rPr>
          <w:color w:val="000000"/>
          <w:sz w:val="22"/>
          <w:szCs w:val="22"/>
          <w:lang w:val="da-DK"/>
        </w:rPr>
        <w:t>i</w:t>
      </w:r>
      <w:r w:rsidR="0068586E" w:rsidRPr="004C2A59">
        <w:rPr>
          <w:color w:val="000000"/>
          <w:sz w:val="22"/>
          <w:szCs w:val="22"/>
          <w:lang w:val="da-DK"/>
        </w:rPr>
        <w:t xml:space="preserve">. Tilstanden blev rapporteret som værende reversibel ved indgift af systemiske steroider, understøttelse af kredsløbet og midlertidigt stop af imatinib. Da der er rapporteret tilfælde af hjertebivirkninger med imatinib, bør der foretages en nøje </w:t>
      </w:r>
      <w:r w:rsidR="00E11304" w:rsidRPr="004C2A59">
        <w:rPr>
          <w:color w:val="000000"/>
          <w:sz w:val="22"/>
          <w:szCs w:val="22"/>
          <w:lang w:val="da-DK"/>
        </w:rPr>
        <w:t>benefit/risk-</w:t>
      </w:r>
      <w:r w:rsidR="0068586E" w:rsidRPr="004C2A59">
        <w:rPr>
          <w:color w:val="000000"/>
          <w:sz w:val="22"/>
          <w:szCs w:val="22"/>
          <w:lang w:val="da-DK"/>
        </w:rPr>
        <w:t xml:space="preserve">vurdering hos </w:t>
      </w:r>
      <w:r w:rsidR="00E11304" w:rsidRPr="004C2A59">
        <w:rPr>
          <w:color w:val="000000"/>
          <w:sz w:val="22"/>
          <w:szCs w:val="22"/>
          <w:lang w:val="da-DK"/>
        </w:rPr>
        <w:t>HES/</w:t>
      </w:r>
      <w:smartTag w:uri="urn:schemas-microsoft-com:office:smarttags" w:element="metricconverter">
        <w:r w:rsidR="00E11304" w:rsidRPr="004C2A59">
          <w:rPr>
            <w:color w:val="000000"/>
            <w:sz w:val="22"/>
            <w:szCs w:val="22"/>
            <w:lang w:val="da-DK"/>
          </w:rPr>
          <w:t>CEL</w:t>
        </w:r>
      </w:smartTag>
      <w:r w:rsidR="00E11304" w:rsidRPr="004C2A59">
        <w:rPr>
          <w:color w:val="000000"/>
          <w:sz w:val="22"/>
          <w:szCs w:val="22"/>
          <w:lang w:val="da-DK"/>
        </w:rPr>
        <w:t>-</w:t>
      </w:r>
      <w:r w:rsidR="0068586E" w:rsidRPr="004C2A59">
        <w:rPr>
          <w:color w:val="000000"/>
          <w:sz w:val="22"/>
          <w:szCs w:val="22"/>
          <w:lang w:val="da-DK"/>
        </w:rPr>
        <w:t>populationen før påbegyndelse af behandling.</w:t>
      </w:r>
    </w:p>
    <w:p w14:paraId="7330BE85" w14:textId="77777777" w:rsidR="007C3E4D" w:rsidRPr="004C2A59" w:rsidRDefault="007C3E4D" w:rsidP="00421681">
      <w:pPr>
        <w:widowControl w:val="0"/>
        <w:rPr>
          <w:color w:val="000000"/>
          <w:sz w:val="22"/>
          <w:szCs w:val="22"/>
          <w:lang w:val="da-DK"/>
        </w:rPr>
      </w:pPr>
    </w:p>
    <w:p w14:paraId="3009DA12" w14:textId="77777777" w:rsidR="00AB6ABD" w:rsidRPr="004C2A59" w:rsidRDefault="00AB6ABD" w:rsidP="00421681">
      <w:pPr>
        <w:widowControl w:val="0"/>
        <w:rPr>
          <w:color w:val="000000"/>
          <w:sz w:val="22"/>
          <w:szCs w:val="22"/>
          <w:lang w:val="da-DK"/>
        </w:rPr>
      </w:pPr>
      <w:r w:rsidRPr="004C2A59">
        <w:rPr>
          <w:color w:val="000000"/>
          <w:sz w:val="22"/>
          <w:szCs w:val="22"/>
          <w:lang w:val="da-DK"/>
        </w:rPr>
        <w:lastRenderedPageBreak/>
        <w:t xml:space="preserve">Myelodysplastiske/myeloproliferative sygdomme med </w:t>
      </w:r>
      <w:r w:rsidR="00E11304" w:rsidRPr="004C2A59">
        <w:rPr>
          <w:color w:val="000000"/>
          <w:sz w:val="22"/>
          <w:szCs w:val="22"/>
          <w:lang w:val="da-DK"/>
        </w:rPr>
        <w:t>PDGFR-</w:t>
      </w:r>
      <w:r w:rsidR="00874CA5" w:rsidRPr="004C2A59">
        <w:rPr>
          <w:color w:val="000000"/>
          <w:sz w:val="22"/>
          <w:szCs w:val="22"/>
          <w:lang w:val="da-DK"/>
        </w:rPr>
        <w:t>omlejring</w:t>
      </w:r>
      <w:r w:rsidRPr="004C2A59">
        <w:rPr>
          <w:color w:val="000000"/>
          <w:sz w:val="22"/>
          <w:szCs w:val="22"/>
          <w:lang w:val="da-DK"/>
        </w:rPr>
        <w:t xml:space="preserve"> kan være forbundet med høje eosinofiltal</w:t>
      </w:r>
      <w:r w:rsidR="00F163F6" w:rsidRPr="004C2A59">
        <w:rPr>
          <w:color w:val="000000"/>
          <w:sz w:val="22"/>
          <w:szCs w:val="22"/>
          <w:lang w:val="da-DK"/>
        </w:rPr>
        <w:t xml:space="preserve">. </w:t>
      </w:r>
      <w:r w:rsidRPr="004C2A59">
        <w:rPr>
          <w:color w:val="000000"/>
          <w:sz w:val="22"/>
          <w:szCs w:val="22"/>
          <w:lang w:val="da-DK"/>
        </w:rPr>
        <w:t xml:space="preserve">Undersøgelse hos en kardiolog, optagelse af ekkokardiogram og bestemmelse af serumtroponin bør derfor overvejes hos patienter med </w:t>
      </w:r>
      <w:smartTag w:uri="urn:schemas-microsoft-com:office:smarttags" w:element="metricconverter">
        <w:r w:rsidRPr="004C2A59">
          <w:rPr>
            <w:color w:val="000000"/>
            <w:sz w:val="22"/>
            <w:szCs w:val="22"/>
            <w:lang w:val="da-DK"/>
          </w:rPr>
          <w:t>MDS</w:t>
        </w:r>
      </w:smartTag>
      <w:r w:rsidRPr="004C2A59">
        <w:rPr>
          <w:color w:val="000000"/>
          <w:sz w:val="22"/>
          <w:szCs w:val="22"/>
          <w:lang w:val="da-DK"/>
        </w:rPr>
        <w:t>/MPD, som har høje eosinofiltal</w:t>
      </w:r>
      <w:r w:rsidR="00F163F6" w:rsidRPr="004C2A59">
        <w:rPr>
          <w:color w:val="000000"/>
          <w:sz w:val="22"/>
          <w:szCs w:val="22"/>
          <w:lang w:val="da-DK"/>
        </w:rPr>
        <w:t>,</w:t>
      </w:r>
      <w:r w:rsidRPr="004C2A59">
        <w:rPr>
          <w:color w:val="000000"/>
          <w:sz w:val="22"/>
          <w:szCs w:val="22"/>
          <w:lang w:val="da-DK"/>
        </w:rPr>
        <w:t xml:space="preserve"> før der gives imatinib. Hvis en af disse undersøgelser viser abnormalitet, bør det overvejes at kombinere imatinib med profylaktisk brug af systemisk steroid (1</w:t>
      </w:r>
      <w:r w:rsidR="00127C29" w:rsidRPr="004C2A59">
        <w:rPr>
          <w:color w:val="000000"/>
          <w:sz w:val="22"/>
          <w:szCs w:val="22"/>
          <w:lang w:val="da-DK"/>
        </w:rPr>
        <w:noBreakHyphen/>
      </w:r>
      <w:r w:rsidRPr="004C2A59">
        <w:rPr>
          <w:color w:val="000000"/>
          <w:sz w:val="22"/>
          <w:szCs w:val="22"/>
          <w:lang w:val="da-DK"/>
        </w:rPr>
        <w:t>2 mg/kg) i en til to uger ved behandlingsstart.</w:t>
      </w:r>
    </w:p>
    <w:p w14:paraId="04FFB1CB" w14:textId="77777777" w:rsidR="004B234A" w:rsidRPr="004C2A59" w:rsidRDefault="004B234A" w:rsidP="00421681">
      <w:pPr>
        <w:widowControl w:val="0"/>
        <w:rPr>
          <w:color w:val="000000"/>
          <w:sz w:val="22"/>
          <w:szCs w:val="22"/>
          <w:lang w:val="da-DK"/>
        </w:rPr>
      </w:pPr>
    </w:p>
    <w:p w14:paraId="605476A3" w14:textId="77777777" w:rsidR="00EF7B53" w:rsidRPr="004C2A59" w:rsidRDefault="00EF7B53" w:rsidP="006C180B">
      <w:pPr>
        <w:keepNext/>
        <w:widowControl w:val="0"/>
        <w:rPr>
          <w:color w:val="000000"/>
          <w:sz w:val="22"/>
          <w:szCs w:val="22"/>
          <w:u w:val="single"/>
          <w:lang w:val="da-DK"/>
        </w:rPr>
      </w:pPr>
      <w:r w:rsidRPr="004C2A59">
        <w:rPr>
          <w:color w:val="000000"/>
          <w:sz w:val="22"/>
          <w:szCs w:val="22"/>
          <w:u w:val="single"/>
          <w:lang w:val="da-DK"/>
        </w:rPr>
        <w:t>Gastrointestinal blødning</w:t>
      </w:r>
    </w:p>
    <w:p w14:paraId="23582668" w14:textId="77777777" w:rsidR="00270C5A" w:rsidRPr="004C2A59" w:rsidRDefault="009313F9" w:rsidP="00421681">
      <w:pPr>
        <w:widowControl w:val="0"/>
        <w:rPr>
          <w:color w:val="000000"/>
          <w:sz w:val="22"/>
          <w:szCs w:val="22"/>
          <w:lang w:val="da-DK"/>
        </w:rPr>
      </w:pPr>
      <w:r w:rsidRPr="004C2A59">
        <w:rPr>
          <w:color w:val="000000"/>
          <w:sz w:val="22"/>
          <w:szCs w:val="22"/>
          <w:lang w:val="da-DK"/>
        </w:rPr>
        <w:t>I undersøgelsen med patienter med inoperabel og/eller metastaserende GIST</w:t>
      </w:r>
      <w:r w:rsidR="00270C5A" w:rsidRPr="004C2A59">
        <w:rPr>
          <w:color w:val="000000"/>
          <w:sz w:val="22"/>
          <w:szCs w:val="22"/>
          <w:lang w:val="da-DK"/>
        </w:rPr>
        <w:t xml:space="preserve"> rapporteredes både gastrointestinale og intra-tumorale blødninger (se </w:t>
      </w:r>
      <w:r w:rsidR="003B2976" w:rsidRPr="004C2A59">
        <w:rPr>
          <w:color w:val="000000"/>
          <w:sz w:val="22"/>
          <w:szCs w:val="22"/>
          <w:lang w:val="da-DK"/>
        </w:rPr>
        <w:t>pkt.</w:t>
      </w:r>
      <w:r w:rsidR="00270C5A" w:rsidRPr="004C2A59">
        <w:rPr>
          <w:color w:val="000000"/>
          <w:sz w:val="22"/>
          <w:szCs w:val="22"/>
          <w:lang w:val="da-DK"/>
        </w:rPr>
        <w:t xml:space="preserve"> 4.8). Der er, baseret på tilgængelige data, ikke identificeret disponerende faktorer (for eksempel tumorstørrelse, tumorplacering, koagulationsforstyrrelser), der kan placere GIST-patienter i en højere risikogruppe for nogen af blødningstyperne. Da øget vaskularisering og blødningstendens er en del af det kliniske billede ved GIST, bør der hos alle patienter anvendes standardtiltag og -procedurer for monitorering og behandling af blødning.</w:t>
      </w:r>
    </w:p>
    <w:p w14:paraId="07C6196F" w14:textId="77777777" w:rsidR="00876B9A" w:rsidRPr="004C2A59" w:rsidRDefault="00876B9A" w:rsidP="00421681">
      <w:pPr>
        <w:widowControl w:val="0"/>
        <w:rPr>
          <w:color w:val="000000"/>
          <w:sz w:val="22"/>
          <w:szCs w:val="22"/>
          <w:lang w:val="da-DK"/>
        </w:rPr>
      </w:pPr>
    </w:p>
    <w:p w14:paraId="55CA6CE6" w14:textId="77777777" w:rsidR="00876B9A" w:rsidRPr="004C2A59" w:rsidRDefault="00876B9A" w:rsidP="00421681">
      <w:pPr>
        <w:widowControl w:val="0"/>
        <w:rPr>
          <w:color w:val="000000"/>
          <w:sz w:val="22"/>
          <w:szCs w:val="22"/>
          <w:lang w:val="da-DK"/>
        </w:rPr>
      </w:pPr>
      <w:r w:rsidRPr="004C2A59">
        <w:rPr>
          <w:color w:val="000000"/>
          <w:sz w:val="22"/>
          <w:szCs w:val="22"/>
          <w:lang w:val="da-DK"/>
        </w:rPr>
        <w:t xml:space="preserve">Derudover </w:t>
      </w:r>
      <w:r w:rsidR="00902770" w:rsidRPr="004C2A59">
        <w:rPr>
          <w:color w:val="000000"/>
          <w:sz w:val="22"/>
          <w:szCs w:val="22"/>
          <w:lang w:val="da-DK"/>
        </w:rPr>
        <w:t>er der</w:t>
      </w:r>
      <w:r w:rsidR="00532400" w:rsidRPr="004C2A59">
        <w:rPr>
          <w:color w:val="000000"/>
          <w:sz w:val="22"/>
          <w:szCs w:val="22"/>
          <w:lang w:val="da-DK"/>
        </w:rPr>
        <w:t xml:space="preserve"> efter markedsføring</w:t>
      </w:r>
      <w:r w:rsidRPr="004C2A59">
        <w:rPr>
          <w:color w:val="000000"/>
          <w:sz w:val="22"/>
          <w:szCs w:val="22"/>
          <w:lang w:val="da-DK"/>
        </w:rPr>
        <w:t xml:space="preserve"> </w:t>
      </w:r>
      <w:r w:rsidR="009D560E" w:rsidRPr="004C2A59">
        <w:rPr>
          <w:color w:val="000000"/>
          <w:sz w:val="22"/>
          <w:szCs w:val="22"/>
          <w:lang w:val="da-DK"/>
        </w:rPr>
        <w:t xml:space="preserve">rapporteret </w:t>
      </w:r>
      <w:r w:rsidR="00A32748" w:rsidRPr="004C2A59">
        <w:rPr>
          <w:i/>
          <w:color w:val="000000"/>
          <w:sz w:val="22"/>
          <w:szCs w:val="22"/>
          <w:lang w:val="da-DK"/>
        </w:rPr>
        <w:t>gastric antral vasc</w:t>
      </w:r>
      <w:r w:rsidRPr="004C2A59">
        <w:rPr>
          <w:i/>
          <w:color w:val="000000"/>
          <w:sz w:val="22"/>
          <w:szCs w:val="22"/>
          <w:lang w:val="da-DK"/>
        </w:rPr>
        <w:t>u</w:t>
      </w:r>
      <w:r w:rsidR="00A32748" w:rsidRPr="004C2A59">
        <w:rPr>
          <w:i/>
          <w:color w:val="000000"/>
          <w:sz w:val="22"/>
          <w:szCs w:val="22"/>
          <w:lang w:val="da-DK"/>
        </w:rPr>
        <w:t>la</w:t>
      </w:r>
      <w:r w:rsidRPr="004C2A59">
        <w:rPr>
          <w:i/>
          <w:color w:val="000000"/>
          <w:sz w:val="22"/>
          <w:szCs w:val="22"/>
          <w:lang w:val="da-DK"/>
        </w:rPr>
        <w:t>r</w:t>
      </w:r>
      <w:r w:rsidR="00A32748" w:rsidRPr="004C2A59">
        <w:rPr>
          <w:i/>
          <w:color w:val="000000"/>
          <w:sz w:val="22"/>
          <w:szCs w:val="22"/>
          <w:lang w:val="da-DK"/>
        </w:rPr>
        <w:t xml:space="preserve"> ec</w:t>
      </w:r>
      <w:r w:rsidRPr="004C2A59">
        <w:rPr>
          <w:i/>
          <w:color w:val="000000"/>
          <w:sz w:val="22"/>
          <w:szCs w:val="22"/>
          <w:lang w:val="da-DK"/>
        </w:rPr>
        <w:t>stasia</w:t>
      </w:r>
      <w:r w:rsidR="009D560E" w:rsidRPr="004C2A59">
        <w:rPr>
          <w:color w:val="000000"/>
          <w:sz w:val="22"/>
          <w:szCs w:val="22"/>
          <w:lang w:val="da-DK"/>
        </w:rPr>
        <w:t xml:space="preserve"> (GAVE</w:t>
      </w:r>
      <w:r w:rsidR="00A32748" w:rsidRPr="004C2A59">
        <w:rPr>
          <w:color w:val="000000"/>
          <w:sz w:val="22"/>
          <w:szCs w:val="22"/>
          <w:lang w:val="da-DK"/>
        </w:rPr>
        <w:t>)</w:t>
      </w:r>
      <w:r w:rsidRPr="004C2A59">
        <w:rPr>
          <w:color w:val="000000"/>
          <w:sz w:val="22"/>
          <w:szCs w:val="22"/>
          <w:lang w:val="da-DK"/>
        </w:rPr>
        <w:t xml:space="preserve">, en sjælden form for gastrointestinal blødning, hos patienter med CML, ALL og andre sygdomme (se pkt. 4.8). </w:t>
      </w:r>
      <w:r w:rsidR="008F17EF" w:rsidRPr="004C2A59">
        <w:rPr>
          <w:color w:val="000000"/>
          <w:sz w:val="22"/>
          <w:szCs w:val="22"/>
          <w:lang w:val="da-DK"/>
        </w:rPr>
        <w:t>Om</w:t>
      </w:r>
      <w:r w:rsidR="006279B8" w:rsidRPr="004C2A59">
        <w:rPr>
          <w:color w:val="000000"/>
          <w:sz w:val="22"/>
          <w:szCs w:val="22"/>
          <w:lang w:val="da-DK"/>
        </w:rPr>
        <w:t xml:space="preserve"> nødvendigt</w:t>
      </w:r>
      <w:r w:rsidR="00A32748" w:rsidRPr="004C2A59">
        <w:rPr>
          <w:color w:val="000000"/>
          <w:sz w:val="22"/>
          <w:szCs w:val="22"/>
          <w:lang w:val="da-DK"/>
        </w:rPr>
        <w:t xml:space="preserve"> </w:t>
      </w:r>
      <w:r w:rsidR="00532400" w:rsidRPr="004C2A59">
        <w:rPr>
          <w:color w:val="000000"/>
          <w:sz w:val="22"/>
          <w:szCs w:val="22"/>
          <w:lang w:val="da-DK"/>
        </w:rPr>
        <w:t>kan</w:t>
      </w:r>
      <w:r w:rsidR="00A32748" w:rsidRPr="004C2A59">
        <w:rPr>
          <w:color w:val="000000"/>
          <w:sz w:val="22"/>
          <w:szCs w:val="22"/>
          <w:lang w:val="da-DK"/>
        </w:rPr>
        <w:t xml:space="preserve"> det </w:t>
      </w:r>
      <w:r w:rsidR="006279B8" w:rsidRPr="004C2A59">
        <w:rPr>
          <w:color w:val="000000"/>
          <w:sz w:val="22"/>
          <w:szCs w:val="22"/>
          <w:lang w:val="da-DK"/>
        </w:rPr>
        <w:t>overvejes</w:t>
      </w:r>
      <w:r w:rsidR="00A32748" w:rsidRPr="004C2A59">
        <w:rPr>
          <w:color w:val="000000"/>
          <w:sz w:val="22"/>
          <w:szCs w:val="22"/>
          <w:lang w:val="da-DK"/>
        </w:rPr>
        <w:t xml:space="preserve"> </w:t>
      </w:r>
      <w:r w:rsidR="009D560E" w:rsidRPr="004C2A59">
        <w:rPr>
          <w:color w:val="000000"/>
          <w:sz w:val="22"/>
          <w:szCs w:val="22"/>
          <w:lang w:val="da-DK"/>
        </w:rPr>
        <w:t>at ophøre med</w:t>
      </w:r>
      <w:r w:rsidR="00A32748" w:rsidRPr="004C2A59">
        <w:rPr>
          <w:color w:val="000000"/>
          <w:sz w:val="22"/>
          <w:szCs w:val="22"/>
          <w:lang w:val="da-DK"/>
        </w:rPr>
        <w:t xml:space="preserve"> </w:t>
      </w:r>
      <w:r w:rsidR="009D560E" w:rsidRPr="004C2A59">
        <w:rPr>
          <w:color w:val="000000"/>
          <w:sz w:val="22"/>
          <w:szCs w:val="22"/>
          <w:lang w:val="da-DK"/>
        </w:rPr>
        <w:t>Glivec-</w:t>
      </w:r>
      <w:r w:rsidR="00A32748" w:rsidRPr="004C2A59">
        <w:rPr>
          <w:color w:val="000000"/>
          <w:sz w:val="22"/>
          <w:szCs w:val="22"/>
          <w:lang w:val="da-DK"/>
        </w:rPr>
        <w:t>b</w:t>
      </w:r>
      <w:r w:rsidR="006279B8" w:rsidRPr="004C2A59">
        <w:rPr>
          <w:color w:val="000000"/>
          <w:sz w:val="22"/>
          <w:szCs w:val="22"/>
          <w:lang w:val="da-DK"/>
        </w:rPr>
        <w:t>e</w:t>
      </w:r>
      <w:r w:rsidR="00A32748" w:rsidRPr="004C2A59">
        <w:rPr>
          <w:color w:val="000000"/>
          <w:sz w:val="22"/>
          <w:szCs w:val="22"/>
          <w:lang w:val="da-DK"/>
        </w:rPr>
        <w:t>handling.</w:t>
      </w:r>
    </w:p>
    <w:p w14:paraId="51C08886" w14:textId="77777777" w:rsidR="00EF7B53" w:rsidRPr="004C2A59" w:rsidRDefault="00EF7B53" w:rsidP="00421681">
      <w:pPr>
        <w:widowControl w:val="0"/>
        <w:rPr>
          <w:color w:val="000000"/>
          <w:sz w:val="22"/>
          <w:szCs w:val="22"/>
          <w:u w:val="single"/>
          <w:lang w:val="da-DK"/>
        </w:rPr>
      </w:pPr>
    </w:p>
    <w:p w14:paraId="624255C5" w14:textId="77777777" w:rsidR="00EF7B53" w:rsidRPr="004C2A59" w:rsidRDefault="00EF7B53" w:rsidP="006C180B">
      <w:pPr>
        <w:keepNext/>
        <w:widowControl w:val="0"/>
        <w:rPr>
          <w:color w:val="000000"/>
          <w:sz w:val="22"/>
          <w:szCs w:val="22"/>
          <w:u w:val="single"/>
          <w:lang w:val="da-DK"/>
        </w:rPr>
      </w:pPr>
      <w:r w:rsidRPr="004C2A59">
        <w:rPr>
          <w:color w:val="000000"/>
          <w:sz w:val="22"/>
          <w:szCs w:val="22"/>
          <w:u w:val="single"/>
          <w:lang w:val="da-DK"/>
        </w:rPr>
        <w:t>Tumorlysesyndrom</w:t>
      </w:r>
    </w:p>
    <w:p w14:paraId="25E13F49" w14:textId="77777777" w:rsidR="00B023D7" w:rsidRDefault="006C2D99" w:rsidP="00421681">
      <w:pPr>
        <w:textAlignment w:val="top"/>
        <w:rPr>
          <w:color w:val="000000"/>
          <w:sz w:val="22"/>
          <w:szCs w:val="22"/>
          <w:lang w:val="da-DK"/>
        </w:rPr>
      </w:pPr>
      <w:r w:rsidRPr="004C2A59">
        <w:rPr>
          <w:color w:val="000000"/>
          <w:sz w:val="22"/>
          <w:szCs w:val="22"/>
          <w:lang w:val="da-DK"/>
        </w:rPr>
        <w:t xml:space="preserve">På grund af den mulige forekomst af tumorlysesyndrom (TLS) anbefales korrektion af klinisk signifikant dehydrering og behandling af forhøjede urinsyreniveauer før påbegyndelse af behandling med Glivec (se </w:t>
      </w:r>
      <w:r w:rsidR="0004568A" w:rsidRPr="004C2A59">
        <w:rPr>
          <w:color w:val="000000"/>
          <w:sz w:val="22"/>
          <w:szCs w:val="22"/>
          <w:lang w:val="da-DK"/>
        </w:rPr>
        <w:t>pkt</w:t>
      </w:r>
      <w:r w:rsidR="008150A9" w:rsidRPr="004C2A59">
        <w:rPr>
          <w:color w:val="000000"/>
          <w:sz w:val="22"/>
          <w:szCs w:val="22"/>
          <w:lang w:val="da-DK"/>
        </w:rPr>
        <w:t>.</w:t>
      </w:r>
      <w:r w:rsidR="0004568A" w:rsidRPr="004C2A59">
        <w:rPr>
          <w:color w:val="000000"/>
          <w:sz w:val="22"/>
          <w:szCs w:val="22"/>
          <w:lang w:val="da-DK"/>
        </w:rPr>
        <w:t xml:space="preserve"> </w:t>
      </w:r>
      <w:r w:rsidRPr="004C2A59">
        <w:rPr>
          <w:color w:val="000000"/>
          <w:sz w:val="22"/>
          <w:szCs w:val="22"/>
          <w:lang w:val="da-DK"/>
        </w:rPr>
        <w:t>4.8).</w:t>
      </w:r>
    </w:p>
    <w:p w14:paraId="4D458964" w14:textId="77777777" w:rsidR="00B023D7" w:rsidRDefault="00B023D7" w:rsidP="00421681">
      <w:pPr>
        <w:textAlignment w:val="top"/>
        <w:rPr>
          <w:color w:val="000000"/>
          <w:sz w:val="22"/>
          <w:szCs w:val="22"/>
          <w:lang w:val="da-DK"/>
        </w:rPr>
      </w:pPr>
    </w:p>
    <w:p w14:paraId="7FB4B22B" w14:textId="77777777" w:rsidR="00B023D7" w:rsidRPr="007F2E31" w:rsidRDefault="00B023D7" w:rsidP="00421681">
      <w:pPr>
        <w:keepNext/>
        <w:textAlignment w:val="top"/>
        <w:rPr>
          <w:color w:val="000000"/>
          <w:sz w:val="22"/>
          <w:szCs w:val="22"/>
          <w:u w:val="single"/>
          <w:lang w:val="da-DK"/>
        </w:rPr>
      </w:pPr>
      <w:r w:rsidRPr="007F2E31">
        <w:rPr>
          <w:color w:val="000000"/>
          <w:sz w:val="22"/>
          <w:szCs w:val="22"/>
          <w:u w:val="single"/>
          <w:lang w:val="da-DK"/>
        </w:rPr>
        <w:t>Reaktivering af hepatitis B</w:t>
      </w:r>
    </w:p>
    <w:p w14:paraId="52240A97" w14:textId="77777777" w:rsidR="00B023D7" w:rsidRDefault="00B023D7" w:rsidP="00421681">
      <w:pPr>
        <w:textAlignment w:val="top"/>
        <w:rPr>
          <w:color w:val="000000"/>
          <w:sz w:val="22"/>
          <w:szCs w:val="22"/>
          <w:lang w:val="da-DK"/>
        </w:rPr>
      </w:pPr>
      <w:r w:rsidRPr="00B023D7">
        <w:rPr>
          <w:color w:val="000000"/>
          <w:sz w:val="22"/>
          <w:szCs w:val="22"/>
          <w:lang w:val="da-DK"/>
        </w:rPr>
        <w:t>Reaktivering af hepatitis B er forekommet hos kroniske bærere af hepatitis B-virus (HBV), efter at patienten har fået en BCR-ABL-tyrosinkinasehæmmer. I nogle tilfælde har dette medført akut leversvigt eller fulminant hepatitis, førende til levertransplantation eller død.</w:t>
      </w:r>
    </w:p>
    <w:p w14:paraId="4BB71D25" w14:textId="77777777" w:rsidR="00B023D7" w:rsidRPr="00B023D7" w:rsidRDefault="00B023D7" w:rsidP="00421681">
      <w:pPr>
        <w:textAlignment w:val="top"/>
        <w:rPr>
          <w:color w:val="000000"/>
          <w:sz w:val="22"/>
          <w:szCs w:val="22"/>
          <w:lang w:val="da-DK"/>
        </w:rPr>
      </w:pPr>
    </w:p>
    <w:p w14:paraId="4AE5E98F" w14:textId="77777777" w:rsidR="006C2D99" w:rsidRPr="004C2A59" w:rsidRDefault="00B023D7" w:rsidP="00421681">
      <w:pPr>
        <w:textAlignment w:val="top"/>
        <w:rPr>
          <w:color w:val="000000"/>
          <w:sz w:val="22"/>
          <w:szCs w:val="22"/>
          <w:lang w:val="da-DK"/>
        </w:rPr>
      </w:pPr>
      <w:r w:rsidRPr="00B023D7">
        <w:rPr>
          <w:color w:val="000000"/>
          <w:sz w:val="22"/>
          <w:szCs w:val="22"/>
          <w:lang w:val="da-DK"/>
        </w:rPr>
        <w:t>Patienten bør testes for HBV-infektion før initiering af beha</w:t>
      </w:r>
      <w:r>
        <w:rPr>
          <w:color w:val="000000"/>
          <w:sz w:val="22"/>
          <w:szCs w:val="22"/>
          <w:lang w:val="da-DK"/>
        </w:rPr>
        <w:t>ndling med Glivec</w:t>
      </w:r>
      <w:r w:rsidRPr="00B023D7">
        <w:rPr>
          <w:color w:val="000000"/>
          <w:sz w:val="22"/>
          <w:szCs w:val="22"/>
          <w:lang w:val="da-DK"/>
        </w:rPr>
        <w:t>. En specialist i leversygdomme og i behandling af hepatitis B skal konsulteres, før behandling initieres hos patienter med positiv hepatitis B-serologi (herunder patienter med aktiv sygdom), og hvis patienten testes HBV-positiv under behandlingen. Bærere af HBV, hvor beha</w:t>
      </w:r>
      <w:r>
        <w:rPr>
          <w:color w:val="000000"/>
          <w:sz w:val="22"/>
          <w:szCs w:val="22"/>
          <w:lang w:val="da-DK"/>
        </w:rPr>
        <w:t>ndling med Glivec</w:t>
      </w:r>
      <w:r w:rsidRPr="00B023D7">
        <w:rPr>
          <w:color w:val="000000"/>
          <w:sz w:val="22"/>
          <w:szCs w:val="22"/>
          <w:lang w:val="da-DK"/>
        </w:rPr>
        <w:t xml:space="preserve"> er nødvendig, skal overvåges tæt for tegn og symptomer på aktiv HBV-infektion i hele behandlingsperioden og i flere måneder efter behandling</w:t>
      </w:r>
      <w:r w:rsidR="00636691">
        <w:rPr>
          <w:color w:val="000000"/>
          <w:sz w:val="22"/>
          <w:szCs w:val="22"/>
          <w:lang w:val="da-DK"/>
        </w:rPr>
        <w:t>sophør (se pkt. </w:t>
      </w:r>
      <w:r w:rsidRPr="00B023D7">
        <w:rPr>
          <w:color w:val="000000"/>
          <w:sz w:val="22"/>
          <w:szCs w:val="22"/>
          <w:lang w:val="da-DK"/>
        </w:rPr>
        <w:t>4.8).</w:t>
      </w:r>
    </w:p>
    <w:p w14:paraId="713DF9F9" w14:textId="77777777" w:rsidR="00270C5A" w:rsidRPr="004C2A59" w:rsidRDefault="00270C5A" w:rsidP="00421681">
      <w:pPr>
        <w:widowControl w:val="0"/>
        <w:rPr>
          <w:color w:val="000000"/>
          <w:sz w:val="22"/>
          <w:szCs w:val="22"/>
          <w:lang w:val="da-DK"/>
        </w:rPr>
      </w:pPr>
    </w:p>
    <w:p w14:paraId="71ABBC4A" w14:textId="77777777" w:rsidR="00BF27C2" w:rsidRDefault="00BF27C2" w:rsidP="00421681">
      <w:pPr>
        <w:keepNext/>
        <w:widowControl w:val="0"/>
        <w:rPr>
          <w:color w:val="000000"/>
          <w:sz w:val="22"/>
          <w:szCs w:val="22"/>
          <w:u w:val="single"/>
          <w:lang w:val="da-DK"/>
        </w:rPr>
      </w:pPr>
      <w:r>
        <w:rPr>
          <w:color w:val="000000"/>
          <w:sz w:val="22"/>
          <w:szCs w:val="22"/>
          <w:u w:val="single"/>
          <w:lang w:val="da-DK"/>
        </w:rPr>
        <w:t>Fototoksicitet</w:t>
      </w:r>
    </w:p>
    <w:p w14:paraId="64636661" w14:textId="77777777" w:rsidR="00BF27C2" w:rsidRDefault="00BF27C2" w:rsidP="00421681">
      <w:pPr>
        <w:widowControl w:val="0"/>
        <w:rPr>
          <w:color w:val="000000"/>
          <w:sz w:val="22"/>
          <w:szCs w:val="22"/>
          <w:lang w:val="da-DK"/>
        </w:rPr>
      </w:pPr>
      <w:r>
        <w:rPr>
          <w:color w:val="000000"/>
          <w:sz w:val="22"/>
          <w:szCs w:val="22"/>
          <w:lang w:val="da-DK"/>
        </w:rPr>
        <w:t xml:space="preserve">Eksponering for direkte sollys bør undgås eller minimeres på grund af risikoen for fototoksicitet, der er forbundet med behandling med imatinib. Patienter bør instrueres i at </w:t>
      </w:r>
      <w:r w:rsidR="0061038A" w:rsidRPr="00666E70">
        <w:rPr>
          <w:color w:val="000000"/>
          <w:sz w:val="22"/>
          <w:szCs w:val="22"/>
          <w:lang w:val="da-DK"/>
        </w:rPr>
        <w:t>tage forholdsregler</w:t>
      </w:r>
      <w:r w:rsidR="00A664B7" w:rsidRPr="00666E70">
        <w:rPr>
          <w:color w:val="000000"/>
          <w:sz w:val="22"/>
          <w:szCs w:val="22"/>
          <w:lang w:val="da-DK"/>
        </w:rPr>
        <w:t xml:space="preserve"> </w:t>
      </w:r>
      <w:r w:rsidR="00C744A4" w:rsidRPr="00666E70">
        <w:rPr>
          <w:color w:val="000000"/>
          <w:sz w:val="22"/>
          <w:szCs w:val="22"/>
          <w:lang w:val="da-DK"/>
        </w:rPr>
        <w:t>såsom</w:t>
      </w:r>
      <w:r w:rsidR="0061038A" w:rsidRPr="00666E70">
        <w:rPr>
          <w:color w:val="000000"/>
          <w:sz w:val="22"/>
          <w:szCs w:val="22"/>
          <w:lang w:val="da-DK"/>
        </w:rPr>
        <w:t xml:space="preserve"> </w:t>
      </w:r>
      <w:r w:rsidRPr="00666E70">
        <w:rPr>
          <w:color w:val="000000"/>
          <w:sz w:val="22"/>
          <w:szCs w:val="22"/>
          <w:lang w:val="da-DK"/>
        </w:rPr>
        <w:t xml:space="preserve">at </w:t>
      </w:r>
      <w:r w:rsidR="00C744A4" w:rsidRPr="00666E70">
        <w:rPr>
          <w:color w:val="000000"/>
          <w:sz w:val="22"/>
          <w:szCs w:val="22"/>
          <w:lang w:val="da-DK"/>
        </w:rPr>
        <w:t>bære</w:t>
      </w:r>
      <w:r w:rsidRPr="00666E70">
        <w:rPr>
          <w:color w:val="000000"/>
          <w:sz w:val="22"/>
          <w:szCs w:val="22"/>
          <w:lang w:val="da-DK"/>
        </w:rPr>
        <w:t xml:space="preserve"> beskyttende tøj eller </w:t>
      </w:r>
      <w:r w:rsidR="00C744A4" w:rsidRPr="00666E70">
        <w:rPr>
          <w:color w:val="000000"/>
          <w:sz w:val="22"/>
          <w:szCs w:val="22"/>
          <w:lang w:val="da-DK"/>
        </w:rPr>
        <w:t xml:space="preserve">bruge </w:t>
      </w:r>
      <w:r w:rsidRPr="00666E70">
        <w:rPr>
          <w:color w:val="000000"/>
          <w:sz w:val="22"/>
          <w:szCs w:val="22"/>
          <w:lang w:val="da-DK"/>
        </w:rPr>
        <w:t>solcreme med en høj solbeskyttelsesfaktor (SPF).</w:t>
      </w:r>
    </w:p>
    <w:p w14:paraId="545B8F0C" w14:textId="77777777" w:rsidR="00BF27C2" w:rsidRDefault="00BF27C2" w:rsidP="00421681">
      <w:pPr>
        <w:widowControl w:val="0"/>
        <w:rPr>
          <w:color w:val="000000"/>
          <w:sz w:val="22"/>
          <w:szCs w:val="22"/>
          <w:lang w:val="da-DK"/>
        </w:rPr>
      </w:pPr>
    </w:p>
    <w:p w14:paraId="578BAA35" w14:textId="77777777" w:rsidR="00C557F9" w:rsidRDefault="00C557F9" w:rsidP="00421681">
      <w:pPr>
        <w:keepNext/>
        <w:widowControl w:val="0"/>
        <w:rPr>
          <w:color w:val="000000"/>
          <w:sz w:val="22"/>
          <w:szCs w:val="22"/>
          <w:u w:val="single"/>
          <w:lang w:val="da-DK"/>
        </w:rPr>
      </w:pPr>
      <w:r>
        <w:rPr>
          <w:color w:val="000000"/>
          <w:sz w:val="22"/>
          <w:szCs w:val="22"/>
          <w:u w:val="single"/>
          <w:lang w:val="da-DK"/>
        </w:rPr>
        <w:t>Trombotisk mikroangiopati</w:t>
      </w:r>
    </w:p>
    <w:p w14:paraId="240D8DD8" w14:textId="77777777" w:rsidR="00C557F9" w:rsidRDefault="00C557F9" w:rsidP="00421681">
      <w:pPr>
        <w:widowControl w:val="0"/>
        <w:rPr>
          <w:color w:val="000000"/>
          <w:sz w:val="22"/>
          <w:szCs w:val="22"/>
          <w:lang w:val="da-DK"/>
        </w:rPr>
      </w:pPr>
      <w:r w:rsidRPr="00B023D7">
        <w:rPr>
          <w:color w:val="000000"/>
          <w:sz w:val="22"/>
          <w:szCs w:val="22"/>
          <w:lang w:val="da-DK"/>
        </w:rPr>
        <w:t>BCR-ABL-tyrosinkinasehæmmer</w:t>
      </w:r>
      <w:r>
        <w:rPr>
          <w:color w:val="000000"/>
          <w:sz w:val="22"/>
          <w:szCs w:val="22"/>
          <w:lang w:val="da-DK"/>
        </w:rPr>
        <w:t>e (TKI</w:t>
      </w:r>
      <w:r w:rsidR="004543EE">
        <w:rPr>
          <w:color w:val="000000"/>
          <w:sz w:val="22"/>
          <w:szCs w:val="22"/>
          <w:lang w:val="da-DK"/>
        </w:rPr>
        <w:t>’er</w:t>
      </w:r>
      <w:r>
        <w:rPr>
          <w:color w:val="000000"/>
          <w:sz w:val="22"/>
          <w:szCs w:val="22"/>
          <w:lang w:val="da-DK"/>
        </w:rPr>
        <w:t xml:space="preserve">) er blevet associeret med trombotisk mikroangiopati (TMA), herunder enkeltstående rapporter for Glivec (se pkt. 4.8). </w:t>
      </w:r>
      <w:r w:rsidR="00570B80">
        <w:rPr>
          <w:color w:val="000000"/>
          <w:sz w:val="22"/>
          <w:szCs w:val="22"/>
          <w:lang w:val="da-DK"/>
        </w:rPr>
        <w:t>Hvis laboratorie</w:t>
      </w:r>
      <w:r w:rsidR="004543EE">
        <w:rPr>
          <w:color w:val="000000"/>
          <w:sz w:val="22"/>
          <w:szCs w:val="22"/>
          <w:lang w:val="da-DK"/>
        </w:rPr>
        <w:t>-</w:t>
      </w:r>
      <w:r w:rsidR="00570B80">
        <w:rPr>
          <w:color w:val="000000"/>
          <w:sz w:val="22"/>
          <w:szCs w:val="22"/>
          <w:lang w:val="da-DK"/>
        </w:rPr>
        <w:t xml:space="preserve"> eller kliniske fund associeret med TMA forekommer hos en patient, som er i behandling med Glivec, skal behandlingen seponeres og der skal foretages en grundig undersøgelse for TMA, inklusiv ADAMTS13-aktivitet og anti-ADAMTS13-antistofbestemmelse. Hvis niveauet af ADAMTS13-antistoffer er forøget samtidig med lav ADAMTS13-aktivitet, </w:t>
      </w:r>
      <w:r w:rsidR="007E7EE1">
        <w:rPr>
          <w:color w:val="000000"/>
          <w:sz w:val="22"/>
          <w:szCs w:val="22"/>
          <w:lang w:val="da-DK"/>
        </w:rPr>
        <w:t>må</w:t>
      </w:r>
      <w:r w:rsidR="00570B80">
        <w:rPr>
          <w:color w:val="000000"/>
          <w:sz w:val="22"/>
          <w:szCs w:val="22"/>
          <w:lang w:val="da-DK"/>
        </w:rPr>
        <w:t xml:space="preserve"> behandlingen med Glivec ikke genoptages.</w:t>
      </w:r>
    </w:p>
    <w:p w14:paraId="37076219" w14:textId="77777777" w:rsidR="00C557F9" w:rsidRPr="00C557F9" w:rsidRDefault="00C557F9" w:rsidP="00421681">
      <w:pPr>
        <w:widowControl w:val="0"/>
        <w:rPr>
          <w:color w:val="000000"/>
          <w:sz w:val="22"/>
          <w:szCs w:val="22"/>
          <w:lang w:val="da-DK"/>
        </w:rPr>
      </w:pPr>
    </w:p>
    <w:p w14:paraId="314B2FA0" w14:textId="77777777" w:rsidR="00270C5A" w:rsidRPr="004C2A59" w:rsidRDefault="00270C5A" w:rsidP="00421681">
      <w:pPr>
        <w:keepNext/>
        <w:widowControl w:val="0"/>
        <w:rPr>
          <w:color w:val="000000"/>
          <w:sz w:val="22"/>
          <w:szCs w:val="22"/>
          <w:u w:val="single"/>
          <w:lang w:val="da-DK"/>
        </w:rPr>
      </w:pPr>
      <w:r w:rsidRPr="004C2A59">
        <w:rPr>
          <w:color w:val="000000"/>
          <w:sz w:val="22"/>
          <w:szCs w:val="22"/>
          <w:u w:val="single"/>
          <w:lang w:val="da-DK"/>
        </w:rPr>
        <w:t>Laboratorieundersøgelser</w:t>
      </w:r>
    </w:p>
    <w:p w14:paraId="2C6EDF19" w14:textId="77777777" w:rsidR="00270C5A" w:rsidRPr="004C2A59" w:rsidRDefault="00270C5A" w:rsidP="00421681">
      <w:pPr>
        <w:widowControl w:val="0"/>
        <w:rPr>
          <w:color w:val="000000"/>
          <w:sz w:val="22"/>
          <w:szCs w:val="22"/>
          <w:lang w:val="da-DK"/>
        </w:rPr>
      </w:pPr>
      <w:r w:rsidRPr="004C2A59">
        <w:rPr>
          <w:color w:val="000000"/>
          <w:sz w:val="22"/>
          <w:szCs w:val="22"/>
          <w:lang w:val="da-DK"/>
        </w:rPr>
        <w:t>Fuldstændige blodtællinger skal foretages jævnligt under behandling med Glivec. Behandling af CML</w:t>
      </w:r>
      <w:r w:rsidR="001F2BF4" w:rsidRPr="004C2A59">
        <w:rPr>
          <w:color w:val="000000"/>
          <w:sz w:val="22"/>
          <w:szCs w:val="22"/>
          <w:lang w:val="da-DK"/>
        </w:rPr>
        <w:t>-</w:t>
      </w:r>
      <w:r w:rsidRPr="004C2A59">
        <w:rPr>
          <w:color w:val="000000"/>
          <w:sz w:val="22"/>
          <w:szCs w:val="22"/>
          <w:lang w:val="da-DK"/>
        </w:rPr>
        <w:t xml:space="preserve">patienter med Glivec har været associeret med neutropeni eller trombocytopeni. Disse cytopenier opstår imidlertid sandsynligvis relateret til det sygdomsstadie, der behandles, og er hyppigere hos patienter med CML i accelereret fase eller blastkrise end hos patienter med CML i kronisk fase. Behandling med Glivec kan seponeres eller dosis kan reduceres, som anbefalet i </w:t>
      </w:r>
      <w:r w:rsidR="003B2976" w:rsidRPr="004C2A59">
        <w:rPr>
          <w:color w:val="000000"/>
          <w:sz w:val="22"/>
          <w:szCs w:val="22"/>
          <w:lang w:val="da-DK"/>
        </w:rPr>
        <w:t>pkt.</w:t>
      </w:r>
      <w:r w:rsidRPr="004C2A59">
        <w:rPr>
          <w:color w:val="000000"/>
          <w:sz w:val="22"/>
          <w:szCs w:val="22"/>
          <w:lang w:val="da-DK"/>
        </w:rPr>
        <w:t xml:space="preserve"> 4.2.</w:t>
      </w:r>
    </w:p>
    <w:p w14:paraId="347190FC" w14:textId="77777777" w:rsidR="00270C5A" w:rsidRPr="004C2A59" w:rsidRDefault="00270C5A" w:rsidP="00421681">
      <w:pPr>
        <w:widowControl w:val="0"/>
        <w:rPr>
          <w:color w:val="000000"/>
          <w:sz w:val="22"/>
          <w:szCs w:val="22"/>
          <w:lang w:val="da-DK"/>
        </w:rPr>
      </w:pPr>
    </w:p>
    <w:p w14:paraId="03D3D14B" w14:textId="77777777" w:rsidR="008674D0" w:rsidRPr="004C2A59" w:rsidRDefault="00270C5A" w:rsidP="00421681">
      <w:pPr>
        <w:widowControl w:val="0"/>
        <w:rPr>
          <w:color w:val="000000"/>
          <w:sz w:val="22"/>
          <w:szCs w:val="22"/>
          <w:lang w:val="da-DK"/>
        </w:rPr>
      </w:pPr>
      <w:r w:rsidRPr="004C2A59">
        <w:rPr>
          <w:color w:val="000000"/>
          <w:sz w:val="22"/>
          <w:szCs w:val="22"/>
          <w:lang w:val="da-DK"/>
        </w:rPr>
        <w:t xml:space="preserve">Leverfunktionen (transaminaser, bilirubin og alkalisk fosfatase) bør monitoreres jævnligt hos patienter </w:t>
      </w:r>
      <w:r w:rsidRPr="004C2A59">
        <w:rPr>
          <w:color w:val="000000"/>
          <w:sz w:val="22"/>
          <w:szCs w:val="22"/>
          <w:lang w:val="da-DK"/>
        </w:rPr>
        <w:lastRenderedPageBreak/>
        <w:t>i Glivec-behandling.</w:t>
      </w:r>
    </w:p>
    <w:p w14:paraId="7010D122" w14:textId="77777777" w:rsidR="008674D0" w:rsidRPr="004C2A59" w:rsidRDefault="008674D0" w:rsidP="00421681">
      <w:pPr>
        <w:widowControl w:val="0"/>
        <w:rPr>
          <w:color w:val="000000"/>
          <w:sz w:val="22"/>
          <w:szCs w:val="22"/>
          <w:lang w:val="da-DK"/>
        </w:rPr>
      </w:pPr>
    </w:p>
    <w:p w14:paraId="5033E99B" w14:textId="77777777" w:rsidR="00610A3A" w:rsidRPr="004C2A59" w:rsidRDefault="00370740" w:rsidP="00421681">
      <w:pPr>
        <w:widowControl w:val="0"/>
        <w:rPr>
          <w:color w:val="000000"/>
          <w:sz w:val="22"/>
          <w:szCs w:val="22"/>
          <w:lang w:val="da-DK"/>
        </w:rPr>
      </w:pPr>
      <w:r w:rsidRPr="004C2A59">
        <w:rPr>
          <w:color w:val="000000"/>
          <w:sz w:val="22"/>
          <w:szCs w:val="22"/>
          <w:lang w:val="da-DK"/>
        </w:rPr>
        <w:t>Plasmaeksponeringen synes at være højere h</w:t>
      </w:r>
      <w:r w:rsidR="008774FE" w:rsidRPr="004C2A59">
        <w:rPr>
          <w:color w:val="000000"/>
          <w:sz w:val="22"/>
          <w:szCs w:val="22"/>
          <w:lang w:val="da-DK"/>
        </w:rPr>
        <w:t>os patienter med nedsat nyrefunktion end hos patienter med normal nyrefunktion, formentlig på grund af forhøjede plasmaniveauer af alpha</w:t>
      </w:r>
      <w:r w:rsidR="008774FE" w:rsidRPr="004C2A59">
        <w:rPr>
          <w:color w:val="000000"/>
          <w:sz w:val="22"/>
          <w:szCs w:val="22"/>
          <w:lang w:val="da-DK"/>
        </w:rPr>
        <w:noBreakHyphen/>
        <w:t xml:space="preserve">acid glucoprotein (AGP), et imatinib-bindende protein, hos </w:t>
      </w:r>
      <w:r w:rsidRPr="004C2A59">
        <w:rPr>
          <w:color w:val="000000"/>
          <w:sz w:val="22"/>
          <w:szCs w:val="22"/>
          <w:lang w:val="da-DK"/>
        </w:rPr>
        <w:t xml:space="preserve">disse </w:t>
      </w:r>
      <w:r w:rsidR="008774FE" w:rsidRPr="004C2A59">
        <w:rPr>
          <w:color w:val="000000"/>
          <w:sz w:val="22"/>
          <w:szCs w:val="22"/>
          <w:lang w:val="da-DK"/>
        </w:rPr>
        <w:t xml:space="preserve">patienter. </w:t>
      </w:r>
      <w:r w:rsidRPr="004C2A59">
        <w:rPr>
          <w:color w:val="000000"/>
          <w:sz w:val="22"/>
          <w:szCs w:val="22"/>
          <w:lang w:val="da-DK"/>
        </w:rPr>
        <w:t>Der bør anvendes mindste startdosis til patienter med nedsat nyrefunktion</w:t>
      </w:r>
      <w:r w:rsidR="008774FE" w:rsidRPr="004C2A59">
        <w:rPr>
          <w:color w:val="000000"/>
          <w:sz w:val="22"/>
          <w:szCs w:val="22"/>
          <w:lang w:val="da-DK"/>
        </w:rPr>
        <w:t xml:space="preserve">. </w:t>
      </w:r>
      <w:r w:rsidRPr="004C2A59">
        <w:rPr>
          <w:color w:val="000000"/>
          <w:sz w:val="22"/>
          <w:szCs w:val="22"/>
          <w:lang w:val="da-DK"/>
        </w:rPr>
        <w:t xml:space="preserve">Der bør </w:t>
      </w:r>
      <w:r w:rsidR="00E576AF" w:rsidRPr="004C2A59">
        <w:rPr>
          <w:color w:val="000000"/>
          <w:sz w:val="22"/>
          <w:szCs w:val="22"/>
          <w:lang w:val="da-DK"/>
        </w:rPr>
        <w:t>udvise</w:t>
      </w:r>
      <w:r w:rsidRPr="004C2A59">
        <w:rPr>
          <w:color w:val="000000"/>
          <w:sz w:val="22"/>
          <w:szCs w:val="22"/>
          <w:lang w:val="da-DK"/>
        </w:rPr>
        <w:t xml:space="preserve">s forsigtighed ved behandling af patienter med svært nedsat nyrefunktion. </w:t>
      </w:r>
      <w:r w:rsidR="008774FE" w:rsidRPr="004C2A59">
        <w:rPr>
          <w:color w:val="000000"/>
          <w:sz w:val="22"/>
          <w:szCs w:val="22"/>
          <w:lang w:val="da-DK"/>
        </w:rPr>
        <w:t>Startdoseringen af imatinib kan reduceres</w:t>
      </w:r>
      <w:r w:rsidRPr="004C2A59">
        <w:rPr>
          <w:color w:val="000000"/>
          <w:sz w:val="22"/>
          <w:szCs w:val="22"/>
          <w:lang w:val="da-DK"/>
        </w:rPr>
        <w:t>,</w:t>
      </w:r>
      <w:r w:rsidR="008774FE" w:rsidRPr="004C2A59">
        <w:rPr>
          <w:color w:val="000000"/>
          <w:sz w:val="22"/>
          <w:szCs w:val="22"/>
          <w:lang w:val="da-DK"/>
        </w:rPr>
        <w:t xml:space="preserve"> hvis den ikke tolereres </w:t>
      </w:r>
      <w:r w:rsidRPr="004C2A59">
        <w:rPr>
          <w:color w:val="000000"/>
          <w:sz w:val="22"/>
          <w:szCs w:val="22"/>
          <w:lang w:val="da-DK"/>
        </w:rPr>
        <w:t xml:space="preserve">(se </w:t>
      </w:r>
      <w:r w:rsidR="008774FE" w:rsidRPr="004C2A59">
        <w:rPr>
          <w:color w:val="000000"/>
          <w:sz w:val="22"/>
          <w:szCs w:val="22"/>
          <w:lang w:val="da-DK"/>
        </w:rPr>
        <w:t>pkt. 4.2</w:t>
      </w:r>
      <w:r w:rsidRPr="004C2A59">
        <w:rPr>
          <w:color w:val="000000"/>
          <w:sz w:val="22"/>
          <w:szCs w:val="22"/>
          <w:lang w:val="da-DK"/>
        </w:rPr>
        <w:t xml:space="preserve"> og 5.2)</w:t>
      </w:r>
      <w:r w:rsidR="008774FE" w:rsidRPr="004C2A59">
        <w:rPr>
          <w:color w:val="000000"/>
          <w:sz w:val="22"/>
          <w:szCs w:val="22"/>
          <w:lang w:val="da-DK"/>
        </w:rPr>
        <w:t>.</w:t>
      </w:r>
    </w:p>
    <w:p w14:paraId="7295BAA5" w14:textId="77777777" w:rsidR="00270C5A" w:rsidRDefault="00270C5A" w:rsidP="00421681">
      <w:pPr>
        <w:widowControl w:val="0"/>
        <w:rPr>
          <w:color w:val="000000"/>
          <w:sz w:val="22"/>
          <w:szCs w:val="22"/>
          <w:lang w:val="da-DK"/>
        </w:rPr>
      </w:pPr>
    </w:p>
    <w:p w14:paraId="752635E3" w14:textId="77777777" w:rsidR="000957E5" w:rsidRDefault="000957E5" w:rsidP="00421681">
      <w:pPr>
        <w:widowControl w:val="0"/>
        <w:rPr>
          <w:color w:val="000000"/>
          <w:sz w:val="22"/>
          <w:szCs w:val="22"/>
          <w:lang w:val="da-DK"/>
        </w:rPr>
      </w:pPr>
      <w:r w:rsidRPr="00556F07">
        <w:rPr>
          <w:color w:val="000000"/>
          <w:sz w:val="22"/>
          <w:szCs w:val="22"/>
          <w:lang w:val="da-DK"/>
        </w:rPr>
        <w:t xml:space="preserve">Langtidsbehandling med imatinib kan være forbundet med en klinisk signifikant nedsættelse af nyrefunktionen. Nyrefunktionen bør derfor vurderes før behandlingsstart med imatinib og monitoreres </w:t>
      </w:r>
      <w:r w:rsidR="004A0CA4" w:rsidRPr="00556F07">
        <w:rPr>
          <w:color w:val="000000"/>
          <w:sz w:val="22"/>
          <w:szCs w:val="22"/>
          <w:lang w:val="da-DK"/>
        </w:rPr>
        <w:t xml:space="preserve">omhyggeligt </w:t>
      </w:r>
      <w:r w:rsidRPr="00556F07">
        <w:rPr>
          <w:color w:val="000000"/>
          <w:sz w:val="22"/>
          <w:szCs w:val="22"/>
          <w:lang w:val="da-DK"/>
        </w:rPr>
        <w:t>under behandlingen med særligt fok</w:t>
      </w:r>
      <w:r w:rsidR="003770BC" w:rsidRPr="00556F07">
        <w:rPr>
          <w:color w:val="000000"/>
          <w:sz w:val="22"/>
          <w:szCs w:val="22"/>
          <w:lang w:val="da-DK"/>
        </w:rPr>
        <w:t>u</w:t>
      </w:r>
      <w:r w:rsidRPr="00556F07">
        <w:rPr>
          <w:color w:val="000000"/>
          <w:sz w:val="22"/>
          <w:szCs w:val="22"/>
          <w:lang w:val="da-DK"/>
        </w:rPr>
        <w:t>s på patienter</w:t>
      </w:r>
      <w:r w:rsidR="006A233E" w:rsidRPr="00556F07">
        <w:rPr>
          <w:color w:val="000000"/>
          <w:sz w:val="22"/>
          <w:szCs w:val="22"/>
          <w:lang w:val="da-DK"/>
        </w:rPr>
        <w:t xml:space="preserve">, der </w:t>
      </w:r>
      <w:r w:rsidR="003770BC" w:rsidRPr="00556F07">
        <w:rPr>
          <w:color w:val="000000"/>
          <w:sz w:val="22"/>
          <w:szCs w:val="22"/>
          <w:lang w:val="da-DK"/>
        </w:rPr>
        <w:t>har</w:t>
      </w:r>
      <w:r w:rsidR="006A233E" w:rsidRPr="00556F07">
        <w:rPr>
          <w:color w:val="000000"/>
          <w:sz w:val="22"/>
          <w:szCs w:val="22"/>
          <w:lang w:val="da-DK"/>
        </w:rPr>
        <w:t xml:space="preserve"> risiko</w:t>
      </w:r>
      <w:r w:rsidR="003770BC" w:rsidRPr="00556F07">
        <w:rPr>
          <w:color w:val="000000"/>
          <w:sz w:val="22"/>
          <w:szCs w:val="22"/>
          <w:lang w:val="da-DK"/>
        </w:rPr>
        <w:t>faktorer</w:t>
      </w:r>
      <w:r w:rsidR="006A233E" w:rsidRPr="00556F07">
        <w:rPr>
          <w:color w:val="000000"/>
          <w:sz w:val="22"/>
          <w:szCs w:val="22"/>
          <w:lang w:val="da-DK"/>
        </w:rPr>
        <w:t xml:space="preserve"> for nedsat nyrefunktion. Hvis </w:t>
      </w:r>
      <w:r w:rsidR="003770BC" w:rsidRPr="00556F07">
        <w:rPr>
          <w:color w:val="000000"/>
          <w:sz w:val="22"/>
          <w:szCs w:val="22"/>
          <w:lang w:val="da-DK"/>
        </w:rPr>
        <w:t>nedsat nyrefunktion</w:t>
      </w:r>
      <w:r w:rsidR="006A233E" w:rsidRPr="00556F07">
        <w:rPr>
          <w:color w:val="000000"/>
          <w:sz w:val="22"/>
          <w:szCs w:val="22"/>
          <w:lang w:val="da-DK"/>
        </w:rPr>
        <w:t xml:space="preserve"> observeres</w:t>
      </w:r>
      <w:r w:rsidR="00260AA8" w:rsidRPr="00556F07">
        <w:rPr>
          <w:color w:val="000000"/>
          <w:sz w:val="22"/>
          <w:szCs w:val="22"/>
          <w:lang w:val="da-DK"/>
        </w:rPr>
        <w:t>,</w:t>
      </w:r>
      <w:r w:rsidR="006A233E" w:rsidRPr="00556F07">
        <w:rPr>
          <w:color w:val="000000"/>
          <w:sz w:val="22"/>
          <w:szCs w:val="22"/>
          <w:lang w:val="da-DK"/>
        </w:rPr>
        <w:t xml:space="preserve"> skal </w:t>
      </w:r>
      <w:r w:rsidR="003770BC" w:rsidRPr="00556F07">
        <w:rPr>
          <w:color w:val="000000"/>
          <w:sz w:val="22"/>
          <w:szCs w:val="22"/>
          <w:lang w:val="da-DK"/>
        </w:rPr>
        <w:t>passende håndtering og</w:t>
      </w:r>
      <w:r w:rsidR="006A233E" w:rsidRPr="00556F07">
        <w:rPr>
          <w:color w:val="000000"/>
          <w:sz w:val="22"/>
          <w:szCs w:val="22"/>
          <w:lang w:val="da-DK"/>
        </w:rPr>
        <w:t xml:space="preserve"> behandling i overensstemmelse med standard behandlingsguidelines</w:t>
      </w:r>
      <w:r w:rsidR="003770BC" w:rsidRPr="00556F07">
        <w:rPr>
          <w:color w:val="000000"/>
          <w:sz w:val="22"/>
          <w:szCs w:val="22"/>
          <w:lang w:val="da-DK"/>
        </w:rPr>
        <w:t xml:space="preserve"> iværksættes</w:t>
      </w:r>
      <w:r w:rsidR="006A233E" w:rsidRPr="00556F07">
        <w:rPr>
          <w:color w:val="000000"/>
          <w:sz w:val="22"/>
          <w:szCs w:val="22"/>
          <w:lang w:val="da-DK"/>
        </w:rPr>
        <w:t>.</w:t>
      </w:r>
    </w:p>
    <w:p w14:paraId="55EE3FAC" w14:textId="77777777" w:rsidR="006A233E" w:rsidRPr="004C2A59" w:rsidRDefault="006A233E" w:rsidP="00421681">
      <w:pPr>
        <w:widowControl w:val="0"/>
        <w:rPr>
          <w:color w:val="000000"/>
          <w:sz w:val="22"/>
          <w:szCs w:val="22"/>
          <w:lang w:val="da-DK"/>
        </w:rPr>
      </w:pPr>
    </w:p>
    <w:p w14:paraId="300D8D37" w14:textId="77777777" w:rsidR="00EF7B53" w:rsidRPr="004C2A59" w:rsidRDefault="00EF7B53" w:rsidP="00421681">
      <w:pPr>
        <w:keepNext/>
        <w:widowControl w:val="0"/>
        <w:rPr>
          <w:color w:val="000000"/>
          <w:sz w:val="22"/>
          <w:szCs w:val="22"/>
          <w:u w:val="single"/>
          <w:lang w:val="da-DK"/>
        </w:rPr>
      </w:pPr>
      <w:r w:rsidRPr="004C2A59">
        <w:rPr>
          <w:color w:val="000000"/>
          <w:sz w:val="22"/>
          <w:szCs w:val="22"/>
          <w:u w:val="single"/>
          <w:lang w:val="da-DK"/>
        </w:rPr>
        <w:t>Pædiatrisk population</w:t>
      </w:r>
    </w:p>
    <w:p w14:paraId="12EF47C2" w14:textId="77777777" w:rsidR="00E60BFC" w:rsidRPr="004C2A59" w:rsidRDefault="00A71221" w:rsidP="00421681">
      <w:pPr>
        <w:widowControl w:val="0"/>
        <w:rPr>
          <w:color w:val="000000"/>
          <w:sz w:val="22"/>
          <w:szCs w:val="22"/>
          <w:lang w:val="da-DK"/>
        </w:rPr>
      </w:pPr>
      <w:r w:rsidRPr="004C2A59">
        <w:rPr>
          <w:color w:val="000000"/>
          <w:sz w:val="22"/>
          <w:szCs w:val="22"/>
          <w:lang w:val="da-DK"/>
        </w:rPr>
        <w:t xml:space="preserve">Der har været </w:t>
      </w:r>
      <w:r w:rsidR="00874A75" w:rsidRPr="004C2A59">
        <w:rPr>
          <w:i/>
          <w:color w:val="000000"/>
          <w:sz w:val="22"/>
          <w:szCs w:val="22"/>
          <w:lang w:val="da-DK"/>
        </w:rPr>
        <w:t>case</w:t>
      </w:r>
      <w:r w:rsidR="00874A75" w:rsidRPr="004C2A59">
        <w:rPr>
          <w:color w:val="000000"/>
          <w:sz w:val="22"/>
          <w:szCs w:val="22"/>
          <w:lang w:val="da-DK"/>
        </w:rPr>
        <w:t>-</w:t>
      </w:r>
      <w:r w:rsidRPr="004C2A59">
        <w:rPr>
          <w:color w:val="000000"/>
          <w:sz w:val="22"/>
          <w:szCs w:val="22"/>
          <w:lang w:val="da-DK"/>
        </w:rPr>
        <w:t xml:space="preserve">rapporter med væksthæmning hos børn og </w:t>
      </w:r>
      <w:r w:rsidR="00E2196D" w:rsidRPr="004C2A59">
        <w:rPr>
          <w:color w:val="000000"/>
          <w:sz w:val="22"/>
          <w:szCs w:val="22"/>
          <w:lang w:val="da-DK"/>
        </w:rPr>
        <w:t>præ-teenagere</w:t>
      </w:r>
      <w:r w:rsidRPr="004C2A59">
        <w:rPr>
          <w:color w:val="000000"/>
          <w:sz w:val="22"/>
          <w:szCs w:val="22"/>
          <w:lang w:val="da-DK"/>
        </w:rPr>
        <w:t xml:space="preserve">, der </w:t>
      </w:r>
      <w:r w:rsidR="00E2196D" w:rsidRPr="004C2A59">
        <w:rPr>
          <w:color w:val="000000"/>
          <w:sz w:val="22"/>
          <w:szCs w:val="22"/>
          <w:lang w:val="da-DK"/>
        </w:rPr>
        <w:t>fik</w:t>
      </w:r>
      <w:r w:rsidRPr="004C2A59">
        <w:rPr>
          <w:color w:val="000000"/>
          <w:sz w:val="22"/>
          <w:szCs w:val="22"/>
          <w:lang w:val="da-DK"/>
        </w:rPr>
        <w:t xml:space="preserve"> imatinib.</w:t>
      </w:r>
      <w:r w:rsidR="0052306C">
        <w:rPr>
          <w:color w:val="000000"/>
          <w:sz w:val="22"/>
          <w:szCs w:val="22"/>
          <w:lang w:val="da-DK"/>
        </w:rPr>
        <w:t xml:space="preserve"> </w:t>
      </w:r>
      <w:r w:rsidR="0052306C" w:rsidRPr="00B57867">
        <w:rPr>
          <w:color w:val="000000"/>
          <w:sz w:val="22"/>
          <w:szCs w:val="22"/>
          <w:lang w:val="da-DK"/>
        </w:rPr>
        <w:t>I e</w:t>
      </w:r>
      <w:r w:rsidR="00AB6B5C">
        <w:rPr>
          <w:color w:val="000000"/>
          <w:sz w:val="22"/>
          <w:szCs w:val="22"/>
          <w:lang w:val="da-DK"/>
        </w:rPr>
        <w:t>t</w:t>
      </w:r>
      <w:r w:rsidR="0052306C" w:rsidRPr="00B57867">
        <w:rPr>
          <w:color w:val="000000"/>
          <w:sz w:val="22"/>
          <w:szCs w:val="22"/>
          <w:lang w:val="da-DK"/>
        </w:rPr>
        <w:t xml:space="preserve"> observationsstudie i </w:t>
      </w:r>
      <w:r w:rsidR="00AB6B5C">
        <w:rPr>
          <w:color w:val="000000"/>
          <w:sz w:val="22"/>
          <w:szCs w:val="22"/>
          <w:lang w:val="da-DK"/>
        </w:rPr>
        <w:t xml:space="preserve">den </w:t>
      </w:r>
      <w:r w:rsidR="0052306C" w:rsidRPr="00B57867">
        <w:rPr>
          <w:color w:val="000000"/>
          <w:sz w:val="22"/>
          <w:szCs w:val="22"/>
          <w:lang w:val="da-DK"/>
        </w:rPr>
        <w:t>pædiatriske population</w:t>
      </w:r>
      <w:r w:rsidR="00AB6B5C">
        <w:rPr>
          <w:color w:val="000000"/>
          <w:sz w:val="22"/>
          <w:szCs w:val="22"/>
          <w:lang w:val="da-DK"/>
        </w:rPr>
        <w:t xml:space="preserve"> med CML blev </w:t>
      </w:r>
      <w:r w:rsidR="003B407B">
        <w:rPr>
          <w:color w:val="000000"/>
          <w:sz w:val="22"/>
          <w:szCs w:val="22"/>
          <w:lang w:val="da-DK"/>
        </w:rPr>
        <w:t xml:space="preserve">der rapporteret </w:t>
      </w:r>
      <w:r w:rsidR="00435CC3">
        <w:rPr>
          <w:color w:val="000000"/>
          <w:sz w:val="22"/>
          <w:szCs w:val="22"/>
          <w:lang w:val="da-DK"/>
        </w:rPr>
        <w:t>et statistisk signifikant fald (men med usikker klinisk relevans)</w:t>
      </w:r>
      <w:r w:rsidR="0052306C" w:rsidRPr="00B57867">
        <w:rPr>
          <w:color w:val="000000"/>
          <w:sz w:val="22"/>
          <w:szCs w:val="22"/>
          <w:lang w:val="da-DK"/>
        </w:rPr>
        <w:t xml:space="preserve"> i </w:t>
      </w:r>
      <w:r w:rsidR="003123EF">
        <w:rPr>
          <w:color w:val="000000"/>
          <w:sz w:val="22"/>
          <w:szCs w:val="22"/>
          <w:lang w:val="da-DK"/>
        </w:rPr>
        <w:t xml:space="preserve">resultaterne for </w:t>
      </w:r>
      <w:r w:rsidR="003123EF" w:rsidRPr="00AE55FE">
        <w:rPr>
          <w:color w:val="000000"/>
          <w:sz w:val="22"/>
          <w:szCs w:val="22"/>
          <w:lang w:val="da-DK"/>
        </w:rPr>
        <w:t>standardafvigelse</w:t>
      </w:r>
      <w:r w:rsidR="003123EF">
        <w:rPr>
          <w:color w:val="000000"/>
          <w:sz w:val="22"/>
          <w:szCs w:val="22"/>
          <w:lang w:val="da-DK"/>
        </w:rPr>
        <w:t xml:space="preserve"> af </w:t>
      </w:r>
      <w:r w:rsidR="0052306C" w:rsidRPr="00B57867">
        <w:rPr>
          <w:color w:val="000000"/>
          <w:sz w:val="22"/>
          <w:szCs w:val="22"/>
          <w:lang w:val="da-DK"/>
        </w:rPr>
        <w:t>medianhøjde</w:t>
      </w:r>
      <w:r w:rsidR="006378AC">
        <w:rPr>
          <w:color w:val="000000"/>
          <w:sz w:val="22"/>
          <w:szCs w:val="22"/>
          <w:lang w:val="da-DK"/>
        </w:rPr>
        <w:t xml:space="preserve"> </w:t>
      </w:r>
      <w:r w:rsidR="0052306C" w:rsidRPr="00B57867">
        <w:rPr>
          <w:color w:val="000000"/>
          <w:sz w:val="22"/>
          <w:szCs w:val="22"/>
          <w:lang w:val="da-DK"/>
        </w:rPr>
        <w:t>efter 12 og 24</w:t>
      </w:r>
      <w:r w:rsidR="00B57867">
        <w:rPr>
          <w:color w:val="000000"/>
          <w:sz w:val="22"/>
          <w:szCs w:val="22"/>
          <w:lang w:val="da-DK"/>
        </w:rPr>
        <w:t> </w:t>
      </w:r>
      <w:r w:rsidR="0052306C" w:rsidRPr="00B57867">
        <w:rPr>
          <w:color w:val="000000"/>
          <w:sz w:val="22"/>
          <w:szCs w:val="22"/>
          <w:lang w:val="da-DK"/>
        </w:rPr>
        <w:t>måneders behandling i to små undergrupper</w:t>
      </w:r>
      <w:r w:rsidR="003B407B">
        <w:rPr>
          <w:color w:val="000000"/>
          <w:sz w:val="22"/>
          <w:szCs w:val="22"/>
          <w:lang w:val="da-DK"/>
        </w:rPr>
        <w:t>,</w:t>
      </w:r>
      <w:r w:rsidR="0052306C" w:rsidRPr="00B57867">
        <w:rPr>
          <w:color w:val="000000"/>
          <w:sz w:val="22"/>
          <w:szCs w:val="22"/>
          <w:lang w:val="da-DK"/>
        </w:rPr>
        <w:t xml:space="preserve"> uanset pubertetsstatus</w:t>
      </w:r>
      <w:r w:rsidR="003123EF">
        <w:rPr>
          <w:color w:val="000000"/>
          <w:sz w:val="22"/>
          <w:szCs w:val="22"/>
          <w:lang w:val="da-DK"/>
        </w:rPr>
        <w:t xml:space="preserve"> og køn</w:t>
      </w:r>
      <w:r w:rsidR="0052306C">
        <w:rPr>
          <w:color w:val="000000"/>
          <w:sz w:val="22"/>
          <w:szCs w:val="22"/>
          <w:lang w:val="da-DK"/>
        </w:rPr>
        <w:t>.</w:t>
      </w:r>
      <w:r w:rsidR="0052306C" w:rsidRPr="00B57867">
        <w:rPr>
          <w:color w:val="000000"/>
          <w:sz w:val="22"/>
          <w:szCs w:val="22"/>
          <w:lang w:val="da-DK"/>
        </w:rPr>
        <w:t xml:space="preserve"> </w:t>
      </w:r>
      <w:r w:rsidR="0052306C">
        <w:rPr>
          <w:color w:val="000000"/>
          <w:sz w:val="22"/>
          <w:szCs w:val="22"/>
          <w:lang w:val="da-DK"/>
        </w:rPr>
        <w:t>H</w:t>
      </w:r>
      <w:r w:rsidRPr="004C2A59">
        <w:rPr>
          <w:color w:val="000000"/>
          <w:sz w:val="22"/>
          <w:szCs w:val="22"/>
          <w:lang w:val="da-DK"/>
        </w:rPr>
        <w:t>os børn, der er i behandling med imatinib</w:t>
      </w:r>
      <w:r w:rsidR="0052306C">
        <w:rPr>
          <w:color w:val="000000"/>
          <w:sz w:val="22"/>
          <w:szCs w:val="22"/>
          <w:lang w:val="da-DK"/>
        </w:rPr>
        <w:t xml:space="preserve">, anbefales tæt monitorering af væksten </w:t>
      </w:r>
      <w:r w:rsidRPr="004C2A59">
        <w:rPr>
          <w:color w:val="000000"/>
          <w:sz w:val="22"/>
          <w:szCs w:val="22"/>
          <w:lang w:val="da-DK"/>
        </w:rPr>
        <w:t>(se pkt.</w:t>
      </w:r>
      <w:r w:rsidR="002E435D">
        <w:rPr>
          <w:color w:val="000000"/>
          <w:sz w:val="22"/>
          <w:szCs w:val="22"/>
          <w:lang w:val="da-DK"/>
        </w:rPr>
        <w:t> </w:t>
      </w:r>
      <w:r w:rsidRPr="004C2A59">
        <w:rPr>
          <w:color w:val="000000"/>
          <w:sz w:val="22"/>
          <w:szCs w:val="22"/>
          <w:lang w:val="da-DK"/>
        </w:rPr>
        <w:t>4.8).</w:t>
      </w:r>
    </w:p>
    <w:p w14:paraId="00A0899D" w14:textId="77777777" w:rsidR="00E60BFC" w:rsidRPr="004C2A59" w:rsidRDefault="00E60BFC" w:rsidP="00421681">
      <w:pPr>
        <w:widowControl w:val="0"/>
        <w:rPr>
          <w:color w:val="000000"/>
          <w:sz w:val="22"/>
          <w:szCs w:val="22"/>
          <w:lang w:val="da-DK"/>
        </w:rPr>
      </w:pPr>
    </w:p>
    <w:p w14:paraId="29CBFEFD" w14:textId="77777777" w:rsidR="00270C5A" w:rsidRPr="004C2A59" w:rsidRDefault="00270C5A" w:rsidP="006C180B">
      <w:pPr>
        <w:keepNext/>
        <w:widowControl w:val="0"/>
        <w:suppressAutoHyphens/>
        <w:ind w:left="567" w:hanging="567"/>
        <w:rPr>
          <w:color w:val="000000"/>
          <w:sz w:val="22"/>
          <w:szCs w:val="22"/>
          <w:lang w:val="da-DK"/>
        </w:rPr>
      </w:pPr>
      <w:r w:rsidRPr="004C2A59">
        <w:rPr>
          <w:b/>
          <w:color w:val="000000"/>
          <w:sz w:val="22"/>
          <w:szCs w:val="22"/>
          <w:lang w:val="da-DK"/>
        </w:rPr>
        <w:t>4.5</w:t>
      </w:r>
      <w:r w:rsidRPr="004C2A59">
        <w:rPr>
          <w:b/>
          <w:color w:val="000000"/>
          <w:sz w:val="22"/>
          <w:szCs w:val="22"/>
          <w:lang w:val="da-DK"/>
        </w:rPr>
        <w:tab/>
        <w:t>Interaktion med andre lægemidler og andre former for interaktion</w:t>
      </w:r>
    </w:p>
    <w:p w14:paraId="1201F72C" w14:textId="77777777" w:rsidR="00270C5A" w:rsidRPr="004C2A59" w:rsidRDefault="00270C5A" w:rsidP="006C180B">
      <w:pPr>
        <w:keepNext/>
        <w:widowControl w:val="0"/>
        <w:suppressAutoHyphens/>
        <w:ind w:left="570" w:hanging="570"/>
        <w:rPr>
          <w:color w:val="000000"/>
          <w:sz w:val="22"/>
          <w:szCs w:val="22"/>
          <w:lang w:val="da-DK"/>
        </w:rPr>
      </w:pPr>
    </w:p>
    <w:p w14:paraId="707407FE" w14:textId="77777777" w:rsidR="00270C5A" w:rsidRPr="004C2A59" w:rsidRDefault="00C62FCA" w:rsidP="006C180B">
      <w:pPr>
        <w:keepNext/>
        <w:widowControl w:val="0"/>
        <w:suppressAutoHyphens/>
        <w:ind w:left="570" w:hanging="570"/>
        <w:rPr>
          <w:color w:val="000000"/>
          <w:sz w:val="22"/>
          <w:szCs w:val="22"/>
          <w:lang w:val="da-DK"/>
        </w:rPr>
      </w:pPr>
      <w:r w:rsidRPr="004C2A59">
        <w:rPr>
          <w:color w:val="000000"/>
          <w:sz w:val="22"/>
          <w:szCs w:val="22"/>
          <w:u w:val="single"/>
          <w:lang w:val="da-DK"/>
        </w:rPr>
        <w:t>Aktive s</w:t>
      </w:r>
      <w:r w:rsidR="00D16623" w:rsidRPr="004C2A59">
        <w:rPr>
          <w:color w:val="000000"/>
          <w:sz w:val="22"/>
          <w:szCs w:val="22"/>
          <w:u w:val="single"/>
          <w:lang w:val="da-DK"/>
        </w:rPr>
        <w:t>toffer</w:t>
      </w:r>
      <w:r w:rsidR="00FF0EE5" w:rsidRPr="004C2A59">
        <w:rPr>
          <w:color w:val="000000"/>
          <w:sz w:val="22"/>
          <w:szCs w:val="22"/>
          <w:u w:val="single"/>
          <w:lang w:val="da-DK"/>
        </w:rPr>
        <w:t>,</w:t>
      </w:r>
      <w:r w:rsidR="00270C5A" w:rsidRPr="004C2A59">
        <w:rPr>
          <w:color w:val="000000"/>
          <w:sz w:val="22"/>
          <w:szCs w:val="22"/>
          <w:u w:val="single"/>
          <w:lang w:val="da-DK"/>
        </w:rPr>
        <w:t xml:space="preserve"> der kan </w:t>
      </w:r>
      <w:r w:rsidR="00270C5A" w:rsidRPr="004C2A59">
        <w:rPr>
          <w:b/>
          <w:color w:val="000000"/>
          <w:sz w:val="22"/>
          <w:szCs w:val="22"/>
          <w:u w:val="single"/>
          <w:lang w:val="da-DK"/>
        </w:rPr>
        <w:t>øge</w:t>
      </w:r>
      <w:r w:rsidR="00270C5A" w:rsidRPr="004C2A59">
        <w:rPr>
          <w:color w:val="000000"/>
          <w:sz w:val="22"/>
          <w:szCs w:val="22"/>
          <w:u w:val="single"/>
          <w:lang w:val="da-DK"/>
        </w:rPr>
        <w:t xml:space="preserve"> plasmakoncentrationen af imatinib</w:t>
      </w:r>
    </w:p>
    <w:p w14:paraId="2E639BE4" w14:textId="77777777" w:rsidR="00270C5A" w:rsidRPr="004C2A59" w:rsidRDefault="00270C5A" w:rsidP="00421681">
      <w:pPr>
        <w:pStyle w:val="BodyText"/>
        <w:widowControl w:val="0"/>
        <w:tabs>
          <w:tab w:val="clear" w:pos="-993"/>
          <w:tab w:val="clear" w:pos="-720"/>
        </w:tabs>
        <w:jc w:val="left"/>
        <w:rPr>
          <w:b w:val="0"/>
          <w:noProof w:val="0"/>
          <w:color w:val="000000"/>
          <w:szCs w:val="22"/>
          <w:lang w:val="da-DK"/>
        </w:rPr>
      </w:pPr>
      <w:r w:rsidRPr="004C2A59">
        <w:rPr>
          <w:b w:val="0"/>
          <w:noProof w:val="0"/>
          <w:color w:val="000000"/>
          <w:szCs w:val="22"/>
          <w:lang w:val="da-DK"/>
        </w:rPr>
        <w:t>Stoffer</w:t>
      </w:r>
      <w:r w:rsidR="00786FAA" w:rsidRPr="004C2A59">
        <w:rPr>
          <w:b w:val="0"/>
          <w:noProof w:val="0"/>
          <w:color w:val="000000"/>
          <w:szCs w:val="22"/>
          <w:lang w:val="da-DK"/>
        </w:rPr>
        <w:t>,</w:t>
      </w:r>
      <w:r w:rsidRPr="004C2A59">
        <w:rPr>
          <w:b w:val="0"/>
          <w:noProof w:val="0"/>
          <w:color w:val="000000"/>
          <w:szCs w:val="22"/>
          <w:lang w:val="da-DK"/>
        </w:rPr>
        <w:t xml:space="preserve"> der hæmmer CYP3A4-aktivitet</w:t>
      </w:r>
      <w:r w:rsidR="00442CD6" w:rsidRPr="004C2A59">
        <w:rPr>
          <w:b w:val="0"/>
          <w:noProof w:val="0"/>
          <w:color w:val="000000"/>
          <w:szCs w:val="22"/>
          <w:lang w:val="da-DK"/>
        </w:rPr>
        <w:t>en</w:t>
      </w:r>
      <w:r w:rsidRPr="004C2A59">
        <w:rPr>
          <w:b w:val="0"/>
          <w:noProof w:val="0"/>
          <w:color w:val="000000"/>
          <w:szCs w:val="22"/>
          <w:lang w:val="da-DK"/>
        </w:rPr>
        <w:t xml:space="preserve"> (f.eks. </w:t>
      </w:r>
      <w:r w:rsidR="000A7FA2" w:rsidRPr="004C2A59">
        <w:rPr>
          <w:b w:val="0"/>
          <w:noProof w:val="0"/>
          <w:color w:val="000000"/>
          <w:szCs w:val="22"/>
          <w:lang w:val="da-DK"/>
        </w:rPr>
        <w:t>proteasehæmmere som f.eks. indinavir, lopinavir/ritonavir, ritonavir, saquinavir, teleprevir, nelfinavir, boceprevir; azol-antimykotika inklusiv</w:t>
      </w:r>
      <w:r w:rsidR="00786FAA" w:rsidRPr="004C2A59">
        <w:rPr>
          <w:b w:val="0"/>
          <w:noProof w:val="0"/>
          <w:color w:val="000000"/>
          <w:szCs w:val="22"/>
          <w:lang w:val="da-DK"/>
        </w:rPr>
        <w:t>e</w:t>
      </w:r>
      <w:r w:rsidR="000A7FA2" w:rsidRPr="004C2A59">
        <w:rPr>
          <w:b w:val="0"/>
          <w:noProof w:val="0"/>
          <w:color w:val="000000"/>
          <w:szCs w:val="22"/>
          <w:lang w:val="da-DK"/>
        </w:rPr>
        <w:t xml:space="preserve"> </w:t>
      </w:r>
      <w:r w:rsidRPr="004C2A59">
        <w:rPr>
          <w:b w:val="0"/>
          <w:noProof w:val="0"/>
          <w:color w:val="000000"/>
          <w:szCs w:val="22"/>
          <w:lang w:val="da-DK"/>
        </w:rPr>
        <w:t xml:space="preserve">ketoconazol, itraconazol, </w:t>
      </w:r>
      <w:r w:rsidR="000A7FA2" w:rsidRPr="004C2A59">
        <w:rPr>
          <w:b w:val="0"/>
          <w:noProof w:val="0"/>
          <w:color w:val="000000"/>
          <w:szCs w:val="22"/>
          <w:lang w:val="da-DK"/>
        </w:rPr>
        <w:t xml:space="preserve">posaconazol, voriconazol; </w:t>
      </w:r>
      <w:r w:rsidR="00442CD6" w:rsidRPr="004C2A59">
        <w:rPr>
          <w:b w:val="0"/>
          <w:noProof w:val="0"/>
          <w:color w:val="000000"/>
          <w:szCs w:val="22"/>
          <w:lang w:val="da-DK"/>
        </w:rPr>
        <w:t xml:space="preserve">visse </w:t>
      </w:r>
      <w:r w:rsidR="000A7FA2" w:rsidRPr="004C2A59">
        <w:rPr>
          <w:b w:val="0"/>
          <w:noProof w:val="0"/>
          <w:color w:val="000000"/>
          <w:szCs w:val="22"/>
          <w:lang w:val="da-DK"/>
        </w:rPr>
        <w:t xml:space="preserve">makrolider som f.eks. </w:t>
      </w:r>
      <w:r w:rsidRPr="004C2A59">
        <w:rPr>
          <w:b w:val="0"/>
          <w:noProof w:val="0"/>
          <w:color w:val="000000"/>
          <w:szCs w:val="22"/>
          <w:lang w:val="da-DK"/>
        </w:rPr>
        <w:t>erythromycin, clarithromycin</w:t>
      </w:r>
      <w:r w:rsidR="000A7FA2" w:rsidRPr="004C2A59">
        <w:rPr>
          <w:b w:val="0"/>
          <w:noProof w:val="0"/>
          <w:color w:val="000000"/>
          <w:szCs w:val="22"/>
          <w:lang w:val="da-DK"/>
        </w:rPr>
        <w:t xml:space="preserve"> og telithromycin</w:t>
      </w:r>
      <w:r w:rsidRPr="004C2A59">
        <w:rPr>
          <w:b w:val="0"/>
          <w:noProof w:val="0"/>
          <w:color w:val="000000"/>
          <w:szCs w:val="22"/>
          <w:lang w:val="da-DK"/>
        </w:rPr>
        <w:t>)</w:t>
      </w:r>
      <w:r w:rsidR="00442CD6" w:rsidRPr="004C2A59">
        <w:rPr>
          <w:b w:val="0"/>
          <w:noProof w:val="0"/>
          <w:color w:val="000000"/>
          <w:szCs w:val="22"/>
          <w:lang w:val="da-DK"/>
        </w:rPr>
        <w:t>,</w:t>
      </w:r>
      <w:r w:rsidRPr="004C2A59">
        <w:rPr>
          <w:b w:val="0"/>
          <w:noProof w:val="0"/>
          <w:color w:val="000000"/>
          <w:szCs w:val="22"/>
          <w:lang w:val="da-DK"/>
        </w:rPr>
        <w:t xml:space="preserve"> kan nedsætte metaboli</w:t>
      </w:r>
      <w:r w:rsidR="00442CD6" w:rsidRPr="004C2A59">
        <w:rPr>
          <w:b w:val="0"/>
          <w:noProof w:val="0"/>
          <w:color w:val="000000"/>
          <w:szCs w:val="22"/>
          <w:lang w:val="da-DK"/>
        </w:rPr>
        <w:t>seringen</w:t>
      </w:r>
      <w:r w:rsidRPr="004C2A59">
        <w:rPr>
          <w:b w:val="0"/>
          <w:noProof w:val="0"/>
          <w:color w:val="000000"/>
          <w:szCs w:val="22"/>
          <w:lang w:val="da-DK"/>
        </w:rPr>
        <w:t xml:space="preserve"> og øge koncentrationen af imatinib. Der sås signifikant øgning i følsomhed for imatinib (gennemsnitlig C</w:t>
      </w:r>
      <w:r w:rsidRPr="004C2A59">
        <w:rPr>
          <w:b w:val="0"/>
          <w:noProof w:val="0"/>
          <w:color w:val="000000"/>
          <w:szCs w:val="22"/>
          <w:vertAlign w:val="subscript"/>
          <w:lang w:val="da-DK"/>
        </w:rPr>
        <w:t xml:space="preserve">max </w:t>
      </w:r>
      <w:r w:rsidRPr="004C2A59">
        <w:rPr>
          <w:b w:val="0"/>
          <w:noProof w:val="0"/>
          <w:color w:val="000000"/>
          <w:szCs w:val="22"/>
          <w:lang w:val="da-DK"/>
        </w:rPr>
        <w:t>og AUC for imatinib steg med henholdsvis 26% og 40%) hos raske frivillige ved samtidig administration af enkeltdosis ketoconazol (en CYP3A4-hæmmer). Forsigtighed bør udvises, når Glivec administreres sammen med hæmmere af CYP3A4-familien.</w:t>
      </w:r>
    </w:p>
    <w:p w14:paraId="3E603865" w14:textId="77777777" w:rsidR="00270C5A" w:rsidRPr="004C2A59" w:rsidRDefault="00270C5A" w:rsidP="00421681">
      <w:pPr>
        <w:pStyle w:val="BodyText"/>
        <w:widowControl w:val="0"/>
        <w:tabs>
          <w:tab w:val="clear" w:pos="-993"/>
          <w:tab w:val="clear" w:pos="-720"/>
        </w:tabs>
        <w:jc w:val="left"/>
        <w:rPr>
          <w:b w:val="0"/>
          <w:noProof w:val="0"/>
          <w:color w:val="000000"/>
          <w:szCs w:val="22"/>
          <w:lang w:val="da-DK"/>
        </w:rPr>
      </w:pPr>
    </w:p>
    <w:p w14:paraId="0C6047DF" w14:textId="77777777" w:rsidR="00270C5A" w:rsidRPr="004C2A59" w:rsidRDefault="00C62FCA" w:rsidP="006C180B">
      <w:pPr>
        <w:keepNext/>
        <w:widowControl w:val="0"/>
        <w:suppressAutoHyphens/>
        <w:ind w:left="570" w:hanging="570"/>
        <w:rPr>
          <w:color w:val="000000"/>
          <w:sz w:val="22"/>
          <w:szCs w:val="22"/>
          <w:lang w:val="da-DK"/>
        </w:rPr>
      </w:pPr>
      <w:r w:rsidRPr="004C2A59">
        <w:rPr>
          <w:color w:val="000000"/>
          <w:sz w:val="22"/>
          <w:szCs w:val="22"/>
          <w:u w:val="single"/>
          <w:lang w:val="da-DK"/>
        </w:rPr>
        <w:t>Aktive s</w:t>
      </w:r>
      <w:r w:rsidR="00D16623" w:rsidRPr="004C2A59">
        <w:rPr>
          <w:color w:val="000000"/>
          <w:sz w:val="22"/>
          <w:szCs w:val="22"/>
          <w:u w:val="single"/>
          <w:lang w:val="da-DK"/>
        </w:rPr>
        <w:t>toffer</w:t>
      </w:r>
      <w:r w:rsidR="00442CD6" w:rsidRPr="004C2A59">
        <w:rPr>
          <w:color w:val="000000"/>
          <w:sz w:val="22"/>
          <w:szCs w:val="22"/>
          <w:u w:val="single"/>
          <w:lang w:val="da-DK"/>
        </w:rPr>
        <w:t>,</w:t>
      </w:r>
      <w:r w:rsidR="00270C5A" w:rsidRPr="004C2A59">
        <w:rPr>
          <w:color w:val="000000"/>
          <w:sz w:val="22"/>
          <w:szCs w:val="22"/>
          <w:u w:val="single"/>
          <w:lang w:val="da-DK"/>
        </w:rPr>
        <w:t xml:space="preserve"> der kan </w:t>
      </w:r>
      <w:r w:rsidR="00270C5A" w:rsidRPr="004C2A59">
        <w:rPr>
          <w:b/>
          <w:color w:val="000000"/>
          <w:sz w:val="22"/>
          <w:szCs w:val="22"/>
          <w:u w:val="single"/>
          <w:lang w:val="da-DK"/>
        </w:rPr>
        <w:t>reducere</w:t>
      </w:r>
      <w:r w:rsidR="00270C5A" w:rsidRPr="004C2A59">
        <w:rPr>
          <w:color w:val="000000"/>
          <w:sz w:val="22"/>
          <w:szCs w:val="22"/>
          <w:u w:val="single"/>
          <w:lang w:val="da-DK"/>
        </w:rPr>
        <w:t xml:space="preserve"> plasmakoncentrationen af imatinib</w:t>
      </w:r>
    </w:p>
    <w:p w14:paraId="64B1ECEF" w14:textId="77777777" w:rsidR="00610A3A" w:rsidRPr="004C2A59" w:rsidRDefault="00270C5A" w:rsidP="00421681">
      <w:pPr>
        <w:pStyle w:val="BodyText"/>
        <w:tabs>
          <w:tab w:val="clear" w:pos="-993"/>
          <w:tab w:val="clear" w:pos="-720"/>
        </w:tabs>
        <w:jc w:val="left"/>
        <w:rPr>
          <w:b w:val="0"/>
          <w:noProof w:val="0"/>
          <w:color w:val="000000"/>
          <w:szCs w:val="22"/>
          <w:lang w:val="da-DK"/>
        </w:rPr>
      </w:pPr>
      <w:r w:rsidRPr="004C2A59">
        <w:rPr>
          <w:b w:val="0"/>
          <w:noProof w:val="0"/>
          <w:color w:val="000000"/>
          <w:szCs w:val="22"/>
          <w:lang w:val="da-DK"/>
        </w:rPr>
        <w:t>Stoffer, der inducerer CYP3A4-aktivitet (f.eks. dexamethason, phenytoin, carbamazepin, rifampicin, phenobarbital</w:t>
      </w:r>
      <w:r w:rsidR="008867A8" w:rsidRPr="004C2A59">
        <w:rPr>
          <w:b w:val="0"/>
          <w:noProof w:val="0"/>
          <w:color w:val="000000"/>
          <w:szCs w:val="22"/>
          <w:lang w:val="da-DK"/>
        </w:rPr>
        <w:t>, fosphenytoin, primidon</w:t>
      </w:r>
      <w:r w:rsidRPr="004C2A59">
        <w:rPr>
          <w:b w:val="0"/>
          <w:noProof w:val="0"/>
          <w:color w:val="000000"/>
          <w:szCs w:val="22"/>
          <w:lang w:val="da-DK"/>
        </w:rPr>
        <w:t xml:space="preserve"> eller</w:t>
      </w:r>
      <w:r w:rsidR="00400E0F" w:rsidRPr="004C2A59">
        <w:rPr>
          <w:b w:val="0"/>
          <w:noProof w:val="0"/>
          <w:color w:val="000000"/>
          <w:szCs w:val="22"/>
          <w:lang w:val="da-DK"/>
        </w:rPr>
        <w:t xml:space="preserve"> perikon</w:t>
      </w:r>
      <w:r w:rsidRPr="004C2A59">
        <w:rPr>
          <w:b w:val="0"/>
          <w:noProof w:val="0"/>
          <w:color w:val="000000"/>
          <w:szCs w:val="22"/>
          <w:lang w:val="da-DK"/>
        </w:rPr>
        <w:t xml:space="preserve"> </w:t>
      </w:r>
      <w:r w:rsidR="00400E0F" w:rsidRPr="004C2A59">
        <w:rPr>
          <w:b w:val="0"/>
          <w:noProof w:val="0"/>
          <w:color w:val="000000"/>
          <w:szCs w:val="22"/>
          <w:lang w:val="da-DK"/>
        </w:rPr>
        <w:t>(</w:t>
      </w:r>
      <w:r w:rsidRPr="004C2A59">
        <w:rPr>
          <w:b w:val="0"/>
          <w:i/>
          <w:noProof w:val="0"/>
          <w:color w:val="000000"/>
          <w:szCs w:val="22"/>
          <w:lang w:val="da-DK"/>
        </w:rPr>
        <w:t>Hypericum perforatum</w:t>
      </w:r>
      <w:r w:rsidR="00400E0F" w:rsidRPr="004C2A59">
        <w:rPr>
          <w:b w:val="0"/>
          <w:noProof w:val="0"/>
          <w:color w:val="000000"/>
          <w:szCs w:val="22"/>
          <w:lang w:val="da-DK"/>
        </w:rPr>
        <w:t>)</w:t>
      </w:r>
      <w:r w:rsidRPr="004C2A59">
        <w:rPr>
          <w:b w:val="0"/>
          <w:noProof w:val="0"/>
          <w:color w:val="000000"/>
          <w:szCs w:val="22"/>
          <w:lang w:val="da-DK"/>
        </w:rPr>
        <w:t>, kan signifikant reducere følsomheden for Glivec og dermed potentielt øge risikoen for terapeutisk svigt. Præbehandling med gentagne doser af rifampicin 600</w:t>
      </w:r>
      <w:r w:rsidR="00C17108" w:rsidRPr="004C2A59">
        <w:rPr>
          <w:b w:val="0"/>
          <w:noProof w:val="0"/>
          <w:color w:val="000000"/>
          <w:szCs w:val="22"/>
          <w:lang w:val="da-DK"/>
        </w:rPr>
        <w:t> mg</w:t>
      </w:r>
      <w:r w:rsidRPr="004C2A59">
        <w:rPr>
          <w:b w:val="0"/>
          <w:noProof w:val="0"/>
          <w:color w:val="000000"/>
          <w:szCs w:val="22"/>
          <w:lang w:val="da-DK"/>
        </w:rPr>
        <w:t xml:space="preserve"> efterfulgt af enkeltdosis Glivec 400</w:t>
      </w:r>
      <w:r w:rsidR="00C17108" w:rsidRPr="004C2A59">
        <w:rPr>
          <w:b w:val="0"/>
          <w:noProof w:val="0"/>
          <w:color w:val="000000"/>
          <w:szCs w:val="22"/>
          <w:lang w:val="da-DK"/>
        </w:rPr>
        <w:t> mg</w:t>
      </w:r>
      <w:r w:rsidRPr="004C2A59">
        <w:rPr>
          <w:b w:val="0"/>
          <w:noProof w:val="0"/>
          <w:color w:val="000000"/>
          <w:szCs w:val="22"/>
          <w:lang w:val="da-DK"/>
        </w:rPr>
        <w:t xml:space="preserve"> resulterede i fald i C</w:t>
      </w:r>
      <w:r w:rsidRPr="004C2A59">
        <w:rPr>
          <w:b w:val="0"/>
          <w:noProof w:val="0"/>
          <w:color w:val="000000"/>
          <w:szCs w:val="22"/>
          <w:vertAlign w:val="subscript"/>
          <w:lang w:val="da-DK"/>
        </w:rPr>
        <w:t>max</w:t>
      </w:r>
      <w:r w:rsidRPr="004C2A59">
        <w:rPr>
          <w:b w:val="0"/>
          <w:noProof w:val="0"/>
          <w:color w:val="000000"/>
          <w:szCs w:val="22"/>
          <w:lang w:val="da-DK"/>
        </w:rPr>
        <w:t xml:space="preserve"> og AUC</w:t>
      </w:r>
      <w:r w:rsidRPr="004C2A59">
        <w:rPr>
          <w:b w:val="0"/>
          <w:noProof w:val="0"/>
          <w:color w:val="000000"/>
          <w:szCs w:val="22"/>
          <w:vertAlign w:val="subscript"/>
          <w:lang w:val="da-DK"/>
        </w:rPr>
        <w:t>(0-∞)</w:t>
      </w:r>
      <w:r w:rsidRPr="004C2A59">
        <w:rPr>
          <w:b w:val="0"/>
          <w:noProof w:val="0"/>
          <w:color w:val="000000"/>
          <w:szCs w:val="22"/>
          <w:lang w:val="da-DK"/>
        </w:rPr>
        <w:t xml:space="preserve"> på mindst 54% og 74% af værdierne uden rifampicinbehandling. </w:t>
      </w:r>
      <w:r w:rsidR="00314566" w:rsidRPr="004C2A59">
        <w:rPr>
          <w:b w:val="0"/>
          <w:noProof w:val="0"/>
          <w:color w:val="000000"/>
          <w:szCs w:val="22"/>
          <w:lang w:val="da-DK"/>
        </w:rPr>
        <w:t>Lignende resultater blev observeret hos patienter med maligne gliomer behandlet med Glivec samtidig med indtag</w:t>
      </w:r>
      <w:r w:rsidR="00003716" w:rsidRPr="004C2A59">
        <w:rPr>
          <w:b w:val="0"/>
          <w:noProof w:val="0"/>
          <w:color w:val="000000"/>
          <w:szCs w:val="22"/>
          <w:lang w:val="da-DK"/>
        </w:rPr>
        <w:t>else</w:t>
      </w:r>
      <w:r w:rsidR="00314566" w:rsidRPr="004C2A59">
        <w:rPr>
          <w:b w:val="0"/>
          <w:noProof w:val="0"/>
          <w:color w:val="000000"/>
          <w:szCs w:val="22"/>
          <w:lang w:val="da-DK"/>
        </w:rPr>
        <w:t xml:space="preserve"> af enzyminducerende antiepileptiske lægemidler (EIAEDs) som carbamazepin, oxcarbazepin og phenytoin. Plasma AUC for imatinib blev reduceret med 73% sammenlignet med patienter som ikke blev behandlet med EIAEDs. </w:t>
      </w:r>
      <w:r w:rsidRPr="004C2A59">
        <w:rPr>
          <w:b w:val="0"/>
          <w:noProof w:val="0"/>
          <w:color w:val="000000"/>
          <w:szCs w:val="22"/>
          <w:lang w:val="da-DK"/>
        </w:rPr>
        <w:t>Samtidig anvendelse af rifampicin eller andre stærke CYP3A4</w:t>
      </w:r>
      <w:r w:rsidR="00A501C8" w:rsidRPr="004C2A59">
        <w:rPr>
          <w:b w:val="0"/>
          <w:noProof w:val="0"/>
          <w:color w:val="000000"/>
          <w:szCs w:val="22"/>
          <w:lang w:val="da-DK"/>
        </w:rPr>
        <w:t>-</w:t>
      </w:r>
      <w:r w:rsidRPr="004C2A59">
        <w:rPr>
          <w:b w:val="0"/>
          <w:noProof w:val="0"/>
          <w:color w:val="000000"/>
          <w:szCs w:val="22"/>
          <w:lang w:val="da-DK"/>
        </w:rPr>
        <w:t>ind</w:t>
      </w:r>
      <w:r w:rsidR="008C224C" w:rsidRPr="004C2A59">
        <w:rPr>
          <w:b w:val="0"/>
          <w:noProof w:val="0"/>
          <w:color w:val="000000"/>
          <w:szCs w:val="22"/>
          <w:lang w:val="da-DK"/>
        </w:rPr>
        <w:t>uktorer og imatinib bør undgås.</w:t>
      </w:r>
    </w:p>
    <w:p w14:paraId="18DB6C23" w14:textId="77777777" w:rsidR="00270C5A" w:rsidRPr="004C2A59" w:rsidRDefault="00270C5A" w:rsidP="00421681">
      <w:pPr>
        <w:pStyle w:val="BodyText"/>
        <w:widowControl w:val="0"/>
        <w:tabs>
          <w:tab w:val="clear" w:pos="-993"/>
          <w:tab w:val="clear" w:pos="-720"/>
        </w:tabs>
        <w:jc w:val="left"/>
        <w:rPr>
          <w:b w:val="0"/>
          <w:noProof w:val="0"/>
          <w:color w:val="000000"/>
          <w:szCs w:val="22"/>
          <w:lang w:val="da-DK"/>
        </w:rPr>
      </w:pPr>
    </w:p>
    <w:p w14:paraId="34D02FFD" w14:textId="77777777" w:rsidR="00270C5A" w:rsidRPr="004C2A59" w:rsidRDefault="00C62FCA" w:rsidP="006C180B">
      <w:pPr>
        <w:keepNext/>
        <w:widowControl w:val="0"/>
        <w:suppressAutoHyphens/>
        <w:ind w:left="573" w:hanging="573"/>
        <w:rPr>
          <w:b/>
          <w:color w:val="000000"/>
          <w:sz w:val="22"/>
          <w:szCs w:val="22"/>
          <w:lang w:val="da-DK"/>
        </w:rPr>
      </w:pPr>
      <w:r w:rsidRPr="004C2A59">
        <w:rPr>
          <w:b/>
          <w:color w:val="000000"/>
          <w:sz w:val="22"/>
          <w:szCs w:val="22"/>
          <w:lang w:val="da-DK"/>
        </w:rPr>
        <w:t>Aktive s</w:t>
      </w:r>
      <w:r w:rsidR="00F6271D" w:rsidRPr="004C2A59">
        <w:rPr>
          <w:b/>
          <w:color w:val="000000"/>
          <w:sz w:val="22"/>
          <w:szCs w:val="22"/>
          <w:lang w:val="da-DK"/>
        </w:rPr>
        <w:t>toffer</w:t>
      </w:r>
      <w:r w:rsidR="00786FAA" w:rsidRPr="004C2A59">
        <w:rPr>
          <w:b/>
          <w:color w:val="000000"/>
          <w:sz w:val="22"/>
          <w:szCs w:val="22"/>
          <w:lang w:val="da-DK"/>
        </w:rPr>
        <w:t>,</w:t>
      </w:r>
      <w:r w:rsidR="00270C5A" w:rsidRPr="004C2A59">
        <w:rPr>
          <w:b/>
          <w:color w:val="000000"/>
          <w:sz w:val="22"/>
          <w:szCs w:val="22"/>
          <w:lang w:val="da-DK"/>
        </w:rPr>
        <w:t xml:space="preserve"> hvis plasmakoncentration kan ændres af imatinib</w:t>
      </w:r>
    </w:p>
    <w:p w14:paraId="31CDDC5F" w14:textId="77777777" w:rsidR="00270C5A" w:rsidRPr="004C2A59" w:rsidRDefault="00270C5A" w:rsidP="00421681">
      <w:pPr>
        <w:pStyle w:val="BodyText"/>
        <w:tabs>
          <w:tab w:val="clear" w:pos="-993"/>
          <w:tab w:val="clear" w:pos="-720"/>
        </w:tabs>
        <w:jc w:val="left"/>
        <w:rPr>
          <w:b w:val="0"/>
          <w:noProof w:val="0"/>
          <w:color w:val="000000"/>
          <w:szCs w:val="22"/>
          <w:lang w:val="da-DK"/>
        </w:rPr>
      </w:pPr>
      <w:r w:rsidRPr="004C2A59">
        <w:rPr>
          <w:b w:val="0"/>
          <w:noProof w:val="0"/>
          <w:color w:val="000000"/>
          <w:szCs w:val="22"/>
          <w:lang w:val="da-DK"/>
        </w:rPr>
        <w:t>Imatinib øger gennemsnitligt C</w:t>
      </w:r>
      <w:r w:rsidRPr="004C2A59">
        <w:rPr>
          <w:b w:val="0"/>
          <w:noProof w:val="0"/>
          <w:color w:val="000000"/>
          <w:szCs w:val="22"/>
          <w:vertAlign w:val="subscript"/>
          <w:lang w:val="da-DK"/>
        </w:rPr>
        <w:t>max</w:t>
      </w:r>
      <w:r w:rsidRPr="004C2A59">
        <w:rPr>
          <w:b w:val="0"/>
          <w:noProof w:val="0"/>
          <w:color w:val="000000"/>
          <w:szCs w:val="22"/>
          <w:lang w:val="da-DK"/>
        </w:rPr>
        <w:t xml:space="preserve"> og AUC af simvastatin (et CYP3A4</w:t>
      </w:r>
      <w:r w:rsidR="00A501C8" w:rsidRPr="004C2A59">
        <w:rPr>
          <w:b w:val="0"/>
          <w:noProof w:val="0"/>
          <w:color w:val="000000"/>
          <w:szCs w:val="22"/>
          <w:lang w:val="da-DK"/>
        </w:rPr>
        <w:t>-</w:t>
      </w:r>
      <w:r w:rsidRPr="004C2A59">
        <w:rPr>
          <w:b w:val="0"/>
          <w:noProof w:val="0"/>
          <w:color w:val="000000"/>
          <w:szCs w:val="22"/>
          <w:lang w:val="da-DK"/>
        </w:rPr>
        <w:t>substrat) henholdsvis 2 og 3,5 gange, hvilket indikerer, at imatinib hæmmer CYP3A4. Forsigtighed tilrådes derfor, når Glivec administreres sammen med CYP3A4-substrater med snævert terapeutisk interval (f.eks. ciclosporin</w:t>
      </w:r>
      <w:r w:rsidR="003C2C59" w:rsidRPr="004C2A59">
        <w:rPr>
          <w:b w:val="0"/>
          <w:noProof w:val="0"/>
          <w:color w:val="000000"/>
          <w:szCs w:val="22"/>
          <w:lang w:val="da-DK"/>
        </w:rPr>
        <w:t>,</w:t>
      </w:r>
      <w:r w:rsidRPr="004C2A59">
        <w:rPr>
          <w:b w:val="0"/>
          <w:noProof w:val="0"/>
          <w:color w:val="000000"/>
          <w:szCs w:val="22"/>
          <w:lang w:val="da-DK"/>
        </w:rPr>
        <w:t xml:space="preserve"> pimozid</w:t>
      </w:r>
      <w:r w:rsidR="003C2C59" w:rsidRPr="004C2A59">
        <w:rPr>
          <w:b w:val="0"/>
          <w:noProof w:val="0"/>
          <w:color w:val="000000"/>
          <w:szCs w:val="22"/>
          <w:lang w:val="da-DK"/>
        </w:rPr>
        <w:t>, tacrolimus, sirolimus, ergotamin, di</w:t>
      </w:r>
      <w:r w:rsidR="00F451C2" w:rsidRPr="004C2A59">
        <w:rPr>
          <w:b w:val="0"/>
          <w:noProof w:val="0"/>
          <w:color w:val="000000"/>
          <w:szCs w:val="22"/>
          <w:lang w:val="da-DK"/>
        </w:rPr>
        <w:t>hydro</w:t>
      </w:r>
      <w:r w:rsidR="003C2C59" w:rsidRPr="004C2A59">
        <w:rPr>
          <w:b w:val="0"/>
          <w:noProof w:val="0"/>
          <w:color w:val="000000"/>
          <w:szCs w:val="22"/>
          <w:lang w:val="da-DK"/>
        </w:rPr>
        <w:t>ergotamin, fentanyl, alfentanil, terfenadin, bortezomib, docetaxel og quinidin</w:t>
      </w:r>
      <w:r w:rsidRPr="004C2A59">
        <w:rPr>
          <w:b w:val="0"/>
          <w:noProof w:val="0"/>
          <w:color w:val="000000"/>
          <w:szCs w:val="22"/>
          <w:lang w:val="da-DK"/>
        </w:rPr>
        <w:t>). Glivec kan øge plasmakoncentrationen af andre CYP3A4-metaboliserede lægemidler (for eksempel triazol-benzodiazepiner, dihydropyridin</w:t>
      </w:r>
      <w:r w:rsidR="00E00500" w:rsidRPr="004C2A59">
        <w:rPr>
          <w:b w:val="0"/>
          <w:noProof w:val="0"/>
          <w:color w:val="000000"/>
          <w:szCs w:val="22"/>
          <w:lang w:val="da-DK"/>
        </w:rPr>
        <w:t>-</w:t>
      </w:r>
      <w:r w:rsidRPr="004C2A59">
        <w:rPr>
          <w:b w:val="0"/>
          <w:noProof w:val="0"/>
          <w:color w:val="000000"/>
          <w:szCs w:val="22"/>
          <w:lang w:val="da-DK"/>
        </w:rPr>
        <w:t>calcium</w:t>
      </w:r>
      <w:r w:rsidR="00E00500" w:rsidRPr="004C2A59">
        <w:rPr>
          <w:b w:val="0"/>
          <w:noProof w:val="0"/>
          <w:color w:val="000000"/>
          <w:szCs w:val="22"/>
          <w:lang w:val="da-DK"/>
        </w:rPr>
        <w:t>antagonister</w:t>
      </w:r>
      <w:r w:rsidRPr="004C2A59">
        <w:rPr>
          <w:b w:val="0"/>
          <w:noProof w:val="0"/>
          <w:color w:val="000000"/>
          <w:szCs w:val="22"/>
          <w:lang w:val="da-DK"/>
        </w:rPr>
        <w:t xml:space="preserve">, visse </w:t>
      </w:r>
      <w:smartTag w:uri="urn:schemas-microsoft-com:office:smarttags" w:element="metricconverter">
        <w:r w:rsidRPr="004C2A59">
          <w:rPr>
            <w:b w:val="0"/>
            <w:noProof w:val="0"/>
            <w:color w:val="000000"/>
            <w:szCs w:val="22"/>
            <w:lang w:val="da-DK"/>
          </w:rPr>
          <w:t>HMG</w:t>
        </w:r>
      </w:smartTag>
      <w:r w:rsidRPr="004C2A59">
        <w:rPr>
          <w:b w:val="0"/>
          <w:noProof w:val="0"/>
          <w:color w:val="000000"/>
          <w:szCs w:val="22"/>
          <w:lang w:val="da-DK"/>
        </w:rPr>
        <w:t>-CoA reduktasehæmmere, såsom statiner osv.).</w:t>
      </w:r>
    </w:p>
    <w:p w14:paraId="418BEBB9" w14:textId="77777777" w:rsidR="00270C5A" w:rsidRPr="004C2A59" w:rsidRDefault="00270C5A" w:rsidP="00421681">
      <w:pPr>
        <w:pStyle w:val="BodyText"/>
        <w:tabs>
          <w:tab w:val="clear" w:pos="-993"/>
          <w:tab w:val="clear" w:pos="-720"/>
        </w:tabs>
        <w:jc w:val="left"/>
        <w:rPr>
          <w:b w:val="0"/>
          <w:noProof w:val="0"/>
          <w:color w:val="000000"/>
          <w:szCs w:val="22"/>
          <w:lang w:val="da-DK"/>
        </w:rPr>
      </w:pPr>
    </w:p>
    <w:p w14:paraId="2FDEEF6D" w14:textId="77777777" w:rsidR="00610A3A" w:rsidRPr="004C2A59" w:rsidRDefault="003C2C59" w:rsidP="00421681">
      <w:pPr>
        <w:pStyle w:val="Text"/>
        <w:spacing w:before="0"/>
        <w:jc w:val="left"/>
        <w:rPr>
          <w:color w:val="000000"/>
          <w:sz w:val="22"/>
          <w:szCs w:val="22"/>
          <w:lang w:val="da-DK"/>
        </w:rPr>
      </w:pPr>
      <w:r w:rsidRPr="004C2A59">
        <w:rPr>
          <w:color w:val="000000"/>
          <w:sz w:val="22"/>
          <w:szCs w:val="22"/>
          <w:lang w:val="da-DK"/>
        </w:rPr>
        <w:lastRenderedPageBreak/>
        <w:t xml:space="preserve">På grund af </w:t>
      </w:r>
      <w:r w:rsidR="00F451C2" w:rsidRPr="004C2A59">
        <w:rPr>
          <w:color w:val="000000"/>
          <w:sz w:val="22"/>
          <w:szCs w:val="22"/>
          <w:lang w:val="da-DK"/>
        </w:rPr>
        <w:t xml:space="preserve">den </w:t>
      </w:r>
      <w:r w:rsidRPr="004C2A59">
        <w:rPr>
          <w:color w:val="000000"/>
          <w:sz w:val="22"/>
          <w:szCs w:val="22"/>
          <w:lang w:val="da-DK"/>
        </w:rPr>
        <w:t>øge</w:t>
      </w:r>
      <w:r w:rsidR="00F451C2" w:rsidRPr="004C2A59">
        <w:rPr>
          <w:color w:val="000000"/>
          <w:sz w:val="22"/>
          <w:szCs w:val="22"/>
          <w:lang w:val="da-DK"/>
        </w:rPr>
        <w:t>de</w:t>
      </w:r>
      <w:r w:rsidRPr="004C2A59">
        <w:rPr>
          <w:color w:val="000000"/>
          <w:sz w:val="22"/>
          <w:szCs w:val="22"/>
          <w:lang w:val="da-DK"/>
        </w:rPr>
        <w:t xml:space="preserve"> risiko for blødning </w:t>
      </w:r>
      <w:r w:rsidR="00AB464F" w:rsidRPr="004C2A59">
        <w:rPr>
          <w:color w:val="000000"/>
          <w:sz w:val="22"/>
          <w:szCs w:val="22"/>
          <w:lang w:val="da-DK"/>
        </w:rPr>
        <w:t>ved</w:t>
      </w:r>
      <w:r w:rsidRPr="004C2A59">
        <w:rPr>
          <w:color w:val="000000"/>
          <w:sz w:val="22"/>
          <w:szCs w:val="22"/>
          <w:lang w:val="da-DK"/>
        </w:rPr>
        <w:t xml:space="preserve"> brug af im</w:t>
      </w:r>
      <w:r w:rsidR="00D14E44" w:rsidRPr="004C2A59">
        <w:rPr>
          <w:color w:val="000000"/>
          <w:sz w:val="22"/>
          <w:szCs w:val="22"/>
          <w:lang w:val="da-DK"/>
        </w:rPr>
        <w:t>a</w:t>
      </w:r>
      <w:r w:rsidRPr="004C2A59">
        <w:rPr>
          <w:color w:val="000000"/>
          <w:sz w:val="22"/>
          <w:szCs w:val="22"/>
          <w:lang w:val="da-DK"/>
        </w:rPr>
        <w:t>t</w:t>
      </w:r>
      <w:r w:rsidR="00F451C2" w:rsidRPr="004C2A59">
        <w:rPr>
          <w:color w:val="000000"/>
          <w:sz w:val="22"/>
          <w:szCs w:val="22"/>
          <w:lang w:val="da-DK"/>
        </w:rPr>
        <w:t>i</w:t>
      </w:r>
      <w:r w:rsidRPr="004C2A59">
        <w:rPr>
          <w:color w:val="000000"/>
          <w:sz w:val="22"/>
          <w:szCs w:val="22"/>
          <w:lang w:val="da-DK"/>
        </w:rPr>
        <w:t>nib (f.eks. hæmoragi)</w:t>
      </w:r>
      <w:r w:rsidR="00270C5A" w:rsidRPr="004C2A59">
        <w:rPr>
          <w:color w:val="000000"/>
          <w:sz w:val="22"/>
          <w:szCs w:val="22"/>
          <w:lang w:val="da-DK"/>
        </w:rPr>
        <w:t xml:space="preserve"> bør patienter med behov for antikoagulantia have lavmolekyl</w:t>
      </w:r>
      <w:r w:rsidR="00F451C2" w:rsidRPr="004C2A59">
        <w:rPr>
          <w:color w:val="000000"/>
          <w:sz w:val="22"/>
          <w:szCs w:val="22"/>
          <w:lang w:val="da-DK"/>
        </w:rPr>
        <w:t>ært</w:t>
      </w:r>
      <w:r w:rsidR="00270C5A" w:rsidRPr="004C2A59">
        <w:rPr>
          <w:color w:val="000000"/>
          <w:sz w:val="22"/>
          <w:szCs w:val="22"/>
          <w:lang w:val="da-DK"/>
        </w:rPr>
        <w:t xml:space="preserve"> </w:t>
      </w:r>
      <w:r w:rsidR="00F451C2" w:rsidRPr="004C2A59">
        <w:rPr>
          <w:color w:val="000000"/>
          <w:sz w:val="22"/>
          <w:szCs w:val="22"/>
          <w:lang w:val="da-DK"/>
        </w:rPr>
        <w:t xml:space="preserve">heparin </w:t>
      </w:r>
      <w:r w:rsidR="00270C5A" w:rsidRPr="004C2A59">
        <w:rPr>
          <w:color w:val="000000"/>
          <w:sz w:val="22"/>
          <w:szCs w:val="22"/>
          <w:lang w:val="da-DK"/>
        </w:rPr>
        <w:t>eller standardheparin</w:t>
      </w:r>
      <w:r w:rsidR="00250911" w:rsidRPr="004C2A59">
        <w:rPr>
          <w:color w:val="000000"/>
          <w:sz w:val="22"/>
          <w:szCs w:val="22"/>
          <w:lang w:val="da-DK"/>
        </w:rPr>
        <w:t xml:space="preserve"> i stedet for coumarinderivater som warfarin</w:t>
      </w:r>
      <w:r w:rsidR="00270C5A" w:rsidRPr="004C2A59">
        <w:rPr>
          <w:color w:val="000000"/>
          <w:sz w:val="22"/>
          <w:szCs w:val="22"/>
          <w:lang w:val="da-DK"/>
        </w:rPr>
        <w:t>.</w:t>
      </w:r>
    </w:p>
    <w:p w14:paraId="1693EC8F" w14:textId="77777777" w:rsidR="00270C5A" w:rsidRPr="004C2A59" w:rsidRDefault="00270C5A" w:rsidP="00421681">
      <w:pPr>
        <w:pStyle w:val="BodyText"/>
        <w:widowControl w:val="0"/>
        <w:tabs>
          <w:tab w:val="clear" w:pos="-993"/>
          <w:tab w:val="clear" w:pos="-720"/>
        </w:tabs>
        <w:jc w:val="left"/>
        <w:rPr>
          <w:b w:val="0"/>
          <w:noProof w:val="0"/>
          <w:color w:val="000000"/>
          <w:szCs w:val="22"/>
          <w:lang w:val="da-DK"/>
        </w:rPr>
      </w:pPr>
    </w:p>
    <w:p w14:paraId="43E6FA1F" w14:textId="77777777" w:rsidR="008867A8" w:rsidRPr="004C2A59" w:rsidRDefault="00270C5A" w:rsidP="00421681">
      <w:pPr>
        <w:pStyle w:val="BodyText"/>
        <w:widowControl w:val="0"/>
        <w:tabs>
          <w:tab w:val="clear" w:pos="-993"/>
          <w:tab w:val="clear" w:pos="-720"/>
        </w:tabs>
        <w:jc w:val="left"/>
        <w:rPr>
          <w:b w:val="0"/>
          <w:noProof w:val="0"/>
          <w:color w:val="000000"/>
          <w:szCs w:val="22"/>
          <w:lang w:val="da-DK"/>
        </w:rPr>
      </w:pPr>
      <w:r w:rsidRPr="004C2A59">
        <w:rPr>
          <w:b w:val="0"/>
          <w:i/>
          <w:noProof w:val="0"/>
          <w:color w:val="000000"/>
          <w:szCs w:val="22"/>
          <w:lang w:val="da-DK"/>
        </w:rPr>
        <w:t>In vitro</w:t>
      </w:r>
      <w:r w:rsidRPr="004C2A59">
        <w:rPr>
          <w:b w:val="0"/>
          <w:noProof w:val="0"/>
          <w:color w:val="000000"/>
          <w:szCs w:val="22"/>
          <w:lang w:val="da-DK"/>
        </w:rPr>
        <w:t xml:space="preserve"> hæmmer Glivec CYP2D6-aktivitet</w:t>
      </w:r>
      <w:r w:rsidR="00F451C2" w:rsidRPr="004C2A59">
        <w:rPr>
          <w:b w:val="0"/>
          <w:noProof w:val="0"/>
          <w:color w:val="000000"/>
          <w:szCs w:val="22"/>
          <w:lang w:val="da-DK"/>
        </w:rPr>
        <w:t>en</w:t>
      </w:r>
      <w:r w:rsidRPr="004C2A59">
        <w:rPr>
          <w:b w:val="0"/>
          <w:noProof w:val="0"/>
          <w:color w:val="000000"/>
          <w:szCs w:val="22"/>
          <w:lang w:val="da-DK"/>
        </w:rPr>
        <w:t xml:space="preserve"> ved koncentrationer svarende til dem, der påvirker CYP3A4-aktivitet. </w:t>
      </w:r>
      <w:r w:rsidR="008867A8" w:rsidRPr="004C2A59">
        <w:rPr>
          <w:b w:val="0"/>
          <w:noProof w:val="0"/>
          <w:color w:val="000000"/>
          <w:szCs w:val="22"/>
          <w:lang w:val="da-DK"/>
        </w:rPr>
        <w:t>400 mg imatinib to gange daglig havde en inhibitorisk effekt på CYP2D6</w:t>
      </w:r>
      <w:r w:rsidR="008867A8" w:rsidRPr="004C2A59">
        <w:rPr>
          <w:b w:val="0"/>
          <w:noProof w:val="0"/>
          <w:color w:val="000000"/>
          <w:szCs w:val="22"/>
          <w:lang w:val="da-DK"/>
        </w:rPr>
        <w:noBreakHyphen/>
        <w:t xml:space="preserve">medieret </w:t>
      </w:r>
      <w:r w:rsidR="00003716" w:rsidRPr="004C2A59">
        <w:rPr>
          <w:b w:val="0"/>
          <w:noProof w:val="0"/>
          <w:color w:val="000000"/>
          <w:szCs w:val="22"/>
          <w:lang w:val="da-DK"/>
        </w:rPr>
        <w:t>metoprolol</w:t>
      </w:r>
      <w:r w:rsidR="008867A8" w:rsidRPr="004C2A59">
        <w:rPr>
          <w:b w:val="0"/>
          <w:noProof w:val="0"/>
          <w:color w:val="000000"/>
          <w:szCs w:val="22"/>
          <w:lang w:val="da-DK"/>
        </w:rPr>
        <w:t>metabolisme, som gav en stigning af C</w:t>
      </w:r>
      <w:r w:rsidR="008867A8" w:rsidRPr="004C2A59">
        <w:rPr>
          <w:b w:val="0"/>
          <w:noProof w:val="0"/>
          <w:color w:val="000000"/>
          <w:szCs w:val="22"/>
          <w:vertAlign w:val="subscript"/>
          <w:lang w:val="da-DK"/>
        </w:rPr>
        <w:t>max</w:t>
      </w:r>
      <w:r w:rsidR="008867A8" w:rsidRPr="004C2A59">
        <w:rPr>
          <w:b w:val="0"/>
          <w:noProof w:val="0"/>
          <w:color w:val="000000"/>
          <w:szCs w:val="22"/>
          <w:lang w:val="da-DK"/>
        </w:rPr>
        <w:t xml:space="preserve"> og AUC for metoprolol på cirka 23% (90%CI [1,16</w:t>
      </w:r>
      <w:r w:rsidR="00694FBA" w:rsidRPr="004C2A59">
        <w:rPr>
          <w:b w:val="0"/>
          <w:noProof w:val="0"/>
          <w:color w:val="000000"/>
          <w:szCs w:val="22"/>
          <w:lang w:val="da-DK"/>
        </w:rPr>
        <w:noBreakHyphen/>
      </w:r>
      <w:r w:rsidR="008867A8" w:rsidRPr="004C2A59">
        <w:rPr>
          <w:b w:val="0"/>
          <w:noProof w:val="0"/>
          <w:color w:val="000000"/>
          <w:szCs w:val="22"/>
          <w:lang w:val="da-DK"/>
        </w:rPr>
        <w:t>1,30]). Dosisjustering ser ikke ud til at være nødvendigt</w:t>
      </w:r>
      <w:r w:rsidR="00170AB5" w:rsidRPr="004C2A59">
        <w:rPr>
          <w:b w:val="0"/>
          <w:noProof w:val="0"/>
          <w:color w:val="000000"/>
          <w:szCs w:val="22"/>
          <w:lang w:val="da-DK"/>
        </w:rPr>
        <w:t>,</w:t>
      </w:r>
      <w:r w:rsidR="008867A8" w:rsidRPr="004C2A59">
        <w:rPr>
          <w:b w:val="0"/>
          <w:noProof w:val="0"/>
          <w:color w:val="000000"/>
          <w:szCs w:val="22"/>
          <w:lang w:val="da-DK"/>
        </w:rPr>
        <w:t xml:space="preserve"> når imatinib administreres samtidig med </w:t>
      </w:r>
      <w:r w:rsidR="00003716" w:rsidRPr="004C2A59">
        <w:rPr>
          <w:b w:val="0"/>
          <w:noProof w:val="0"/>
          <w:color w:val="000000"/>
          <w:szCs w:val="22"/>
          <w:lang w:val="da-DK"/>
        </w:rPr>
        <w:t>CY</w:t>
      </w:r>
      <w:r w:rsidR="008867A8" w:rsidRPr="004C2A59">
        <w:rPr>
          <w:b w:val="0"/>
          <w:noProof w:val="0"/>
          <w:color w:val="000000"/>
          <w:szCs w:val="22"/>
          <w:lang w:val="da-DK"/>
        </w:rPr>
        <w:t>P2D6</w:t>
      </w:r>
      <w:r w:rsidR="00003716" w:rsidRPr="004C2A59">
        <w:rPr>
          <w:b w:val="0"/>
          <w:noProof w:val="0"/>
          <w:color w:val="000000"/>
          <w:szCs w:val="22"/>
          <w:lang w:val="da-DK"/>
        </w:rPr>
        <w:noBreakHyphen/>
      </w:r>
      <w:r w:rsidR="008867A8" w:rsidRPr="004C2A59">
        <w:rPr>
          <w:b w:val="0"/>
          <w:noProof w:val="0"/>
          <w:color w:val="000000"/>
          <w:szCs w:val="22"/>
          <w:lang w:val="da-DK"/>
        </w:rPr>
        <w:t>substrater. Forsigtighed tilrådes dog ved CYP2D6</w:t>
      </w:r>
      <w:r w:rsidR="00003716" w:rsidRPr="004C2A59">
        <w:rPr>
          <w:b w:val="0"/>
          <w:noProof w:val="0"/>
          <w:color w:val="000000"/>
          <w:szCs w:val="22"/>
          <w:lang w:val="da-DK"/>
        </w:rPr>
        <w:noBreakHyphen/>
      </w:r>
      <w:r w:rsidR="008867A8" w:rsidRPr="004C2A59">
        <w:rPr>
          <w:b w:val="0"/>
          <w:noProof w:val="0"/>
          <w:color w:val="000000"/>
          <w:szCs w:val="22"/>
          <w:lang w:val="da-DK"/>
        </w:rPr>
        <w:t>substrate</w:t>
      </w:r>
      <w:r w:rsidR="00003716" w:rsidRPr="004C2A59">
        <w:rPr>
          <w:b w:val="0"/>
          <w:noProof w:val="0"/>
          <w:color w:val="000000"/>
          <w:szCs w:val="22"/>
          <w:lang w:val="da-DK"/>
        </w:rPr>
        <w:t xml:space="preserve">r </w:t>
      </w:r>
      <w:r w:rsidR="008867A8" w:rsidRPr="004C2A59">
        <w:rPr>
          <w:b w:val="0"/>
          <w:noProof w:val="0"/>
          <w:color w:val="000000"/>
          <w:szCs w:val="22"/>
          <w:lang w:val="da-DK"/>
        </w:rPr>
        <w:t>med et snævert terapeutisk vindue som f.eks. metop</w:t>
      </w:r>
      <w:r w:rsidR="00170AB5" w:rsidRPr="004C2A59">
        <w:rPr>
          <w:b w:val="0"/>
          <w:noProof w:val="0"/>
          <w:color w:val="000000"/>
          <w:szCs w:val="22"/>
          <w:lang w:val="da-DK"/>
        </w:rPr>
        <w:t>r</w:t>
      </w:r>
      <w:r w:rsidR="008867A8" w:rsidRPr="004C2A59">
        <w:rPr>
          <w:b w:val="0"/>
          <w:noProof w:val="0"/>
          <w:color w:val="000000"/>
          <w:szCs w:val="22"/>
          <w:lang w:val="da-DK"/>
        </w:rPr>
        <w:t>olol. Hos patienter</w:t>
      </w:r>
      <w:r w:rsidR="00170AB5" w:rsidRPr="004C2A59">
        <w:rPr>
          <w:b w:val="0"/>
          <w:noProof w:val="0"/>
          <w:color w:val="000000"/>
          <w:szCs w:val="22"/>
          <w:lang w:val="da-DK"/>
        </w:rPr>
        <w:t>,</w:t>
      </w:r>
      <w:r w:rsidR="00003716" w:rsidRPr="004C2A59">
        <w:rPr>
          <w:b w:val="0"/>
          <w:noProof w:val="0"/>
          <w:color w:val="000000"/>
          <w:szCs w:val="22"/>
          <w:lang w:val="da-DK"/>
        </w:rPr>
        <w:t xml:space="preserve"> der </w:t>
      </w:r>
      <w:r w:rsidR="008867A8" w:rsidRPr="004C2A59">
        <w:rPr>
          <w:b w:val="0"/>
          <w:noProof w:val="0"/>
          <w:color w:val="000000"/>
          <w:szCs w:val="22"/>
          <w:lang w:val="da-DK"/>
        </w:rPr>
        <w:t>behandle</w:t>
      </w:r>
      <w:r w:rsidR="00003716" w:rsidRPr="004C2A59">
        <w:rPr>
          <w:b w:val="0"/>
          <w:noProof w:val="0"/>
          <w:color w:val="000000"/>
          <w:szCs w:val="22"/>
          <w:lang w:val="da-DK"/>
        </w:rPr>
        <w:t>s</w:t>
      </w:r>
      <w:r w:rsidR="008867A8" w:rsidRPr="004C2A59">
        <w:rPr>
          <w:b w:val="0"/>
          <w:noProof w:val="0"/>
          <w:color w:val="000000"/>
          <w:szCs w:val="22"/>
          <w:lang w:val="da-DK"/>
        </w:rPr>
        <w:t xml:space="preserve"> med metoprolol</w:t>
      </w:r>
      <w:r w:rsidR="00170AB5" w:rsidRPr="004C2A59">
        <w:rPr>
          <w:b w:val="0"/>
          <w:noProof w:val="0"/>
          <w:color w:val="000000"/>
          <w:szCs w:val="22"/>
          <w:lang w:val="da-DK"/>
        </w:rPr>
        <w:t>,</w:t>
      </w:r>
      <w:r w:rsidR="008867A8" w:rsidRPr="004C2A59">
        <w:rPr>
          <w:b w:val="0"/>
          <w:noProof w:val="0"/>
          <w:color w:val="000000"/>
          <w:szCs w:val="22"/>
          <w:lang w:val="da-DK"/>
        </w:rPr>
        <w:t xml:space="preserve"> bør klinisk monitorering overvejes.</w:t>
      </w:r>
    </w:p>
    <w:p w14:paraId="0F165EBE" w14:textId="77777777" w:rsidR="008F55CC" w:rsidRPr="004C2A59" w:rsidRDefault="008F55CC" w:rsidP="00421681">
      <w:pPr>
        <w:pStyle w:val="BodyText"/>
        <w:widowControl w:val="0"/>
        <w:tabs>
          <w:tab w:val="clear" w:pos="-993"/>
          <w:tab w:val="clear" w:pos="-720"/>
        </w:tabs>
        <w:jc w:val="left"/>
        <w:rPr>
          <w:b w:val="0"/>
          <w:color w:val="000000"/>
          <w:lang w:val="da-DK"/>
        </w:rPr>
      </w:pPr>
    </w:p>
    <w:p w14:paraId="683D4C94" w14:textId="77777777" w:rsidR="008F55CC" w:rsidRPr="004C2A59" w:rsidRDefault="008F55CC" w:rsidP="00421681">
      <w:pPr>
        <w:widowControl w:val="0"/>
        <w:rPr>
          <w:color w:val="000000"/>
          <w:sz w:val="22"/>
          <w:szCs w:val="22"/>
          <w:lang w:val="da-DK"/>
        </w:rPr>
      </w:pPr>
      <w:r w:rsidRPr="004C2A59">
        <w:rPr>
          <w:i/>
          <w:color w:val="000000"/>
          <w:sz w:val="22"/>
          <w:szCs w:val="22"/>
          <w:lang w:val="da-DK"/>
        </w:rPr>
        <w:t>In vitro</w:t>
      </w:r>
      <w:r w:rsidRPr="004C2A59">
        <w:rPr>
          <w:color w:val="000000"/>
          <w:sz w:val="22"/>
          <w:szCs w:val="22"/>
          <w:lang w:val="da-DK"/>
        </w:rPr>
        <w:t xml:space="preserve"> hæmmer Glivec O-glucuronidationen af paracetamol </w:t>
      </w:r>
      <w:r w:rsidR="009E00A5" w:rsidRPr="004C2A59">
        <w:rPr>
          <w:color w:val="000000"/>
          <w:sz w:val="22"/>
          <w:szCs w:val="22"/>
          <w:lang w:val="da-DK"/>
        </w:rPr>
        <w:t xml:space="preserve">med en </w:t>
      </w:r>
      <w:r w:rsidRPr="004C2A59">
        <w:rPr>
          <w:color w:val="000000"/>
          <w:sz w:val="22"/>
          <w:szCs w:val="22"/>
          <w:lang w:val="da-DK"/>
        </w:rPr>
        <w:t>Ki-værdi på 58,5 mikromol/</w:t>
      </w:r>
      <w:r w:rsidR="00440040" w:rsidRPr="004C2A59">
        <w:rPr>
          <w:color w:val="000000"/>
          <w:sz w:val="22"/>
          <w:szCs w:val="22"/>
          <w:lang w:val="da-DK"/>
        </w:rPr>
        <w:t>l</w:t>
      </w:r>
      <w:r w:rsidR="009E00A5" w:rsidRPr="004C2A59">
        <w:rPr>
          <w:color w:val="000000"/>
          <w:sz w:val="22"/>
          <w:szCs w:val="22"/>
          <w:lang w:val="da-DK"/>
        </w:rPr>
        <w:t xml:space="preserve">. Denne hæmning er ikke observeret </w:t>
      </w:r>
      <w:r w:rsidR="009E00A5" w:rsidRPr="004C2A59">
        <w:rPr>
          <w:i/>
          <w:color w:val="000000"/>
          <w:sz w:val="22"/>
          <w:szCs w:val="22"/>
          <w:lang w:val="da-DK"/>
        </w:rPr>
        <w:t>in vivo</w:t>
      </w:r>
      <w:r w:rsidR="008D0C37" w:rsidRPr="004C2A59">
        <w:rPr>
          <w:color w:val="000000"/>
          <w:sz w:val="22"/>
          <w:szCs w:val="22"/>
          <w:lang w:val="da-DK"/>
        </w:rPr>
        <w:t xml:space="preserve"> efter administ</w:t>
      </w:r>
      <w:r w:rsidR="009E00A5" w:rsidRPr="004C2A59">
        <w:rPr>
          <w:color w:val="000000"/>
          <w:sz w:val="22"/>
          <w:szCs w:val="22"/>
          <w:lang w:val="da-DK"/>
        </w:rPr>
        <w:t>r</w:t>
      </w:r>
      <w:r w:rsidR="008D0C37" w:rsidRPr="004C2A59">
        <w:rPr>
          <w:color w:val="000000"/>
          <w:sz w:val="22"/>
          <w:szCs w:val="22"/>
          <w:lang w:val="da-DK"/>
        </w:rPr>
        <w:t>a</w:t>
      </w:r>
      <w:r w:rsidR="009E00A5" w:rsidRPr="004C2A59">
        <w:rPr>
          <w:color w:val="000000"/>
          <w:sz w:val="22"/>
          <w:szCs w:val="22"/>
          <w:lang w:val="da-DK"/>
        </w:rPr>
        <w:t xml:space="preserve">tionen af </w:t>
      </w:r>
      <w:r w:rsidR="00E271C3" w:rsidRPr="004C2A59">
        <w:rPr>
          <w:color w:val="000000"/>
          <w:sz w:val="22"/>
          <w:szCs w:val="22"/>
          <w:lang w:val="da-DK"/>
        </w:rPr>
        <w:t>400</w:t>
      </w:r>
      <w:r w:rsidR="001B676E" w:rsidRPr="004C2A59">
        <w:rPr>
          <w:color w:val="000000"/>
          <w:sz w:val="22"/>
          <w:szCs w:val="22"/>
          <w:lang w:val="da-DK"/>
        </w:rPr>
        <w:t> </w:t>
      </w:r>
      <w:r w:rsidR="00E271C3" w:rsidRPr="004C2A59">
        <w:rPr>
          <w:color w:val="000000"/>
          <w:sz w:val="22"/>
          <w:szCs w:val="22"/>
          <w:lang w:val="da-DK"/>
        </w:rPr>
        <w:t xml:space="preserve">mg </w:t>
      </w:r>
      <w:r w:rsidR="009E00A5" w:rsidRPr="004C2A59">
        <w:rPr>
          <w:color w:val="000000"/>
          <w:sz w:val="22"/>
          <w:szCs w:val="22"/>
          <w:lang w:val="da-DK"/>
        </w:rPr>
        <w:t xml:space="preserve">Glivec og </w:t>
      </w:r>
      <w:r w:rsidR="00E271C3" w:rsidRPr="004C2A59">
        <w:rPr>
          <w:color w:val="000000"/>
          <w:sz w:val="22"/>
          <w:szCs w:val="22"/>
          <w:lang w:val="da-DK"/>
        </w:rPr>
        <w:t>1</w:t>
      </w:r>
      <w:r w:rsidR="000A4594" w:rsidRPr="004C2A59">
        <w:rPr>
          <w:color w:val="000000"/>
          <w:sz w:val="22"/>
          <w:szCs w:val="22"/>
          <w:lang w:val="da-DK"/>
        </w:rPr>
        <w:t> </w:t>
      </w:r>
      <w:r w:rsidR="00E271C3" w:rsidRPr="004C2A59">
        <w:rPr>
          <w:color w:val="000000"/>
          <w:sz w:val="22"/>
          <w:szCs w:val="22"/>
          <w:lang w:val="da-DK"/>
        </w:rPr>
        <w:t xml:space="preserve">g </w:t>
      </w:r>
      <w:r w:rsidR="009E00A5" w:rsidRPr="004C2A59">
        <w:rPr>
          <w:color w:val="000000"/>
          <w:sz w:val="22"/>
          <w:szCs w:val="22"/>
          <w:lang w:val="da-DK"/>
        </w:rPr>
        <w:t>paracetamol. Højere doser af Glivec og paracetamol er ikke blevet undersøgt.</w:t>
      </w:r>
    </w:p>
    <w:p w14:paraId="12AFB464" w14:textId="77777777" w:rsidR="008F55CC" w:rsidRPr="004C2A59" w:rsidRDefault="008F55CC" w:rsidP="00421681">
      <w:pPr>
        <w:widowControl w:val="0"/>
        <w:rPr>
          <w:color w:val="000000"/>
          <w:sz w:val="22"/>
          <w:szCs w:val="22"/>
          <w:lang w:val="da-DK"/>
        </w:rPr>
      </w:pPr>
    </w:p>
    <w:p w14:paraId="79A82602" w14:textId="77777777" w:rsidR="008F55CC" w:rsidRPr="004C2A59" w:rsidRDefault="008F55CC" w:rsidP="00421681">
      <w:pPr>
        <w:widowControl w:val="0"/>
        <w:rPr>
          <w:color w:val="000000"/>
          <w:sz w:val="22"/>
          <w:szCs w:val="22"/>
          <w:lang w:val="da-DK"/>
        </w:rPr>
      </w:pPr>
      <w:r w:rsidRPr="004C2A59">
        <w:rPr>
          <w:color w:val="000000"/>
          <w:sz w:val="22"/>
          <w:szCs w:val="22"/>
          <w:lang w:val="da-DK"/>
        </w:rPr>
        <w:t xml:space="preserve">Der rådes </w:t>
      </w:r>
      <w:r w:rsidR="008D0C37" w:rsidRPr="004C2A59">
        <w:rPr>
          <w:color w:val="000000"/>
          <w:sz w:val="22"/>
          <w:szCs w:val="22"/>
          <w:lang w:val="da-DK"/>
        </w:rPr>
        <w:t xml:space="preserve">derfor til </w:t>
      </w:r>
      <w:r w:rsidRPr="004C2A59">
        <w:rPr>
          <w:color w:val="000000"/>
          <w:sz w:val="22"/>
          <w:szCs w:val="22"/>
          <w:lang w:val="da-DK"/>
        </w:rPr>
        <w:t xml:space="preserve">forsigtighed, når </w:t>
      </w:r>
      <w:r w:rsidR="008A2253" w:rsidRPr="004C2A59">
        <w:rPr>
          <w:color w:val="000000"/>
          <w:sz w:val="22"/>
          <w:szCs w:val="22"/>
          <w:lang w:val="da-DK"/>
        </w:rPr>
        <w:t xml:space="preserve">høje doser </w:t>
      </w:r>
      <w:r w:rsidRPr="004C2A59">
        <w:rPr>
          <w:color w:val="000000"/>
          <w:sz w:val="22"/>
          <w:szCs w:val="22"/>
          <w:lang w:val="da-DK"/>
        </w:rPr>
        <w:t xml:space="preserve">Glivec </w:t>
      </w:r>
      <w:r w:rsidR="008A2253" w:rsidRPr="004C2A59">
        <w:rPr>
          <w:color w:val="000000"/>
          <w:sz w:val="22"/>
          <w:szCs w:val="22"/>
          <w:lang w:val="da-DK"/>
        </w:rPr>
        <w:t xml:space="preserve">og paracetamol </w:t>
      </w:r>
      <w:r w:rsidRPr="004C2A59">
        <w:rPr>
          <w:color w:val="000000"/>
          <w:sz w:val="22"/>
          <w:szCs w:val="22"/>
          <w:lang w:val="da-DK"/>
        </w:rPr>
        <w:t>anvendes sam</w:t>
      </w:r>
      <w:r w:rsidR="00E271C3" w:rsidRPr="004C2A59">
        <w:rPr>
          <w:color w:val="000000"/>
          <w:sz w:val="22"/>
          <w:szCs w:val="22"/>
          <w:lang w:val="da-DK"/>
        </w:rPr>
        <w:t>tidig</w:t>
      </w:r>
      <w:r w:rsidRPr="004C2A59">
        <w:rPr>
          <w:color w:val="000000"/>
          <w:sz w:val="22"/>
          <w:szCs w:val="22"/>
          <w:lang w:val="da-DK"/>
        </w:rPr>
        <w:t>.</w:t>
      </w:r>
    </w:p>
    <w:p w14:paraId="42C71815" w14:textId="77777777" w:rsidR="008F55CC" w:rsidRPr="004C2A59" w:rsidRDefault="008F55CC" w:rsidP="00421681">
      <w:pPr>
        <w:widowControl w:val="0"/>
        <w:rPr>
          <w:color w:val="000000"/>
          <w:sz w:val="22"/>
          <w:szCs w:val="22"/>
          <w:lang w:val="da-DK"/>
        </w:rPr>
      </w:pPr>
    </w:p>
    <w:p w14:paraId="6AF3B31F" w14:textId="77777777" w:rsidR="00CF6FAB" w:rsidRPr="004C2A59" w:rsidRDefault="008F55CC" w:rsidP="00421681">
      <w:pPr>
        <w:widowControl w:val="0"/>
        <w:rPr>
          <w:color w:val="000000"/>
          <w:sz w:val="22"/>
          <w:szCs w:val="22"/>
          <w:lang w:val="da-DK"/>
        </w:rPr>
      </w:pPr>
      <w:r w:rsidRPr="004C2A59">
        <w:rPr>
          <w:color w:val="000000"/>
          <w:sz w:val="22"/>
          <w:szCs w:val="22"/>
          <w:lang w:val="da-DK"/>
        </w:rPr>
        <w:t>P</w:t>
      </w:r>
      <w:r w:rsidR="00CF6FAB" w:rsidRPr="004C2A59">
        <w:rPr>
          <w:color w:val="000000"/>
          <w:sz w:val="22"/>
          <w:szCs w:val="22"/>
          <w:lang w:val="da-DK"/>
        </w:rPr>
        <w:t xml:space="preserve">lasmaeksponeringen af levothyroxin kan muligvis mindskes, når Glivec gives samtidig til thyreoidektomerede patienter (se pkt. 4.4). Det anbefales derfor at </w:t>
      </w:r>
      <w:r w:rsidR="00E11304" w:rsidRPr="004C2A59">
        <w:rPr>
          <w:color w:val="000000"/>
          <w:sz w:val="22"/>
          <w:szCs w:val="22"/>
          <w:lang w:val="da-DK"/>
        </w:rPr>
        <w:t>udvise</w:t>
      </w:r>
      <w:r w:rsidR="00CF6FAB" w:rsidRPr="004C2A59">
        <w:rPr>
          <w:color w:val="000000"/>
          <w:sz w:val="22"/>
          <w:szCs w:val="22"/>
          <w:lang w:val="da-DK"/>
        </w:rPr>
        <w:t xml:space="preserve"> forsigtighed. Mekanismen for den observerede interaktion er dog endnu ukendt.</w:t>
      </w:r>
    </w:p>
    <w:p w14:paraId="222B8FC5" w14:textId="77777777" w:rsidR="00CF6FAB" w:rsidRPr="004C2A59" w:rsidRDefault="00CF6FAB" w:rsidP="00421681">
      <w:pPr>
        <w:widowControl w:val="0"/>
        <w:rPr>
          <w:color w:val="000000"/>
          <w:sz w:val="22"/>
          <w:szCs w:val="22"/>
          <w:lang w:val="da-DK"/>
        </w:rPr>
      </w:pPr>
    </w:p>
    <w:p w14:paraId="7C37346E" w14:textId="77777777" w:rsidR="008E2585" w:rsidRPr="004C2A59" w:rsidRDefault="008E2585" w:rsidP="00421681">
      <w:pPr>
        <w:widowControl w:val="0"/>
        <w:rPr>
          <w:color w:val="000000"/>
          <w:sz w:val="22"/>
          <w:szCs w:val="22"/>
          <w:lang w:val="da-DK"/>
        </w:rPr>
      </w:pPr>
      <w:r w:rsidRPr="004C2A59">
        <w:rPr>
          <w:color w:val="000000"/>
          <w:sz w:val="22"/>
          <w:szCs w:val="22"/>
          <w:lang w:val="da-DK"/>
        </w:rPr>
        <w:t xml:space="preserve">Der er klinisk erfaring med administration af Glivec sammen med kemoterapi til patienter med Ph+ </w:t>
      </w:r>
      <w:smartTag w:uri="urn:schemas-microsoft-com:office:smarttags" w:element="metricconverter">
        <w:r w:rsidRPr="004C2A59">
          <w:rPr>
            <w:color w:val="000000"/>
            <w:sz w:val="22"/>
            <w:szCs w:val="22"/>
            <w:lang w:val="da-DK"/>
          </w:rPr>
          <w:t>ALL</w:t>
        </w:r>
      </w:smartTag>
      <w:r w:rsidRPr="004C2A59">
        <w:rPr>
          <w:color w:val="000000"/>
          <w:sz w:val="22"/>
          <w:szCs w:val="22"/>
          <w:lang w:val="da-DK"/>
        </w:rPr>
        <w:t>, men specifikke interaktionsstudier mellem imatinib og kemoterapiregimer er ikke tilstrækkeligt karakteriseret. Bivirkninger af imitanib f.eks. hepatotoksicitet, myelosuppression eller andre kan øges. Det er rapporteret, at samtidig brug med L-asparaginase kan være associeret med øget hepatotoksicitet (se pkt. 4.8). Brug af Glivec i denne kombination kræver derfor særlig forsigtighed.</w:t>
      </w:r>
    </w:p>
    <w:p w14:paraId="6CE3652E" w14:textId="77777777" w:rsidR="002524E8" w:rsidRPr="004C2A59" w:rsidRDefault="002524E8" w:rsidP="00421681">
      <w:pPr>
        <w:widowControl w:val="0"/>
        <w:rPr>
          <w:color w:val="000000"/>
          <w:sz w:val="22"/>
          <w:szCs w:val="22"/>
          <w:lang w:val="da-DK"/>
        </w:rPr>
      </w:pPr>
    </w:p>
    <w:p w14:paraId="6AAD946A" w14:textId="77777777" w:rsidR="00270C5A" w:rsidRPr="004C2A59" w:rsidRDefault="00270C5A" w:rsidP="006C180B">
      <w:pPr>
        <w:keepNext/>
        <w:widowControl w:val="0"/>
        <w:suppressAutoHyphens/>
        <w:ind w:left="567" w:hanging="567"/>
        <w:rPr>
          <w:b/>
          <w:color w:val="000000"/>
          <w:sz w:val="22"/>
          <w:szCs w:val="22"/>
          <w:lang w:val="da-DK"/>
        </w:rPr>
      </w:pPr>
      <w:r w:rsidRPr="004C2A59">
        <w:rPr>
          <w:b/>
          <w:color w:val="000000"/>
          <w:sz w:val="22"/>
          <w:szCs w:val="22"/>
          <w:lang w:val="da-DK"/>
        </w:rPr>
        <w:t>4.6</w:t>
      </w:r>
      <w:r w:rsidRPr="004C2A59">
        <w:rPr>
          <w:b/>
          <w:color w:val="000000"/>
          <w:sz w:val="22"/>
          <w:szCs w:val="22"/>
          <w:lang w:val="da-DK"/>
        </w:rPr>
        <w:tab/>
      </w:r>
      <w:r w:rsidR="008F6A94" w:rsidRPr="004C2A59">
        <w:rPr>
          <w:b/>
          <w:color w:val="000000"/>
          <w:sz w:val="22"/>
          <w:szCs w:val="22"/>
          <w:lang w:val="da-DK"/>
        </w:rPr>
        <w:t>Fertilitet, g</w:t>
      </w:r>
      <w:r w:rsidRPr="004C2A59">
        <w:rPr>
          <w:b/>
          <w:color w:val="000000"/>
          <w:sz w:val="22"/>
          <w:szCs w:val="22"/>
          <w:lang w:val="da-DK"/>
        </w:rPr>
        <w:t>raviditet og amning</w:t>
      </w:r>
    </w:p>
    <w:p w14:paraId="20238658" w14:textId="77777777" w:rsidR="00270C5A" w:rsidRPr="004C2A59" w:rsidRDefault="00270C5A" w:rsidP="006C180B">
      <w:pPr>
        <w:keepNext/>
        <w:widowControl w:val="0"/>
        <w:suppressAutoHyphens/>
        <w:ind w:left="567" w:hanging="567"/>
        <w:rPr>
          <w:color w:val="000000"/>
          <w:sz w:val="22"/>
          <w:szCs w:val="22"/>
          <w:lang w:val="da-DK"/>
        </w:rPr>
      </w:pPr>
    </w:p>
    <w:p w14:paraId="0DE59DA9" w14:textId="77777777" w:rsidR="00E53600" w:rsidRPr="004C2A59" w:rsidRDefault="00E53600" w:rsidP="006C180B">
      <w:pPr>
        <w:pStyle w:val="BodyTextIndent2"/>
        <w:keepNext/>
        <w:widowControl w:val="0"/>
        <w:ind w:left="0" w:firstLine="0"/>
        <w:rPr>
          <w:color w:val="000000"/>
          <w:szCs w:val="22"/>
          <w:u w:val="single"/>
        </w:rPr>
      </w:pPr>
      <w:r w:rsidRPr="004C2A59">
        <w:rPr>
          <w:color w:val="000000"/>
          <w:szCs w:val="22"/>
          <w:u w:val="single"/>
        </w:rPr>
        <w:t>Kvinder i den fertile alder</w:t>
      </w:r>
    </w:p>
    <w:p w14:paraId="30585590" w14:textId="611255FB" w:rsidR="00E53600" w:rsidRPr="004C2A59" w:rsidRDefault="00E53600" w:rsidP="00421681">
      <w:pPr>
        <w:pStyle w:val="BodyTextIndent2"/>
        <w:widowControl w:val="0"/>
        <w:ind w:left="0" w:firstLine="0"/>
        <w:rPr>
          <w:color w:val="000000"/>
          <w:szCs w:val="22"/>
        </w:rPr>
      </w:pPr>
      <w:r w:rsidRPr="004C2A59">
        <w:rPr>
          <w:color w:val="000000"/>
          <w:szCs w:val="22"/>
        </w:rPr>
        <w:t>Kvinder i den fertile alder skal tilrådes at anvende sikker kontraception under behandlingen</w:t>
      </w:r>
      <w:r w:rsidR="007C7785">
        <w:rPr>
          <w:color w:val="000000"/>
          <w:szCs w:val="22"/>
        </w:rPr>
        <w:t xml:space="preserve"> og i mindst 15 dage efter ophør af behandlingen med Glivec.</w:t>
      </w:r>
    </w:p>
    <w:p w14:paraId="47D733E1" w14:textId="77777777" w:rsidR="00E53600" w:rsidRPr="004C2A59" w:rsidRDefault="00E53600" w:rsidP="00421681">
      <w:pPr>
        <w:pStyle w:val="BodyTextIndent2"/>
        <w:widowControl w:val="0"/>
        <w:ind w:left="0" w:firstLine="0"/>
        <w:rPr>
          <w:color w:val="000000"/>
          <w:szCs w:val="22"/>
        </w:rPr>
      </w:pPr>
    </w:p>
    <w:p w14:paraId="25EE0BEB" w14:textId="77777777" w:rsidR="00270C5A" w:rsidRPr="004C2A59" w:rsidRDefault="00270C5A" w:rsidP="006C180B">
      <w:pPr>
        <w:keepNext/>
        <w:widowControl w:val="0"/>
        <w:suppressAutoHyphens/>
        <w:ind w:left="567" w:hanging="567"/>
        <w:rPr>
          <w:color w:val="000000"/>
          <w:sz w:val="22"/>
          <w:szCs w:val="22"/>
          <w:u w:val="single"/>
          <w:lang w:val="da-DK"/>
        </w:rPr>
      </w:pPr>
      <w:r w:rsidRPr="004C2A59">
        <w:rPr>
          <w:color w:val="000000"/>
          <w:sz w:val="22"/>
          <w:szCs w:val="22"/>
          <w:u w:val="single"/>
          <w:lang w:val="da-DK"/>
        </w:rPr>
        <w:t>Graviditet</w:t>
      </w:r>
    </w:p>
    <w:p w14:paraId="384BED4B" w14:textId="77777777" w:rsidR="00C80FB0" w:rsidRPr="004C2A59" w:rsidRDefault="00270C5A" w:rsidP="00421681">
      <w:pPr>
        <w:pStyle w:val="BodyTextIndent2"/>
        <w:widowControl w:val="0"/>
        <w:ind w:left="0" w:firstLine="0"/>
        <w:rPr>
          <w:color w:val="000000"/>
          <w:szCs w:val="22"/>
        </w:rPr>
      </w:pPr>
      <w:r w:rsidRPr="004C2A59">
        <w:rPr>
          <w:color w:val="000000"/>
          <w:szCs w:val="22"/>
        </w:rPr>
        <w:t xml:space="preserve">Der er </w:t>
      </w:r>
      <w:r w:rsidR="007853D4" w:rsidRPr="004C2A59">
        <w:rPr>
          <w:color w:val="000000"/>
          <w:szCs w:val="22"/>
        </w:rPr>
        <w:t>utilstrækkelige</w:t>
      </w:r>
      <w:r w:rsidRPr="004C2A59">
        <w:rPr>
          <w:color w:val="000000"/>
          <w:szCs w:val="22"/>
        </w:rPr>
        <w:t xml:space="preserve"> data </w:t>
      </w:r>
      <w:r w:rsidR="007853D4" w:rsidRPr="004C2A59">
        <w:rPr>
          <w:color w:val="000000"/>
          <w:szCs w:val="22"/>
        </w:rPr>
        <w:t>fra anvendelse</w:t>
      </w:r>
      <w:r w:rsidRPr="004C2A59">
        <w:rPr>
          <w:color w:val="000000"/>
          <w:szCs w:val="22"/>
        </w:rPr>
        <w:t xml:space="preserve"> af imatinib </w:t>
      </w:r>
      <w:r w:rsidR="007853D4" w:rsidRPr="004C2A59">
        <w:rPr>
          <w:color w:val="000000"/>
          <w:szCs w:val="22"/>
        </w:rPr>
        <w:t>til</w:t>
      </w:r>
      <w:r w:rsidRPr="004C2A59">
        <w:rPr>
          <w:color w:val="000000"/>
          <w:szCs w:val="22"/>
        </w:rPr>
        <w:t xml:space="preserve"> gravide kvinder. </w:t>
      </w:r>
      <w:r w:rsidR="00B375FD">
        <w:rPr>
          <w:color w:val="000000"/>
          <w:szCs w:val="22"/>
        </w:rPr>
        <w:t xml:space="preserve">Der har efter markedsføring været rapporter om spontane aborter og medfødte abnormaliteter hos spædbørn født af kvinder, som har taget Glivec. </w:t>
      </w:r>
      <w:r w:rsidRPr="004C2A59">
        <w:rPr>
          <w:color w:val="000000"/>
          <w:szCs w:val="22"/>
        </w:rPr>
        <w:t>Dyre</w:t>
      </w:r>
      <w:r w:rsidR="003F4BDF" w:rsidRPr="004C2A59">
        <w:rPr>
          <w:color w:val="000000"/>
          <w:szCs w:val="22"/>
        </w:rPr>
        <w:t>forsøg</w:t>
      </w:r>
      <w:r w:rsidRPr="004C2A59">
        <w:rPr>
          <w:color w:val="000000"/>
          <w:szCs w:val="22"/>
        </w:rPr>
        <w:t xml:space="preserve"> har</w:t>
      </w:r>
      <w:r w:rsidR="00C80FB0" w:rsidRPr="004C2A59">
        <w:rPr>
          <w:color w:val="000000"/>
          <w:szCs w:val="22"/>
        </w:rPr>
        <w:t xml:space="preserve"> dog</w:t>
      </w:r>
      <w:r w:rsidRPr="004C2A59">
        <w:rPr>
          <w:color w:val="000000"/>
          <w:szCs w:val="22"/>
        </w:rPr>
        <w:t xml:space="preserve"> påvist reproduktionstoksicitet (se </w:t>
      </w:r>
      <w:r w:rsidR="003B2976" w:rsidRPr="004C2A59">
        <w:rPr>
          <w:color w:val="000000"/>
          <w:szCs w:val="22"/>
        </w:rPr>
        <w:t>pkt.</w:t>
      </w:r>
      <w:r w:rsidRPr="004C2A59">
        <w:rPr>
          <w:color w:val="000000"/>
          <w:szCs w:val="22"/>
        </w:rPr>
        <w:t xml:space="preserve"> 5.3)</w:t>
      </w:r>
      <w:r w:rsidR="003F4BDF" w:rsidRPr="004C2A59">
        <w:rPr>
          <w:color w:val="000000"/>
          <w:szCs w:val="22"/>
        </w:rPr>
        <w:t>.</w:t>
      </w:r>
      <w:r w:rsidRPr="004C2A59">
        <w:rPr>
          <w:color w:val="000000"/>
          <w:szCs w:val="22"/>
        </w:rPr>
        <w:t xml:space="preserve"> </w:t>
      </w:r>
      <w:r w:rsidR="003F4BDF" w:rsidRPr="004C2A59">
        <w:rPr>
          <w:color w:val="000000"/>
          <w:szCs w:val="22"/>
        </w:rPr>
        <w:t>D</w:t>
      </w:r>
      <w:r w:rsidRPr="004C2A59">
        <w:rPr>
          <w:color w:val="000000"/>
          <w:szCs w:val="22"/>
        </w:rPr>
        <w:t>en potentielle risiko for fostret er ukendt. Glivec bør ikke anvendes under graviditet</w:t>
      </w:r>
      <w:r w:rsidR="00C80FB0" w:rsidRPr="004C2A59">
        <w:rPr>
          <w:color w:val="000000"/>
          <w:szCs w:val="22"/>
        </w:rPr>
        <w:t>en</w:t>
      </w:r>
      <w:r w:rsidRPr="004C2A59">
        <w:rPr>
          <w:color w:val="000000"/>
          <w:szCs w:val="22"/>
        </w:rPr>
        <w:t xml:space="preserve">, medmindre det </w:t>
      </w:r>
      <w:r w:rsidR="003F4BDF" w:rsidRPr="004C2A59">
        <w:rPr>
          <w:color w:val="000000"/>
          <w:szCs w:val="22"/>
        </w:rPr>
        <w:t>er klart</w:t>
      </w:r>
      <w:r w:rsidRPr="004C2A59">
        <w:rPr>
          <w:color w:val="000000"/>
          <w:szCs w:val="22"/>
        </w:rPr>
        <w:t xml:space="preserve"> nødvendigt. Hvis Glivec anvendes under graviditet, </w:t>
      </w:r>
      <w:r w:rsidR="007853D4" w:rsidRPr="004C2A59">
        <w:rPr>
          <w:color w:val="000000"/>
          <w:szCs w:val="22"/>
        </w:rPr>
        <w:t>skal</w:t>
      </w:r>
      <w:r w:rsidRPr="004C2A59">
        <w:rPr>
          <w:color w:val="000000"/>
          <w:szCs w:val="22"/>
        </w:rPr>
        <w:t xml:space="preserve"> patienten informeres om den potentielle risiko for fostret.</w:t>
      </w:r>
    </w:p>
    <w:p w14:paraId="53DB358E" w14:textId="77777777" w:rsidR="00972A6F" w:rsidRPr="004C2A59" w:rsidRDefault="00972A6F" w:rsidP="00421681">
      <w:pPr>
        <w:pStyle w:val="BodyTextIndent2"/>
        <w:widowControl w:val="0"/>
        <w:ind w:left="0" w:firstLine="0"/>
        <w:rPr>
          <w:color w:val="000000"/>
          <w:szCs w:val="22"/>
        </w:rPr>
      </w:pPr>
    </w:p>
    <w:p w14:paraId="1BA2643A" w14:textId="77777777" w:rsidR="00270C5A" w:rsidRPr="004C2A59" w:rsidRDefault="00270C5A" w:rsidP="006C180B">
      <w:pPr>
        <w:pStyle w:val="BodyTextIndent2"/>
        <w:keepNext/>
        <w:widowControl w:val="0"/>
        <w:ind w:left="0" w:firstLine="0"/>
        <w:rPr>
          <w:color w:val="000000"/>
          <w:szCs w:val="22"/>
          <w:u w:val="single"/>
        </w:rPr>
      </w:pPr>
      <w:r w:rsidRPr="004C2A59">
        <w:rPr>
          <w:color w:val="000000"/>
          <w:szCs w:val="22"/>
          <w:u w:val="single"/>
        </w:rPr>
        <w:t>Amning</w:t>
      </w:r>
    </w:p>
    <w:p w14:paraId="3FEBBE2A" w14:textId="290F835D" w:rsidR="003036A9" w:rsidRPr="004C2A59" w:rsidRDefault="00954D2B" w:rsidP="00421681">
      <w:pPr>
        <w:pStyle w:val="BodyTextIndent2"/>
        <w:widowControl w:val="0"/>
        <w:ind w:left="0" w:firstLine="0"/>
      </w:pPr>
      <w:r w:rsidRPr="004C2A59">
        <w:rPr>
          <w:color w:val="000000"/>
          <w:szCs w:val="22"/>
        </w:rPr>
        <w:t xml:space="preserve">Der er begrænset information </w:t>
      </w:r>
      <w:r w:rsidR="0007130C" w:rsidRPr="004C2A59">
        <w:rPr>
          <w:color w:val="000000"/>
          <w:szCs w:val="22"/>
        </w:rPr>
        <w:t>om</w:t>
      </w:r>
      <w:r w:rsidR="0030708B" w:rsidRPr="004C2A59">
        <w:rPr>
          <w:color w:val="000000"/>
          <w:szCs w:val="22"/>
        </w:rPr>
        <w:t xml:space="preserve"> fordelingen af imatinib</w:t>
      </w:r>
      <w:r w:rsidRPr="004C2A59">
        <w:rPr>
          <w:color w:val="000000"/>
          <w:szCs w:val="22"/>
        </w:rPr>
        <w:t xml:space="preserve"> i</w:t>
      </w:r>
      <w:r w:rsidR="00F451C2" w:rsidRPr="004C2A59">
        <w:rPr>
          <w:color w:val="000000"/>
          <w:szCs w:val="22"/>
        </w:rPr>
        <w:t xml:space="preserve"> human </w:t>
      </w:r>
      <w:r w:rsidRPr="004C2A59">
        <w:rPr>
          <w:color w:val="000000"/>
          <w:szCs w:val="22"/>
        </w:rPr>
        <w:t xml:space="preserve">mælk. Studier </w:t>
      </w:r>
      <w:r w:rsidR="00F451C2" w:rsidRPr="004C2A59">
        <w:rPr>
          <w:color w:val="000000"/>
          <w:szCs w:val="22"/>
        </w:rPr>
        <w:t>med</w:t>
      </w:r>
      <w:r w:rsidRPr="004C2A59">
        <w:rPr>
          <w:color w:val="000000"/>
          <w:szCs w:val="22"/>
        </w:rPr>
        <w:t xml:space="preserve"> to ammende kvinder </w:t>
      </w:r>
      <w:r w:rsidR="00E519E9" w:rsidRPr="004C2A59">
        <w:rPr>
          <w:color w:val="000000"/>
          <w:szCs w:val="22"/>
        </w:rPr>
        <w:t xml:space="preserve">viste, </w:t>
      </w:r>
      <w:r w:rsidRPr="004C2A59">
        <w:rPr>
          <w:color w:val="000000"/>
          <w:szCs w:val="22"/>
        </w:rPr>
        <w:t>at b</w:t>
      </w:r>
      <w:r w:rsidR="003036A9" w:rsidRPr="004C2A59">
        <w:rPr>
          <w:color w:val="000000"/>
          <w:szCs w:val="22"/>
        </w:rPr>
        <w:t>åde imatinib og dets aktive metabolit kan udskil</w:t>
      </w:r>
      <w:r w:rsidR="00F568E5" w:rsidRPr="004C2A59">
        <w:rPr>
          <w:color w:val="000000"/>
          <w:szCs w:val="22"/>
        </w:rPr>
        <w:t>les</w:t>
      </w:r>
      <w:r w:rsidR="003036A9" w:rsidRPr="004C2A59">
        <w:rPr>
          <w:color w:val="000000"/>
          <w:szCs w:val="22"/>
        </w:rPr>
        <w:t xml:space="preserve"> i </w:t>
      </w:r>
      <w:r w:rsidR="00F451C2" w:rsidRPr="004C2A59">
        <w:rPr>
          <w:color w:val="000000"/>
          <w:szCs w:val="22"/>
        </w:rPr>
        <w:t xml:space="preserve">human </w:t>
      </w:r>
      <w:r w:rsidR="003036A9" w:rsidRPr="004C2A59">
        <w:rPr>
          <w:color w:val="000000"/>
          <w:szCs w:val="22"/>
        </w:rPr>
        <w:t>mælk. Mælk/plasma</w:t>
      </w:r>
      <w:r w:rsidR="00F451C2" w:rsidRPr="004C2A59">
        <w:rPr>
          <w:color w:val="000000"/>
          <w:szCs w:val="22"/>
        </w:rPr>
        <w:t>-</w:t>
      </w:r>
      <w:r w:rsidR="003036A9" w:rsidRPr="004C2A59">
        <w:rPr>
          <w:color w:val="000000"/>
          <w:szCs w:val="22"/>
        </w:rPr>
        <w:t>ratio</w:t>
      </w:r>
      <w:r w:rsidR="00133FCC" w:rsidRPr="004C2A59">
        <w:rPr>
          <w:color w:val="000000"/>
          <w:szCs w:val="22"/>
        </w:rPr>
        <w:t xml:space="preserve"> </w:t>
      </w:r>
      <w:r w:rsidR="00D87F4A" w:rsidRPr="004C2A59">
        <w:rPr>
          <w:color w:val="000000"/>
          <w:szCs w:val="22"/>
        </w:rPr>
        <w:t xml:space="preserve">undersøgt i en enkelt patient </w:t>
      </w:r>
      <w:r w:rsidR="003036A9" w:rsidRPr="004C2A59">
        <w:rPr>
          <w:color w:val="000000"/>
          <w:szCs w:val="22"/>
        </w:rPr>
        <w:t xml:space="preserve">blev bestemt </w:t>
      </w:r>
      <w:r w:rsidR="00145808" w:rsidRPr="004C2A59">
        <w:rPr>
          <w:color w:val="000000"/>
          <w:szCs w:val="22"/>
        </w:rPr>
        <w:t xml:space="preserve">til </w:t>
      </w:r>
      <w:r w:rsidR="003036A9" w:rsidRPr="004C2A59">
        <w:rPr>
          <w:color w:val="000000"/>
          <w:szCs w:val="22"/>
        </w:rPr>
        <w:t>at være 0,5 for imatinib og 0,9 for metabolit</w:t>
      </w:r>
      <w:r w:rsidR="00E24234" w:rsidRPr="004C2A59">
        <w:rPr>
          <w:color w:val="000000"/>
          <w:szCs w:val="22"/>
        </w:rPr>
        <w:t>t</w:t>
      </w:r>
      <w:r w:rsidR="003036A9" w:rsidRPr="004C2A59">
        <w:rPr>
          <w:color w:val="000000"/>
          <w:szCs w:val="22"/>
        </w:rPr>
        <w:t xml:space="preserve">en, hvilket tyder på en større </w:t>
      </w:r>
      <w:r w:rsidR="00F451C2" w:rsidRPr="004C2A59">
        <w:rPr>
          <w:color w:val="000000"/>
          <w:szCs w:val="22"/>
        </w:rPr>
        <w:t>udskillelse</w:t>
      </w:r>
      <w:r w:rsidR="003036A9" w:rsidRPr="004C2A59">
        <w:rPr>
          <w:color w:val="000000"/>
          <w:szCs w:val="22"/>
        </w:rPr>
        <w:t xml:space="preserve"> af metabolit</w:t>
      </w:r>
      <w:r w:rsidR="00E519E9" w:rsidRPr="004C2A59">
        <w:rPr>
          <w:color w:val="000000"/>
          <w:szCs w:val="22"/>
        </w:rPr>
        <w:t>t</w:t>
      </w:r>
      <w:r w:rsidR="003036A9" w:rsidRPr="004C2A59">
        <w:rPr>
          <w:color w:val="000000"/>
          <w:szCs w:val="22"/>
        </w:rPr>
        <w:t xml:space="preserve">en i mælk. </w:t>
      </w:r>
      <w:r w:rsidR="004D0A0C" w:rsidRPr="004C2A59">
        <w:rPr>
          <w:color w:val="000000"/>
          <w:szCs w:val="22"/>
        </w:rPr>
        <w:t>D</w:t>
      </w:r>
      <w:r w:rsidR="003036A9" w:rsidRPr="004C2A59">
        <w:rPr>
          <w:color w:val="000000"/>
          <w:szCs w:val="22"/>
        </w:rPr>
        <w:t xml:space="preserve">en </w:t>
      </w:r>
      <w:r w:rsidR="00E519E9" w:rsidRPr="004C2A59">
        <w:rPr>
          <w:color w:val="000000"/>
          <w:szCs w:val="22"/>
        </w:rPr>
        <w:t>totale</w:t>
      </w:r>
      <w:r w:rsidR="003036A9" w:rsidRPr="004C2A59">
        <w:rPr>
          <w:color w:val="000000"/>
          <w:szCs w:val="22"/>
        </w:rPr>
        <w:t xml:space="preserve"> koncentration af imatinib og metaboli</w:t>
      </w:r>
      <w:r w:rsidR="00145808" w:rsidRPr="004C2A59">
        <w:rPr>
          <w:color w:val="000000"/>
          <w:szCs w:val="22"/>
        </w:rPr>
        <w:t>t</w:t>
      </w:r>
      <w:r w:rsidR="003036A9" w:rsidRPr="004C2A59">
        <w:rPr>
          <w:color w:val="000000"/>
          <w:szCs w:val="22"/>
        </w:rPr>
        <w:t xml:space="preserve">ten og </w:t>
      </w:r>
      <w:r w:rsidR="00F841A5" w:rsidRPr="004C2A59">
        <w:rPr>
          <w:color w:val="000000"/>
          <w:szCs w:val="22"/>
        </w:rPr>
        <w:t>spæd</w:t>
      </w:r>
      <w:r w:rsidR="003036A9" w:rsidRPr="004C2A59">
        <w:rPr>
          <w:color w:val="000000"/>
          <w:szCs w:val="22"/>
        </w:rPr>
        <w:t>børns maksimale daglige indtag</w:t>
      </w:r>
      <w:r w:rsidR="00E519E9" w:rsidRPr="004C2A59">
        <w:rPr>
          <w:color w:val="000000"/>
          <w:szCs w:val="22"/>
        </w:rPr>
        <w:t>else</w:t>
      </w:r>
      <w:r w:rsidR="003036A9" w:rsidRPr="004C2A59">
        <w:rPr>
          <w:color w:val="000000"/>
          <w:szCs w:val="22"/>
        </w:rPr>
        <w:t xml:space="preserve"> af mælk</w:t>
      </w:r>
      <w:r w:rsidR="00F841A5" w:rsidRPr="004C2A59">
        <w:rPr>
          <w:color w:val="000000"/>
          <w:szCs w:val="22"/>
        </w:rPr>
        <w:t xml:space="preserve"> </w:t>
      </w:r>
      <w:r w:rsidR="004D0A0C" w:rsidRPr="004C2A59">
        <w:rPr>
          <w:color w:val="000000"/>
          <w:szCs w:val="22"/>
        </w:rPr>
        <w:t>taget i betragtning</w:t>
      </w:r>
      <w:r w:rsidR="00F451C2" w:rsidRPr="004C2A59">
        <w:rPr>
          <w:color w:val="000000"/>
          <w:szCs w:val="22"/>
        </w:rPr>
        <w:t xml:space="preserve"> </w:t>
      </w:r>
      <w:r w:rsidR="00F841A5" w:rsidRPr="004C2A59">
        <w:rPr>
          <w:color w:val="000000"/>
          <w:szCs w:val="22"/>
        </w:rPr>
        <w:t>forvente</w:t>
      </w:r>
      <w:r w:rsidR="00F451C2" w:rsidRPr="004C2A59">
        <w:rPr>
          <w:color w:val="000000"/>
          <w:szCs w:val="22"/>
        </w:rPr>
        <w:t>s det</w:t>
      </w:r>
      <w:r w:rsidR="004D0A0C" w:rsidRPr="004C2A59">
        <w:rPr>
          <w:color w:val="000000"/>
          <w:szCs w:val="22"/>
        </w:rPr>
        <w:t>,</w:t>
      </w:r>
      <w:r w:rsidR="00F841A5" w:rsidRPr="004C2A59">
        <w:rPr>
          <w:color w:val="000000"/>
          <w:szCs w:val="22"/>
        </w:rPr>
        <w:t xml:space="preserve"> at den totale eksponering er lav (</w:t>
      </w:r>
      <w:r w:rsidR="00F841A5" w:rsidRPr="004C2A59">
        <w:t xml:space="preserve">~10% af den terapeutiske dosis). Da effekten af lavdosiseksponering </w:t>
      </w:r>
      <w:r w:rsidR="00142B14" w:rsidRPr="004C2A59">
        <w:t>af ima</w:t>
      </w:r>
      <w:r w:rsidR="00F841A5" w:rsidRPr="004C2A59">
        <w:t xml:space="preserve">tinib hos spædbarnet er ukendt, bør </w:t>
      </w:r>
      <w:r w:rsidR="004D0A0C" w:rsidRPr="004C2A59">
        <w:t>kvinder</w:t>
      </w:r>
      <w:r w:rsidR="007C7785">
        <w:t xml:space="preserve"> </w:t>
      </w:r>
      <w:r w:rsidR="00F841A5" w:rsidRPr="004C2A59">
        <w:t>ikke amme</w:t>
      </w:r>
      <w:r w:rsidR="007C7785">
        <w:t xml:space="preserve"> under behandlingen og i </w:t>
      </w:r>
      <w:r w:rsidR="00243071">
        <w:t xml:space="preserve">mindst </w:t>
      </w:r>
      <w:r w:rsidR="007C7785">
        <w:t>15 dage efter ophør af behandlingen med Glivec</w:t>
      </w:r>
      <w:r w:rsidR="00F841A5" w:rsidRPr="004C2A59">
        <w:t>.</w:t>
      </w:r>
    </w:p>
    <w:p w14:paraId="51EB3AD5" w14:textId="77777777" w:rsidR="007548B6" w:rsidRPr="004C2A59" w:rsidRDefault="007548B6" w:rsidP="00421681">
      <w:pPr>
        <w:pStyle w:val="BodyTextIndent2"/>
        <w:widowControl w:val="0"/>
        <w:ind w:left="0" w:firstLine="0"/>
      </w:pPr>
    </w:p>
    <w:p w14:paraId="483CD498" w14:textId="77777777" w:rsidR="00C80FB0" w:rsidRPr="004C2A59" w:rsidRDefault="00C80FB0" w:rsidP="006C180B">
      <w:pPr>
        <w:pStyle w:val="EndnoteText"/>
        <w:keepNext/>
        <w:tabs>
          <w:tab w:val="clear" w:pos="567"/>
        </w:tabs>
        <w:rPr>
          <w:color w:val="000000"/>
          <w:szCs w:val="22"/>
          <w:u w:val="single"/>
        </w:rPr>
      </w:pPr>
      <w:r w:rsidRPr="004C2A59">
        <w:rPr>
          <w:color w:val="000000"/>
          <w:szCs w:val="22"/>
          <w:u w:val="single"/>
        </w:rPr>
        <w:t>Fertilitet</w:t>
      </w:r>
    </w:p>
    <w:p w14:paraId="60B4B58A" w14:textId="532F61F9" w:rsidR="00C80FB0" w:rsidRPr="004C2A59" w:rsidRDefault="007548B6" w:rsidP="00421681">
      <w:pPr>
        <w:pStyle w:val="BodyTextIndent2"/>
        <w:widowControl w:val="0"/>
        <w:ind w:left="0" w:firstLine="0"/>
        <w:rPr>
          <w:color w:val="000000"/>
          <w:szCs w:val="22"/>
        </w:rPr>
      </w:pPr>
      <w:r w:rsidRPr="004C2A59">
        <w:rPr>
          <w:color w:val="000000"/>
          <w:szCs w:val="22"/>
        </w:rPr>
        <w:t xml:space="preserve">I </w:t>
      </w:r>
      <w:r w:rsidR="007853D4" w:rsidRPr="004C2A59">
        <w:rPr>
          <w:color w:val="000000"/>
          <w:szCs w:val="22"/>
        </w:rPr>
        <w:t>præ</w:t>
      </w:r>
      <w:r w:rsidRPr="004C2A59">
        <w:rPr>
          <w:color w:val="000000"/>
          <w:szCs w:val="22"/>
        </w:rPr>
        <w:t xml:space="preserve">kliniske studier var fertiliteten </w:t>
      </w:r>
      <w:r w:rsidR="00BD52CE" w:rsidRPr="004C2A59">
        <w:rPr>
          <w:color w:val="000000"/>
          <w:szCs w:val="22"/>
        </w:rPr>
        <w:t>hos</w:t>
      </w:r>
      <w:r w:rsidRPr="004C2A59">
        <w:rPr>
          <w:color w:val="000000"/>
          <w:szCs w:val="22"/>
        </w:rPr>
        <w:t xml:space="preserve"> han- og hunrotter ikke påvirket</w:t>
      </w:r>
      <w:r w:rsidR="00243071">
        <w:rPr>
          <w:color w:val="000000"/>
          <w:szCs w:val="22"/>
        </w:rPr>
        <w:t xml:space="preserve">, selvom der blev observeret </w:t>
      </w:r>
      <w:r w:rsidR="00666DEF" w:rsidRPr="00F93637">
        <w:rPr>
          <w:color w:val="000000"/>
          <w:szCs w:val="22"/>
        </w:rPr>
        <w:t>påvirkning</w:t>
      </w:r>
      <w:r w:rsidR="00243071" w:rsidRPr="00F93637">
        <w:rPr>
          <w:color w:val="000000"/>
          <w:szCs w:val="22"/>
        </w:rPr>
        <w:t xml:space="preserve"> af reproduktionsparametre</w:t>
      </w:r>
      <w:r w:rsidRPr="004C2A59">
        <w:rPr>
          <w:color w:val="000000"/>
          <w:szCs w:val="22"/>
        </w:rPr>
        <w:t xml:space="preserve"> (se pkt. 5.3). Der er ikke udført studier med patienter, der </w:t>
      </w:r>
      <w:r w:rsidR="00FA6433" w:rsidRPr="004C2A59">
        <w:rPr>
          <w:color w:val="000000"/>
          <w:szCs w:val="22"/>
        </w:rPr>
        <w:t>fik</w:t>
      </w:r>
      <w:r w:rsidRPr="004C2A59">
        <w:rPr>
          <w:color w:val="000000"/>
          <w:szCs w:val="22"/>
        </w:rPr>
        <w:t xml:space="preserve"> Glivec, og dets </w:t>
      </w:r>
      <w:r w:rsidR="00FA6433" w:rsidRPr="004C2A59">
        <w:rPr>
          <w:color w:val="000000"/>
          <w:szCs w:val="22"/>
        </w:rPr>
        <w:t>virkning</w:t>
      </w:r>
      <w:r w:rsidRPr="004C2A59">
        <w:rPr>
          <w:color w:val="000000"/>
          <w:szCs w:val="22"/>
        </w:rPr>
        <w:t xml:space="preserve"> på fertilitet og gametogenese. P</w:t>
      </w:r>
      <w:r w:rsidR="00C80FB0" w:rsidRPr="004C2A59">
        <w:rPr>
          <w:color w:val="000000"/>
          <w:szCs w:val="22"/>
        </w:rPr>
        <w:t>atienter, der bekymrer sig om deres fertilitet under Glivec</w:t>
      </w:r>
      <w:r w:rsidR="00FA6433" w:rsidRPr="004C2A59">
        <w:rPr>
          <w:color w:val="000000"/>
          <w:szCs w:val="22"/>
        </w:rPr>
        <w:t>-</w:t>
      </w:r>
      <w:r w:rsidR="00C80FB0" w:rsidRPr="004C2A59">
        <w:rPr>
          <w:color w:val="000000"/>
          <w:szCs w:val="22"/>
        </w:rPr>
        <w:t>behandling, bør konsultere deres læge.</w:t>
      </w:r>
    </w:p>
    <w:p w14:paraId="0FA565AC" w14:textId="77777777" w:rsidR="00270C5A" w:rsidRPr="004C2A59" w:rsidRDefault="00270C5A" w:rsidP="00421681">
      <w:pPr>
        <w:pStyle w:val="EndnoteText"/>
        <w:tabs>
          <w:tab w:val="clear" w:pos="567"/>
        </w:tabs>
        <w:rPr>
          <w:color w:val="000000"/>
          <w:szCs w:val="22"/>
        </w:rPr>
      </w:pPr>
    </w:p>
    <w:p w14:paraId="573A3899" w14:textId="77777777" w:rsidR="00270C5A" w:rsidRPr="004C2A59" w:rsidRDefault="00270C5A" w:rsidP="006C180B">
      <w:pPr>
        <w:keepNext/>
        <w:widowControl w:val="0"/>
        <w:suppressAutoHyphens/>
        <w:ind w:left="570" w:hanging="570"/>
        <w:rPr>
          <w:color w:val="000000"/>
          <w:sz w:val="22"/>
          <w:szCs w:val="22"/>
          <w:lang w:val="da-DK"/>
        </w:rPr>
      </w:pPr>
      <w:r w:rsidRPr="004C2A59">
        <w:rPr>
          <w:b/>
          <w:color w:val="000000"/>
          <w:sz w:val="22"/>
          <w:szCs w:val="22"/>
          <w:lang w:val="da-DK"/>
        </w:rPr>
        <w:lastRenderedPageBreak/>
        <w:t>4.7</w:t>
      </w:r>
      <w:r w:rsidRPr="004C2A59">
        <w:rPr>
          <w:b/>
          <w:color w:val="000000"/>
          <w:sz w:val="22"/>
          <w:szCs w:val="22"/>
          <w:lang w:val="da-DK"/>
        </w:rPr>
        <w:tab/>
        <w:t xml:space="preserve">Virkning på evnen til at føre motorkøretøj </w:t>
      </w:r>
      <w:r w:rsidR="00E53600" w:rsidRPr="004C2A59">
        <w:rPr>
          <w:b/>
          <w:color w:val="000000"/>
          <w:sz w:val="22"/>
          <w:szCs w:val="22"/>
          <w:lang w:val="da-DK"/>
        </w:rPr>
        <w:t xml:space="preserve">og </w:t>
      </w:r>
      <w:r w:rsidRPr="004C2A59">
        <w:rPr>
          <w:b/>
          <w:color w:val="000000"/>
          <w:sz w:val="22"/>
          <w:szCs w:val="22"/>
          <w:lang w:val="da-DK"/>
        </w:rPr>
        <w:t>betjene maskiner</w:t>
      </w:r>
    </w:p>
    <w:p w14:paraId="6F9A1980" w14:textId="77777777" w:rsidR="00321C5F" w:rsidRPr="004C2A59" w:rsidRDefault="00321C5F" w:rsidP="006C180B">
      <w:pPr>
        <w:pStyle w:val="EndnoteText"/>
        <w:keepNext/>
        <w:tabs>
          <w:tab w:val="clear" w:pos="567"/>
        </w:tabs>
        <w:rPr>
          <w:noProof/>
          <w:color w:val="000000"/>
        </w:rPr>
      </w:pPr>
    </w:p>
    <w:p w14:paraId="05D12E20" w14:textId="77777777" w:rsidR="00610A3A" w:rsidRPr="004C2A59" w:rsidRDefault="000F2400" w:rsidP="00421681">
      <w:pPr>
        <w:pStyle w:val="EndnoteText"/>
        <w:tabs>
          <w:tab w:val="clear" w:pos="567"/>
        </w:tabs>
        <w:rPr>
          <w:snapToGrid w:val="0"/>
          <w:color w:val="000000"/>
          <w:szCs w:val="22"/>
        </w:rPr>
      </w:pPr>
      <w:r w:rsidRPr="004C2A59">
        <w:rPr>
          <w:snapToGrid w:val="0"/>
          <w:color w:val="000000"/>
          <w:szCs w:val="22"/>
        </w:rPr>
        <w:t>P</w:t>
      </w:r>
      <w:r w:rsidR="00270C5A" w:rsidRPr="004C2A59">
        <w:rPr>
          <w:snapToGrid w:val="0"/>
          <w:color w:val="000000"/>
          <w:szCs w:val="22"/>
        </w:rPr>
        <w:t xml:space="preserve">atienter </w:t>
      </w:r>
      <w:r w:rsidRPr="004C2A59">
        <w:rPr>
          <w:snapToGrid w:val="0"/>
          <w:color w:val="000000"/>
          <w:szCs w:val="22"/>
        </w:rPr>
        <w:t xml:space="preserve">skal </w:t>
      </w:r>
      <w:r w:rsidR="00270C5A" w:rsidRPr="004C2A59">
        <w:rPr>
          <w:snapToGrid w:val="0"/>
          <w:color w:val="000000"/>
          <w:szCs w:val="22"/>
        </w:rPr>
        <w:t>advares om, at de kan opleve bivirkninger som svimmelhed</w:t>
      </w:r>
      <w:r w:rsidR="001B1D3B" w:rsidRPr="004C2A59">
        <w:rPr>
          <w:snapToGrid w:val="0"/>
          <w:color w:val="000000"/>
          <w:szCs w:val="22"/>
        </w:rPr>
        <w:t>,</w:t>
      </w:r>
      <w:r w:rsidR="00270C5A" w:rsidRPr="004C2A59">
        <w:rPr>
          <w:snapToGrid w:val="0"/>
          <w:color w:val="000000"/>
          <w:szCs w:val="22"/>
        </w:rPr>
        <w:t xml:space="preserve"> sløret syn </w:t>
      </w:r>
      <w:r w:rsidR="001B1D3B" w:rsidRPr="004C2A59">
        <w:rPr>
          <w:snapToGrid w:val="0"/>
          <w:color w:val="000000"/>
          <w:szCs w:val="22"/>
        </w:rPr>
        <w:t xml:space="preserve">eller </w:t>
      </w:r>
      <w:r w:rsidR="00FA6433" w:rsidRPr="004C2A59">
        <w:rPr>
          <w:snapToGrid w:val="0"/>
          <w:color w:val="000000"/>
          <w:szCs w:val="22"/>
        </w:rPr>
        <w:t>døsighed</w:t>
      </w:r>
      <w:r w:rsidR="001B1D3B" w:rsidRPr="004C2A59">
        <w:rPr>
          <w:snapToGrid w:val="0"/>
          <w:color w:val="000000"/>
          <w:szCs w:val="22"/>
        </w:rPr>
        <w:t xml:space="preserve"> </w:t>
      </w:r>
      <w:r w:rsidR="00270C5A" w:rsidRPr="004C2A59">
        <w:rPr>
          <w:snapToGrid w:val="0"/>
          <w:color w:val="000000"/>
          <w:szCs w:val="22"/>
        </w:rPr>
        <w:t>under behandling med imatinib. Forsigtighed anbefales derfor, når der føres motorkøretøj eller betjenes maskiner.</w:t>
      </w:r>
    </w:p>
    <w:p w14:paraId="44E34762" w14:textId="77777777" w:rsidR="00270C5A" w:rsidRPr="004C2A59" w:rsidRDefault="00270C5A" w:rsidP="00421681">
      <w:pPr>
        <w:widowControl w:val="0"/>
        <w:rPr>
          <w:color w:val="000000"/>
          <w:sz w:val="22"/>
          <w:szCs w:val="22"/>
          <w:lang w:val="da-DK"/>
        </w:rPr>
      </w:pPr>
    </w:p>
    <w:p w14:paraId="5E36588F" w14:textId="77777777" w:rsidR="00270C5A" w:rsidRPr="004C2A59" w:rsidRDefault="00270C5A" w:rsidP="006C180B">
      <w:pPr>
        <w:keepNext/>
        <w:widowControl w:val="0"/>
        <w:suppressAutoHyphens/>
        <w:ind w:left="567" w:hanging="567"/>
        <w:rPr>
          <w:b/>
          <w:color w:val="000000"/>
          <w:sz w:val="22"/>
          <w:szCs w:val="22"/>
          <w:lang w:val="da-DK"/>
        </w:rPr>
      </w:pPr>
      <w:r w:rsidRPr="004C2A59">
        <w:rPr>
          <w:b/>
          <w:color w:val="000000"/>
          <w:sz w:val="22"/>
          <w:szCs w:val="22"/>
          <w:lang w:val="da-DK"/>
        </w:rPr>
        <w:t>4.8</w:t>
      </w:r>
      <w:r w:rsidRPr="004C2A59">
        <w:rPr>
          <w:b/>
          <w:color w:val="000000"/>
          <w:sz w:val="22"/>
          <w:szCs w:val="22"/>
          <w:lang w:val="da-DK"/>
        </w:rPr>
        <w:tab/>
        <w:t>Bivirkninger</w:t>
      </w:r>
    </w:p>
    <w:p w14:paraId="65F05D9C" w14:textId="77777777" w:rsidR="00270C5A" w:rsidRPr="004C2A59" w:rsidRDefault="00270C5A" w:rsidP="006C180B">
      <w:pPr>
        <w:keepNext/>
        <w:widowControl w:val="0"/>
        <w:rPr>
          <w:color w:val="000000"/>
          <w:sz w:val="22"/>
          <w:szCs w:val="22"/>
          <w:lang w:val="da-DK"/>
        </w:rPr>
      </w:pPr>
    </w:p>
    <w:p w14:paraId="51440695" w14:textId="77777777" w:rsidR="00270C5A" w:rsidRPr="004C2A59" w:rsidRDefault="00270C5A" w:rsidP="00421681">
      <w:pPr>
        <w:widowControl w:val="0"/>
        <w:rPr>
          <w:color w:val="000000"/>
          <w:sz w:val="22"/>
          <w:szCs w:val="22"/>
          <w:lang w:val="da-DK"/>
        </w:rPr>
      </w:pPr>
      <w:r w:rsidRPr="004C2A59">
        <w:rPr>
          <w:color w:val="000000"/>
          <w:sz w:val="22"/>
          <w:szCs w:val="22"/>
          <w:lang w:val="da-DK"/>
        </w:rPr>
        <w:t xml:space="preserve">Patienter med fremskredne stadier af </w:t>
      </w:r>
      <w:r w:rsidR="005A263B" w:rsidRPr="004C2A59">
        <w:rPr>
          <w:color w:val="000000"/>
          <w:sz w:val="22"/>
          <w:szCs w:val="22"/>
          <w:lang w:val="da-DK"/>
        </w:rPr>
        <w:t>maligne lidelser</w:t>
      </w:r>
      <w:r w:rsidRPr="004C2A59">
        <w:rPr>
          <w:color w:val="000000"/>
          <w:sz w:val="22"/>
          <w:szCs w:val="22"/>
          <w:lang w:val="da-DK"/>
        </w:rPr>
        <w:t xml:space="preserve"> kan frembyde en kompleks blanding af sygdomsbilleder, der kan gøre det svært at vurdere årsagen til bivirkninger på grund af prævalens og stor mangeartethed af symptomer relateret til den underliggende sygdom, sygdommens progression og samtidig administration af adskillige lægemidler.</w:t>
      </w:r>
    </w:p>
    <w:p w14:paraId="39BD64F6" w14:textId="77777777" w:rsidR="00270C5A" w:rsidRPr="004C2A59" w:rsidRDefault="00270C5A" w:rsidP="00421681">
      <w:pPr>
        <w:widowControl w:val="0"/>
        <w:rPr>
          <w:color w:val="000000"/>
          <w:sz w:val="22"/>
          <w:szCs w:val="22"/>
          <w:lang w:val="da-DK"/>
        </w:rPr>
      </w:pPr>
    </w:p>
    <w:p w14:paraId="31D6FB3F" w14:textId="77777777" w:rsidR="00270C5A" w:rsidRPr="004C2A59" w:rsidRDefault="00270C5A" w:rsidP="00421681">
      <w:pPr>
        <w:widowControl w:val="0"/>
        <w:rPr>
          <w:color w:val="000000"/>
          <w:sz w:val="22"/>
          <w:szCs w:val="22"/>
          <w:lang w:val="da-DK"/>
        </w:rPr>
      </w:pPr>
      <w:r w:rsidRPr="004C2A59">
        <w:rPr>
          <w:color w:val="000000"/>
          <w:sz w:val="22"/>
          <w:szCs w:val="22"/>
          <w:lang w:val="da-DK"/>
        </w:rPr>
        <w:t xml:space="preserve">I kliniske undersøgelser </w:t>
      </w:r>
      <w:r w:rsidR="00E22D91" w:rsidRPr="004C2A59">
        <w:rPr>
          <w:color w:val="000000"/>
          <w:sz w:val="22"/>
          <w:szCs w:val="22"/>
          <w:lang w:val="da-DK"/>
        </w:rPr>
        <w:t xml:space="preserve">i CML blev der </w:t>
      </w:r>
      <w:r w:rsidR="002B5A95" w:rsidRPr="004C2A59">
        <w:rPr>
          <w:color w:val="000000"/>
          <w:sz w:val="22"/>
          <w:szCs w:val="22"/>
          <w:lang w:val="da-DK"/>
        </w:rPr>
        <w:t>hos 2% af nydia</w:t>
      </w:r>
      <w:r w:rsidR="00CC6A77" w:rsidRPr="004C2A59">
        <w:rPr>
          <w:color w:val="000000"/>
          <w:sz w:val="22"/>
          <w:szCs w:val="22"/>
          <w:lang w:val="da-DK"/>
        </w:rPr>
        <w:t>g</w:t>
      </w:r>
      <w:r w:rsidR="002B5A95" w:rsidRPr="004C2A59">
        <w:rPr>
          <w:color w:val="000000"/>
          <w:sz w:val="22"/>
          <w:szCs w:val="22"/>
          <w:lang w:val="da-DK"/>
        </w:rPr>
        <w:t>nos</w:t>
      </w:r>
      <w:r w:rsidR="00CC6A77" w:rsidRPr="004C2A59">
        <w:rPr>
          <w:color w:val="000000"/>
          <w:sz w:val="22"/>
          <w:szCs w:val="22"/>
          <w:lang w:val="da-DK"/>
        </w:rPr>
        <w:t>tice</w:t>
      </w:r>
      <w:r w:rsidR="002B5A95" w:rsidRPr="004C2A59">
        <w:rPr>
          <w:color w:val="000000"/>
          <w:sz w:val="22"/>
          <w:szCs w:val="22"/>
          <w:lang w:val="da-DK"/>
        </w:rPr>
        <w:t>re</w:t>
      </w:r>
      <w:r w:rsidR="00CC6A77" w:rsidRPr="004C2A59">
        <w:rPr>
          <w:color w:val="000000"/>
          <w:sz w:val="22"/>
          <w:szCs w:val="22"/>
          <w:lang w:val="da-DK"/>
        </w:rPr>
        <w:t>de</w:t>
      </w:r>
      <w:r w:rsidR="002B5A95" w:rsidRPr="004C2A59">
        <w:rPr>
          <w:color w:val="000000"/>
          <w:sz w:val="22"/>
          <w:szCs w:val="22"/>
          <w:lang w:val="da-DK"/>
        </w:rPr>
        <w:t xml:space="preserve"> patienter, </w:t>
      </w:r>
      <w:r w:rsidRPr="004C2A59">
        <w:rPr>
          <w:color w:val="000000"/>
          <w:sz w:val="22"/>
          <w:szCs w:val="22"/>
          <w:lang w:val="da-DK"/>
        </w:rPr>
        <w:t xml:space="preserve">hos </w:t>
      </w:r>
      <w:r w:rsidR="00C12A90" w:rsidRPr="004C2A59">
        <w:rPr>
          <w:color w:val="000000"/>
          <w:sz w:val="22"/>
          <w:szCs w:val="22"/>
          <w:lang w:val="da-DK"/>
        </w:rPr>
        <w:t>2,</w:t>
      </w:r>
      <w:r w:rsidR="002B5A95" w:rsidRPr="004C2A59">
        <w:rPr>
          <w:color w:val="000000"/>
          <w:sz w:val="22"/>
          <w:szCs w:val="22"/>
          <w:lang w:val="da-DK"/>
        </w:rPr>
        <w:t>4</w:t>
      </w:r>
      <w:r w:rsidRPr="004C2A59">
        <w:rPr>
          <w:color w:val="000000"/>
          <w:sz w:val="22"/>
          <w:szCs w:val="22"/>
          <w:lang w:val="da-DK"/>
        </w:rPr>
        <w:t xml:space="preserve">% af patienterne i </w:t>
      </w:r>
      <w:r w:rsidR="002B5A95" w:rsidRPr="004C2A59">
        <w:rPr>
          <w:color w:val="000000"/>
          <w:sz w:val="22"/>
          <w:szCs w:val="22"/>
          <w:lang w:val="da-DK"/>
        </w:rPr>
        <w:t xml:space="preserve">sen </w:t>
      </w:r>
      <w:r w:rsidRPr="004C2A59">
        <w:rPr>
          <w:color w:val="000000"/>
          <w:sz w:val="22"/>
          <w:szCs w:val="22"/>
          <w:lang w:val="da-DK"/>
        </w:rPr>
        <w:t>kronisk fase</w:t>
      </w:r>
      <w:r w:rsidR="00BF46F5" w:rsidRPr="004C2A59">
        <w:rPr>
          <w:color w:val="000000"/>
          <w:sz w:val="22"/>
          <w:szCs w:val="22"/>
          <w:lang w:val="da-DK"/>
        </w:rPr>
        <w:t xml:space="preserve"> efter svigtende interferonbehandling</w:t>
      </w:r>
      <w:r w:rsidRPr="004C2A59">
        <w:rPr>
          <w:color w:val="000000"/>
          <w:sz w:val="22"/>
          <w:szCs w:val="22"/>
          <w:lang w:val="da-DK"/>
        </w:rPr>
        <w:t xml:space="preserve">, </w:t>
      </w:r>
      <w:r w:rsidR="00BF46F5" w:rsidRPr="004C2A59">
        <w:rPr>
          <w:color w:val="000000"/>
          <w:sz w:val="22"/>
          <w:szCs w:val="22"/>
          <w:lang w:val="da-DK"/>
        </w:rPr>
        <w:t>hos 4</w:t>
      </w:r>
      <w:r w:rsidRPr="004C2A59">
        <w:rPr>
          <w:color w:val="000000"/>
          <w:sz w:val="22"/>
          <w:szCs w:val="22"/>
          <w:lang w:val="da-DK"/>
        </w:rPr>
        <w:t xml:space="preserve">% af patienterne i accelereret fase </w:t>
      </w:r>
      <w:r w:rsidR="00BF46F5" w:rsidRPr="004C2A59">
        <w:rPr>
          <w:color w:val="000000"/>
          <w:sz w:val="22"/>
          <w:szCs w:val="22"/>
          <w:lang w:val="da-DK"/>
        </w:rPr>
        <w:t xml:space="preserve">efter svigtende interferonbehandling </w:t>
      </w:r>
      <w:r w:rsidRPr="004C2A59">
        <w:rPr>
          <w:color w:val="000000"/>
          <w:sz w:val="22"/>
          <w:szCs w:val="22"/>
          <w:lang w:val="da-DK"/>
        </w:rPr>
        <w:t xml:space="preserve">og </w:t>
      </w:r>
      <w:r w:rsidR="00BF46F5" w:rsidRPr="004C2A59">
        <w:rPr>
          <w:color w:val="000000"/>
          <w:sz w:val="22"/>
          <w:szCs w:val="22"/>
          <w:lang w:val="da-DK"/>
        </w:rPr>
        <w:t xml:space="preserve">hos </w:t>
      </w:r>
      <w:r w:rsidRPr="004C2A59">
        <w:rPr>
          <w:color w:val="000000"/>
          <w:sz w:val="22"/>
          <w:szCs w:val="22"/>
          <w:lang w:val="da-DK"/>
        </w:rPr>
        <w:t xml:space="preserve">5% af patienterne i blastkrise </w:t>
      </w:r>
      <w:r w:rsidR="00BF46F5" w:rsidRPr="004C2A59">
        <w:rPr>
          <w:color w:val="000000"/>
          <w:sz w:val="22"/>
          <w:szCs w:val="22"/>
          <w:lang w:val="da-DK"/>
        </w:rPr>
        <w:t xml:space="preserve">efter svigtende interferonbehandling observeret seponering af undersøgelsesmedicinen </w:t>
      </w:r>
      <w:r w:rsidRPr="004C2A59">
        <w:rPr>
          <w:color w:val="000000"/>
          <w:sz w:val="22"/>
          <w:szCs w:val="22"/>
          <w:lang w:val="da-DK"/>
        </w:rPr>
        <w:t xml:space="preserve">på grund af lægemiddelrelaterede bivirkninger. Hos </w:t>
      </w:r>
      <w:r w:rsidR="00BF46F5" w:rsidRPr="004C2A59">
        <w:rPr>
          <w:color w:val="000000"/>
          <w:sz w:val="22"/>
          <w:szCs w:val="22"/>
          <w:lang w:val="da-DK"/>
        </w:rPr>
        <w:t>4</w:t>
      </w:r>
      <w:r w:rsidRPr="004C2A59">
        <w:rPr>
          <w:color w:val="000000"/>
          <w:sz w:val="22"/>
          <w:szCs w:val="22"/>
          <w:lang w:val="da-DK"/>
        </w:rPr>
        <w:t>% af GIST</w:t>
      </w:r>
      <w:r w:rsidR="00CC6A77" w:rsidRPr="004C2A59">
        <w:rPr>
          <w:color w:val="000000"/>
          <w:sz w:val="22"/>
          <w:szCs w:val="22"/>
          <w:lang w:val="da-DK"/>
        </w:rPr>
        <w:t>-</w:t>
      </w:r>
      <w:r w:rsidRPr="004C2A59">
        <w:rPr>
          <w:color w:val="000000"/>
          <w:sz w:val="22"/>
          <w:szCs w:val="22"/>
          <w:lang w:val="da-DK"/>
        </w:rPr>
        <w:t>patienterne blev undersøgelsesmedicinen seponeret på grund af lægemiddelrelaterede bivirkninger.</w:t>
      </w:r>
    </w:p>
    <w:p w14:paraId="1F717D79" w14:textId="77777777" w:rsidR="00270C5A" w:rsidRPr="004C2A59" w:rsidRDefault="00270C5A" w:rsidP="00421681">
      <w:pPr>
        <w:widowControl w:val="0"/>
        <w:rPr>
          <w:color w:val="000000"/>
          <w:sz w:val="22"/>
          <w:szCs w:val="22"/>
          <w:lang w:val="da-DK"/>
        </w:rPr>
      </w:pPr>
    </w:p>
    <w:p w14:paraId="5FE75FC6" w14:textId="77777777" w:rsidR="00270C5A" w:rsidRPr="004C2A59" w:rsidRDefault="00270C5A" w:rsidP="00421681">
      <w:pPr>
        <w:widowControl w:val="0"/>
        <w:rPr>
          <w:color w:val="000000"/>
          <w:sz w:val="22"/>
          <w:szCs w:val="22"/>
          <w:lang w:val="da-DK"/>
        </w:rPr>
      </w:pPr>
      <w:r w:rsidRPr="004C2A59">
        <w:rPr>
          <w:color w:val="000000"/>
          <w:sz w:val="22"/>
          <w:szCs w:val="22"/>
          <w:lang w:val="da-DK"/>
        </w:rPr>
        <w:t>Bivirkningsmønstret var, med 2</w:t>
      </w:r>
      <w:r w:rsidR="00C02CD8" w:rsidRPr="004C2A59">
        <w:rPr>
          <w:color w:val="000000"/>
          <w:sz w:val="22"/>
          <w:szCs w:val="22"/>
          <w:lang w:val="da-DK"/>
        </w:rPr>
        <w:t> </w:t>
      </w:r>
      <w:r w:rsidRPr="004C2A59">
        <w:rPr>
          <w:color w:val="000000"/>
          <w:sz w:val="22"/>
          <w:szCs w:val="22"/>
          <w:lang w:val="da-DK"/>
        </w:rPr>
        <w:t xml:space="preserve">undtagelser, </w:t>
      </w:r>
      <w:r w:rsidR="005A263B" w:rsidRPr="004C2A59">
        <w:rPr>
          <w:color w:val="000000"/>
          <w:sz w:val="22"/>
          <w:szCs w:val="22"/>
          <w:lang w:val="da-DK"/>
        </w:rPr>
        <w:t>det sammme ved alle indikationer</w:t>
      </w:r>
      <w:r w:rsidRPr="004C2A59">
        <w:rPr>
          <w:color w:val="000000"/>
          <w:sz w:val="22"/>
          <w:szCs w:val="22"/>
          <w:lang w:val="da-DK"/>
        </w:rPr>
        <w:t xml:space="preserve">. Der sås hyppigere myelosuppression hos CML-patienter end hos GIST-patienter, hvilket sandsynligvis skyldes primærsygdommen. </w:t>
      </w:r>
      <w:r w:rsidR="009313F9" w:rsidRPr="004C2A59">
        <w:rPr>
          <w:color w:val="000000"/>
          <w:sz w:val="22"/>
          <w:szCs w:val="22"/>
          <w:lang w:val="da-DK"/>
        </w:rPr>
        <w:t>I undersøgelsen med patienter med inoperabel og/eller metastaserende GIST, oplevede 7 (5%)</w:t>
      </w:r>
      <w:r w:rsidRPr="004C2A59">
        <w:rPr>
          <w:color w:val="000000"/>
          <w:sz w:val="22"/>
          <w:szCs w:val="22"/>
          <w:lang w:val="da-DK"/>
        </w:rPr>
        <w:t xml:space="preserve"> af patienterne </w:t>
      </w:r>
      <w:smartTag w:uri="urn:schemas-microsoft-com:office:smarttags" w:element="metricconverter">
        <w:r w:rsidRPr="004C2A59">
          <w:rPr>
            <w:color w:val="000000"/>
            <w:sz w:val="22"/>
            <w:szCs w:val="22"/>
            <w:lang w:val="da-DK"/>
          </w:rPr>
          <w:t>CTC</w:t>
        </w:r>
      </w:smartTag>
      <w:r w:rsidRPr="004C2A59">
        <w:rPr>
          <w:color w:val="000000"/>
          <w:sz w:val="22"/>
          <w:szCs w:val="22"/>
          <w:lang w:val="da-DK"/>
        </w:rPr>
        <w:t xml:space="preserve"> grad</w:t>
      </w:r>
      <w:r w:rsidR="000F2BB3" w:rsidRPr="004C2A59">
        <w:rPr>
          <w:color w:val="000000"/>
          <w:sz w:val="22"/>
          <w:szCs w:val="22"/>
          <w:lang w:val="da-DK"/>
        </w:rPr>
        <w:t> </w:t>
      </w:r>
      <w:r w:rsidRPr="004C2A59">
        <w:rPr>
          <w:color w:val="000000"/>
          <w:sz w:val="22"/>
          <w:szCs w:val="22"/>
          <w:lang w:val="da-DK"/>
        </w:rPr>
        <w:t>3</w:t>
      </w:r>
      <w:r w:rsidR="00ED38CD" w:rsidRPr="004C2A59">
        <w:rPr>
          <w:color w:val="000000"/>
          <w:sz w:val="22"/>
          <w:szCs w:val="22"/>
          <w:lang w:val="da-DK"/>
        </w:rPr>
        <w:t>–</w:t>
      </w:r>
      <w:r w:rsidRPr="004C2A59">
        <w:rPr>
          <w:color w:val="000000"/>
          <w:sz w:val="22"/>
          <w:szCs w:val="22"/>
          <w:lang w:val="da-DK"/>
        </w:rPr>
        <w:t>4: gastrointestinale blødninger (3</w:t>
      </w:r>
      <w:r w:rsidR="00C02CD8" w:rsidRPr="004C2A59">
        <w:rPr>
          <w:color w:val="000000"/>
          <w:sz w:val="22"/>
          <w:szCs w:val="22"/>
          <w:lang w:val="da-DK"/>
        </w:rPr>
        <w:t> </w:t>
      </w:r>
      <w:r w:rsidRPr="004C2A59">
        <w:rPr>
          <w:color w:val="000000"/>
          <w:sz w:val="22"/>
          <w:szCs w:val="22"/>
          <w:lang w:val="da-DK"/>
        </w:rPr>
        <w:t>patienter), intra-tumorale blødninger (3</w:t>
      </w:r>
      <w:r w:rsidR="00C02CD8" w:rsidRPr="004C2A59">
        <w:rPr>
          <w:color w:val="000000"/>
          <w:sz w:val="22"/>
          <w:szCs w:val="22"/>
          <w:lang w:val="da-DK"/>
        </w:rPr>
        <w:t> </w:t>
      </w:r>
      <w:r w:rsidRPr="004C2A59">
        <w:rPr>
          <w:color w:val="000000"/>
          <w:sz w:val="22"/>
          <w:szCs w:val="22"/>
          <w:lang w:val="da-DK"/>
        </w:rPr>
        <w:t>patienter) eller begge dele (1</w:t>
      </w:r>
      <w:r w:rsidR="00C02CD8" w:rsidRPr="004C2A59">
        <w:rPr>
          <w:color w:val="000000"/>
          <w:sz w:val="22"/>
          <w:szCs w:val="22"/>
          <w:lang w:val="da-DK"/>
        </w:rPr>
        <w:t> </w:t>
      </w:r>
      <w:r w:rsidRPr="004C2A59">
        <w:rPr>
          <w:color w:val="000000"/>
          <w:sz w:val="22"/>
          <w:szCs w:val="22"/>
          <w:lang w:val="da-DK"/>
        </w:rPr>
        <w:t xml:space="preserve">patient). De gastrointestinale tumorer kan have været blødningskilden ved den gastrointestinale blødning (se </w:t>
      </w:r>
      <w:r w:rsidR="003B2976" w:rsidRPr="004C2A59">
        <w:rPr>
          <w:color w:val="000000"/>
          <w:sz w:val="22"/>
          <w:szCs w:val="22"/>
          <w:lang w:val="da-DK"/>
        </w:rPr>
        <w:t>pkt.</w:t>
      </w:r>
      <w:r w:rsidRPr="004C2A59">
        <w:rPr>
          <w:color w:val="000000"/>
          <w:sz w:val="22"/>
          <w:szCs w:val="22"/>
          <w:lang w:val="da-DK"/>
        </w:rPr>
        <w:t xml:space="preserve"> 4.4). Gastrointestinal og tumoral blødning kan være alvorlig og i visse tilfælde fatal. De mest almindelige rapporterede (</w:t>
      </w:r>
      <w:r w:rsidRPr="004C2A59">
        <w:rPr>
          <w:color w:val="000000"/>
          <w:sz w:val="22"/>
          <w:szCs w:val="22"/>
          <w:lang w:val="da-DK"/>
        </w:rPr>
        <w:sym w:font="Symbol" w:char="F0B3"/>
      </w:r>
      <w:r w:rsidRPr="004C2A59">
        <w:rPr>
          <w:color w:val="000000"/>
          <w:sz w:val="22"/>
          <w:szCs w:val="22"/>
          <w:lang w:val="da-DK"/>
        </w:rPr>
        <w:t>10%) lægemiddelrelaterede bivirkninger var i begge patientgrupper: let kvalme, opkastning, diarré, abdominalsmerter, træthed, myalgi og muskelkramper samt udslæt. Overfladiske ødemer var et hyppigt fund i alle undersøgelser og blev primært beskrevet som værende periorbitale eller ødemer i nedre ekstremiteter. Disse ødemer var dog sjældent svære og kunne behandles med diuretika, andre understøttende tiltag eller ved at reducere dosis af Glivec.</w:t>
      </w:r>
    </w:p>
    <w:p w14:paraId="4A522072" w14:textId="77777777" w:rsidR="00270C5A" w:rsidRPr="004C2A59" w:rsidRDefault="00270C5A" w:rsidP="00421681">
      <w:pPr>
        <w:widowControl w:val="0"/>
        <w:rPr>
          <w:color w:val="000000"/>
          <w:sz w:val="22"/>
          <w:szCs w:val="22"/>
          <w:lang w:val="da-DK"/>
        </w:rPr>
      </w:pPr>
    </w:p>
    <w:p w14:paraId="4BB3965F" w14:textId="77777777" w:rsidR="005A263B" w:rsidRPr="004C2A59" w:rsidRDefault="005A263B" w:rsidP="00421681">
      <w:pPr>
        <w:widowControl w:val="0"/>
        <w:rPr>
          <w:color w:val="000000"/>
          <w:sz w:val="22"/>
          <w:szCs w:val="22"/>
          <w:lang w:val="da-DK"/>
        </w:rPr>
      </w:pPr>
      <w:r w:rsidRPr="004C2A59">
        <w:rPr>
          <w:color w:val="000000"/>
          <w:sz w:val="22"/>
          <w:szCs w:val="22"/>
          <w:lang w:val="da-DK"/>
        </w:rPr>
        <w:t xml:space="preserve">Når imatinib blev kombineret med højdosis kemoterapi hos Ph+ </w:t>
      </w:r>
      <w:smartTag w:uri="urn:schemas-microsoft-com:office:smarttags" w:element="metricconverter">
        <w:r w:rsidRPr="004C2A59">
          <w:rPr>
            <w:color w:val="000000"/>
            <w:sz w:val="22"/>
            <w:szCs w:val="22"/>
            <w:lang w:val="da-DK"/>
          </w:rPr>
          <w:t>ALL</w:t>
        </w:r>
      </w:smartTag>
      <w:r w:rsidRPr="004C2A59">
        <w:rPr>
          <w:color w:val="000000"/>
          <w:sz w:val="22"/>
          <w:szCs w:val="22"/>
          <w:lang w:val="da-DK"/>
        </w:rPr>
        <w:t xml:space="preserve"> patienter, sås forbigående levertoksicitet i form af forhøjet transaminase og hyperbilirubinæmi.</w:t>
      </w:r>
      <w:r w:rsidR="009F7332" w:rsidRPr="004C2A59">
        <w:rPr>
          <w:color w:val="000000"/>
          <w:sz w:val="22"/>
          <w:szCs w:val="22"/>
          <w:lang w:val="da-DK"/>
        </w:rPr>
        <w:t xml:space="preserve"> </w:t>
      </w:r>
      <w:r w:rsidR="00D800F7" w:rsidRPr="004C2A59">
        <w:rPr>
          <w:color w:val="000000"/>
          <w:sz w:val="22"/>
          <w:szCs w:val="22"/>
          <w:lang w:val="da-DK"/>
        </w:rPr>
        <w:t>Under hensyntagen til</w:t>
      </w:r>
      <w:r w:rsidR="009F7332" w:rsidRPr="004C2A59">
        <w:rPr>
          <w:color w:val="000000"/>
          <w:sz w:val="22"/>
          <w:szCs w:val="22"/>
          <w:lang w:val="da-DK"/>
        </w:rPr>
        <w:t xml:space="preserve"> den begrænsede </w:t>
      </w:r>
      <w:r w:rsidR="003D7D1C" w:rsidRPr="004C2A59">
        <w:rPr>
          <w:color w:val="000000"/>
          <w:sz w:val="22"/>
          <w:szCs w:val="22"/>
          <w:lang w:val="da-DK"/>
        </w:rPr>
        <w:t>sikkerhedsdatabase er de bivirkninger, der hidtil er rapporteret</w:t>
      </w:r>
      <w:r w:rsidR="00F568E5" w:rsidRPr="004C2A59">
        <w:rPr>
          <w:color w:val="000000"/>
          <w:sz w:val="22"/>
          <w:szCs w:val="22"/>
          <w:lang w:val="da-DK"/>
        </w:rPr>
        <w:t xml:space="preserve"> hos børn</w:t>
      </w:r>
      <w:r w:rsidR="00A62EB9" w:rsidRPr="004C2A59">
        <w:rPr>
          <w:color w:val="000000"/>
          <w:sz w:val="22"/>
          <w:szCs w:val="22"/>
          <w:lang w:val="da-DK"/>
        </w:rPr>
        <w:t>,</w:t>
      </w:r>
      <w:r w:rsidR="003D7D1C" w:rsidRPr="004C2A59">
        <w:rPr>
          <w:color w:val="000000"/>
          <w:sz w:val="22"/>
          <w:szCs w:val="22"/>
          <w:lang w:val="da-DK"/>
        </w:rPr>
        <w:t xml:space="preserve"> i overensstemmelse med den kendte sikkerhedsprofil </w:t>
      </w:r>
      <w:r w:rsidR="00A62EB9" w:rsidRPr="004C2A59">
        <w:rPr>
          <w:color w:val="000000"/>
          <w:sz w:val="22"/>
          <w:szCs w:val="22"/>
          <w:lang w:val="da-DK"/>
        </w:rPr>
        <w:t>for</w:t>
      </w:r>
      <w:r w:rsidR="003D7D1C" w:rsidRPr="004C2A59">
        <w:rPr>
          <w:color w:val="000000"/>
          <w:sz w:val="22"/>
          <w:szCs w:val="22"/>
          <w:lang w:val="da-DK"/>
        </w:rPr>
        <w:t xml:space="preserve"> voksne patienter med Ph+</w:t>
      </w:r>
      <w:r w:rsidR="00D60EA3" w:rsidRPr="004C2A59">
        <w:rPr>
          <w:color w:val="000000"/>
          <w:sz w:val="22"/>
          <w:szCs w:val="22"/>
          <w:lang w:val="da-DK"/>
        </w:rPr>
        <w:t xml:space="preserve"> </w:t>
      </w:r>
      <w:r w:rsidR="003D7D1C" w:rsidRPr="004C2A59">
        <w:rPr>
          <w:color w:val="000000"/>
          <w:sz w:val="22"/>
          <w:szCs w:val="22"/>
          <w:lang w:val="da-DK"/>
        </w:rPr>
        <w:t xml:space="preserve">ALL. </w:t>
      </w:r>
      <w:r w:rsidR="00EB5F1C" w:rsidRPr="004C2A59">
        <w:rPr>
          <w:color w:val="000000"/>
          <w:sz w:val="22"/>
          <w:szCs w:val="22"/>
          <w:lang w:val="da-DK"/>
        </w:rPr>
        <w:t>Sikkerhedsdatabasen for børn med P</w:t>
      </w:r>
      <w:r w:rsidR="005F0C85" w:rsidRPr="004C2A59">
        <w:rPr>
          <w:color w:val="000000"/>
          <w:sz w:val="22"/>
          <w:szCs w:val="22"/>
          <w:lang w:val="da-DK"/>
        </w:rPr>
        <w:t>h+ ALL er meget begrænset. Der</w:t>
      </w:r>
      <w:r w:rsidR="00EB5F1C" w:rsidRPr="004C2A59">
        <w:rPr>
          <w:color w:val="000000"/>
          <w:sz w:val="22"/>
          <w:szCs w:val="22"/>
          <w:lang w:val="da-DK"/>
        </w:rPr>
        <w:t xml:space="preserve"> </w:t>
      </w:r>
      <w:r w:rsidR="005F0C85" w:rsidRPr="004C2A59">
        <w:rPr>
          <w:color w:val="000000"/>
          <w:sz w:val="22"/>
          <w:szCs w:val="22"/>
          <w:lang w:val="da-DK"/>
        </w:rPr>
        <w:t xml:space="preserve">er dog </w:t>
      </w:r>
      <w:r w:rsidR="00EB5F1C" w:rsidRPr="004C2A59">
        <w:rPr>
          <w:color w:val="000000"/>
          <w:sz w:val="22"/>
          <w:szCs w:val="22"/>
          <w:lang w:val="da-DK"/>
        </w:rPr>
        <w:t xml:space="preserve">ikke </w:t>
      </w:r>
      <w:r w:rsidR="003D7D1C" w:rsidRPr="004C2A59">
        <w:rPr>
          <w:color w:val="000000"/>
          <w:sz w:val="22"/>
          <w:szCs w:val="22"/>
          <w:lang w:val="da-DK"/>
        </w:rPr>
        <w:t xml:space="preserve">identificeret nye </w:t>
      </w:r>
      <w:r w:rsidR="00B86FED" w:rsidRPr="004C2A59">
        <w:rPr>
          <w:color w:val="000000"/>
          <w:sz w:val="22"/>
          <w:szCs w:val="22"/>
          <w:lang w:val="da-DK"/>
        </w:rPr>
        <w:t xml:space="preserve">forhold vedrørende </w:t>
      </w:r>
      <w:r w:rsidR="00A62EB9" w:rsidRPr="004C2A59">
        <w:rPr>
          <w:color w:val="000000"/>
          <w:sz w:val="22"/>
          <w:szCs w:val="22"/>
          <w:lang w:val="da-DK"/>
        </w:rPr>
        <w:t>sikkerhed</w:t>
      </w:r>
      <w:r w:rsidR="00B86FED" w:rsidRPr="004C2A59">
        <w:rPr>
          <w:color w:val="000000"/>
          <w:sz w:val="22"/>
          <w:szCs w:val="22"/>
          <w:lang w:val="da-DK"/>
        </w:rPr>
        <w:t>en</w:t>
      </w:r>
      <w:r w:rsidR="003D7D1C" w:rsidRPr="004C2A59">
        <w:rPr>
          <w:color w:val="000000"/>
          <w:sz w:val="22"/>
          <w:szCs w:val="22"/>
          <w:lang w:val="da-DK"/>
        </w:rPr>
        <w:t>.</w:t>
      </w:r>
    </w:p>
    <w:p w14:paraId="439C9600" w14:textId="77777777" w:rsidR="005A263B" w:rsidRPr="004C2A59" w:rsidRDefault="005A263B" w:rsidP="00421681">
      <w:pPr>
        <w:pStyle w:val="Text"/>
        <w:widowControl w:val="0"/>
        <w:spacing w:before="0"/>
        <w:jc w:val="left"/>
        <w:rPr>
          <w:color w:val="000000"/>
          <w:sz w:val="22"/>
          <w:szCs w:val="22"/>
          <w:lang w:val="da-DK"/>
        </w:rPr>
      </w:pPr>
    </w:p>
    <w:p w14:paraId="69334F85" w14:textId="77777777" w:rsidR="00270C5A" w:rsidRPr="004C2A59" w:rsidRDefault="00270C5A" w:rsidP="00421681">
      <w:pPr>
        <w:pStyle w:val="Text"/>
        <w:widowControl w:val="0"/>
        <w:spacing w:before="0"/>
        <w:jc w:val="left"/>
        <w:rPr>
          <w:color w:val="000000"/>
          <w:sz w:val="22"/>
          <w:szCs w:val="22"/>
          <w:lang w:val="da-DK"/>
        </w:rPr>
      </w:pPr>
      <w:r w:rsidRPr="004C2A59">
        <w:rPr>
          <w:color w:val="000000"/>
          <w:sz w:val="22"/>
          <w:szCs w:val="22"/>
          <w:lang w:val="da-DK"/>
        </w:rPr>
        <w:t xml:space="preserve">Diverse bivirkninger, som for eksempel pleuraeksudat, ascites, lungeødem og hurtig vægtstigning med eller uden overfladiske ødemer, kan kollektivt betegnes som </w:t>
      </w:r>
      <w:r w:rsidR="00931855" w:rsidRPr="004C2A59">
        <w:rPr>
          <w:color w:val="000000"/>
          <w:sz w:val="22"/>
          <w:szCs w:val="22"/>
          <w:lang w:val="da-DK"/>
        </w:rPr>
        <w:t>”</w:t>
      </w:r>
      <w:r w:rsidRPr="004C2A59">
        <w:rPr>
          <w:color w:val="000000"/>
          <w:sz w:val="22"/>
          <w:szCs w:val="22"/>
          <w:lang w:val="da-DK"/>
        </w:rPr>
        <w:t xml:space="preserve">væskeretention”. Disse tilfælde blev sædvanligvis behandlet ved midlertidigt at tilbageholde behandling med Glivec, og behandle med diuretika og andre relevante, understøttende tiltag. I </w:t>
      </w:r>
      <w:r w:rsidR="00FF3E8A" w:rsidRPr="004C2A59">
        <w:rPr>
          <w:color w:val="000000"/>
          <w:sz w:val="22"/>
          <w:szCs w:val="22"/>
          <w:lang w:val="da-DK"/>
        </w:rPr>
        <w:t>nogle</w:t>
      </w:r>
      <w:r w:rsidRPr="004C2A59">
        <w:rPr>
          <w:color w:val="000000"/>
          <w:sz w:val="22"/>
          <w:szCs w:val="22"/>
          <w:lang w:val="da-DK"/>
        </w:rPr>
        <w:t xml:space="preserve"> tilfælde kan disse tilstande dog være alvorlige eller livstruende, og flere patienter med blastkrise døde med en kompleks anamnese af pleuraeksudat, kongestivt hjerte</w:t>
      </w:r>
      <w:r w:rsidR="00872821" w:rsidRPr="004C2A59">
        <w:rPr>
          <w:color w:val="000000"/>
          <w:sz w:val="22"/>
          <w:szCs w:val="22"/>
          <w:lang w:val="da-DK"/>
        </w:rPr>
        <w:t>insufficiens</w:t>
      </w:r>
      <w:r w:rsidRPr="004C2A59">
        <w:rPr>
          <w:color w:val="000000"/>
          <w:sz w:val="22"/>
          <w:szCs w:val="22"/>
          <w:lang w:val="da-DK"/>
        </w:rPr>
        <w:t xml:space="preserve"> og nyresvigt. Der var ingen særlige sikkerhedsmæssige fund i kliniske undersøgelser med børn.</w:t>
      </w:r>
    </w:p>
    <w:p w14:paraId="707E9321" w14:textId="77777777" w:rsidR="00270C5A" w:rsidRPr="004C2A59" w:rsidRDefault="00270C5A" w:rsidP="00421681">
      <w:pPr>
        <w:widowControl w:val="0"/>
        <w:rPr>
          <w:color w:val="000000"/>
          <w:sz w:val="22"/>
          <w:szCs w:val="22"/>
          <w:lang w:val="da-DK"/>
        </w:rPr>
      </w:pPr>
    </w:p>
    <w:p w14:paraId="42DF55D2" w14:textId="77777777" w:rsidR="00270C5A" w:rsidRPr="004C2A59" w:rsidRDefault="00270C5A" w:rsidP="006C180B">
      <w:pPr>
        <w:pStyle w:val="Text"/>
        <w:widowControl w:val="0"/>
        <w:spacing w:before="0"/>
        <w:rPr>
          <w:b/>
          <w:color w:val="000000"/>
          <w:sz w:val="22"/>
          <w:szCs w:val="22"/>
          <w:lang w:val="da-DK"/>
        </w:rPr>
      </w:pPr>
      <w:r w:rsidRPr="004C2A59">
        <w:rPr>
          <w:b/>
          <w:color w:val="000000"/>
          <w:sz w:val="22"/>
          <w:szCs w:val="22"/>
          <w:lang w:val="da-DK"/>
        </w:rPr>
        <w:t>Bivirkninger</w:t>
      </w:r>
    </w:p>
    <w:p w14:paraId="0CEC2472" w14:textId="77777777" w:rsidR="00270C5A" w:rsidRPr="004C2A59" w:rsidRDefault="00270C5A" w:rsidP="00421681">
      <w:pPr>
        <w:widowControl w:val="0"/>
        <w:rPr>
          <w:color w:val="000000"/>
          <w:sz w:val="22"/>
          <w:szCs w:val="22"/>
          <w:lang w:val="da-DK"/>
        </w:rPr>
      </w:pPr>
      <w:r w:rsidRPr="004C2A59">
        <w:rPr>
          <w:color w:val="000000"/>
          <w:sz w:val="22"/>
          <w:szCs w:val="22"/>
          <w:lang w:val="da-DK"/>
        </w:rPr>
        <w:t xml:space="preserve">Bivirkninger rapporteret </w:t>
      </w:r>
      <w:r w:rsidR="00B33F74" w:rsidRPr="004C2A59">
        <w:rPr>
          <w:color w:val="000000"/>
          <w:sz w:val="22"/>
          <w:szCs w:val="22"/>
          <w:lang w:val="da-DK"/>
        </w:rPr>
        <w:t>med</w:t>
      </w:r>
      <w:r w:rsidRPr="004C2A59">
        <w:rPr>
          <w:color w:val="000000"/>
          <w:sz w:val="22"/>
          <w:szCs w:val="22"/>
          <w:lang w:val="da-DK"/>
        </w:rPr>
        <w:t xml:space="preserve"> mere end et isoleret tilfælde er listet nedenfor efter organklasse og </w:t>
      </w:r>
      <w:r w:rsidR="00EB1C88" w:rsidRPr="004C2A59">
        <w:rPr>
          <w:color w:val="000000"/>
          <w:sz w:val="22"/>
          <w:szCs w:val="22"/>
          <w:lang w:val="da-DK"/>
        </w:rPr>
        <w:t>frekvens</w:t>
      </w:r>
      <w:r w:rsidRPr="004C2A59">
        <w:rPr>
          <w:color w:val="000000"/>
          <w:sz w:val="22"/>
          <w:szCs w:val="22"/>
          <w:lang w:val="da-DK"/>
        </w:rPr>
        <w:t xml:space="preserve">. </w:t>
      </w:r>
      <w:r w:rsidR="00EB1C88" w:rsidRPr="004C2A59">
        <w:rPr>
          <w:color w:val="000000"/>
          <w:sz w:val="22"/>
          <w:szCs w:val="22"/>
          <w:lang w:val="da-DK"/>
        </w:rPr>
        <w:t xml:space="preserve">Frekvenskategorier </w:t>
      </w:r>
      <w:r w:rsidRPr="004C2A59">
        <w:rPr>
          <w:color w:val="000000"/>
          <w:sz w:val="22"/>
          <w:szCs w:val="22"/>
          <w:lang w:val="da-DK"/>
        </w:rPr>
        <w:t xml:space="preserve">er defineret </w:t>
      </w:r>
      <w:r w:rsidR="00EB1C88" w:rsidRPr="004C2A59">
        <w:rPr>
          <w:color w:val="000000"/>
          <w:sz w:val="22"/>
          <w:szCs w:val="22"/>
          <w:lang w:val="da-DK"/>
        </w:rPr>
        <w:t>ved brug af følgende konvention</w:t>
      </w:r>
      <w:r w:rsidRPr="004C2A59">
        <w:rPr>
          <w:color w:val="000000"/>
          <w:sz w:val="22"/>
          <w:szCs w:val="22"/>
          <w:lang w:val="da-DK"/>
        </w:rPr>
        <w:t>: Meget almindelig (</w:t>
      </w:r>
      <w:r w:rsidR="00EB1C88" w:rsidRPr="004C2A59">
        <w:rPr>
          <w:sz w:val="22"/>
          <w:szCs w:val="22"/>
          <w:lang w:val="da-DK"/>
        </w:rPr>
        <w:t>≥</w:t>
      </w:r>
      <w:r w:rsidRPr="004C2A59">
        <w:rPr>
          <w:color w:val="000000"/>
          <w:sz w:val="22"/>
          <w:szCs w:val="22"/>
          <w:lang w:val="da-DK"/>
        </w:rPr>
        <w:t>1/10), almindelig (</w:t>
      </w:r>
      <w:r w:rsidR="00EB1C88" w:rsidRPr="004C2A59">
        <w:rPr>
          <w:sz w:val="22"/>
          <w:szCs w:val="22"/>
          <w:lang w:val="da-DK"/>
        </w:rPr>
        <w:t>≥</w:t>
      </w:r>
      <w:r w:rsidRPr="004C2A59">
        <w:rPr>
          <w:color w:val="000000"/>
          <w:sz w:val="22"/>
          <w:szCs w:val="22"/>
          <w:lang w:val="da-DK"/>
        </w:rPr>
        <w:t xml:space="preserve">1/100 </w:t>
      </w:r>
      <w:r w:rsidR="00EB1C88" w:rsidRPr="004C2A59">
        <w:rPr>
          <w:color w:val="000000"/>
          <w:sz w:val="22"/>
          <w:szCs w:val="22"/>
          <w:lang w:val="da-DK"/>
        </w:rPr>
        <w:t xml:space="preserve">til </w:t>
      </w:r>
      <w:r w:rsidR="00EB1C88" w:rsidRPr="004C2A59">
        <w:rPr>
          <w:sz w:val="22"/>
          <w:szCs w:val="22"/>
          <w:lang w:val="da-DK"/>
        </w:rPr>
        <w:t>&lt;</w:t>
      </w:r>
      <w:r w:rsidRPr="004C2A59">
        <w:rPr>
          <w:color w:val="000000"/>
          <w:sz w:val="22"/>
          <w:szCs w:val="22"/>
          <w:lang w:val="da-DK"/>
        </w:rPr>
        <w:t>1/10)</w:t>
      </w:r>
      <w:r w:rsidR="00BC6C72" w:rsidRPr="004C2A59">
        <w:rPr>
          <w:color w:val="000000"/>
          <w:sz w:val="22"/>
          <w:szCs w:val="22"/>
          <w:lang w:val="da-DK"/>
        </w:rPr>
        <w:t>,</w:t>
      </w:r>
      <w:r w:rsidRPr="004C2A59">
        <w:rPr>
          <w:color w:val="000000"/>
          <w:sz w:val="22"/>
          <w:szCs w:val="22"/>
          <w:lang w:val="da-DK"/>
        </w:rPr>
        <w:t xml:space="preserve"> </w:t>
      </w:r>
      <w:r w:rsidR="00C1430F" w:rsidRPr="004C2A59">
        <w:rPr>
          <w:color w:val="000000"/>
          <w:sz w:val="22"/>
          <w:szCs w:val="22"/>
          <w:lang w:val="da-DK"/>
        </w:rPr>
        <w:t xml:space="preserve">ikke almindelig </w:t>
      </w:r>
      <w:r w:rsidRPr="004C2A59">
        <w:rPr>
          <w:color w:val="000000"/>
          <w:sz w:val="22"/>
          <w:szCs w:val="22"/>
          <w:lang w:val="da-DK"/>
        </w:rPr>
        <w:t>(</w:t>
      </w:r>
      <w:r w:rsidR="00EB1C88" w:rsidRPr="004C2A59">
        <w:rPr>
          <w:sz w:val="22"/>
          <w:szCs w:val="22"/>
          <w:lang w:val="da-DK"/>
        </w:rPr>
        <w:t>≥</w:t>
      </w:r>
      <w:r w:rsidRPr="004C2A59">
        <w:rPr>
          <w:color w:val="000000"/>
          <w:sz w:val="22"/>
          <w:szCs w:val="22"/>
          <w:lang w:val="da-DK"/>
        </w:rPr>
        <w:t>1/1</w:t>
      </w:r>
      <w:r w:rsidR="00EE3B34" w:rsidRPr="004C2A59">
        <w:rPr>
          <w:color w:val="000000"/>
          <w:sz w:val="22"/>
          <w:szCs w:val="22"/>
          <w:lang w:val="da-DK"/>
        </w:rPr>
        <w:t>.</w:t>
      </w:r>
      <w:r w:rsidRPr="004C2A59">
        <w:rPr>
          <w:color w:val="000000"/>
          <w:sz w:val="22"/>
          <w:szCs w:val="22"/>
          <w:lang w:val="da-DK"/>
        </w:rPr>
        <w:t>000</w:t>
      </w:r>
      <w:r w:rsidR="00EB1C88" w:rsidRPr="004C2A59">
        <w:rPr>
          <w:color w:val="000000"/>
          <w:sz w:val="22"/>
          <w:szCs w:val="22"/>
          <w:lang w:val="da-DK"/>
        </w:rPr>
        <w:t xml:space="preserve"> til</w:t>
      </w:r>
      <w:r w:rsidRPr="004C2A59">
        <w:rPr>
          <w:color w:val="000000"/>
          <w:sz w:val="22"/>
          <w:szCs w:val="22"/>
          <w:lang w:val="da-DK"/>
        </w:rPr>
        <w:t xml:space="preserve"> </w:t>
      </w:r>
      <w:r w:rsidR="00EB1C88" w:rsidRPr="004C2A59">
        <w:rPr>
          <w:sz w:val="22"/>
          <w:szCs w:val="22"/>
          <w:lang w:val="da-DK"/>
        </w:rPr>
        <w:t>&lt;</w:t>
      </w:r>
      <w:r w:rsidRPr="004C2A59">
        <w:rPr>
          <w:color w:val="000000"/>
          <w:sz w:val="22"/>
          <w:szCs w:val="22"/>
          <w:lang w:val="da-DK"/>
        </w:rPr>
        <w:t>1/100), sjælden (</w:t>
      </w:r>
      <w:r w:rsidR="00447CF9" w:rsidRPr="004C2A59">
        <w:rPr>
          <w:sz w:val="22"/>
          <w:szCs w:val="22"/>
          <w:lang w:val="da-DK"/>
        </w:rPr>
        <w:t>≥1/10.</w:t>
      </w:r>
      <w:r w:rsidR="00B94B0D" w:rsidRPr="004C2A59">
        <w:rPr>
          <w:sz w:val="22"/>
          <w:szCs w:val="22"/>
          <w:lang w:val="da-DK"/>
        </w:rPr>
        <w:t xml:space="preserve">000 til </w:t>
      </w:r>
      <w:r w:rsidR="00EB1C88" w:rsidRPr="004C2A59">
        <w:rPr>
          <w:sz w:val="22"/>
          <w:szCs w:val="22"/>
          <w:lang w:val="da-DK"/>
        </w:rPr>
        <w:t>&lt;</w:t>
      </w:r>
      <w:r w:rsidRPr="004C2A59">
        <w:rPr>
          <w:color w:val="000000"/>
          <w:sz w:val="22"/>
          <w:szCs w:val="22"/>
          <w:lang w:val="da-DK"/>
        </w:rPr>
        <w:t>1/1</w:t>
      </w:r>
      <w:r w:rsidR="00EE3B34" w:rsidRPr="004C2A59">
        <w:rPr>
          <w:color w:val="000000"/>
          <w:sz w:val="22"/>
          <w:szCs w:val="22"/>
          <w:lang w:val="da-DK"/>
        </w:rPr>
        <w:t>.</w:t>
      </w:r>
      <w:r w:rsidRPr="004C2A59">
        <w:rPr>
          <w:color w:val="000000"/>
          <w:sz w:val="22"/>
          <w:szCs w:val="22"/>
          <w:lang w:val="da-DK"/>
        </w:rPr>
        <w:t>000)</w:t>
      </w:r>
      <w:r w:rsidR="00C12A90" w:rsidRPr="004C2A59">
        <w:rPr>
          <w:color w:val="000000"/>
          <w:sz w:val="22"/>
          <w:szCs w:val="22"/>
          <w:lang w:val="da-DK"/>
        </w:rPr>
        <w:t xml:space="preserve">, </w:t>
      </w:r>
      <w:r w:rsidR="00447CF9" w:rsidRPr="004C2A59">
        <w:rPr>
          <w:color w:val="000000"/>
          <w:sz w:val="22"/>
          <w:szCs w:val="22"/>
          <w:lang w:val="da-DK"/>
        </w:rPr>
        <w:t xml:space="preserve">meget sjælden </w:t>
      </w:r>
      <w:r w:rsidR="00447CF9" w:rsidRPr="004C2A59">
        <w:rPr>
          <w:sz w:val="22"/>
          <w:szCs w:val="22"/>
          <w:lang w:val="da-DK"/>
        </w:rPr>
        <w:t xml:space="preserve">(&lt;1/10.000), </w:t>
      </w:r>
      <w:r w:rsidR="00514B7B" w:rsidRPr="004C2A59">
        <w:rPr>
          <w:color w:val="000000"/>
          <w:sz w:val="22"/>
          <w:szCs w:val="22"/>
          <w:lang w:val="da-DK"/>
        </w:rPr>
        <w:t>ikke kendt (kan ikke estimeres ud</w:t>
      </w:r>
      <w:r w:rsidR="00E11304" w:rsidRPr="004C2A59">
        <w:rPr>
          <w:color w:val="000000"/>
          <w:sz w:val="22"/>
          <w:szCs w:val="22"/>
          <w:lang w:val="da-DK"/>
        </w:rPr>
        <w:t xml:space="preserve"> </w:t>
      </w:r>
      <w:r w:rsidR="00514B7B" w:rsidRPr="004C2A59">
        <w:rPr>
          <w:color w:val="000000"/>
          <w:sz w:val="22"/>
          <w:szCs w:val="22"/>
          <w:lang w:val="da-DK"/>
        </w:rPr>
        <w:t>fra forhåndenværende</w:t>
      </w:r>
      <w:r w:rsidR="00CF6FAB" w:rsidRPr="004C2A59">
        <w:rPr>
          <w:color w:val="000000"/>
          <w:sz w:val="22"/>
          <w:szCs w:val="22"/>
          <w:lang w:val="da-DK"/>
        </w:rPr>
        <w:t xml:space="preserve"> data)</w:t>
      </w:r>
      <w:r w:rsidRPr="004C2A59">
        <w:rPr>
          <w:color w:val="000000"/>
          <w:sz w:val="22"/>
          <w:szCs w:val="22"/>
          <w:lang w:val="da-DK"/>
        </w:rPr>
        <w:t>.</w:t>
      </w:r>
    </w:p>
    <w:p w14:paraId="5A3EE402" w14:textId="77777777" w:rsidR="00270C5A" w:rsidRPr="004C2A59" w:rsidRDefault="00270C5A" w:rsidP="00421681">
      <w:pPr>
        <w:pStyle w:val="Heading4"/>
        <w:keepNext w:val="0"/>
        <w:widowControl w:val="0"/>
        <w:numPr>
          <w:ilvl w:val="0"/>
          <w:numId w:val="0"/>
        </w:numPr>
        <w:spacing w:line="240" w:lineRule="auto"/>
        <w:jc w:val="left"/>
        <w:rPr>
          <w:b w:val="0"/>
          <w:noProof w:val="0"/>
          <w:color w:val="000000"/>
          <w:szCs w:val="22"/>
          <w:lang w:val="da-DK"/>
        </w:rPr>
      </w:pPr>
    </w:p>
    <w:p w14:paraId="39BDFC37" w14:textId="77777777" w:rsidR="00AF57FF" w:rsidRPr="004C2A59" w:rsidRDefault="00AF57FF" w:rsidP="00421681">
      <w:pPr>
        <w:rPr>
          <w:noProof/>
          <w:color w:val="000000"/>
          <w:lang w:val="da-DK"/>
        </w:rPr>
      </w:pPr>
      <w:r w:rsidRPr="004C2A59">
        <w:rPr>
          <w:noProof/>
          <w:color w:val="000000"/>
          <w:sz w:val="22"/>
          <w:szCs w:val="22"/>
          <w:lang w:val="da-DK"/>
        </w:rPr>
        <w:t>Inden</w:t>
      </w:r>
      <w:r w:rsidR="000D2957" w:rsidRPr="004C2A59">
        <w:rPr>
          <w:noProof/>
          <w:color w:val="000000"/>
          <w:sz w:val="22"/>
          <w:szCs w:val="22"/>
          <w:lang w:val="da-DK"/>
        </w:rPr>
        <w:t xml:space="preserve"> </w:t>
      </w:r>
      <w:r w:rsidRPr="004C2A59">
        <w:rPr>
          <w:noProof/>
          <w:color w:val="000000"/>
          <w:sz w:val="22"/>
          <w:szCs w:val="22"/>
          <w:lang w:val="da-DK"/>
        </w:rPr>
        <w:t xml:space="preserve">for hver </w:t>
      </w:r>
      <w:r w:rsidR="000D2957" w:rsidRPr="004C2A59">
        <w:rPr>
          <w:noProof/>
          <w:color w:val="000000"/>
          <w:sz w:val="22"/>
          <w:szCs w:val="22"/>
          <w:lang w:val="da-DK"/>
        </w:rPr>
        <w:t xml:space="preserve">enkelt </w:t>
      </w:r>
      <w:r w:rsidR="00CD6294" w:rsidRPr="004C2A59">
        <w:rPr>
          <w:noProof/>
          <w:color w:val="000000"/>
          <w:sz w:val="22"/>
          <w:szCs w:val="22"/>
          <w:lang w:val="da-DK"/>
        </w:rPr>
        <w:t>frekvens</w:t>
      </w:r>
      <w:r w:rsidRPr="004C2A59">
        <w:rPr>
          <w:noProof/>
          <w:color w:val="000000"/>
          <w:sz w:val="22"/>
          <w:szCs w:val="22"/>
          <w:lang w:val="da-DK"/>
        </w:rPr>
        <w:t xml:space="preserve">gruppe </w:t>
      </w:r>
      <w:r w:rsidR="00CD6294" w:rsidRPr="004C2A59">
        <w:rPr>
          <w:noProof/>
          <w:color w:val="000000"/>
          <w:sz w:val="22"/>
          <w:szCs w:val="22"/>
          <w:lang w:val="da-DK"/>
        </w:rPr>
        <w:t xml:space="preserve">er </w:t>
      </w:r>
      <w:r w:rsidRPr="004C2A59">
        <w:rPr>
          <w:noProof/>
          <w:color w:val="000000"/>
          <w:sz w:val="22"/>
          <w:szCs w:val="22"/>
          <w:lang w:val="da-DK"/>
        </w:rPr>
        <w:t>bivirkninger</w:t>
      </w:r>
      <w:r w:rsidR="000D2957" w:rsidRPr="004C2A59">
        <w:rPr>
          <w:noProof/>
          <w:color w:val="000000"/>
          <w:sz w:val="22"/>
          <w:szCs w:val="22"/>
          <w:lang w:val="da-DK"/>
        </w:rPr>
        <w:t>ne</w:t>
      </w:r>
      <w:r w:rsidRPr="004C2A59">
        <w:rPr>
          <w:noProof/>
          <w:color w:val="000000"/>
          <w:sz w:val="22"/>
          <w:szCs w:val="22"/>
          <w:lang w:val="da-DK"/>
        </w:rPr>
        <w:t xml:space="preserve"> opstille</w:t>
      </w:r>
      <w:r w:rsidR="00CD6294" w:rsidRPr="004C2A59">
        <w:rPr>
          <w:noProof/>
          <w:color w:val="000000"/>
          <w:sz w:val="22"/>
          <w:szCs w:val="22"/>
          <w:lang w:val="da-DK"/>
        </w:rPr>
        <w:t>t</w:t>
      </w:r>
      <w:r w:rsidRPr="004C2A59">
        <w:rPr>
          <w:noProof/>
          <w:color w:val="000000"/>
          <w:sz w:val="22"/>
          <w:szCs w:val="22"/>
          <w:lang w:val="da-DK"/>
        </w:rPr>
        <w:t xml:space="preserve"> efter </w:t>
      </w:r>
      <w:r w:rsidR="00CD6294" w:rsidRPr="004C2A59">
        <w:rPr>
          <w:noProof/>
          <w:color w:val="000000"/>
          <w:sz w:val="22"/>
          <w:szCs w:val="22"/>
          <w:lang w:val="da-DK"/>
        </w:rPr>
        <w:t xml:space="preserve">frekvens med de hyppigste </w:t>
      </w:r>
      <w:r w:rsidRPr="004C2A59">
        <w:rPr>
          <w:noProof/>
          <w:color w:val="000000"/>
          <w:sz w:val="22"/>
          <w:szCs w:val="22"/>
          <w:lang w:val="da-DK"/>
        </w:rPr>
        <w:t>først</w:t>
      </w:r>
      <w:r w:rsidRPr="004C2A59">
        <w:rPr>
          <w:noProof/>
          <w:color w:val="000000"/>
          <w:lang w:val="da-DK"/>
        </w:rPr>
        <w:t>.</w:t>
      </w:r>
    </w:p>
    <w:p w14:paraId="48819B81" w14:textId="77777777" w:rsidR="00CD6294" w:rsidRPr="004C2A59" w:rsidRDefault="00CD6294" w:rsidP="00421681">
      <w:pPr>
        <w:rPr>
          <w:noProof/>
          <w:color w:val="000000"/>
          <w:sz w:val="22"/>
          <w:szCs w:val="22"/>
          <w:lang w:val="da-DK"/>
        </w:rPr>
      </w:pPr>
    </w:p>
    <w:p w14:paraId="2F376F51" w14:textId="77777777" w:rsidR="00CD6294" w:rsidRPr="004C2A59" w:rsidRDefault="00CD6294" w:rsidP="00421681">
      <w:pPr>
        <w:rPr>
          <w:noProof/>
          <w:color w:val="000000"/>
          <w:sz w:val="22"/>
          <w:szCs w:val="22"/>
          <w:lang w:val="da-DK"/>
        </w:rPr>
      </w:pPr>
      <w:r w:rsidRPr="004C2A59">
        <w:rPr>
          <w:noProof/>
          <w:color w:val="000000"/>
          <w:sz w:val="22"/>
          <w:szCs w:val="22"/>
          <w:lang w:val="da-DK"/>
        </w:rPr>
        <w:t xml:space="preserve">Bivirkninger og deres frekvens </w:t>
      </w:r>
      <w:r w:rsidR="009D560E" w:rsidRPr="004C2A59">
        <w:rPr>
          <w:noProof/>
          <w:color w:val="000000"/>
          <w:sz w:val="22"/>
          <w:szCs w:val="22"/>
          <w:lang w:val="da-DK"/>
        </w:rPr>
        <w:t xml:space="preserve">er angivet </w:t>
      </w:r>
      <w:r w:rsidRPr="004C2A59">
        <w:rPr>
          <w:noProof/>
          <w:color w:val="000000"/>
          <w:sz w:val="22"/>
          <w:szCs w:val="22"/>
          <w:lang w:val="da-DK"/>
        </w:rPr>
        <w:t>i Tabel 1.</w:t>
      </w:r>
    </w:p>
    <w:p w14:paraId="7CB64CE4" w14:textId="77777777" w:rsidR="00CD6294" w:rsidRPr="004C2A59" w:rsidRDefault="00CD6294" w:rsidP="00421681">
      <w:pPr>
        <w:rPr>
          <w:noProof/>
          <w:color w:val="000000"/>
          <w:sz w:val="22"/>
          <w:szCs w:val="22"/>
          <w:lang w:val="da-DK"/>
        </w:rPr>
      </w:pPr>
    </w:p>
    <w:p w14:paraId="78B0B831" w14:textId="77777777" w:rsidR="00CD6294" w:rsidRPr="004C2A59" w:rsidRDefault="00CD6294" w:rsidP="006C180B">
      <w:pPr>
        <w:keepNext/>
        <w:rPr>
          <w:b/>
          <w:noProof/>
          <w:color w:val="000000"/>
          <w:sz w:val="22"/>
          <w:szCs w:val="22"/>
          <w:lang w:val="da-DK"/>
        </w:rPr>
      </w:pPr>
      <w:r w:rsidRPr="004C2A59">
        <w:rPr>
          <w:b/>
          <w:noProof/>
          <w:color w:val="000000"/>
          <w:sz w:val="22"/>
          <w:szCs w:val="22"/>
          <w:lang w:val="da-DK"/>
        </w:rPr>
        <w:t>Tabel</w:t>
      </w:r>
      <w:r w:rsidR="00A25B0E" w:rsidRPr="004C2A59">
        <w:rPr>
          <w:b/>
          <w:noProof/>
          <w:color w:val="000000"/>
          <w:sz w:val="22"/>
          <w:szCs w:val="22"/>
          <w:lang w:val="da-DK"/>
        </w:rPr>
        <w:t> </w:t>
      </w:r>
      <w:r w:rsidRPr="004C2A59">
        <w:rPr>
          <w:b/>
          <w:noProof/>
          <w:color w:val="000000"/>
          <w:sz w:val="22"/>
          <w:szCs w:val="22"/>
          <w:lang w:val="da-DK"/>
        </w:rPr>
        <w:t>1</w:t>
      </w:r>
      <w:r w:rsidRPr="004C2A59">
        <w:rPr>
          <w:b/>
          <w:noProof/>
          <w:color w:val="000000"/>
          <w:sz w:val="22"/>
          <w:szCs w:val="22"/>
          <w:lang w:val="da-DK"/>
        </w:rPr>
        <w:tab/>
      </w:r>
      <w:r w:rsidR="00501EA9" w:rsidRPr="004C2A59">
        <w:rPr>
          <w:b/>
          <w:noProof/>
          <w:color w:val="000000"/>
          <w:sz w:val="22"/>
          <w:szCs w:val="22"/>
          <w:lang w:val="da-DK"/>
        </w:rPr>
        <w:t>Opsummering af b</w:t>
      </w:r>
      <w:r w:rsidRPr="004C2A59">
        <w:rPr>
          <w:b/>
          <w:noProof/>
          <w:color w:val="000000"/>
          <w:sz w:val="22"/>
          <w:szCs w:val="22"/>
          <w:lang w:val="da-DK"/>
        </w:rPr>
        <w:t>ivirkninger</w:t>
      </w:r>
    </w:p>
    <w:p w14:paraId="2E972943" w14:textId="77777777" w:rsidR="00AF57FF" w:rsidRPr="004C2A59" w:rsidRDefault="00AF57FF" w:rsidP="006C180B">
      <w:pPr>
        <w:keepNext/>
        <w:rPr>
          <w:color w:val="000000"/>
          <w:sz w:val="22"/>
          <w:szCs w:val="22"/>
          <w:lang w:val="da-DK"/>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1A2B3B" w:rsidRPr="004C2A59" w14:paraId="19FAA05F" w14:textId="77777777" w:rsidTr="006C180B">
        <w:trPr>
          <w:cantSplit/>
        </w:trPr>
        <w:tc>
          <w:tcPr>
            <w:tcW w:w="9322" w:type="dxa"/>
            <w:gridSpan w:val="2"/>
          </w:tcPr>
          <w:p w14:paraId="7816B3BF" w14:textId="77777777" w:rsidR="001A2B3B" w:rsidRPr="004C2A59" w:rsidRDefault="001A2B3B" w:rsidP="006C180B">
            <w:pPr>
              <w:keepNext/>
              <w:tabs>
                <w:tab w:val="left" w:pos="567"/>
              </w:tabs>
              <w:rPr>
                <w:color w:val="000000"/>
                <w:sz w:val="22"/>
                <w:szCs w:val="22"/>
                <w:lang w:val="da-DK"/>
              </w:rPr>
            </w:pPr>
            <w:r w:rsidRPr="004C2A59">
              <w:rPr>
                <w:b/>
                <w:color w:val="000000"/>
                <w:sz w:val="22"/>
                <w:szCs w:val="22"/>
                <w:lang w:val="da-DK"/>
              </w:rPr>
              <w:t>Infektioner og parasitære sygdomme</w:t>
            </w:r>
          </w:p>
        </w:tc>
      </w:tr>
      <w:tr w:rsidR="001A2B3B" w:rsidRPr="00DA2798" w14:paraId="7AEF73B7" w14:textId="77777777" w:rsidTr="006C180B">
        <w:trPr>
          <w:cantSplit/>
        </w:trPr>
        <w:tc>
          <w:tcPr>
            <w:tcW w:w="2235" w:type="dxa"/>
          </w:tcPr>
          <w:p w14:paraId="3EE72B43" w14:textId="77777777" w:rsidR="001A2B3B" w:rsidRPr="004C2A59" w:rsidRDefault="001A2B3B" w:rsidP="006C180B">
            <w:pPr>
              <w:keepNext/>
              <w:tabs>
                <w:tab w:val="left" w:pos="567"/>
              </w:tabs>
              <w:rPr>
                <w:i/>
                <w:color w:val="000000"/>
                <w:sz w:val="22"/>
                <w:szCs w:val="22"/>
                <w:lang w:val="da-DK"/>
              </w:rPr>
            </w:pPr>
            <w:r w:rsidRPr="004C2A59">
              <w:rPr>
                <w:i/>
                <w:color w:val="000000"/>
                <w:sz w:val="22"/>
                <w:szCs w:val="22"/>
                <w:lang w:val="da-DK"/>
              </w:rPr>
              <w:t>Ikke almindelig:</w:t>
            </w:r>
          </w:p>
        </w:tc>
        <w:tc>
          <w:tcPr>
            <w:tcW w:w="7087" w:type="dxa"/>
          </w:tcPr>
          <w:p w14:paraId="45737F82" w14:textId="77777777" w:rsidR="001A2B3B" w:rsidRPr="004C2A59" w:rsidRDefault="001A2B3B" w:rsidP="006C180B">
            <w:pPr>
              <w:keepNext/>
              <w:tabs>
                <w:tab w:val="left" w:pos="567"/>
              </w:tabs>
              <w:rPr>
                <w:color w:val="000000"/>
                <w:sz w:val="22"/>
                <w:szCs w:val="22"/>
                <w:lang w:val="da-DK"/>
              </w:rPr>
            </w:pPr>
            <w:r w:rsidRPr="004C2A59">
              <w:rPr>
                <w:color w:val="000000"/>
                <w:sz w:val="22"/>
                <w:szCs w:val="22"/>
                <w:lang w:val="da-DK"/>
              </w:rPr>
              <w:t xml:space="preserve">Herpes zoster, herpes simplex, </w:t>
            </w:r>
            <w:r w:rsidR="00017E8C" w:rsidRPr="004C2A59">
              <w:rPr>
                <w:color w:val="000000"/>
                <w:sz w:val="22"/>
                <w:szCs w:val="22"/>
                <w:lang w:val="da-DK"/>
              </w:rPr>
              <w:t>nasopharyngitis</w:t>
            </w:r>
            <w:r w:rsidRPr="004C2A59">
              <w:rPr>
                <w:color w:val="000000"/>
                <w:sz w:val="22"/>
                <w:szCs w:val="22"/>
                <w:lang w:val="da-DK"/>
              </w:rPr>
              <w:t>, pneumoni</w:t>
            </w:r>
            <w:r w:rsidR="00102FCF" w:rsidRPr="004C2A59">
              <w:rPr>
                <w:color w:val="000000"/>
                <w:sz w:val="22"/>
                <w:szCs w:val="22"/>
                <w:vertAlign w:val="superscript"/>
                <w:lang w:val="da-DK"/>
              </w:rPr>
              <w:t>1</w:t>
            </w:r>
            <w:r w:rsidRPr="004C2A59">
              <w:rPr>
                <w:color w:val="000000"/>
                <w:sz w:val="22"/>
                <w:szCs w:val="22"/>
                <w:lang w:val="da-DK"/>
              </w:rPr>
              <w:t xml:space="preserve">, </w:t>
            </w:r>
            <w:r w:rsidR="00017E8C" w:rsidRPr="004C2A59">
              <w:rPr>
                <w:color w:val="000000"/>
                <w:sz w:val="22"/>
                <w:szCs w:val="22"/>
                <w:lang w:val="da-DK"/>
              </w:rPr>
              <w:t>sinuitis</w:t>
            </w:r>
            <w:r w:rsidRPr="004C2A59">
              <w:rPr>
                <w:color w:val="000000"/>
                <w:sz w:val="22"/>
                <w:szCs w:val="22"/>
                <w:lang w:val="da-DK"/>
              </w:rPr>
              <w:t>, cellulitis, infektioner i øvre luftveje, influenza, urinvejsinfektion, gastroenteritis, sepsis</w:t>
            </w:r>
          </w:p>
        </w:tc>
      </w:tr>
      <w:tr w:rsidR="001A2B3B" w:rsidRPr="004C2A59" w14:paraId="5560B02C" w14:textId="77777777" w:rsidTr="006C180B">
        <w:trPr>
          <w:cantSplit/>
        </w:trPr>
        <w:tc>
          <w:tcPr>
            <w:tcW w:w="2235" w:type="dxa"/>
          </w:tcPr>
          <w:p w14:paraId="4F373D59" w14:textId="77777777" w:rsidR="001A2B3B" w:rsidRPr="004C2A59" w:rsidRDefault="001A2B3B" w:rsidP="006C180B">
            <w:pPr>
              <w:keepNext/>
              <w:tabs>
                <w:tab w:val="left" w:pos="567"/>
              </w:tabs>
              <w:rPr>
                <w:i/>
                <w:color w:val="000000"/>
                <w:sz w:val="22"/>
                <w:szCs w:val="22"/>
                <w:lang w:val="da-DK"/>
              </w:rPr>
            </w:pPr>
            <w:r w:rsidRPr="004C2A59">
              <w:rPr>
                <w:i/>
                <w:color w:val="000000"/>
                <w:sz w:val="22"/>
                <w:szCs w:val="22"/>
                <w:lang w:val="da-DK"/>
              </w:rPr>
              <w:t>Sjælden:</w:t>
            </w:r>
          </w:p>
        </w:tc>
        <w:tc>
          <w:tcPr>
            <w:tcW w:w="7087" w:type="dxa"/>
          </w:tcPr>
          <w:p w14:paraId="15396191" w14:textId="77777777" w:rsidR="001A2B3B" w:rsidRPr="004C2A59" w:rsidRDefault="001A2B3B" w:rsidP="006C180B">
            <w:pPr>
              <w:keepNext/>
              <w:tabs>
                <w:tab w:val="left" w:pos="567"/>
              </w:tabs>
              <w:rPr>
                <w:color w:val="000000"/>
                <w:sz w:val="22"/>
                <w:szCs w:val="22"/>
                <w:lang w:val="da-DK"/>
              </w:rPr>
            </w:pPr>
            <w:r w:rsidRPr="004C2A59">
              <w:rPr>
                <w:color w:val="000000"/>
                <w:sz w:val="22"/>
                <w:szCs w:val="22"/>
                <w:lang w:val="da-DK"/>
              </w:rPr>
              <w:t>Svampeinfektion</w:t>
            </w:r>
          </w:p>
        </w:tc>
      </w:tr>
      <w:tr w:rsidR="00B023D7" w:rsidRPr="004C2A59" w14:paraId="48E508F2" w14:textId="77777777" w:rsidTr="006C180B">
        <w:trPr>
          <w:cantSplit/>
        </w:trPr>
        <w:tc>
          <w:tcPr>
            <w:tcW w:w="2235" w:type="dxa"/>
          </w:tcPr>
          <w:p w14:paraId="7953602C" w14:textId="77777777" w:rsidR="00B023D7" w:rsidRPr="004C2A59" w:rsidRDefault="00B023D7" w:rsidP="006C180B">
            <w:pPr>
              <w:keepNext/>
              <w:tabs>
                <w:tab w:val="left" w:pos="567"/>
              </w:tabs>
              <w:rPr>
                <w:i/>
                <w:color w:val="000000"/>
                <w:sz w:val="22"/>
                <w:szCs w:val="22"/>
                <w:lang w:val="da-DK"/>
              </w:rPr>
            </w:pPr>
            <w:r>
              <w:rPr>
                <w:i/>
                <w:color w:val="000000"/>
                <w:sz w:val="22"/>
                <w:szCs w:val="22"/>
                <w:lang w:val="da-DK"/>
              </w:rPr>
              <w:t>Ikke kendt:</w:t>
            </w:r>
          </w:p>
        </w:tc>
        <w:tc>
          <w:tcPr>
            <w:tcW w:w="7087" w:type="dxa"/>
          </w:tcPr>
          <w:p w14:paraId="0E9D702C" w14:textId="77777777" w:rsidR="00B023D7" w:rsidRPr="004C2A59" w:rsidRDefault="00B023D7" w:rsidP="006C180B">
            <w:pPr>
              <w:keepNext/>
              <w:tabs>
                <w:tab w:val="left" w:pos="567"/>
              </w:tabs>
              <w:rPr>
                <w:color w:val="000000"/>
                <w:sz w:val="22"/>
                <w:szCs w:val="22"/>
                <w:lang w:val="da-DK"/>
              </w:rPr>
            </w:pPr>
            <w:r w:rsidRPr="00B023D7">
              <w:rPr>
                <w:color w:val="000000"/>
                <w:sz w:val="22"/>
                <w:szCs w:val="22"/>
                <w:lang w:val="da-DK"/>
              </w:rPr>
              <w:t>Reaktivering af hepatitis B</w:t>
            </w:r>
            <w:r w:rsidRPr="004C2A59">
              <w:rPr>
                <w:color w:val="000000"/>
                <w:sz w:val="22"/>
                <w:szCs w:val="22"/>
                <w:lang w:val="da-DK"/>
              </w:rPr>
              <w:t>*</w:t>
            </w:r>
          </w:p>
        </w:tc>
      </w:tr>
      <w:tr w:rsidR="00DF16E7" w:rsidRPr="00DA2798" w14:paraId="13D08ED8" w14:textId="77777777" w:rsidTr="006C180B">
        <w:trPr>
          <w:cantSplit/>
        </w:trPr>
        <w:tc>
          <w:tcPr>
            <w:tcW w:w="9322" w:type="dxa"/>
            <w:gridSpan w:val="2"/>
          </w:tcPr>
          <w:p w14:paraId="15951843" w14:textId="77777777" w:rsidR="00DF16E7" w:rsidRPr="004C2A59" w:rsidRDefault="00DF16E7" w:rsidP="006C180B">
            <w:pPr>
              <w:keepNext/>
              <w:tabs>
                <w:tab w:val="left" w:pos="567"/>
              </w:tabs>
              <w:rPr>
                <w:color w:val="000000"/>
                <w:sz w:val="22"/>
                <w:szCs w:val="22"/>
                <w:lang w:val="da-DK"/>
              </w:rPr>
            </w:pPr>
            <w:r w:rsidRPr="004C2A59">
              <w:rPr>
                <w:b/>
                <w:color w:val="000000"/>
                <w:sz w:val="22"/>
                <w:szCs w:val="22"/>
                <w:lang w:val="da-DK"/>
              </w:rPr>
              <w:t xml:space="preserve">Benigne, maligne og uspecificerede tumorer (inkl. </w:t>
            </w:r>
            <w:r w:rsidR="00E24012" w:rsidRPr="004C2A59">
              <w:rPr>
                <w:b/>
                <w:color w:val="000000"/>
                <w:sz w:val="22"/>
                <w:szCs w:val="22"/>
                <w:lang w:val="da-DK"/>
              </w:rPr>
              <w:t>c</w:t>
            </w:r>
            <w:r w:rsidRPr="004C2A59">
              <w:rPr>
                <w:b/>
                <w:color w:val="000000"/>
                <w:sz w:val="22"/>
                <w:szCs w:val="22"/>
                <w:lang w:val="da-DK"/>
              </w:rPr>
              <w:t>yster og polypper)</w:t>
            </w:r>
          </w:p>
        </w:tc>
      </w:tr>
      <w:tr w:rsidR="00DF16E7" w:rsidRPr="004C2A59" w14:paraId="4A1E7468" w14:textId="77777777" w:rsidTr="006C180B">
        <w:trPr>
          <w:cantSplit/>
        </w:trPr>
        <w:tc>
          <w:tcPr>
            <w:tcW w:w="2235" w:type="dxa"/>
          </w:tcPr>
          <w:p w14:paraId="4304B967" w14:textId="77777777" w:rsidR="00DF16E7" w:rsidRPr="004C2A59" w:rsidRDefault="00E24012" w:rsidP="006C180B">
            <w:pPr>
              <w:keepNext/>
              <w:tabs>
                <w:tab w:val="left" w:pos="567"/>
              </w:tabs>
              <w:rPr>
                <w:color w:val="000000"/>
                <w:sz w:val="22"/>
                <w:szCs w:val="22"/>
                <w:lang w:val="da-DK"/>
              </w:rPr>
            </w:pPr>
            <w:r w:rsidRPr="004C2A59">
              <w:rPr>
                <w:i/>
                <w:color w:val="000000"/>
                <w:sz w:val="22"/>
                <w:szCs w:val="22"/>
                <w:lang w:val="da-DK"/>
              </w:rPr>
              <w:t>Sjælden</w:t>
            </w:r>
            <w:r w:rsidR="00DF16E7" w:rsidRPr="004C2A59">
              <w:rPr>
                <w:i/>
                <w:color w:val="000000"/>
                <w:sz w:val="22"/>
                <w:szCs w:val="22"/>
                <w:lang w:val="da-DK"/>
              </w:rPr>
              <w:t>:</w:t>
            </w:r>
          </w:p>
        </w:tc>
        <w:tc>
          <w:tcPr>
            <w:tcW w:w="7087" w:type="dxa"/>
          </w:tcPr>
          <w:p w14:paraId="27498274" w14:textId="77777777" w:rsidR="00DF16E7" w:rsidRPr="004C2A59" w:rsidRDefault="00E24012" w:rsidP="006C180B">
            <w:pPr>
              <w:keepNext/>
              <w:tabs>
                <w:tab w:val="left" w:pos="567"/>
              </w:tabs>
              <w:rPr>
                <w:color w:val="000000"/>
                <w:sz w:val="22"/>
                <w:szCs w:val="22"/>
                <w:lang w:val="da-DK"/>
              </w:rPr>
            </w:pPr>
            <w:r w:rsidRPr="004C2A59">
              <w:rPr>
                <w:color w:val="000000"/>
                <w:sz w:val="22"/>
                <w:szCs w:val="22"/>
                <w:lang w:val="da-DK"/>
              </w:rPr>
              <w:t>Tumorlysesyndrom</w:t>
            </w:r>
          </w:p>
        </w:tc>
      </w:tr>
      <w:tr w:rsidR="00353FC4" w:rsidRPr="004C2A59" w14:paraId="51900D3E" w14:textId="77777777" w:rsidTr="006C180B">
        <w:trPr>
          <w:cantSplit/>
        </w:trPr>
        <w:tc>
          <w:tcPr>
            <w:tcW w:w="2235" w:type="dxa"/>
          </w:tcPr>
          <w:p w14:paraId="0D649293" w14:textId="77777777" w:rsidR="00353FC4" w:rsidRPr="004C2A59" w:rsidRDefault="00353FC4" w:rsidP="00421681">
            <w:pPr>
              <w:tabs>
                <w:tab w:val="left" w:pos="567"/>
              </w:tabs>
              <w:rPr>
                <w:i/>
                <w:color w:val="000000"/>
                <w:sz w:val="22"/>
                <w:szCs w:val="22"/>
                <w:lang w:val="da-DK"/>
              </w:rPr>
            </w:pPr>
            <w:r w:rsidRPr="004C2A59">
              <w:rPr>
                <w:i/>
                <w:color w:val="000000"/>
                <w:sz w:val="22"/>
                <w:szCs w:val="22"/>
                <w:lang w:val="da-DK"/>
              </w:rPr>
              <w:t>Ikke kendt</w:t>
            </w:r>
          </w:p>
        </w:tc>
        <w:tc>
          <w:tcPr>
            <w:tcW w:w="7087" w:type="dxa"/>
          </w:tcPr>
          <w:p w14:paraId="6657CE3E" w14:textId="77777777" w:rsidR="00353FC4" w:rsidRPr="004C2A59" w:rsidRDefault="00353FC4" w:rsidP="00421681">
            <w:pPr>
              <w:tabs>
                <w:tab w:val="left" w:pos="567"/>
              </w:tabs>
              <w:rPr>
                <w:color w:val="000000"/>
                <w:sz w:val="22"/>
                <w:szCs w:val="22"/>
                <w:lang w:val="da-DK"/>
              </w:rPr>
            </w:pPr>
            <w:r w:rsidRPr="004C2A59">
              <w:rPr>
                <w:color w:val="000000"/>
                <w:sz w:val="22"/>
                <w:szCs w:val="22"/>
                <w:lang w:val="da-DK"/>
              </w:rPr>
              <w:t>Tumorblødning/tumornekrose*</w:t>
            </w:r>
          </w:p>
        </w:tc>
      </w:tr>
      <w:tr w:rsidR="00F71550" w:rsidRPr="004C2A59" w14:paraId="556A0557" w14:textId="77777777" w:rsidTr="006C180B">
        <w:trPr>
          <w:cantSplit/>
        </w:trPr>
        <w:tc>
          <w:tcPr>
            <w:tcW w:w="9322" w:type="dxa"/>
            <w:gridSpan w:val="2"/>
          </w:tcPr>
          <w:p w14:paraId="1E58F2DF" w14:textId="77777777" w:rsidR="00F71550" w:rsidRPr="004C2A59" w:rsidRDefault="000A1361" w:rsidP="006C180B">
            <w:pPr>
              <w:keepNext/>
              <w:tabs>
                <w:tab w:val="left" w:pos="567"/>
              </w:tabs>
              <w:rPr>
                <w:b/>
                <w:color w:val="000000"/>
                <w:sz w:val="22"/>
                <w:szCs w:val="22"/>
                <w:lang w:val="da-DK"/>
              </w:rPr>
            </w:pPr>
            <w:r w:rsidRPr="004C2A59">
              <w:rPr>
                <w:b/>
                <w:color w:val="000000"/>
                <w:sz w:val="22"/>
                <w:szCs w:val="22"/>
                <w:lang w:val="da-DK"/>
              </w:rPr>
              <w:t>Immunsystemet</w:t>
            </w:r>
          </w:p>
        </w:tc>
      </w:tr>
      <w:tr w:rsidR="00F71550" w:rsidRPr="004C2A59" w14:paraId="2862E587" w14:textId="77777777" w:rsidTr="006C180B">
        <w:trPr>
          <w:cantSplit/>
        </w:trPr>
        <w:tc>
          <w:tcPr>
            <w:tcW w:w="2235" w:type="dxa"/>
          </w:tcPr>
          <w:p w14:paraId="5F5BBA83" w14:textId="77777777" w:rsidR="00F71550" w:rsidRPr="004C2A59" w:rsidRDefault="000A1361" w:rsidP="00421681">
            <w:pPr>
              <w:tabs>
                <w:tab w:val="left" w:pos="567"/>
              </w:tabs>
              <w:rPr>
                <w:color w:val="000000"/>
                <w:sz w:val="22"/>
                <w:szCs w:val="22"/>
                <w:lang w:val="da-DK"/>
              </w:rPr>
            </w:pPr>
            <w:r w:rsidRPr="004C2A59">
              <w:rPr>
                <w:i/>
                <w:color w:val="000000"/>
                <w:sz w:val="22"/>
                <w:szCs w:val="22"/>
                <w:lang w:val="da-DK"/>
              </w:rPr>
              <w:t>Ikke kendt:</w:t>
            </w:r>
          </w:p>
        </w:tc>
        <w:tc>
          <w:tcPr>
            <w:tcW w:w="7087" w:type="dxa"/>
          </w:tcPr>
          <w:p w14:paraId="5D0F209C" w14:textId="77777777" w:rsidR="00F71550" w:rsidRPr="004C2A59" w:rsidRDefault="000A1361" w:rsidP="00421681">
            <w:pPr>
              <w:tabs>
                <w:tab w:val="left" w:pos="567"/>
              </w:tabs>
              <w:rPr>
                <w:color w:val="000000"/>
                <w:sz w:val="22"/>
                <w:szCs w:val="22"/>
                <w:lang w:val="da-DK"/>
              </w:rPr>
            </w:pPr>
            <w:r w:rsidRPr="004C2A59">
              <w:rPr>
                <w:color w:val="000000"/>
                <w:sz w:val="22"/>
                <w:szCs w:val="22"/>
                <w:lang w:val="da-DK"/>
              </w:rPr>
              <w:t xml:space="preserve">Anafylaktisk </w:t>
            </w:r>
            <w:r w:rsidR="00D13201" w:rsidRPr="004C2A59">
              <w:rPr>
                <w:color w:val="000000"/>
                <w:sz w:val="22"/>
                <w:szCs w:val="22"/>
                <w:lang w:val="da-DK"/>
              </w:rPr>
              <w:t>s</w:t>
            </w:r>
            <w:r w:rsidRPr="004C2A59">
              <w:rPr>
                <w:color w:val="000000"/>
                <w:sz w:val="22"/>
                <w:szCs w:val="22"/>
                <w:lang w:val="da-DK"/>
              </w:rPr>
              <w:t>ho</w:t>
            </w:r>
            <w:r w:rsidR="00D13201" w:rsidRPr="004C2A59">
              <w:rPr>
                <w:color w:val="000000"/>
                <w:sz w:val="22"/>
                <w:szCs w:val="22"/>
                <w:lang w:val="da-DK"/>
              </w:rPr>
              <w:t>c</w:t>
            </w:r>
            <w:r w:rsidRPr="004C2A59">
              <w:rPr>
                <w:color w:val="000000"/>
                <w:sz w:val="22"/>
                <w:szCs w:val="22"/>
                <w:lang w:val="da-DK"/>
              </w:rPr>
              <w:t>k*</w:t>
            </w:r>
          </w:p>
        </w:tc>
      </w:tr>
      <w:tr w:rsidR="00CD6294" w:rsidRPr="004C2A59" w14:paraId="6FF0A2A7" w14:textId="77777777" w:rsidTr="006C180B">
        <w:trPr>
          <w:cantSplit/>
        </w:trPr>
        <w:tc>
          <w:tcPr>
            <w:tcW w:w="9322" w:type="dxa"/>
            <w:gridSpan w:val="2"/>
          </w:tcPr>
          <w:p w14:paraId="750C323F" w14:textId="77777777" w:rsidR="00CD6294" w:rsidRPr="004C2A59" w:rsidRDefault="0098051A" w:rsidP="006C180B">
            <w:pPr>
              <w:keepNext/>
              <w:tabs>
                <w:tab w:val="left" w:pos="567"/>
              </w:tabs>
              <w:rPr>
                <w:color w:val="000000"/>
                <w:sz w:val="22"/>
                <w:szCs w:val="22"/>
                <w:lang w:val="da-DK"/>
              </w:rPr>
            </w:pPr>
            <w:r w:rsidRPr="004C2A59">
              <w:rPr>
                <w:b/>
                <w:color w:val="000000"/>
                <w:sz w:val="22"/>
                <w:szCs w:val="22"/>
                <w:lang w:val="da-DK"/>
              </w:rPr>
              <w:t>Blod og lymfesystem</w:t>
            </w:r>
          </w:p>
        </w:tc>
      </w:tr>
      <w:tr w:rsidR="00CD6294" w:rsidRPr="004C2A59" w14:paraId="341DBF7A" w14:textId="77777777" w:rsidTr="006C180B">
        <w:trPr>
          <w:cantSplit/>
        </w:trPr>
        <w:tc>
          <w:tcPr>
            <w:tcW w:w="2235" w:type="dxa"/>
          </w:tcPr>
          <w:p w14:paraId="7D9CE5F6"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Meget almindelig:</w:t>
            </w:r>
          </w:p>
        </w:tc>
        <w:tc>
          <w:tcPr>
            <w:tcW w:w="7087" w:type="dxa"/>
          </w:tcPr>
          <w:p w14:paraId="072F13F8" w14:textId="77777777" w:rsidR="00CD6294" w:rsidRPr="004C2A59" w:rsidRDefault="00967308" w:rsidP="006C180B">
            <w:pPr>
              <w:keepNext/>
              <w:tabs>
                <w:tab w:val="left" w:pos="567"/>
              </w:tabs>
              <w:rPr>
                <w:color w:val="000000"/>
                <w:sz w:val="22"/>
                <w:szCs w:val="22"/>
                <w:lang w:val="da-DK"/>
              </w:rPr>
            </w:pPr>
            <w:r w:rsidRPr="004C2A59">
              <w:rPr>
                <w:color w:val="000000"/>
                <w:sz w:val="22"/>
                <w:szCs w:val="22"/>
                <w:lang w:val="en-GB"/>
              </w:rPr>
              <w:t>Neutropeni, trombocytopeni, anæmi</w:t>
            </w:r>
          </w:p>
        </w:tc>
      </w:tr>
      <w:tr w:rsidR="00CD6294" w:rsidRPr="004C2A59" w14:paraId="1864D4BE" w14:textId="77777777" w:rsidTr="006C180B">
        <w:trPr>
          <w:cantSplit/>
        </w:trPr>
        <w:tc>
          <w:tcPr>
            <w:tcW w:w="2235" w:type="dxa"/>
          </w:tcPr>
          <w:p w14:paraId="74476F81"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Almindelig:</w:t>
            </w:r>
          </w:p>
        </w:tc>
        <w:tc>
          <w:tcPr>
            <w:tcW w:w="7087" w:type="dxa"/>
          </w:tcPr>
          <w:p w14:paraId="738D8CF0" w14:textId="77777777" w:rsidR="00CD6294" w:rsidRPr="004C2A59" w:rsidRDefault="00CD6294" w:rsidP="006C180B">
            <w:pPr>
              <w:keepNext/>
              <w:tabs>
                <w:tab w:val="left" w:pos="567"/>
              </w:tabs>
              <w:rPr>
                <w:color w:val="000000"/>
                <w:sz w:val="22"/>
                <w:szCs w:val="22"/>
                <w:lang w:val="da-DK"/>
              </w:rPr>
            </w:pPr>
            <w:r w:rsidRPr="004C2A59">
              <w:rPr>
                <w:color w:val="000000"/>
                <w:sz w:val="22"/>
                <w:szCs w:val="22"/>
                <w:lang w:val="da-DK"/>
              </w:rPr>
              <w:t>Pancytopeni</w:t>
            </w:r>
            <w:r w:rsidR="00967308" w:rsidRPr="004C2A59">
              <w:rPr>
                <w:color w:val="000000"/>
                <w:sz w:val="22"/>
                <w:szCs w:val="22"/>
                <w:lang w:val="da-DK"/>
              </w:rPr>
              <w:t>, febril neutropeni</w:t>
            </w:r>
          </w:p>
        </w:tc>
      </w:tr>
      <w:tr w:rsidR="00CD6294" w:rsidRPr="00F852D1" w14:paraId="2A5B8A18" w14:textId="77777777" w:rsidTr="006C180B">
        <w:trPr>
          <w:cantSplit/>
        </w:trPr>
        <w:tc>
          <w:tcPr>
            <w:tcW w:w="2235" w:type="dxa"/>
          </w:tcPr>
          <w:p w14:paraId="6F4232BF"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Ikke almindelig:</w:t>
            </w:r>
          </w:p>
        </w:tc>
        <w:tc>
          <w:tcPr>
            <w:tcW w:w="7087" w:type="dxa"/>
          </w:tcPr>
          <w:p w14:paraId="59A1AC4A" w14:textId="77777777" w:rsidR="00CD6294" w:rsidRPr="004C2A59" w:rsidRDefault="00CD6294" w:rsidP="006C180B">
            <w:pPr>
              <w:keepNext/>
              <w:tabs>
                <w:tab w:val="left" w:pos="567"/>
              </w:tabs>
              <w:rPr>
                <w:color w:val="000000"/>
                <w:sz w:val="22"/>
                <w:szCs w:val="22"/>
                <w:lang w:val="da-DK"/>
              </w:rPr>
            </w:pPr>
            <w:r w:rsidRPr="004C2A59">
              <w:rPr>
                <w:color w:val="000000"/>
                <w:sz w:val="22"/>
                <w:szCs w:val="22"/>
                <w:lang w:val="da-DK"/>
              </w:rPr>
              <w:t>T</w:t>
            </w:r>
            <w:r w:rsidR="003E23AF" w:rsidRPr="004C2A59">
              <w:rPr>
                <w:color w:val="000000"/>
                <w:sz w:val="22"/>
                <w:szCs w:val="22"/>
                <w:lang w:val="da-DK"/>
              </w:rPr>
              <w:t>rombocytæmi, lymfopeni</w:t>
            </w:r>
            <w:r w:rsidRPr="004C2A59">
              <w:rPr>
                <w:color w:val="000000"/>
                <w:sz w:val="22"/>
                <w:szCs w:val="22"/>
                <w:lang w:val="da-DK"/>
              </w:rPr>
              <w:t xml:space="preserve">, </w:t>
            </w:r>
            <w:r w:rsidR="0089412C" w:rsidRPr="004C2A59">
              <w:rPr>
                <w:color w:val="000000"/>
                <w:sz w:val="22"/>
                <w:szCs w:val="22"/>
                <w:lang w:val="da-DK"/>
              </w:rPr>
              <w:t>knoglemarvsdepression</w:t>
            </w:r>
            <w:r w:rsidRPr="004C2A59">
              <w:rPr>
                <w:color w:val="000000"/>
                <w:sz w:val="22"/>
                <w:szCs w:val="22"/>
                <w:lang w:val="da-DK"/>
              </w:rPr>
              <w:t xml:space="preserve">, </w:t>
            </w:r>
            <w:r w:rsidR="003E23AF" w:rsidRPr="004C2A59">
              <w:rPr>
                <w:color w:val="000000"/>
                <w:sz w:val="22"/>
                <w:szCs w:val="22"/>
                <w:lang w:val="da-DK"/>
              </w:rPr>
              <w:t>eosinofili, lym</w:t>
            </w:r>
            <w:r w:rsidR="00B33F74" w:rsidRPr="004C2A59">
              <w:rPr>
                <w:color w:val="000000"/>
                <w:sz w:val="22"/>
                <w:szCs w:val="22"/>
                <w:lang w:val="da-DK"/>
              </w:rPr>
              <w:t>f</w:t>
            </w:r>
            <w:r w:rsidR="003E23AF" w:rsidRPr="004C2A59">
              <w:rPr>
                <w:color w:val="000000"/>
                <w:sz w:val="22"/>
                <w:szCs w:val="22"/>
                <w:lang w:val="da-DK"/>
              </w:rPr>
              <w:t>adenopati</w:t>
            </w:r>
          </w:p>
        </w:tc>
      </w:tr>
      <w:tr w:rsidR="00CD6294" w:rsidRPr="004C2A59" w14:paraId="6C3CB2B2" w14:textId="77777777" w:rsidTr="006C180B">
        <w:trPr>
          <w:cantSplit/>
        </w:trPr>
        <w:tc>
          <w:tcPr>
            <w:tcW w:w="2235" w:type="dxa"/>
          </w:tcPr>
          <w:p w14:paraId="14CD9430" w14:textId="77777777" w:rsidR="00CD6294" w:rsidRPr="004C2A59" w:rsidRDefault="00CD6294" w:rsidP="00421681">
            <w:pPr>
              <w:tabs>
                <w:tab w:val="left" w:pos="567"/>
              </w:tabs>
              <w:rPr>
                <w:i/>
                <w:color w:val="000000"/>
                <w:sz w:val="22"/>
                <w:szCs w:val="22"/>
                <w:lang w:val="da-DK"/>
              </w:rPr>
            </w:pPr>
            <w:r w:rsidRPr="004C2A59">
              <w:rPr>
                <w:i/>
                <w:color w:val="000000"/>
                <w:sz w:val="22"/>
                <w:szCs w:val="22"/>
                <w:lang w:val="da-DK"/>
              </w:rPr>
              <w:t>Sjælden:</w:t>
            </w:r>
          </w:p>
        </w:tc>
        <w:tc>
          <w:tcPr>
            <w:tcW w:w="7087" w:type="dxa"/>
          </w:tcPr>
          <w:p w14:paraId="2DBAA445" w14:textId="77777777" w:rsidR="00CD6294" w:rsidRPr="004C2A59" w:rsidRDefault="003E23AF" w:rsidP="00421681">
            <w:pPr>
              <w:tabs>
                <w:tab w:val="left" w:pos="567"/>
              </w:tabs>
              <w:rPr>
                <w:color w:val="000000"/>
                <w:sz w:val="22"/>
                <w:szCs w:val="22"/>
                <w:lang w:val="da-DK"/>
              </w:rPr>
            </w:pPr>
            <w:r w:rsidRPr="004C2A59">
              <w:rPr>
                <w:color w:val="000000"/>
                <w:sz w:val="22"/>
                <w:szCs w:val="22"/>
                <w:lang w:val="da-DK"/>
              </w:rPr>
              <w:t>Hæmolytisk anæmi</w:t>
            </w:r>
            <w:r w:rsidR="004543EE">
              <w:rPr>
                <w:color w:val="000000"/>
                <w:sz w:val="22"/>
                <w:szCs w:val="22"/>
                <w:lang w:val="da-DK"/>
              </w:rPr>
              <w:t>, trombotisk mikroangiopati</w:t>
            </w:r>
          </w:p>
        </w:tc>
      </w:tr>
      <w:tr w:rsidR="00C84BF8" w:rsidRPr="004C2A59" w14:paraId="732BEBAC" w14:textId="77777777" w:rsidTr="006C180B">
        <w:trPr>
          <w:cantSplit/>
        </w:trPr>
        <w:tc>
          <w:tcPr>
            <w:tcW w:w="9322" w:type="dxa"/>
            <w:gridSpan w:val="2"/>
          </w:tcPr>
          <w:p w14:paraId="6FA04960" w14:textId="77777777" w:rsidR="00C84BF8" w:rsidRPr="004C2A59" w:rsidRDefault="00C84BF8" w:rsidP="006C180B">
            <w:pPr>
              <w:keepNext/>
              <w:tabs>
                <w:tab w:val="left" w:pos="567"/>
              </w:tabs>
              <w:rPr>
                <w:color w:val="000000"/>
                <w:sz w:val="22"/>
                <w:szCs w:val="22"/>
                <w:lang w:val="da-DK"/>
              </w:rPr>
            </w:pPr>
            <w:r w:rsidRPr="004C2A59">
              <w:rPr>
                <w:b/>
                <w:color w:val="000000"/>
                <w:sz w:val="22"/>
                <w:szCs w:val="22"/>
                <w:lang w:val="da-DK"/>
              </w:rPr>
              <w:t>Metabolisme og ernæring</w:t>
            </w:r>
          </w:p>
        </w:tc>
      </w:tr>
      <w:tr w:rsidR="00C84BF8" w:rsidRPr="004C2A59" w14:paraId="286CB790" w14:textId="77777777" w:rsidTr="006C180B">
        <w:trPr>
          <w:cantSplit/>
        </w:trPr>
        <w:tc>
          <w:tcPr>
            <w:tcW w:w="2235" w:type="dxa"/>
          </w:tcPr>
          <w:p w14:paraId="76FD12CD" w14:textId="77777777" w:rsidR="00C84BF8" w:rsidRPr="004C2A59" w:rsidRDefault="00C84BF8" w:rsidP="006C180B">
            <w:pPr>
              <w:keepNext/>
              <w:tabs>
                <w:tab w:val="left" w:pos="567"/>
              </w:tabs>
              <w:rPr>
                <w:i/>
                <w:color w:val="000000"/>
                <w:sz w:val="22"/>
                <w:szCs w:val="22"/>
                <w:lang w:val="da-DK"/>
              </w:rPr>
            </w:pPr>
            <w:r w:rsidRPr="004C2A59">
              <w:rPr>
                <w:i/>
                <w:color w:val="000000"/>
                <w:sz w:val="22"/>
                <w:szCs w:val="22"/>
                <w:lang w:val="da-DK"/>
              </w:rPr>
              <w:t>Almindelig:</w:t>
            </w:r>
          </w:p>
        </w:tc>
        <w:tc>
          <w:tcPr>
            <w:tcW w:w="7087" w:type="dxa"/>
          </w:tcPr>
          <w:p w14:paraId="65C74346" w14:textId="77777777" w:rsidR="00C84BF8" w:rsidRPr="004C2A59" w:rsidRDefault="00C84BF8" w:rsidP="006C180B">
            <w:pPr>
              <w:keepNext/>
              <w:tabs>
                <w:tab w:val="left" w:pos="567"/>
              </w:tabs>
              <w:rPr>
                <w:color w:val="000000"/>
                <w:sz w:val="22"/>
                <w:szCs w:val="22"/>
                <w:lang w:val="da-DK"/>
              </w:rPr>
            </w:pPr>
            <w:r w:rsidRPr="004C2A59">
              <w:rPr>
                <w:color w:val="000000"/>
                <w:sz w:val="22"/>
                <w:szCs w:val="22"/>
                <w:lang w:val="da-DK"/>
              </w:rPr>
              <w:t>Anoreksi</w:t>
            </w:r>
          </w:p>
        </w:tc>
      </w:tr>
      <w:tr w:rsidR="00C84BF8" w:rsidRPr="00F852D1" w14:paraId="0048642C" w14:textId="77777777" w:rsidTr="006C180B">
        <w:trPr>
          <w:cantSplit/>
        </w:trPr>
        <w:tc>
          <w:tcPr>
            <w:tcW w:w="2235" w:type="dxa"/>
          </w:tcPr>
          <w:p w14:paraId="6DCACEB3" w14:textId="77777777" w:rsidR="00C84BF8" w:rsidRPr="004C2A59" w:rsidRDefault="00C84BF8" w:rsidP="006C180B">
            <w:pPr>
              <w:keepNext/>
              <w:tabs>
                <w:tab w:val="left" w:pos="567"/>
              </w:tabs>
              <w:rPr>
                <w:i/>
                <w:color w:val="000000"/>
                <w:sz w:val="22"/>
                <w:szCs w:val="22"/>
                <w:lang w:val="da-DK"/>
              </w:rPr>
            </w:pPr>
            <w:r w:rsidRPr="004C2A59">
              <w:rPr>
                <w:i/>
                <w:color w:val="000000"/>
                <w:sz w:val="22"/>
                <w:szCs w:val="22"/>
                <w:lang w:val="da-DK"/>
              </w:rPr>
              <w:t>Ikke almindelig:</w:t>
            </w:r>
          </w:p>
        </w:tc>
        <w:tc>
          <w:tcPr>
            <w:tcW w:w="7087" w:type="dxa"/>
          </w:tcPr>
          <w:p w14:paraId="18689C7F" w14:textId="77777777" w:rsidR="00C84BF8" w:rsidRPr="004C2A59" w:rsidRDefault="00C84BF8" w:rsidP="006C180B">
            <w:pPr>
              <w:keepNext/>
              <w:tabs>
                <w:tab w:val="left" w:pos="567"/>
              </w:tabs>
              <w:rPr>
                <w:color w:val="000000"/>
                <w:sz w:val="22"/>
                <w:szCs w:val="22"/>
                <w:lang w:val="da-DK"/>
              </w:rPr>
            </w:pPr>
            <w:r w:rsidRPr="004C2A59">
              <w:rPr>
                <w:color w:val="000000"/>
                <w:sz w:val="22"/>
                <w:szCs w:val="22"/>
                <w:lang w:val="da-DK"/>
              </w:rPr>
              <w:t>Hypokaliæmi, øget appetit, hypofosfatæmi, nedsat appetit, dehydrering, gigt, hyperuri</w:t>
            </w:r>
            <w:r w:rsidR="00017E8C" w:rsidRPr="004C2A59">
              <w:rPr>
                <w:color w:val="000000"/>
                <w:sz w:val="22"/>
                <w:szCs w:val="22"/>
                <w:lang w:val="da-DK"/>
              </w:rPr>
              <w:t>k</w:t>
            </w:r>
            <w:r w:rsidRPr="004C2A59">
              <w:rPr>
                <w:color w:val="000000"/>
                <w:sz w:val="22"/>
                <w:szCs w:val="22"/>
                <w:lang w:val="da-DK"/>
              </w:rPr>
              <w:t>æmi, hyperkalcæmi, hyperglykæmi, hyponatriæmi</w:t>
            </w:r>
          </w:p>
        </w:tc>
      </w:tr>
      <w:tr w:rsidR="00C84BF8" w:rsidRPr="004C2A59" w14:paraId="133A8ECE" w14:textId="77777777" w:rsidTr="006C180B">
        <w:trPr>
          <w:cantSplit/>
        </w:trPr>
        <w:tc>
          <w:tcPr>
            <w:tcW w:w="2235" w:type="dxa"/>
          </w:tcPr>
          <w:p w14:paraId="743789A7" w14:textId="77777777" w:rsidR="00C84BF8" w:rsidRPr="004C2A59" w:rsidRDefault="00C84BF8" w:rsidP="00421681">
            <w:pPr>
              <w:tabs>
                <w:tab w:val="left" w:pos="567"/>
              </w:tabs>
              <w:rPr>
                <w:i/>
                <w:color w:val="000000"/>
                <w:sz w:val="22"/>
                <w:szCs w:val="22"/>
                <w:lang w:val="da-DK"/>
              </w:rPr>
            </w:pPr>
            <w:r w:rsidRPr="004C2A59">
              <w:rPr>
                <w:i/>
                <w:color w:val="000000"/>
                <w:sz w:val="22"/>
                <w:szCs w:val="22"/>
                <w:lang w:val="da-DK"/>
              </w:rPr>
              <w:t>Sjælden:</w:t>
            </w:r>
          </w:p>
        </w:tc>
        <w:tc>
          <w:tcPr>
            <w:tcW w:w="7087" w:type="dxa"/>
          </w:tcPr>
          <w:p w14:paraId="11A8C92D" w14:textId="77777777" w:rsidR="00C84BF8" w:rsidRPr="004C2A59" w:rsidRDefault="00C84BF8" w:rsidP="00421681">
            <w:pPr>
              <w:tabs>
                <w:tab w:val="left" w:pos="567"/>
              </w:tabs>
              <w:rPr>
                <w:color w:val="000000"/>
                <w:sz w:val="22"/>
                <w:szCs w:val="22"/>
                <w:lang w:val="da-DK"/>
              </w:rPr>
            </w:pPr>
            <w:r w:rsidRPr="004C2A59">
              <w:rPr>
                <w:color w:val="000000"/>
                <w:sz w:val="22"/>
                <w:szCs w:val="22"/>
                <w:lang w:val="da-DK"/>
              </w:rPr>
              <w:t>Hyperkaliæmi, hyp</w:t>
            </w:r>
            <w:r w:rsidR="001F2D96" w:rsidRPr="004C2A59">
              <w:rPr>
                <w:color w:val="000000"/>
                <w:sz w:val="22"/>
                <w:szCs w:val="22"/>
                <w:lang w:val="da-DK"/>
              </w:rPr>
              <w:t>o</w:t>
            </w:r>
            <w:r w:rsidRPr="004C2A59">
              <w:rPr>
                <w:color w:val="000000"/>
                <w:sz w:val="22"/>
                <w:szCs w:val="22"/>
                <w:lang w:val="da-DK"/>
              </w:rPr>
              <w:t>magnesiæmi</w:t>
            </w:r>
          </w:p>
        </w:tc>
      </w:tr>
      <w:tr w:rsidR="00C84BF8" w:rsidRPr="004C2A59" w14:paraId="36E6FC8E" w14:textId="77777777" w:rsidTr="006C180B">
        <w:trPr>
          <w:cantSplit/>
        </w:trPr>
        <w:tc>
          <w:tcPr>
            <w:tcW w:w="9322" w:type="dxa"/>
            <w:gridSpan w:val="2"/>
          </w:tcPr>
          <w:p w14:paraId="488524F1" w14:textId="77777777" w:rsidR="00C84BF8" w:rsidRPr="004C2A59" w:rsidRDefault="00C84BF8" w:rsidP="006C180B">
            <w:pPr>
              <w:keepNext/>
              <w:tabs>
                <w:tab w:val="left" w:pos="567"/>
              </w:tabs>
              <w:rPr>
                <w:color w:val="000000"/>
                <w:sz w:val="22"/>
                <w:szCs w:val="22"/>
                <w:lang w:val="da-DK"/>
              </w:rPr>
            </w:pPr>
            <w:r w:rsidRPr="004C2A59">
              <w:rPr>
                <w:b/>
                <w:color w:val="000000"/>
                <w:sz w:val="22"/>
                <w:szCs w:val="22"/>
                <w:lang w:val="da-DK"/>
              </w:rPr>
              <w:t>Psykiske forstyrrelser</w:t>
            </w:r>
          </w:p>
        </w:tc>
      </w:tr>
      <w:tr w:rsidR="00C84BF8" w:rsidRPr="004C2A59" w14:paraId="6FFC8C67" w14:textId="77777777" w:rsidTr="006C180B">
        <w:trPr>
          <w:cantSplit/>
        </w:trPr>
        <w:tc>
          <w:tcPr>
            <w:tcW w:w="2235" w:type="dxa"/>
          </w:tcPr>
          <w:p w14:paraId="5673A69B" w14:textId="77777777" w:rsidR="00C84BF8" w:rsidRPr="004C2A59" w:rsidRDefault="00C84BF8" w:rsidP="006C180B">
            <w:pPr>
              <w:keepNext/>
              <w:tabs>
                <w:tab w:val="left" w:pos="567"/>
              </w:tabs>
              <w:rPr>
                <w:i/>
                <w:color w:val="000000"/>
                <w:sz w:val="22"/>
                <w:szCs w:val="22"/>
                <w:lang w:val="da-DK"/>
              </w:rPr>
            </w:pPr>
            <w:r w:rsidRPr="004C2A59">
              <w:rPr>
                <w:i/>
                <w:color w:val="000000"/>
                <w:sz w:val="22"/>
                <w:szCs w:val="22"/>
                <w:lang w:val="da-DK"/>
              </w:rPr>
              <w:t>Almindelig:</w:t>
            </w:r>
          </w:p>
        </w:tc>
        <w:tc>
          <w:tcPr>
            <w:tcW w:w="7087" w:type="dxa"/>
          </w:tcPr>
          <w:p w14:paraId="2DCB6C0A" w14:textId="77777777" w:rsidR="00C84BF8" w:rsidRPr="004C2A59" w:rsidRDefault="00017E8C" w:rsidP="006C180B">
            <w:pPr>
              <w:keepNext/>
              <w:tabs>
                <w:tab w:val="left" w:pos="567"/>
              </w:tabs>
              <w:rPr>
                <w:color w:val="000000"/>
                <w:sz w:val="22"/>
                <w:szCs w:val="22"/>
                <w:lang w:val="da-DK"/>
              </w:rPr>
            </w:pPr>
            <w:r w:rsidRPr="004C2A59">
              <w:rPr>
                <w:color w:val="000000"/>
                <w:sz w:val="22"/>
                <w:szCs w:val="22"/>
                <w:lang w:val="da-DK"/>
              </w:rPr>
              <w:t>Insomni</w:t>
            </w:r>
          </w:p>
        </w:tc>
      </w:tr>
      <w:tr w:rsidR="00C84BF8" w:rsidRPr="004C2A59" w14:paraId="2A8EA64D" w14:textId="77777777" w:rsidTr="006C180B">
        <w:trPr>
          <w:cantSplit/>
        </w:trPr>
        <w:tc>
          <w:tcPr>
            <w:tcW w:w="2235" w:type="dxa"/>
          </w:tcPr>
          <w:p w14:paraId="46A34447" w14:textId="77777777" w:rsidR="00C84BF8" w:rsidRPr="004C2A59" w:rsidRDefault="00C84BF8" w:rsidP="006C180B">
            <w:pPr>
              <w:keepNext/>
              <w:tabs>
                <w:tab w:val="left" w:pos="567"/>
              </w:tabs>
              <w:rPr>
                <w:i/>
                <w:color w:val="000000"/>
                <w:sz w:val="22"/>
                <w:szCs w:val="22"/>
                <w:lang w:val="da-DK"/>
              </w:rPr>
            </w:pPr>
            <w:r w:rsidRPr="004C2A59">
              <w:rPr>
                <w:i/>
                <w:color w:val="000000"/>
                <w:sz w:val="22"/>
                <w:szCs w:val="22"/>
                <w:lang w:val="da-DK"/>
              </w:rPr>
              <w:t>Ikke almindelig:</w:t>
            </w:r>
          </w:p>
        </w:tc>
        <w:tc>
          <w:tcPr>
            <w:tcW w:w="7087" w:type="dxa"/>
          </w:tcPr>
          <w:p w14:paraId="007F3130" w14:textId="77777777" w:rsidR="00C84BF8" w:rsidRPr="004C2A59" w:rsidRDefault="00C84BF8" w:rsidP="006C180B">
            <w:pPr>
              <w:keepNext/>
              <w:tabs>
                <w:tab w:val="left" w:pos="567"/>
              </w:tabs>
              <w:rPr>
                <w:color w:val="000000"/>
                <w:sz w:val="22"/>
                <w:szCs w:val="22"/>
                <w:lang w:val="da-DK"/>
              </w:rPr>
            </w:pPr>
            <w:r w:rsidRPr="004C2A59">
              <w:rPr>
                <w:color w:val="000000"/>
                <w:sz w:val="22"/>
                <w:szCs w:val="22"/>
                <w:lang w:val="da-DK"/>
              </w:rPr>
              <w:t>Depression, nedsat libido, angst</w:t>
            </w:r>
          </w:p>
        </w:tc>
      </w:tr>
      <w:tr w:rsidR="00C84BF8" w:rsidRPr="004C2A59" w14:paraId="445831DA" w14:textId="77777777" w:rsidTr="006C180B">
        <w:trPr>
          <w:cantSplit/>
        </w:trPr>
        <w:tc>
          <w:tcPr>
            <w:tcW w:w="2235" w:type="dxa"/>
          </w:tcPr>
          <w:p w14:paraId="3D8EA3BA" w14:textId="77777777" w:rsidR="00C84BF8" w:rsidRPr="004C2A59" w:rsidRDefault="00C84BF8" w:rsidP="00421681">
            <w:pPr>
              <w:tabs>
                <w:tab w:val="left" w:pos="567"/>
              </w:tabs>
              <w:rPr>
                <w:i/>
                <w:color w:val="000000"/>
                <w:sz w:val="22"/>
                <w:szCs w:val="22"/>
                <w:lang w:val="da-DK"/>
              </w:rPr>
            </w:pPr>
            <w:r w:rsidRPr="004C2A59">
              <w:rPr>
                <w:i/>
                <w:color w:val="000000"/>
                <w:sz w:val="22"/>
                <w:szCs w:val="22"/>
                <w:lang w:val="da-DK"/>
              </w:rPr>
              <w:t>Sjælden:</w:t>
            </w:r>
          </w:p>
        </w:tc>
        <w:tc>
          <w:tcPr>
            <w:tcW w:w="7087" w:type="dxa"/>
          </w:tcPr>
          <w:p w14:paraId="242BEE0D" w14:textId="77777777" w:rsidR="00C84BF8" w:rsidRPr="004C2A59" w:rsidRDefault="00C84BF8" w:rsidP="00421681">
            <w:pPr>
              <w:tabs>
                <w:tab w:val="left" w:pos="567"/>
              </w:tabs>
              <w:rPr>
                <w:color w:val="000000"/>
                <w:sz w:val="22"/>
                <w:szCs w:val="22"/>
                <w:lang w:val="da-DK"/>
              </w:rPr>
            </w:pPr>
            <w:r w:rsidRPr="004C2A59">
              <w:rPr>
                <w:color w:val="000000"/>
                <w:sz w:val="22"/>
                <w:szCs w:val="22"/>
                <w:lang w:val="da-DK"/>
              </w:rPr>
              <w:t>Konfusion</w:t>
            </w:r>
          </w:p>
        </w:tc>
      </w:tr>
      <w:tr w:rsidR="00CD6294" w:rsidRPr="004C2A59" w14:paraId="125EE252" w14:textId="77777777" w:rsidTr="006C180B">
        <w:trPr>
          <w:cantSplit/>
        </w:trPr>
        <w:tc>
          <w:tcPr>
            <w:tcW w:w="9322" w:type="dxa"/>
            <w:gridSpan w:val="2"/>
          </w:tcPr>
          <w:p w14:paraId="067D5CD4" w14:textId="77777777" w:rsidR="00CD6294" w:rsidRPr="004C2A59" w:rsidRDefault="0098051A" w:rsidP="006C180B">
            <w:pPr>
              <w:keepNext/>
              <w:tabs>
                <w:tab w:val="left" w:pos="567"/>
              </w:tabs>
              <w:rPr>
                <w:color w:val="000000"/>
                <w:sz w:val="22"/>
                <w:szCs w:val="22"/>
                <w:lang w:val="da-DK"/>
              </w:rPr>
            </w:pPr>
            <w:r w:rsidRPr="004C2A59">
              <w:rPr>
                <w:b/>
                <w:color w:val="000000"/>
                <w:sz w:val="22"/>
                <w:szCs w:val="22"/>
                <w:lang w:val="da-DK"/>
              </w:rPr>
              <w:t>Nervesystemet</w:t>
            </w:r>
          </w:p>
        </w:tc>
      </w:tr>
      <w:tr w:rsidR="00CD6294" w:rsidRPr="004C2A59" w14:paraId="30BF0C2F" w14:textId="77777777" w:rsidTr="006C180B">
        <w:trPr>
          <w:cantSplit/>
        </w:trPr>
        <w:tc>
          <w:tcPr>
            <w:tcW w:w="2235" w:type="dxa"/>
          </w:tcPr>
          <w:p w14:paraId="5D1D2B32"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Meget almindelig:</w:t>
            </w:r>
          </w:p>
        </w:tc>
        <w:tc>
          <w:tcPr>
            <w:tcW w:w="7087" w:type="dxa"/>
          </w:tcPr>
          <w:p w14:paraId="430EFAF9" w14:textId="77777777" w:rsidR="00CD6294" w:rsidRPr="004C2A59" w:rsidRDefault="003E23AF" w:rsidP="006C180B">
            <w:pPr>
              <w:keepNext/>
              <w:tabs>
                <w:tab w:val="left" w:pos="567"/>
              </w:tabs>
              <w:rPr>
                <w:color w:val="000000"/>
                <w:sz w:val="22"/>
                <w:szCs w:val="22"/>
                <w:lang w:val="da-DK"/>
              </w:rPr>
            </w:pPr>
            <w:r w:rsidRPr="004C2A59">
              <w:rPr>
                <w:color w:val="000000"/>
                <w:sz w:val="22"/>
                <w:szCs w:val="22"/>
                <w:lang w:val="da-DK"/>
              </w:rPr>
              <w:t>Hovedpine</w:t>
            </w:r>
            <w:r w:rsidR="00CD6294" w:rsidRPr="004C2A59">
              <w:rPr>
                <w:color w:val="000000"/>
                <w:sz w:val="22"/>
                <w:szCs w:val="22"/>
                <w:vertAlign w:val="superscript"/>
                <w:lang w:val="da-DK"/>
              </w:rPr>
              <w:t>2</w:t>
            </w:r>
          </w:p>
        </w:tc>
      </w:tr>
      <w:tr w:rsidR="00CD6294" w:rsidRPr="004C2A59" w14:paraId="3CD9F412" w14:textId="77777777" w:rsidTr="006C180B">
        <w:trPr>
          <w:cantSplit/>
          <w:trHeight w:val="351"/>
        </w:trPr>
        <w:tc>
          <w:tcPr>
            <w:tcW w:w="2235" w:type="dxa"/>
          </w:tcPr>
          <w:p w14:paraId="2C4325DE"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Almindelig:</w:t>
            </w:r>
          </w:p>
        </w:tc>
        <w:tc>
          <w:tcPr>
            <w:tcW w:w="7087" w:type="dxa"/>
          </w:tcPr>
          <w:p w14:paraId="2710715E" w14:textId="77777777" w:rsidR="00CD6294" w:rsidRPr="004C2A59" w:rsidRDefault="003E23AF" w:rsidP="006C180B">
            <w:pPr>
              <w:keepNext/>
              <w:tabs>
                <w:tab w:val="left" w:pos="567"/>
              </w:tabs>
              <w:rPr>
                <w:color w:val="000000"/>
                <w:sz w:val="22"/>
                <w:szCs w:val="22"/>
                <w:lang w:val="da-DK"/>
              </w:rPr>
            </w:pPr>
            <w:r w:rsidRPr="004C2A59">
              <w:rPr>
                <w:color w:val="000000"/>
                <w:sz w:val="22"/>
                <w:szCs w:val="22"/>
                <w:lang w:val="da-DK"/>
              </w:rPr>
              <w:t>Svimmelhed</w:t>
            </w:r>
            <w:r w:rsidR="00CD6294" w:rsidRPr="004C2A59">
              <w:rPr>
                <w:color w:val="000000"/>
                <w:sz w:val="22"/>
                <w:szCs w:val="22"/>
                <w:lang w:val="da-DK"/>
              </w:rPr>
              <w:t>,</w:t>
            </w:r>
            <w:r w:rsidRPr="004C2A59">
              <w:rPr>
                <w:color w:val="000000"/>
                <w:sz w:val="22"/>
                <w:szCs w:val="22"/>
                <w:lang w:val="da-DK"/>
              </w:rPr>
              <w:t xml:space="preserve"> paræstesi</w:t>
            </w:r>
            <w:r w:rsidR="00CD6294" w:rsidRPr="004C2A59">
              <w:rPr>
                <w:color w:val="000000"/>
                <w:sz w:val="22"/>
                <w:szCs w:val="22"/>
                <w:lang w:val="da-DK"/>
              </w:rPr>
              <w:t xml:space="preserve">, </w:t>
            </w:r>
            <w:r w:rsidRPr="004C2A59">
              <w:rPr>
                <w:color w:val="000000"/>
                <w:sz w:val="22"/>
                <w:szCs w:val="22"/>
                <w:lang w:val="da-DK"/>
              </w:rPr>
              <w:t>smagsforstyrrelser</w:t>
            </w:r>
            <w:r w:rsidR="00CD6294" w:rsidRPr="004C2A59">
              <w:rPr>
                <w:color w:val="000000"/>
                <w:sz w:val="22"/>
                <w:szCs w:val="22"/>
                <w:lang w:val="da-DK"/>
              </w:rPr>
              <w:t>, hypo</w:t>
            </w:r>
            <w:r w:rsidRPr="004C2A59">
              <w:rPr>
                <w:color w:val="000000"/>
                <w:sz w:val="22"/>
                <w:szCs w:val="22"/>
                <w:lang w:val="da-DK"/>
              </w:rPr>
              <w:t>æstesi</w:t>
            </w:r>
          </w:p>
        </w:tc>
      </w:tr>
      <w:tr w:rsidR="00CD6294" w:rsidRPr="00DA2798" w14:paraId="2C228C6A" w14:textId="77777777" w:rsidTr="006C180B">
        <w:trPr>
          <w:cantSplit/>
        </w:trPr>
        <w:tc>
          <w:tcPr>
            <w:tcW w:w="2235" w:type="dxa"/>
          </w:tcPr>
          <w:p w14:paraId="107536FA"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Ikke almindelig:</w:t>
            </w:r>
          </w:p>
        </w:tc>
        <w:tc>
          <w:tcPr>
            <w:tcW w:w="7087" w:type="dxa"/>
          </w:tcPr>
          <w:p w14:paraId="7BCABF87" w14:textId="77777777" w:rsidR="00CD6294" w:rsidRPr="004C2A59" w:rsidRDefault="003E23AF" w:rsidP="006C180B">
            <w:pPr>
              <w:keepNext/>
              <w:tabs>
                <w:tab w:val="left" w:pos="567"/>
              </w:tabs>
              <w:rPr>
                <w:color w:val="000000"/>
                <w:sz w:val="22"/>
                <w:szCs w:val="22"/>
                <w:lang w:val="da-DK"/>
              </w:rPr>
            </w:pPr>
            <w:r w:rsidRPr="004C2A59">
              <w:rPr>
                <w:color w:val="000000"/>
                <w:sz w:val="22"/>
                <w:szCs w:val="22"/>
                <w:lang w:val="da-DK"/>
              </w:rPr>
              <w:t>Migr</w:t>
            </w:r>
            <w:r w:rsidR="00796FBF" w:rsidRPr="004C2A59">
              <w:rPr>
                <w:color w:val="000000"/>
                <w:sz w:val="22"/>
                <w:szCs w:val="22"/>
                <w:lang w:val="da-DK"/>
              </w:rPr>
              <w:t>æ</w:t>
            </w:r>
            <w:r w:rsidRPr="004C2A59">
              <w:rPr>
                <w:color w:val="000000"/>
                <w:sz w:val="22"/>
                <w:szCs w:val="22"/>
                <w:lang w:val="da-DK"/>
              </w:rPr>
              <w:t>ne</w:t>
            </w:r>
            <w:r w:rsidR="00CD6294" w:rsidRPr="004C2A59">
              <w:rPr>
                <w:color w:val="000000"/>
                <w:sz w:val="22"/>
                <w:szCs w:val="22"/>
                <w:lang w:val="da-DK"/>
              </w:rPr>
              <w:t xml:space="preserve">, </w:t>
            </w:r>
            <w:r w:rsidR="00017E8C" w:rsidRPr="004C2A59">
              <w:rPr>
                <w:color w:val="000000"/>
                <w:sz w:val="22"/>
                <w:szCs w:val="22"/>
                <w:lang w:val="da-DK"/>
              </w:rPr>
              <w:t>døsighed</w:t>
            </w:r>
            <w:r w:rsidR="00CD6294" w:rsidRPr="004C2A59">
              <w:rPr>
                <w:color w:val="000000"/>
                <w:sz w:val="22"/>
                <w:szCs w:val="22"/>
                <w:lang w:val="da-DK"/>
              </w:rPr>
              <w:t>, syn</w:t>
            </w:r>
            <w:r w:rsidRPr="004C2A59">
              <w:rPr>
                <w:color w:val="000000"/>
                <w:sz w:val="22"/>
                <w:szCs w:val="22"/>
                <w:lang w:val="da-DK"/>
              </w:rPr>
              <w:t>k</w:t>
            </w:r>
            <w:r w:rsidR="00CD6294" w:rsidRPr="004C2A59">
              <w:rPr>
                <w:color w:val="000000"/>
                <w:sz w:val="22"/>
                <w:szCs w:val="22"/>
                <w:lang w:val="da-DK"/>
              </w:rPr>
              <w:t>ope, peri</w:t>
            </w:r>
            <w:r w:rsidRPr="004C2A59">
              <w:rPr>
                <w:color w:val="000000"/>
                <w:sz w:val="22"/>
                <w:szCs w:val="22"/>
                <w:lang w:val="da-DK"/>
              </w:rPr>
              <w:t>fer</w:t>
            </w:r>
            <w:r w:rsidR="00CD6294" w:rsidRPr="004C2A59">
              <w:rPr>
                <w:color w:val="000000"/>
                <w:sz w:val="22"/>
                <w:szCs w:val="22"/>
                <w:lang w:val="da-DK"/>
              </w:rPr>
              <w:t xml:space="preserve"> neuropat</w:t>
            </w:r>
            <w:r w:rsidRPr="004C2A59">
              <w:rPr>
                <w:color w:val="000000"/>
                <w:sz w:val="22"/>
                <w:szCs w:val="22"/>
                <w:lang w:val="da-DK"/>
              </w:rPr>
              <w:t>i</w:t>
            </w:r>
            <w:r w:rsidR="00CD6294" w:rsidRPr="004C2A59">
              <w:rPr>
                <w:color w:val="000000"/>
                <w:sz w:val="22"/>
                <w:szCs w:val="22"/>
                <w:lang w:val="da-DK"/>
              </w:rPr>
              <w:t xml:space="preserve">, </w:t>
            </w:r>
            <w:r w:rsidRPr="004C2A59">
              <w:rPr>
                <w:color w:val="000000"/>
                <w:sz w:val="22"/>
                <w:szCs w:val="22"/>
                <w:lang w:val="da-DK"/>
              </w:rPr>
              <w:t>hukommelsessvigt</w:t>
            </w:r>
            <w:r w:rsidR="00CD6294" w:rsidRPr="004C2A59">
              <w:rPr>
                <w:color w:val="000000"/>
                <w:sz w:val="22"/>
                <w:szCs w:val="22"/>
                <w:lang w:val="da-DK"/>
              </w:rPr>
              <w:t xml:space="preserve">, </w:t>
            </w:r>
            <w:r w:rsidRPr="004C2A59">
              <w:rPr>
                <w:color w:val="000000"/>
                <w:sz w:val="22"/>
                <w:szCs w:val="22"/>
                <w:lang w:val="da-DK"/>
              </w:rPr>
              <w:t>iskias</w:t>
            </w:r>
            <w:r w:rsidR="00CD6294" w:rsidRPr="004C2A59">
              <w:rPr>
                <w:color w:val="000000"/>
                <w:sz w:val="22"/>
                <w:szCs w:val="22"/>
                <w:lang w:val="da-DK"/>
              </w:rPr>
              <w:t>, restless</w:t>
            </w:r>
            <w:r w:rsidR="00682503" w:rsidRPr="004C2A59">
              <w:rPr>
                <w:color w:val="000000"/>
                <w:sz w:val="22"/>
                <w:szCs w:val="22"/>
                <w:lang w:val="da-DK"/>
              </w:rPr>
              <w:t> </w:t>
            </w:r>
            <w:r w:rsidR="00CD6294" w:rsidRPr="004C2A59">
              <w:rPr>
                <w:color w:val="000000"/>
                <w:sz w:val="22"/>
                <w:szCs w:val="22"/>
                <w:lang w:val="da-DK"/>
              </w:rPr>
              <w:t>leg</w:t>
            </w:r>
            <w:r w:rsidR="00682503" w:rsidRPr="004C2A59">
              <w:rPr>
                <w:color w:val="000000"/>
                <w:sz w:val="22"/>
                <w:szCs w:val="22"/>
                <w:lang w:val="da-DK"/>
              </w:rPr>
              <w:t> </w:t>
            </w:r>
            <w:r w:rsidR="00CD6294" w:rsidRPr="004C2A59">
              <w:rPr>
                <w:color w:val="000000"/>
                <w:sz w:val="22"/>
                <w:szCs w:val="22"/>
                <w:lang w:val="da-DK"/>
              </w:rPr>
              <w:t xml:space="preserve">syndrome, tremor, </w:t>
            </w:r>
            <w:r w:rsidRPr="004C2A59">
              <w:rPr>
                <w:color w:val="000000"/>
                <w:sz w:val="22"/>
                <w:szCs w:val="22"/>
                <w:lang w:val="da-DK"/>
              </w:rPr>
              <w:t>hjerneblødning</w:t>
            </w:r>
          </w:p>
        </w:tc>
      </w:tr>
      <w:tr w:rsidR="00CD6294" w:rsidRPr="00F852D1" w14:paraId="7DBC6476" w14:textId="77777777" w:rsidTr="006C180B">
        <w:trPr>
          <w:cantSplit/>
        </w:trPr>
        <w:tc>
          <w:tcPr>
            <w:tcW w:w="2235" w:type="dxa"/>
          </w:tcPr>
          <w:p w14:paraId="4471876A"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Sjælden:</w:t>
            </w:r>
          </w:p>
        </w:tc>
        <w:tc>
          <w:tcPr>
            <w:tcW w:w="7087" w:type="dxa"/>
          </w:tcPr>
          <w:p w14:paraId="5264BD3B" w14:textId="77777777" w:rsidR="00CD6294" w:rsidRPr="004C2A59" w:rsidRDefault="003E23AF" w:rsidP="006C180B">
            <w:pPr>
              <w:keepNext/>
              <w:tabs>
                <w:tab w:val="left" w:pos="567"/>
              </w:tabs>
              <w:rPr>
                <w:color w:val="000000"/>
                <w:sz w:val="22"/>
                <w:szCs w:val="22"/>
                <w:lang w:val="da-DK"/>
              </w:rPr>
            </w:pPr>
            <w:r w:rsidRPr="004C2A59">
              <w:rPr>
                <w:color w:val="000000"/>
                <w:sz w:val="22"/>
                <w:szCs w:val="22"/>
                <w:lang w:val="da-DK"/>
              </w:rPr>
              <w:t>Øget interkranielt tryk</w:t>
            </w:r>
            <w:r w:rsidR="00CD6294" w:rsidRPr="004C2A59">
              <w:rPr>
                <w:color w:val="000000"/>
                <w:sz w:val="22"/>
                <w:szCs w:val="22"/>
                <w:lang w:val="da-DK"/>
              </w:rPr>
              <w:t xml:space="preserve">, </w:t>
            </w:r>
            <w:r w:rsidRPr="004C2A59">
              <w:rPr>
                <w:color w:val="000000"/>
                <w:sz w:val="22"/>
                <w:szCs w:val="22"/>
                <w:lang w:val="da-DK"/>
              </w:rPr>
              <w:t>kramper</w:t>
            </w:r>
            <w:r w:rsidR="00CD6294" w:rsidRPr="004C2A59">
              <w:rPr>
                <w:color w:val="000000"/>
                <w:sz w:val="22"/>
                <w:szCs w:val="22"/>
                <w:lang w:val="da-DK"/>
              </w:rPr>
              <w:t xml:space="preserve">, </w:t>
            </w:r>
            <w:r w:rsidR="004A6D96" w:rsidRPr="004C2A59">
              <w:rPr>
                <w:color w:val="000000"/>
                <w:sz w:val="22"/>
                <w:szCs w:val="22"/>
                <w:lang w:val="da-DK"/>
              </w:rPr>
              <w:t>synsnervebetændelse</w:t>
            </w:r>
          </w:p>
        </w:tc>
      </w:tr>
      <w:tr w:rsidR="000A1361" w:rsidRPr="004C2A59" w14:paraId="61A40A48" w14:textId="77777777" w:rsidTr="006C180B">
        <w:trPr>
          <w:cantSplit/>
        </w:trPr>
        <w:tc>
          <w:tcPr>
            <w:tcW w:w="2235" w:type="dxa"/>
          </w:tcPr>
          <w:p w14:paraId="3F66EF83" w14:textId="77777777" w:rsidR="000A1361" w:rsidRPr="004C2A59" w:rsidRDefault="000A1361" w:rsidP="00421681">
            <w:pPr>
              <w:tabs>
                <w:tab w:val="left" w:pos="567"/>
              </w:tabs>
              <w:rPr>
                <w:i/>
                <w:color w:val="000000"/>
                <w:sz w:val="22"/>
                <w:szCs w:val="22"/>
                <w:lang w:val="da-DK"/>
              </w:rPr>
            </w:pPr>
            <w:r w:rsidRPr="004C2A59">
              <w:rPr>
                <w:i/>
                <w:color w:val="000000"/>
                <w:sz w:val="22"/>
                <w:szCs w:val="22"/>
                <w:lang w:val="da-DK"/>
              </w:rPr>
              <w:t>Ikke kendt:</w:t>
            </w:r>
          </w:p>
        </w:tc>
        <w:tc>
          <w:tcPr>
            <w:tcW w:w="7087" w:type="dxa"/>
          </w:tcPr>
          <w:p w14:paraId="6AFF5D1D" w14:textId="77777777" w:rsidR="000A1361" w:rsidRPr="004C2A59" w:rsidRDefault="00712FDC" w:rsidP="00421681">
            <w:pPr>
              <w:tabs>
                <w:tab w:val="left" w:pos="567"/>
              </w:tabs>
              <w:rPr>
                <w:color w:val="000000"/>
                <w:sz w:val="22"/>
                <w:szCs w:val="22"/>
                <w:lang w:val="da-DK"/>
              </w:rPr>
            </w:pPr>
            <w:r w:rsidRPr="004C2A59">
              <w:rPr>
                <w:color w:val="000000"/>
                <w:sz w:val="22"/>
                <w:szCs w:val="22"/>
                <w:lang w:val="da-DK"/>
              </w:rPr>
              <w:t xml:space="preserve">Cerebralt </w:t>
            </w:r>
            <w:r w:rsidR="000A1361" w:rsidRPr="004C2A59">
              <w:rPr>
                <w:color w:val="000000"/>
                <w:sz w:val="22"/>
                <w:szCs w:val="22"/>
                <w:lang w:val="da-DK"/>
              </w:rPr>
              <w:t>ødem*</w:t>
            </w:r>
          </w:p>
        </w:tc>
      </w:tr>
      <w:tr w:rsidR="00CD6294" w:rsidRPr="004C2A59" w14:paraId="358CDB3C" w14:textId="77777777" w:rsidTr="006C180B">
        <w:trPr>
          <w:cantSplit/>
        </w:trPr>
        <w:tc>
          <w:tcPr>
            <w:tcW w:w="9322" w:type="dxa"/>
            <w:gridSpan w:val="2"/>
          </w:tcPr>
          <w:p w14:paraId="6D2B69F5" w14:textId="77777777" w:rsidR="00CD6294" w:rsidRPr="004C2A59" w:rsidRDefault="0098051A" w:rsidP="006C180B">
            <w:pPr>
              <w:keepNext/>
              <w:tabs>
                <w:tab w:val="left" w:pos="567"/>
              </w:tabs>
              <w:rPr>
                <w:color w:val="000000"/>
                <w:sz w:val="22"/>
                <w:szCs w:val="22"/>
                <w:lang w:val="da-DK"/>
              </w:rPr>
            </w:pPr>
            <w:r w:rsidRPr="004C2A59">
              <w:rPr>
                <w:b/>
                <w:color w:val="000000"/>
                <w:sz w:val="22"/>
                <w:szCs w:val="22"/>
                <w:lang w:val="da-DK"/>
              </w:rPr>
              <w:t>Øjne</w:t>
            </w:r>
          </w:p>
        </w:tc>
      </w:tr>
      <w:tr w:rsidR="00CD6294" w:rsidRPr="00F852D1" w14:paraId="1B52B1EF" w14:textId="77777777" w:rsidTr="006C180B">
        <w:trPr>
          <w:cantSplit/>
        </w:trPr>
        <w:tc>
          <w:tcPr>
            <w:tcW w:w="2235" w:type="dxa"/>
          </w:tcPr>
          <w:p w14:paraId="77C350C1"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Almindelig:</w:t>
            </w:r>
          </w:p>
        </w:tc>
        <w:tc>
          <w:tcPr>
            <w:tcW w:w="7087" w:type="dxa"/>
          </w:tcPr>
          <w:p w14:paraId="1AFDF2A7" w14:textId="77777777" w:rsidR="00CD6294" w:rsidRPr="004C2A59" w:rsidRDefault="003E1EF1" w:rsidP="006C180B">
            <w:pPr>
              <w:keepNext/>
              <w:tabs>
                <w:tab w:val="left" w:pos="567"/>
              </w:tabs>
              <w:rPr>
                <w:color w:val="000000"/>
                <w:sz w:val="22"/>
                <w:szCs w:val="22"/>
                <w:lang w:val="da-DK"/>
              </w:rPr>
            </w:pPr>
            <w:r w:rsidRPr="004C2A59">
              <w:rPr>
                <w:color w:val="000000"/>
                <w:sz w:val="22"/>
                <w:szCs w:val="22"/>
                <w:lang w:val="da-DK"/>
              </w:rPr>
              <w:t>Øjenlågsødem</w:t>
            </w:r>
            <w:r w:rsidR="00CD6294" w:rsidRPr="004C2A59">
              <w:rPr>
                <w:color w:val="000000"/>
                <w:sz w:val="22"/>
                <w:szCs w:val="22"/>
                <w:lang w:val="da-DK"/>
              </w:rPr>
              <w:t xml:space="preserve">, </w:t>
            </w:r>
            <w:r w:rsidR="004A6D96" w:rsidRPr="004C2A59">
              <w:rPr>
                <w:color w:val="000000"/>
                <w:sz w:val="22"/>
                <w:szCs w:val="22"/>
                <w:lang w:val="da-DK"/>
              </w:rPr>
              <w:t>øget tåreflåd</w:t>
            </w:r>
            <w:r w:rsidR="00CD6294" w:rsidRPr="004C2A59">
              <w:rPr>
                <w:color w:val="000000"/>
                <w:sz w:val="22"/>
                <w:szCs w:val="22"/>
                <w:lang w:val="da-DK"/>
              </w:rPr>
              <w:t xml:space="preserve">, </w:t>
            </w:r>
            <w:r w:rsidR="004A6D96" w:rsidRPr="004C2A59">
              <w:rPr>
                <w:color w:val="000000"/>
                <w:sz w:val="22"/>
                <w:szCs w:val="22"/>
                <w:lang w:val="da-DK"/>
              </w:rPr>
              <w:t>konjunktivalblødning</w:t>
            </w:r>
            <w:r w:rsidR="00CD6294" w:rsidRPr="004C2A59">
              <w:rPr>
                <w:color w:val="000000"/>
                <w:sz w:val="22"/>
                <w:szCs w:val="22"/>
                <w:lang w:val="da-DK"/>
              </w:rPr>
              <w:t xml:space="preserve">, </w:t>
            </w:r>
            <w:r w:rsidR="004A6D96" w:rsidRPr="004C2A59">
              <w:rPr>
                <w:color w:val="000000"/>
                <w:sz w:val="22"/>
                <w:szCs w:val="22"/>
                <w:lang w:val="da-DK"/>
              </w:rPr>
              <w:t>k</w:t>
            </w:r>
            <w:r w:rsidR="00CD6294" w:rsidRPr="004C2A59">
              <w:rPr>
                <w:color w:val="000000"/>
                <w:sz w:val="22"/>
                <w:szCs w:val="22"/>
                <w:lang w:val="da-DK"/>
              </w:rPr>
              <w:t>onjun</w:t>
            </w:r>
            <w:r w:rsidR="004A6D96" w:rsidRPr="004C2A59">
              <w:rPr>
                <w:color w:val="000000"/>
                <w:sz w:val="22"/>
                <w:szCs w:val="22"/>
                <w:lang w:val="da-DK"/>
              </w:rPr>
              <w:t>k</w:t>
            </w:r>
            <w:r w:rsidR="00CD6294" w:rsidRPr="004C2A59">
              <w:rPr>
                <w:color w:val="000000"/>
                <w:sz w:val="22"/>
                <w:szCs w:val="22"/>
                <w:lang w:val="da-DK"/>
              </w:rPr>
              <w:t xml:space="preserve">tivitis, </w:t>
            </w:r>
            <w:r w:rsidR="004A6D96" w:rsidRPr="004C2A59">
              <w:rPr>
                <w:color w:val="000000"/>
                <w:sz w:val="22"/>
                <w:szCs w:val="22"/>
                <w:lang w:val="da-DK"/>
              </w:rPr>
              <w:t>øjentørhed</w:t>
            </w:r>
            <w:r w:rsidR="00CD6294" w:rsidRPr="004C2A59">
              <w:rPr>
                <w:color w:val="000000"/>
                <w:sz w:val="22"/>
                <w:szCs w:val="22"/>
                <w:lang w:val="da-DK"/>
              </w:rPr>
              <w:t xml:space="preserve">, </w:t>
            </w:r>
            <w:r w:rsidR="004A6D96" w:rsidRPr="004C2A59">
              <w:rPr>
                <w:color w:val="000000"/>
                <w:sz w:val="22"/>
                <w:szCs w:val="22"/>
                <w:lang w:val="da-DK"/>
              </w:rPr>
              <w:t>sløret syn</w:t>
            </w:r>
          </w:p>
        </w:tc>
      </w:tr>
      <w:tr w:rsidR="00CD6294" w:rsidRPr="00F852D1" w14:paraId="545FFDA2" w14:textId="77777777" w:rsidTr="006C180B">
        <w:trPr>
          <w:cantSplit/>
        </w:trPr>
        <w:tc>
          <w:tcPr>
            <w:tcW w:w="2235" w:type="dxa"/>
          </w:tcPr>
          <w:p w14:paraId="4E80D951"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Ikke almindelig:</w:t>
            </w:r>
          </w:p>
        </w:tc>
        <w:tc>
          <w:tcPr>
            <w:tcW w:w="7087" w:type="dxa"/>
          </w:tcPr>
          <w:p w14:paraId="401DDACF" w14:textId="77777777" w:rsidR="00CD6294" w:rsidRPr="00F852D1" w:rsidRDefault="004A6D96" w:rsidP="006C180B">
            <w:pPr>
              <w:keepNext/>
              <w:tabs>
                <w:tab w:val="left" w:pos="567"/>
              </w:tabs>
              <w:rPr>
                <w:color w:val="000000"/>
                <w:sz w:val="22"/>
                <w:szCs w:val="22"/>
                <w:lang w:val="da-DK"/>
              </w:rPr>
            </w:pPr>
            <w:r w:rsidRPr="00F852D1">
              <w:rPr>
                <w:color w:val="000000"/>
                <w:sz w:val="22"/>
                <w:szCs w:val="22"/>
                <w:lang w:val="da-DK"/>
              </w:rPr>
              <w:t>Øjenirritation</w:t>
            </w:r>
            <w:r w:rsidR="00CD6294" w:rsidRPr="00F852D1">
              <w:rPr>
                <w:color w:val="000000"/>
                <w:sz w:val="22"/>
                <w:szCs w:val="22"/>
                <w:lang w:val="da-DK"/>
              </w:rPr>
              <w:t xml:space="preserve">, </w:t>
            </w:r>
            <w:r w:rsidR="007E506E" w:rsidRPr="00F852D1">
              <w:rPr>
                <w:color w:val="000000"/>
                <w:sz w:val="22"/>
                <w:szCs w:val="22"/>
                <w:lang w:val="da-DK"/>
              </w:rPr>
              <w:t>øjensmerter</w:t>
            </w:r>
            <w:r w:rsidR="00CD6294" w:rsidRPr="00F852D1">
              <w:rPr>
                <w:color w:val="000000"/>
                <w:sz w:val="22"/>
                <w:szCs w:val="22"/>
                <w:lang w:val="da-DK"/>
              </w:rPr>
              <w:t>, orbital</w:t>
            </w:r>
            <w:r w:rsidR="007E506E" w:rsidRPr="00F852D1">
              <w:rPr>
                <w:color w:val="000000"/>
                <w:sz w:val="22"/>
                <w:szCs w:val="22"/>
                <w:lang w:val="da-DK"/>
              </w:rPr>
              <w:t>t</w:t>
            </w:r>
            <w:r w:rsidR="00CD6294" w:rsidRPr="00F852D1">
              <w:rPr>
                <w:color w:val="000000"/>
                <w:sz w:val="22"/>
                <w:szCs w:val="22"/>
                <w:lang w:val="da-DK"/>
              </w:rPr>
              <w:t xml:space="preserve"> </w:t>
            </w:r>
            <w:r w:rsidR="007E506E" w:rsidRPr="00F852D1">
              <w:rPr>
                <w:color w:val="000000"/>
                <w:sz w:val="22"/>
                <w:szCs w:val="22"/>
                <w:lang w:val="da-DK"/>
              </w:rPr>
              <w:t>ødem</w:t>
            </w:r>
            <w:r w:rsidR="00CD6294" w:rsidRPr="00F852D1">
              <w:rPr>
                <w:color w:val="000000"/>
                <w:sz w:val="22"/>
                <w:szCs w:val="22"/>
                <w:lang w:val="da-DK"/>
              </w:rPr>
              <w:t xml:space="preserve">, </w:t>
            </w:r>
            <w:r w:rsidR="00B87280" w:rsidRPr="00F852D1">
              <w:rPr>
                <w:color w:val="000000"/>
                <w:sz w:val="22"/>
                <w:szCs w:val="22"/>
                <w:lang w:val="da-DK"/>
              </w:rPr>
              <w:t>sclerablødning, retinablødning</w:t>
            </w:r>
            <w:r w:rsidR="00CD6294" w:rsidRPr="00F852D1">
              <w:rPr>
                <w:color w:val="000000"/>
                <w:sz w:val="22"/>
                <w:szCs w:val="22"/>
                <w:lang w:val="da-DK"/>
              </w:rPr>
              <w:t>, blepharitis, ma</w:t>
            </w:r>
            <w:r w:rsidR="00B87280" w:rsidRPr="00F852D1">
              <w:rPr>
                <w:color w:val="000000"/>
                <w:sz w:val="22"/>
                <w:szCs w:val="22"/>
                <w:lang w:val="da-DK"/>
              </w:rPr>
              <w:t>k</w:t>
            </w:r>
            <w:r w:rsidR="00CD6294" w:rsidRPr="00F852D1">
              <w:rPr>
                <w:color w:val="000000"/>
                <w:sz w:val="22"/>
                <w:szCs w:val="22"/>
                <w:lang w:val="da-DK"/>
              </w:rPr>
              <w:t>ul</w:t>
            </w:r>
            <w:r w:rsidR="00B87280" w:rsidRPr="00F852D1">
              <w:rPr>
                <w:color w:val="000000"/>
                <w:sz w:val="22"/>
                <w:szCs w:val="22"/>
                <w:lang w:val="da-DK"/>
              </w:rPr>
              <w:t>æ</w:t>
            </w:r>
            <w:r w:rsidR="00CD6294" w:rsidRPr="00F852D1">
              <w:rPr>
                <w:color w:val="000000"/>
                <w:sz w:val="22"/>
                <w:szCs w:val="22"/>
                <w:lang w:val="da-DK"/>
              </w:rPr>
              <w:t>r</w:t>
            </w:r>
            <w:r w:rsidR="00B87280" w:rsidRPr="00F852D1">
              <w:rPr>
                <w:color w:val="000000"/>
                <w:sz w:val="22"/>
                <w:szCs w:val="22"/>
                <w:lang w:val="da-DK"/>
              </w:rPr>
              <w:t>t</w:t>
            </w:r>
            <w:r w:rsidR="00CD6294" w:rsidRPr="00F852D1">
              <w:rPr>
                <w:color w:val="000000"/>
                <w:sz w:val="22"/>
                <w:szCs w:val="22"/>
                <w:lang w:val="da-DK"/>
              </w:rPr>
              <w:t xml:space="preserve"> </w:t>
            </w:r>
            <w:r w:rsidR="00B87280" w:rsidRPr="00F852D1">
              <w:rPr>
                <w:color w:val="000000"/>
                <w:sz w:val="22"/>
                <w:szCs w:val="22"/>
                <w:lang w:val="da-DK"/>
              </w:rPr>
              <w:t>ø</w:t>
            </w:r>
            <w:r w:rsidR="00CD6294" w:rsidRPr="00F852D1">
              <w:rPr>
                <w:color w:val="000000"/>
                <w:sz w:val="22"/>
                <w:szCs w:val="22"/>
                <w:lang w:val="da-DK"/>
              </w:rPr>
              <w:t>dem</w:t>
            </w:r>
          </w:p>
        </w:tc>
      </w:tr>
      <w:tr w:rsidR="00CD6294" w:rsidRPr="004C2A59" w14:paraId="36663C48" w14:textId="77777777" w:rsidTr="006C180B">
        <w:trPr>
          <w:cantSplit/>
        </w:trPr>
        <w:tc>
          <w:tcPr>
            <w:tcW w:w="2235" w:type="dxa"/>
          </w:tcPr>
          <w:p w14:paraId="0191FFCE"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Sjælden:</w:t>
            </w:r>
          </w:p>
        </w:tc>
        <w:tc>
          <w:tcPr>
            <w:tcW w:w="7087" w:type="dxa"/>
          </w:tcPr>
          <w:p w14:paraId="590F2E0B" w14:textId="77777777" w:rsidR="00CD6294" w:rsidRPr="004C2A59" w:rsidRDefault="00B87280" w:rsidP="006C180B">
            <w:pPr>
              <w:keepNext/>
              <w:tabs>
                <w:tab w:val="left" w:pos="567"/>
              </w:tabs>
              <w:rPr>
                <w:color w:val="000000"/>
                <w:sz w:val="22"/>
                <w:szCs w:val="22"/>
                <w:lang w:val="da-DK"/>
              </w:rPr>
            </w:pPr>
            <w:r w:rsidRPr="004C2A59">
              <w:rPr>
                <w:color w:val="000000"/>
                <w:sz w:val="22"/>
                <w:szCs w:val="22"/>
                <w:lang w:val="da-DK"/>
              </w:rPr>
              <w:t>K</w:t>
            </w:r>
            <w:r w:rsidR="00CD6294" w:rsidRPr="004C2A59">
              <w:rPr>
                <w:color w:val="000000"/>
                <w:sz w:val="22"/>
                <w:szCs w:val="22"/>
                <w:lang w:val="da-DK"/>
              </w:rPr>
              <w:t>atara</w:t>
            </w:r>
            <w:r w:rsidRPr="004C2A59">
              <w:rPr>
                <w:color w:val="000000"/>
                <w:sz w:val="22"/>
                <w:szCs w:val="22"/>
                <w:lang w:val="da-DK"/>
              </w:rPr>
              <w:t>k</w:t>
            </w:r>
            <w:r w:rsidR="00CD6294" w:rsidRPr="004C2A59">
              <w:rPr>
                <w:color w:val="000000"/>
                <w:sz w:val="22"/>
                <w:szCs w:val="22"/>
                <w:lang w:val="da-DK"/>
              </w:rPr>
              <w:t>t, glau</w:t>
            </w:r>
            <w:r w:rsidRPr="004C2A59">
              <w:rPr>
                <w:color w:val="000000"/>
                <w:sz w:val="22"/>
                <w:szCs w:val="22"/>
                <w:lang w:val="da-DK"/>
              </w:rPr>
              <w:t>k</w:t>
            </w:r>
            <w:r w:rsidR="00CD6294" w:rsidRPr="004C2A59">
              <w:rPr>
                <w:color w:val="000000"/>
                <w:sz w:val="22"/>
                <w:szCs w:val="22"/>
                <w:lang w:val="da-DK"/>
              </w:rPr>
              <w:t>om, papil</w:t>
            </w:r>
            <w:r w:rsidRPr="004C2A59">
              <w:rPr>
                <w:color w:val="000000"/>
                <w:sz w:val="22"/>
                <w:szCs w:val="22"/>
                <w:lang w:val="da-DK"/>
              </w:rPr>
              <w:t>ø</w:t>
            </w:r>
            <w:r w:rsidR="00CD6294" w:rsidRPr="004C2A59">
              <w:rPr>
                <w:color w:val="000000"/>
                <w:sz w:val="22"/>
                <w:szCs w:val="22"/>
                <w:lang w:val="da-DK"/>
              </w:rPr>
              <w:t>dem</w:t>
            </w:r>
          </w:p>
        </w:tc>
      </w:tr>
      <w:tr w:rsidR="000A1361" w:rsidRPr="004C2A59" w14:paraId="2B55B37E" w14:textId="77777777" w:rsidTr="006C180B">
        <w:trPr>
          <w:cantSplit/>
        </w:trPr>
        <w:tc>
          <w:tcPr>
            <w:tcW w:w="2235" w:type="dxa"/>
          </w:tcPr>
          <w:p w14:paraId="0B2364C2" w14:textId="77777777" w:rsidR="000A1361" w:rsidRPr="004C2A59" w:rsidRDefault="000A1361" w:rsidP="00421681">
            <w:pPr>
              <w:tabs>
                <w:tab w:val="left" w:pos="567"/>
              </w:tabs>
              <w:rPr>
                <w:i/>
                <w:color w:val="000000"/>
                <w:sz w:val="22"/>
                <w:szCs w:val="22"/>
                <w:lang w:val="da-DK"/>
              </w:rPr>
            </w:pPr>
            <w:r w:rsidRPr="004C2A59">
              <w:rPr>
                <w:i/>
                <w:color w:val="000000"/>
                <w:sz w:val="22"/>
                <w:szCs w:val="22"/>
                <w:lang w:val="da-DK"/>
              </w:rPr>
              <w:t>Ikke kendt:</w:t>
            </w:r>
          </w:p>
        </w:tc>
        <w:tc>
          <w:tcPr>
            <w:tcW w:w="7087" w:type="dxa"/>
          </w:tcPr>
          <w:p w14:paraId="67DD2EB5" w14:textId="77777777" w:rsidR="000A1361" w:rsidRPr="004C2A59" w:rsidRDefault="000A1361" w:rsidP="00421681">
            <w:pPr>
              <w:tabs>
                <w:tab w:val="left" w:pos="567"/>
              </w:tabs>
              <w:rPr>
                <w:color w:val="000000"/>
                <w:sz w:val="22"/>
                <w:szCs w:val="22"/>
                <w:lang w:val="da-DK"/>
              </w:rPr>
            </w:pPr>
            <w:r w:rsidRPr="004C2A59">
              <w:rPr>
                <w:color w:val="000000"/>
                <w:sz w:val="22"/>
                <w:szCs w:val="22"/>
                <w:lang w:val="da-DK"/>
              </w:rPr>
              <w:t>Glaslegemeblødning*</w:t>
            </w:r>
          </w:p>
        </w:tc>
      </w:tr>
      <w:tr w:rsidR="00CD6294" w:rsidRPr="004C2A59" w14:paraId="7F742587" w14:textId="77777777" w:rsidTr="006C180B">
        <w:trPr>
          <w:cantSplit/>
        </w:trPr>
        <w:tc>
          <w:tcPr>
            <w:tcW w:w="9322" w:type="dxa"/>
            <w:gridSpan w:val="2"/>
          </w:tcPr>
          <w:p w14:paraId="11D3A52B" w14:textId="77777777" w:rsidR="00CD6294" w:rsidRPr="004C2A59" w:rsidRDefault="0098051A" w:rsidP="006C180B">
            <w:pPr>
              <w:keepNext/>
              <w:tabs>
                <w:tab w:val="left" w:pos="567"/>
              </w:tabs>
              <w:rPr>
                <w:color w:val="000000"/>
                <w:sz w:val="22"/>
                <w:szCs w:val="22"/>
                <w:lang w:val="da-DK"/>
              </w:rPr>
            </w:pPr>
            <w:r w:rsidRPr="004C2A59">
              <w:rPr>
                <w:b/>
                <w:color w:val="000000"/>
                <w:sz w:val="22"/>
                <w:szCs w:val="22"/>
                <w:lang w:val="da-DK"/>
              </w:rPr>
              <w:t>Øre og labyrint</w:t>
            </w:r>
          </w:p>
        </w:tc>
      </w:tr>
      <w:tr w:rsidR="00CD6294" w:rsidRPr="00F852D1" w14:paraId="0EB8BBDD" w14:textId="77777777" w:rsidTr="006C180B">
        <w:trPr>
          <w:cantSplit/>
        </w:trPr>
        <w:tc>
          <w:tcPr>
            <w:tcW w:w="2235" w:type="dxa"/>
          </w:tcPr>
          <w:p w14:paraId="25D0B41D" w14:textId="77777777" w:rsidR="00CD6294" w:rsidRPr="004C2A59" w:rsidRDefault="00CD6294" w:rsidP="00421681">
            <w:pPr>
              <w:tabs>
                <w:tab w:val="left" w:pos="567"/>
              </w:tabs>
              <w:rPr>
                <w:color w:val="000000"/>
                <w:sz w:val="22"/>
                <w:szCs w:val="22"/>
                <w:lang w:val="da-DK"/>
              </w:rPr>
            </w:pPr>
            <w:r w:rsidRPr="004C2A59">
              <w:rPr>
                <w:i/>
                <w:color w:val="000000"/>
                <w:sz w:val="22"/>
                <w:szCs w:val="22"/>
                <w:lang w:val="da-DK"/>
              </w:rPr>
              <w:t>Ikke almindelig:</w:t>
            </w:r>
          </w:p>
        </w:tc>
        <w:tc>
          <w:tcPr>
            <w:tcW w:w="7087" w:type="dxa"/>
          </w:tcPr>
          <w:p w14:paraId="529A90FB" w14:textId="77777777" w:rsidR="00CD6294" w:rsidRPr="004C2A59" w:rsidRDefault="00CD6294" w:rsidP="00421681">
            <w:pPr>
              <w:tabs>
                <w:tab w:val="left" w:pos="567"/>
              </w:tabs>
              <w:rPr>
                <w:color w:val="000000"/>
                <w:sz w:val="22"/>
                <w:szCs w:val="22"/>
                <w:lang w:val="da-DK"/>
              </w:rPr>
            </w:pPr>
            <w:r w:rsidRPr="004C2A59">
              <w:rPr>
                <w:color w:val="000000"/>
                <w:sz w:val="22"/>
                <w:szCs w:val="22"/>
                <w:lang w:val="da-DK"/>
              </w:rPr>
              <w:t xml:space="preserve">Vertigo, tinnitus, </w:t>
            </w:r>
            <w:r w:rsidR="00B87280" w:rsidRPr="004C2A59">
              <w:rPr>
                <w:color w:val="000000"/>
                <w:sz w:val="22"/>
                <w:szCs w:val="22"/>
                <w:lang w:val="da-DK"/>
              </w:rPr>
              <w:t>tab af hørelse</w:t>
            </w:r>
          </w:p>
        </w:tc>
      </w:tr>
      <w:tr w:rsidR="00553BF4" w:rsidRPr="004C2A59" w14:paraId="3C569CE0" w14:textId="77777777" w:rsidTr="006C180B">
        <w:trPr>
          <w:cantSplit/>
        </w:trPr>
        <w:tc>
          <w:tcPr>
            <w:tcW w:w="9322" w:type="dxa"/>
            <w:gridSpan w:val="2"/>
          </w:tcPr>
          <w:p w14:paraId="600BB61F" w14:textId="77777777" w:rsidR="00553BF4" w:rsidRPr="004C2A59" w:rsidRDefault="00553BF4" w:rsidP="006C180B">
            <w:pPr>
              <w:keepNext/>
              <w:tabs>
                <w:tab w:val="left" w:pos="567"/>
              </w:tabs>
              <w:rPr>
                <w:color w:val="000000"/>
                <w:sz w:val="22"/>
                <w:szCs w:val="22"/>
                <w:lang w:val="da-DK"/>
              </w:rPr>
            </w:pPr>
            <w:r w:rsidRPr="004C2A59">
              <w:rPr>
                <w:b/>
                <w:color w:val="000000"/>
                <w:sz w:val="22"/>
                <w:szCs w:val="22"/>
                <w:lang w:val="da-DK"/>
              </w:rPr>
              <w:t>Hjerte</w:t>
            </w:r>
          </w:p>
        </w:tc>
      </w:tr>
      <w:tr w:rsidR="00553BF4" w:rsidRPr="004C2A59" w14:paraId="5923AC80" w14:textId="77777777" w:rsidTr="006C180B">
        <w:trPr>
          <w:cantSplit/>
        </w:trPr>
        <w:tc>
          <w:tcPr>
            <w:tcW w:w="2235" w:type="dxa"/>
          </w:tcPr>
          <w:p w14:paraId="61CD2081" w14:textId="77777777" w:rsidR="00553BF4" w:rsidRPr="004C2A59" w:rsidRDefault="00553BF4" w:rsidP="006C180B">
            <w:pPr>
              <w:keepNext/>
              <w:tabs>
                <w:tab w:val="left" w:pos="567"/>
              </w:tabs>
              <w:rPr>
                <w:color w:val="000000"/>
                <w:sz w:val="22"/>
                <w:szCs w:val="22"/>
                <w:lang w:val="da-DK"/>
              </w:rPr>
            </w:pPr>
            <w:r w:rsidRPr="004C2A59">
              <w:rPr>
                <w:i/>
                <w:color w:val="000000"/>
                <w:sz w:val="22"/>
                <w:szCs w:val="22"/>
                <w:lang w:val="da-DK"/>
              </w:rPr>
              <w:t>Ikke almindelig:</w:t>
            </w:r>
          </w:p>
        </w:tc>
        <w:tc>
          <w:tcPr>
            <w:tcW w:w="7087" w:type="dxa"/>
          </w:tcPr>
          <w:p w14:paraId="1564DA9E" w14:textId="77777777" w:rsidR="00553BF4" w:rsidRPr="004C2A59" w:rsidRDefault="00017E8C" w:rsidP="006C180B">
            <w:pPr>
              <w:keepNext/>
              <w:tabs>
                <w:tab w:val="left" w:pos="567"/>
              </w:tabs>
              <w:rPr>
                <w:color w:val="000000"/>
                <w:sz w:val="22"/>
                <w:szCs w:val="22"/>
              </w:rPr>
            </w:pPr>
            <w:r w:rsidRPr="004C2A59">
              <w:rPr>
                <w:color w:val="000000"/>
                <w:sz w:val="22"/>
                <w:szCs w:val="22"/>
              </w:rPr>
              <w:t>Palpitationer</w:t>
            </w:r>
            <w:r w:rsidR="00553BF4" w:rsidRPr="004C2A59">
              <w:rPr>
                <w:color w:val="000000"/>
                <w:sz w:val="22"/>
                <w:szCs w:val="22"/>
              </w:rPr>
              <w:t xml:space="preserve">, </w:t>
            </w:r>
            <w:r w:rsidR="007B0363" w:rsidRPr="004C2A59">
              <w:rPr>
                <w:color w:val="000000"/>
                <w:sz w:val="22"/>
                <w:szCs w:val="22"/>
                <w:lang w:val="en-GB"/>
              </w:rPr>
              <w:t>ta</w:t>
            </w:r>
            <w:r w:rsidRPr="004C2A59">
              <w:rPr>
                <w:color w:val="000000"/>
                <w:sz w:val="22"/>
                <w:szCs w:val="22"/>
                <w:lang w:val="en-GB"/>
              </w:rPr>
              <w:t>k</w:t>
            </w:r>
            <w:r w:rsidR="007B0363" w:rsidRPr="004C2A59">
              <w:rPr>
                <w:color w:val="000000"/>
                <w:sz w:val="22"/>
                <w:szCs w:val="22"/>
                <w:lang w:val="en-GB"/>
              </w:rPr>
              <w:t>ykardi,</w:t>
            </w:r>
            <w:r w:rsidR="007B0363" w:rsidRPr="004C2A59">
              <w:rPr>
                <w:color w:val="000000"/>
                <w:sz w:val="22"/>
                <w:szCs w:val="22"/>
              </w:rPr>
              <w:t xml:space="preserve"> </w:t>
            </w:r>
            <w:r w:rsidR="00553BF4" w:rsidRPr="004C2A59">
              <w:rPr>
                <w:color w:val="000000"/>
                <w:sz w:val="22"/>
                <w:szCs w:val="22"/>
              </w:rPr>
              <w:t>h</w:t>
            </w:r>
            <w:r w:rsidR="00553BF4" w:rsidRPr="004C2A59">
              <w:rPr>
                <w:color w:val="000000"/>
                <w:sz w:val="22"/>
                <w:szCs w:val="22"/>
                <w:lang w:val="en-GB"/>
              </w:rPr>
              <w:t>jerte</w:t>
            </w:r>
            <w:r w:rsidRPr="004C2A59">
              <w:rPr>
                <w:color w:val="000000"/>
                <w:sz w:val="22"/>
                <w:szCs w:val="22"/>
                <w:lang w:val="en-GB"/>
              </w:rPr>
              <w:t>insufficiens</w:t>
            </w:r>
            <w:r w:rsidR="00102FCF" w:rsidRPr="004C2A59">
              <w:rPr>
                <w:color w:val="000000"/>
                <w:sz w:val="22"/>
                <w:szCs w:val="22"/>
                <w:vertAlign w:val="superscript"/>
                <w:lang w:val="en-GB"/>
              </w:rPr>
              <w:t>3</w:t>
            </w:r>
            <w:r w:rsidR="007B0363" w:rsidRPr="004C2A59">
              <w:rPr>
                <w:color w:val="000000"/>
                <w:sz w:val="22"/>
                <w:szCs w:val="22"/>
                <w:lang w:val="en-GB"/>
              </w:rPr>
              <w:t>, lungeødem</w:t>
            </w:r>
          </w:p>
        </w:tc>
      </w:tr>
      <w:tr w:rsidR="00553BF4" w:rsidRPr="00F852D1" w14:paraId="55313F52" w14:textId="77777777" w:rsidTr="006C180B">
        <w:trPr>
          <w:cantSplit/>
        </w:trPr>
        <w:tc>
          <w:tcPr>
            <w:tcW w:w="2235" w:type="dxa"/>
          </w:tcPr>
          <w:p w14:paraId="489D80D1" w14:textId="77777777" w:rsidR="00553BF4" w:rsidRPr="004C2A59" w:rsidRDefault="00553BF4" w:rsidP="006C180B">
            <w:pPr>
              <w:keepNext/>
              <w:tabs>
                <w:tab w:val="left" w:pos="567"/>
              </w:tabs>
              <w:rPr>
                <w:color w:val="000000"/>
                <w:sz w:val="22"/>
                <w:szCs w:val="22"/>
                <w:lang w:val="da-DK"/>
              </w:rPr>
            </w:pPr>
            <w:r w:rsidRPr="004C2A59">
              <w:rPr>
                <w:i/>
                <w:color w:val="000000"/>
                <w:sz w:val="22"/>
                <w:szCs w:val="22"/>
                <w:lang w:val="da-DK"/>
              </w:rPr>
              <w:t>Sjælden:</w:t>
            </w:r>
          </w:p>
        </w:tc>
        <w:tc>
          <w:tcPr>
            <w:tcW w:w="7087" w:type="dxa"/>
          </w:tcPr>
          <w:p w14:paraId="5D63B55B" w14:textId="77777777" w:rsidR="00553BF4" w:rsidRPr="004C2A59" w:rsidRDefault="00553BF4" w:rsidP="006C180B">
            <w:pPr>
              <w:keepNext/>
              <w:tabs>
                <w:tab w:val="left" w:pos="567"/>
              </w:tabs>
              <w:rPr>
                <w:color w:val="000000"/>
                <w:sz w:val="22"/>
                <w:szCs w:val="22"/>
                <w:lang w:val="da-DK"/>
              </w:rPr>
            </w:pPr>
            <w:r w:rsidRPr="004C2A59">
              <w:rPr>
                <w:color w:val="000000"/>
                <w:sz w:val="22"/>
                <w:szCs w:val="22"/>
                <w:lang w:val="da-DK"/>
              </w:rPr>
              <w:t xml:space="preserve">Arytmi, atrieflimren, hjertestop, myokardieinfarkt, angina pectoris, perikardiel </w:t>
            </w:r>
            <w:r w:rsidR="00D269D9" w:rsidRPr="004C2A59">
              <w:rPr>
                <w:color w:val="000000"/>
                <w:sz w:val="22"/>
                <w:szCs w:val="22"/>
                <w:lang w:val="da-DK"/>
              </w:rPr>
              <w:t>effusion</w:t>
            </w:r>
          </w:p>
        </w:tc>
      </w:tr>
      <w:tr w:rsidR="000A1361" w:rsidRPr="004C2A59" w14:paraId="03BB14F3" w14:textId="77777777" w:rsidTr="006C180B">
        <w:trPr>
          <w:cantSplit/>
        </w:trPr>
        <w:tc>
          <w:tcPr>
            <w:tcW w:w="2235" w:type="dxa"/>
          </w:tcPr>
          <w:p w14:paraId="5D570FC5" w14:textId="77777777" w:rsidR="000A1361" w:rsidRPr="004C2A59" w:rsidRDefault="000A1361" w:rsidP="00421681">
            <w:pPr>
              <w:tabs>
                <w:tab w:val="left" w:pos="567"/>
              </w:tabs>
              <w:rPr>
                <w:i/>
                <w:color w:val="000000"/>
                <w:sz w:val="22"/>
                <w:szCs w:val="22"/>
                <w:lang w:val="da-DK"/>
              </w:rPr>
            </w:pPr>
            <w:r w:rsidRPr="004C2A59">
              <w:rPr>
                <w:i/>
                <w:color w:val="000000"/>
                <w:sz w:val="22"/>
                <w:szCs w:val="22"/>
                <w:lang w:val="da-DK"/>
              </w:rPr>
              <w:t>Ikke kendt:</w:t>
            </w:r>
          </w:p>
        </w:tc>
        <w:tc>
          <w:tcPr>
            <w:tcW w:w="7087" w:type="dxa"/>
          </w:tcPr>
          <w:p w14:paraId="7004D061" w14:textId="77777777" w:rsidR="000A1361" w:rsidRPr="004C2A59" w:rsidRDefault="00D13201" w:rsidP="00421681">
            <w:pPr>
              <w:tabs>
                <w:tab w:val="left" w:pos="567"/>
              </w:tabs>
              <w:rPr>
                <w:color w:val="000000"/>
                <w:sz w:val="22"/>
                <w:szCs w:val="22"/>
                <w:lang w:val="da-DK"/>
              </w:rPr>
            </w:pPr>
            <w:r w:rsidRPr="004C2A59">
              <w:rPr>
                <w:color w:val="000000"/>
                <w:sz w:val="22"/>
                <w:szCs w:val="22"/>
                <w:lang w:val="da-DK"/>
              </w:rPr>
              <w:t>Perikardit</w:t>
            </w:r>
            <w:r w:rsidR="000A1361" w:rsidRPr="004C2A59">
              <w:rPr>
                <w:color w:val="000000"/>
                <w:sz w:val="22"/>
                <w:szCs w:val="22"/>
                <w:lang w:val="da-DK"/>
              </w:rPr>
              <w:t>*, hjertetamponade*</w:t>
            </w:r>
          </w:p>
        </w:tc>
      </w:tr>
      <w:tr w:rsidR="00553BF4" w:rsidRPr="004C2A59" w14:paraId="3D550207" w14:textId="77777777" w:rsidTr="006C180B">
        <w:trPr>
          <w:cantSplit/>
        </w:trPr>
        <w:tc>
          <w:tcPr>
            <w:tcW w:w="9322" w:type="dxa"/>
            <w:gridSpan w:val="2"/>
          </w:tcPr>
          <w:p w14:paraId="3B1F5D8F" w14:textId="77777777" w:rsidR="00553BF4" w:rsidRPr="004C2A59" w:rsidRDefault="00553BF4" w:rsidP="006C180B">
            <w:pPr>
              <w:keepNext/>
              <w:tabs>
                <w:tab w:val="left" w:pos="567"/>
              </w:tabs>
              <w:rPr>
                <w:color w:val="000000"/>
                <w:sz w:val="22"/>
                <w:szCs w:val="22"/>
                <w:lang w:val="da-DK"/>
              </w:rPr>
            </w:pPr>
            <w:r w:rsidRPr="004C2A59">
              <w:rPr>
                <w:b/>
                <w:color w:val="000000"/>
                <w:sz w:val="22"/>
                <w:szCs w:val="22"/>
                <w:lang w:val="da-DK"/>
              </w:rPr>
              <w:t>Vaskulære sygdomme</w:t>
            </w:r>
            <w:r w:rsidR="00102FCF" w:rsidRPr="004C2A59">
              <w:rPr>
                <w:color w:val="000000"/>
                <w:sz w:val="22"/>
                <w:szCs w:val="22"/>
                <w:vertAlign w:val="superscript"/>
                <w:lang w:val="da-DK"/>
              </w:rPr>
              <w:t>4</w:t>
            </w:r>
          </w:p>
        </w:tc>
      </w:tr>
      <w:tr w:rsidR="00553BF4" w:rsidRPr="004C2A59" w14:paraId="42B8A79A" w14:textId="77777777" w:rsidTr="006C180B">
        <w:trPr>
          <w:cantSplit/>
        </w:trPr>
        <w:tc>
          <w:tcPr>
            <w:tcW w:w="2235" w:type="dxa"/>
          </w:tcPr>
          <w:p w14:paraId="013BA089" w14:textId="77777777" w:rsidR="00553BF4" w:rsidRPr="004C2A59" w:rsidRDefault="00553BF4" w:rsidP="006C180B">
            <w:pPr>
              <w:keepNext/>
              <w:tabs>
                <w:tab w:val="left" w:pos="567"/>
              </w:tabs>
              <w:rPr>
                <w:i/>
                <w:color w:val="000000"/>
                <w:sz w:val="22"/>
                <w:szCs w:val="22"/>
                <w:lang w:val="da-DK"/>
              </w:rPr>
            </w:pPr>
            <w:r w:rsidRPr="004C2A59">
              <w:rPr>
                <w:i/>
                <w:color w:val="000000"/>
                <w:sz w:val="22"/>
                <w:szCs w:val="22"/>
                <w:lang w:val="da-DK"/>
              </w:rPr>
              <w:t>Almindelig:</w:t>
            </w:r>
          </w:p>
        </w:tc>
        <w:tc>
          <w:tcPr>
            <w:tcW w:w="7087" w:type="dxa"/>
          </w:tcPr>
          <w:p w14:paraId="678A6103" w14:textId="77777777" w:rsidR="00553BF4" w:rsidRPr="004C2A59" w:rsidRDefault="00D269D9" w:rsidP="006C180B">
            <w:pPr>
              <w:keepNext/>
              <w:tabs>
                <w:tab w:val="left" w:pos="567"/>
              </w:tabs>
              <w:rPr>
                <w:color w:val="000000"/>
                <w:sz w:val="22"/>
                <w:szCs w:val="22"/>
                <w:lang w:val="da-DK"/>
              </w:rPr>
            </w:pPr>
            <w:r w:rsidRPr="004C2A59">
              <w:rPr>
                <w:i/>
                <w:color w:val="000000"/>
                <w:sz w:val="22"/>
                <w:szCs w:val="22"/>
                <w:lang w:val="da-DK"/>
              </w:rPr>
              <w:t>Flushing</w:t>
            </w:r>
            <w:r w:rsidR="00553BF4" w:rsidRPr="004C2A59">
              <w:rPr>
                <w:color w:val="000000"/>
                <w:sz w:val="22"/>
                <w:szCs w:val="22"/>
                <w:lang w:val="da-DK"/>
              </w:rPr>
              <w:t>, blødning</w:t>
            </w:r>
          </w:p>
        </w:tc>
      </w:tr>
      <w:tr w:rsidR="00553BF4" w:rsidRPr="00DA2798" w14:paraId="28D536D1" w14:textId="77777777" w:rsidTr="006C180B">
        <w:trPr>
          <w:cantSplit/>
        </w:trPr>
        <w:tc>
          <w:tcPr>
            <w:tcW w:w="2235" w:type="dxa"/>
          </w:tcPr>
          <w:p w14:paraId="41029962" w14:textId="77777777" w:rsidR="00553BF4" w:rsidRPr="004C2A59" w:rsidDel="00655175" w:rsidRDefault="00553BF4" w:rsidP="006C180B">
            <w:pPr>
              <w:keepNext/>
              <w:tabs>
                <w:tab w:val="left" w:pos="567"/>
              </w:tabs>
              <w:rPr>
                <w:i/>
                <w:color w:val="000000"/>
                <w:sz w:val="22"/>
                <w:szCs w:val="22"/>
                <w:lang w:val="da-DK"/>
              </w:rPr>
            </w:pPr>
            <w:r w:rsidRPr="004C2A59">
              <w:rPr>
                <w:i/>
                <w:color w:val="000000"/>
                <w:sz w:val="22"/>
                <w:szCs w:val="22"/>
                <w:lang w:val="da-DK"/>
              </w:rPr>
              <w:t>Ikke almindelig:</w:t>
            </w:r>
          </w:p>
        </w:tc>
        <w:tc>
          <w:tcPr>
            <w:tcW w:w="7087" w:type="dxa"/>
          </w:tcPr>
          <w:p w14:paraId="1BC327A9" w14:textId="77777777" w:rsidR="00553BF4" w:rsidRPr="004C2A59" w:rsidDel="00655175" w:rsidRDefault="00553BF4" w:rsidP="006C180B">
            <w:pPr>
              <w:keepNext/>
              <w:tabs>
                <w:tab w:val="left" w:pos="567"/>
              </w:tabs>
              <w:rPr>
                <w:color w:val="000000"/>
                <w:sz w:val="22"/>
                <w:szCs w:val="22"/>
                <w:lang w:val="da-DK"/>
              </w:rPr>
            </w:pPr>
            <w:r w:rsidRPr="004C2A59">
              <w:rPr>
                <w:color w:val="000000"/>
                <w:sz w:val="22"/>
                <w:szCs w:val="22"/>
                <w:lang w:val="da-DK"/>
              </w:rPr>
              <w:t>Hypertension, hæmatom,</w:t>
            </w:r>
            <w:r w:rsidR="001D0866" w:rsidRPr="004C2A59">
              <w:rPr>
                <w:color w:val="000000"/>
                <w:sz w:val="22"/>
                <w:szCs w:val="22"/>
                <w:lang w:val="da-DK"/>
              </w:rPr>
              <w:t xml:space="preserve"> subdural</w:t>
            </w:r>
            <w:r w:rsidR="00A94FDC" w:rsidRPr="004C2A59">
              <w:rPr>
                <w:color w:val="000000"/>
                <w:sz w:val="22"/>
                <w:szCs w:val="22"/>
                <w:lang w:val="da-DK"/>
              </w:rPr>
              <w:t>t</w:t>
            </w:r>
            <w:r w:rsidR="001D0866" w:rsidRPr="004C2A59">
              <w:rPr>
                <w:color w:val="000000"/>
                <w:sz w:val="22"/>
                <w:szCs w:val="22"/>
                <w:lang w:val="da-DK"/>
              </w:rPr>
              <w:t xml:space="preserve"> hæmatom,</w:t>
            </w:r>
            <w:r w:rsidRPr="004C2A59">
              <w:rPr>
                <w:color w:val="000000"/>
                <w:sz w:val="22"/>
                <w:szCs w:val="22"/>
                <w:lang w:val="da-DK"/>
              </w:rPr>
              <w:t xml:space="preserve"> kuldefornemmelser i ekstremiteter, hypotension, Raynaud’s syndrom</w:t>
            </w:r>
          </w:p>
        </w:tc>
      </w:tr>
      <w:tr w:rsidR="000A1361" w:rsidRPr="004C2A59" w14:paraId="19C71A57" w14:textId="77777777" w:rsidTr="006C180B">
        <w:trPr>
          <w:cantSplit/>
        </w:trPr>
        <w:tc>
          <w:tcPr>
            <w:tcW w:w="2235" w:type="dxa"/>
          </w:tcPr>
          <w:p w14:paraId="16A4C127" w14:textId="77777777" w:rsidR="000A1361" w:rsidRPr="004C2A59" w:rsidRDefault="00D13201" w:rsidP="00421681">
            <w:pPr>
              <w:tabs>
                <w:tab w:val="left" w:pos="567"/>
              </w:tabs>
              <w:rPr>
                <w:i/>
                <w:color w:val="000000"/>
                <w:sz w:val="22"/>
                <w:szCs w:val="22"/>
                <w:lang w:val="da-DK"/>
              </w:rPr>
            </w:pPr>
            <w:r w:rsidRPr="004C2A59">
              <w:rPr>
                <w:i/>
                <w:color w:val="000000"/>
                <w:sz w:val="22"/>
                <w:szCs w:val="22"/>
                <w:lang w:val="da-DK"/>
              </w:rPr>
              <w:t>Ikke kendt:</w:t>
            </w:r>
          </w:p>
        </w:tc>
        <w:tc>
          <w:tcPr>
            <w:tcW w:w="7087" w:type="dxa"/>
          </w:tcPr>
          <w:p w14:paraId="4992A4BF" w14:textId="77777777" w:rsidR="000A1361" w:rsidRPr="004C2A59" w:rsidRDefault="00D13201" w:rsidP="00421681">
            <w:pPr>
              <w:tabs>
                <w:tab w:val="left" w:pos="567"/>
              </w:tabs>
              <w:rPr>
                <w:color w:val="000000"/>
                <w:sz w:val="22"/>
                <w:szCs w:val="22"/>
                <w:lang w:val="da-DK"/>
              </w:rPr>
            </w:pPr>
            <w:r w:rsidRPr="004C2A59">
              <w:rPr>
                <w:color w:val="000000"/>
                <w:sz w:val="22"/>
                <w:szCs w:val="22"/>
                <w:lang w:val="da-DK"/>
              </w:rPr>
              <w:t>Trombose/emboli</w:t>
            </w:r>
            <w:r w:rsidR="004A4D80" w:rsidRPr="004C2A59">
              <w:rPr>
                <w:color w:val="000000"/>
                <w:sz w:val="22"/>
                <w:szCs w:val="22"/>
                <w:lang w:val="da-DK"/>
              </w:rPr>
              <w:t>*</w:t>
            </w:r>
          </w:p>
        </w:tc>
      </w:tr>
      <w:tr w:rsidR="00CD6294" w:rsidRPr="004C2A59" w14:paraId="6A4A2447" w14:textId="77777777" w:rsidTr="006C180B">
        <w:trPr>
          <w:cantSplit/>
        </w:trPr>
        <w:tc>
          <w:tcPr>
            <w:tcW w:w="9322" w:type="dxa"/>
            <w:gridSpan w:val="2"/>
          </w:tcPr>
          <w:p w14:paraId="064A451D" w14:textId="77777777" w:rsidR="00CD6294" w:rsidRPr="004C2A59" w:rsidRDefault="0098051A" w:rsidP="006C180B">
            <w:pPr>
              <w:keepNext/>
              <w:tabs>
                <w:tab w:val="left" w:pos="567"/>
              </w:tabs>
              <w:rPr>
                <w:color w:val="000000"/>
                <w:sz w:val="22"/>
                <w:szCs w:val="22"/>
              </w:rPr>
            </w:pPr>
            <w:r w:rsidRPr="004C2A59">
              <w:rPr>
                <w:b/>
                <w:color w:val="000000"/>
                <w:sz w:val="22"/>
                <w:szCs w:val="22"/>
              </w:rPr>
              <w:lastRenderedPageBreak/>
              <w:t>Luftveje, thorax og mediastinum</w:t>
            </w:r>
          </w:p>
        </w:tc>
      </w:tr>
      <w:tr w:rsidR="00CD6294" w:rsidRPr="004C2A59" w14:paraId="1DAD8854" w14:textId="77777777" w:rsidTr="006C180B">
        <w:trPr>
          <w:cantSplit/>
        </w:trPr>
        <w:tc>
          <w:tcPr>
            <w:tcW w:w="2235" w:type="dxa"/>
          </w:tcPr>
          <w:p w14:paraId="395EA138"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Almindelig:</w:t>
            </w:r>
          </w:p>
        </w:tc>
        <w:tc>
          <w:tcPr>
            <w:tcW w:w="7087" w:type="dxa"/>
          </w:tcPr>
          <w:p w14:paraId="7E5BAA9F" w14:textId="77777777" w:rsidR="00CD6294" w:rsidRPr="004C2A59" w:rsidRDefault="001A2441" w:rsidP="006C180B">
            <w:pPr>
              <w:keepNext/>
              <w:tabs>
                <w:tab w:val="left" w:pos="567"/>
              </w:tabs>
              <w:rPr>
                <w:color w:val="000000"/>
                <w:sz w:val="22"/>
                <w:szCs w:val="22"/>
                <w:lang w:val="da-DK"/>
              </w:rPr>
            </w:pPr>
            <w:r w:rsidRPr="004C2A59">
              <w:rPr>
                <w:color w:val="000000"/>
                <w:sz w:val="22"/>
                <w:szCs w:val="22"/>
                <w:lang w:val="da-DK"/>
              </w:rPr>
              <w:t>Dyspnø</w:t>
            </w:r>
            <w:r w:rsidR="00CD6294" w:rsidRPr="004C2A59">
              <w:rPr>
                <w:color w:val="000000"/>
                <w:sz w:val="22"/>
                <w:szCs w:val="22"/>
                <w:lang w:val="da-DK"/>
              </w:rPr>
              <w:t xml:space="preserve">, </w:t>
            </w:r>
            <w:r w:rsidRPr="004C2A59">
              <w:rPr>
                <w:color w:val="000000"/>
                <w:sz w:val="22"/>
                <w:szCs w:val="22"/>
                <w:lang w:val="da-DK"/>
              </w:rPr>
              <w:t>næseblod</w:t>
            </w:r>
            <w:r w:rsidR="00CD6294" w:rsidRPr="004C2A59">
              <w:rPr>
                <w:color w:val="000000"/>
                <w:sz w:val="22"/>
                <w:szCs w:val="22"/>
                <w:lang w:val="da-DK"/>
              </w:rPr>
              <w:t xml:space="preserve">, </w:t>
            </w:r>
            <w:r w:rsidRPr="004C2A59">
              <w:rPr>
                <w:color w:val="000000"/>
                <w:sz w:val="22"/>
                <w:szCs w:val="22"/>
                <w:lang w:val="da-DK"/>
              </w:rPr>
              <w:t>hoste</w:t>
            </w:r>
          </w:p>
        </w:tc>
      </w:tr>
      <w:tr w:rsidR="00CD6294" w:rsidRPr="004C2A59" w14:paraId="4C548669" w14:textId="77777777" w:rsidTr="006C180B">
        <w:trPr>
          <w:cantSplit/>
        </w:trPr>
        <w:tc>
          <w:tcPr>
            <w:tcW w:w="2235" w:type="dxa"/>
          </w:tcPr>
          <w:p w14:paraId="2553CE04"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Ikke almindelig:</w:t>
            </w:r>
          </w:p>
        </w:tc>
        <w:tc>
          <w:tcPr>
            <w:tcW w:w="7087" w:type="dxa"/>
          </w:tcPr>
          <w:p w14:paraId="1B133E94" w14:textId="77777777" w:rsidR="00CD6294" w:rsidRPr="004C2A59" w:rsidRDefault="001A2441" w:rsidP="006C180B">
            <w:pPr>
              <w:keepNext/>
              <w:tabs>
                <w:tab w:val="left" w:pos="567"/>
              </w:tabs>
              <w:rPr>
                <w:color w:val="000000"/>
                <w:sz w:val="22"/>
                <w:szCs w:val="22"/>
              </w:rPr>
            </w:pPr>
            <w:r w:rsidRPr="004C2A59">
              <w:rPr>
                <w:color w:val="000000"/>
                <w:sz w:val="22"/>
                <w:szCs w:val="22"/>
              </w:rPr>
              <w:t>Pleuraeks</w:t>
            </w:r>
            <w:r w:rsidR="00682503" w:rsidRPr="004C2A59">
              <w:rPr>
                <w:color w:val="000000"/>
                <w:sz w:val="22"/>
                <w:szCs w:val="22"/>
              </w:rPr>
              <w:t>s</w:t>
            </w:r>
            <w:r w:rsidRPr="004C2A59">
              <w:rPr>
                <w:color w:val="000000"/>
                <w:sz w:val="22"/>
                <w:szCs w:val="22"/>
              </w:rPr>
              <w:t>udat</w:t>
            </w:r>
            <w:r w:rsidR="00102FCF" w:rsidRPr="004C2A59">
              <w:rPr>
                <w:color w:val="000000"/>
                <w:sz w:val="22"/>
                <w:szCs w:val="22"/>
                <w:vertAlign w:val="superscript"/>
              </w:rPr>
              <w:t>5</w:t>
            </w:r>
            <w:r w:rsidR="00CD6294" w:rsidRPr="004C2A59">
              <w:rPr>
                <w:color w:val="000000"/>
                <w:sz w:val="22"/>
                <w:szCs w:val="22"/>
              </w:rPr>
              <w:t xml:space="preserve">, </w:t>
            </w:r>
            <w:r w:rsidRPr="004C2A59">
              <w:rPr>
                <w:color w:val="000000"/>
                <w:sz w:val="22"/>
                <w:szCs w:val="22"/>
              </w:rPr>
              <w:t>faryngolaryngeale smerter</w:t>
            </w:r>
            <w:r w:rsidR="00CD6294" w:rsidRPr="004C2A59">
              <w:rPr>
                <w:color w:val="000000"/>
                <w:sz w:val="22"/>
                <w:szCs w:val="22"/>
              </w:rPr>
              <w:t>, pharyngitis</w:t>
            </w:r>
          </w:p>
        </w:tc>
      </w:tr>
      <w:tr w:rsidR="00CD6294" w:rsidRPr="00F852D1" w14:paraId="2098042A" w14:textId="77777777" w:rsidTr="006C180B">
        <w:trPr>
          <w:cantSplit/>
        </w:trPr>
        <w:tc>
          <w:tcPr>
            <w:tcW w:w="2235" w:type="dxa"/>
          </w:tcPr>
          <w:p w14:paraId="61B55165"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Sjælden:</w:t>
            </w:r>
          </w:p>
        </w:tc>
        <w:tc>
          <w:tcPr>
            <w:tcW w:w="7087" w:type="dxa"/>
          </w:tcPr>
          <w:p w14:paraId="04007513" w14:textId="77777777" w:rsidR="00CD6294" w:rsidRPr="004C2A59" w:rsidRDefault="001A2441" w:rsidP="006C180B">
            <w:pPr>
              <w:keepNext/>
              <w:tabs>
                <w:tab w:val="left" w:pos="567"/>
              </w:tabs>
              <w:rPr>
                <w:color w:val="000000"/>
                <w:sz w:val="22"/>
                <w:szCs w:val="22"/>
                <w:lang w:val="da-DK"/>
              </w:rPr>
            </w:pPr>
            <w:r w:rsidRPr="004C2A59">
              <w:rPr>
                <w:color w:val="000000"/>
                <w:sz w:val="22"/>
                <w:szCs w:val="22"/>
                <w:lang w:val="da-DK"/>
              </w:rPr>
              <w:t>Pleuralgi</w:t>
            </w:r>
            <w:r w:rsidR="00CD6294" w:rsidRPr="004C2A59">
              <w:rPr>
                <w:color w:val="000000"/>
                <w:sz w:val="22"/>
                <w:szCs w:val="22"/>
                <w:lang w:val="da-DK"/>
              </w:rPr>
              <w:t>,</w:t>
            </w:r>
            <w:r w:rsidRPr="004C2A59">
              <w:rPr>
                <w:color w:val="000000"/>
                <w:sz w:val="22"/>
                <w:szCs w:val="22"/>
                <w:lang w:val="da-DK"/>
              </w:rPr>
              <w:t xml:space="preserve"> </w:t>
            </w:r>
            <w:r w:rsidR="00732EA7" w:rsidRPr="004C2A59">
              <w:rPr>
                <w:color w:val="000000"/>
                <w:sz w:val="22"/>
                <w:szCs w:val="22"/>
                <w:lang w:val="da-DK"/>
              </w:rPr>
              <w:t>lunge</w:t>
            </w:r>
            <w:r w:rsidR="00CD6294" w:rsidRPr="004C2A59">
              <w:rPr>
                <w:color w:val="000000"/>
                <w:sz w:val="22"/>
                <w:szCs w:val="22"/>
                <w:lang w:val="da-DK"/>
              </w:rPr>
              <w:t>fibros</w:t>
            </w:r>
            <w:r w:rsidRPr="004C2A59">
              <w:rPr>
                <w:color w:val="000000"/>
                <w:sz w:val="22"/>
                <w:szCs w:val="22"/>
                <w:lang w:val="da-DK"/>
              </w:rPr>
              <w:t>e</w:t>
            </w:r>
            <w:r w:rsidR="00CD6294" w:rsidRPr="004C2A59">
              <w:rPr>
                <w:color w:val="000000"/>
                <w:sz w:val="22"/>
                <w:szCs w:val="22"/>
                <w:lang w:val="da-DK"/>
              </w:rPr>
              <w:t>, pulmon</w:t>
            </w:r>
            <w:r w:rsidR="00FB1D11" w:rsidRPr="004C2A59">
              <w:rPr>
                <w:color w:val="000000"/>
                <w:sz w:val="22"/>
                <w:szCs w:val="22"/>
                <w:lang w:val="da-DK"/>
              </w:rPr>
              <w:t>al</w:t>
            </w:r>
            <w:r w:rsidR="00CD6294" w:rsidRPr="004C2A59">
              <w:rPr>
                <w:color w:val="000000"/>
                <w:sz w:val="22"/>
                <w:szCs w:val="22"/>
                <w:lang w:val="da-DK"/>
              </w:rPr>
              <w:t xml:space="preserve"> hypertension, </w:t>
            </w:r>
            <w:r w:rsidR="00E60059" w:rsidRPr="004C2A59">
              <w:rPr>
                <w:color w:val="000000"/>
                <w:sz w:val="22"/>
                <w:szCs w:val="22"/>
                <w:lang w:val="da-DK"/>
              </w:rPr>
              <w:t>pulmonal</w:t>
            </w:r>
            <w:r w:rsidR="007E0EB1" w:rsidRPr="004C2A59">
              <w:rPr>
                <w:color w:val="000000"/>
                <w:sz w:val="22"/>
                <w:szCs w:val="22"/>
                <w:lang w:val="da-DK"/>
              </w:rPr>
              <w:t xml:space="preserve"> blødning</w:t>
            </w:r>
          </w:p>
        </w:tc>
      </w:tr>
      <w:tr w:rsidR="00D13201" w:rsidRPr="004C2A59" w14:paraId="40E1BD8F" w14:textId="77777777" w:rsidTr="006C180B">
        <w:trPr>
          <w:cantSplit/>
        </w:trPr>
        <w:tc>
          <w:tcPr>
            <w:tcW w:w="2235" w:type="dxa"/>
          </w:tcPr>
          <w:p w14:paraId="02E483D2" w14:textId="77777777" w:rsidR="00D13201" w:rsidRPr="004C2A59" w:rsidRDefault="00D13201" w:rsidP="00421681">
            <w:pPr>
              <w:tabs>
                <w:tab w:val="left" w:pos="567"/>
              </w:tabs>
              <w:rPr>
                <w:i/>
                <w:color w:val="000000"/>
                <w:sz w:val="22"/>
                <w:szCs w:val="22"/>
                <w:lang w:val="da-DK"/>
              </w:rPr>
            </w:pPr>
            <w:r w:rsidRPr="004C2A59">
              <w:rPr>
                <w:i/>
                <w:color w:val="000000"/>
                <w:sz w:val="22"/>
                <w:szCs w:val="22"/>
                <w:lang w:val="da-DK"/>
              </w:rPr>
              <w:t>Ikke kendt:</w:t>
            </w:r>
          </w:p>
        </w:tc>
        <w:tc>
          <w:tcPr>
            <w:tcW w:w="7087" w:type="dxa"/>
          </w:tcPr>
          <w:p w14:paraId="13A1CA7C" w14:textId="77777777" w:rsidR="00D13201" w:rsidRPr="004C2A59" w:rsidRDefault="00D13201" w:rsidP="00421681">
            <w:pPr>
              <w:tabs>
                <w:tab w:val="left" w:pos="567"/>
              </w:tabs>
              <w:rPr>
                <w:color w:val="000000"/>
                <w:sz w:val="22"/>
                <w:szCs w:val="22"/>
                <w:lang w:val="da-DK"/>
              </w:rPr>
            </w:pPr>
            <w:r w:rsidRPr="004C2A59">
              <w:rPr>
                <w:color w:val="000000"/>
                <w:sz w:val="22"/>
                <w:szCs w:val="22"/>
                <w:lang w:val="da-DK"/>
              </w:rPr>
              <w:t>Akut respirationssvigt</w:t>
            </w:r>
            <w:r w:rsidR="00000C01">
              <w:rPr>
                <w:color w:val="000000"/>
                <w:sz w:val="22"/>
                <w:szCs w:val="22"/>
                <w:vertAlign w:val="superscript"/>
                <w:lang w:val="da-DK"/>
              </w:rPr>
              <w:t>11</w:t>
            </w:r>
            <w:r w:rsidRPr="004C2A59">
              <w:rPr>
                <w:color w:val="000000"/>
                <w:sz w:val="22"/>
                <w:szCs w:val="22"/>
                <w:lang w:val="da-DK"/>
              </w:rPr>
              <w:t xml:space="preserve">*, </w:t>
            </w:r>
            <w:r w:rsidRPr="004C2A59">
              <w:rPr>
                <w:color w:val="000000"/>
                <w:sz w:val="22"/>
                <w:szCs w:val="22"/>
              </w:rPr>
              <w:t>interstitiel lungesygdom</w:t>
            </w:r>
            <w:r w:rsidR="004A4D80" w:rsidRPr="004C2A59">
              <w:rPr>
                <w:color w:val="000000"/>
                <w:sz w:val="22"/>
                <w:szCs w:val="22"/>
              </w:rPr>
              <w:t>*</w:t>
            </w:r>
          </w:p>
        </w:tc>
      </w:tr>
      <w:tr w:rsidR="00CD6294" w:rsidRPr="004C2A59" w14:paraId="2731E69D" w14:textId="77777777" w:rsidTr="006C180B">
        <w:trPr>
          <w:cantSplit/>
        </w:trPr>
        <w:tc>
          <w:tcPr>
            <w:tcW w:w="9322" w:type="dxa"/>
            <w:gridSpan w:val="2"/>
          </w:tcPr>
          <w:p w14:paraId="2F31DE82" w14:textId="77777777" w:rsidR="00CD6294" w:rsidRPr="004C2A59" w:rsidRDefault="0098051A" w:rsidP="006C180B">
            <w:pPr>
              <w:keepNext/>
              <w:tabs>
                <w:tab w:val="left" w:pos="567"/>
              </w:tabs>
              <w:rPr>
                <w:color w:val="000000"/>
                <w:sz w:val="22"/>
                <w:szCs w:val="22"/>
                <w:lang w:val="da-DK"/>
              </w:rPr>
            </w:pPr>
            <w:r w:rsidRPr="004C2A59">
              <w:rPr>
                <w:b/>
                <w:color w:val="000000"/>
                <w:sz w:val="22"/>
                <w:szCs w:val="22"/>
                <w:lang w:val="da-DK"/>
              </w:rPr>
              <w:t>Mave-tarm</w:t>
            </w:r>
            <w:r w:rsidR="00C26D9F" w:rsidRPr="004C2A59">
              <w:rPr>
                <w:b/>
                <w:color w:val="000000"/>
                <w:sz w:val="22"/>
                <w:szCs w:val="22"/>
                <w:lang w:val="da-DK"/>
              </w:rPr>
              <w:t>-</w:t>
            </w:r>
            <w:r w:rsidRPr="004C2A59">
              <w:rPr>
                <w:b/>
                <w:color w:val="000000"/>
                <w:sz w:val="22"/>
                <w:szCs w:val="22"/>
                <w:lang w:val="da-DK"/>
              </w:rPr>
              <w:t>kanalen</w:t>
            </w:r>
          </w:p>
        </w:tc>
      </w:tr>
      <w:tr w:rsidR="00CD6294" w:rsidRPr="00F852D1" w14:paraId="5CEDE393" w14:textId="77777777" w:rsidTr="006C180B">
        <w:trPr>
          <w:cantSplit/>
        </w:trPr>
        <w:tc>
          <w:tcPr>
            <w:tcW w:w="2235" w:type="dxa"/>
          </w:tcPr>
          <w:p w14:paraId="4068D027"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Meget almindelig:</w:t>
            </w:r>
          </w:p>
        </w:tc>
        <w:tc>
          <w:tcPr>
            <w:tcW w:w="7087" w:type="dxa"/>
          </w:tcPr>
          <w:p w14:paraId="10064E13" w14:textId="77777777" w:rsidR="00CD6294" w:rsidRPr="00F852D1" w:rsidRDefault="007E0EB1" w:rsidP="006C180B">
            <w:pPr>
              <w:keepNext/>
              <w:tabs>
                <w:tab w:val="left" w:pos="567"/>
              </w:tabs>
              <w:rPr>
                <w:color w:val="000000"/>
                <w:sz w:val="22"/>
                <w:szCs w:val="22"/>
                <w:lang w:val="da-DK"/>
              </w:rPr>
            </w:pPr>
            <w:r w:rsidRPr="00F852D1">
              <w:rPr>
                <w:color w:val="000000"/>
                <w:sz w:val="22"/>
                <w:szCs w:val="22"/>
                <w:lang w:val="da-DK"/>
              </w:rPr>
              <w:t>Kvalme</w:t>
            </w:r>
            <w:r w:rsidR="00CD6294" w:rsidRPr="00F852D1">
              <w:rPr>
                <w:color w:val="000000"/>
                <w:sz w:val="22"/>
                <w:szCs w:val="22"/>
                <w:lang w:val="da-DK"/>
              </w:rPr>
              <w:t>, diarr</w:t>
            </w:r>
            <w:r w:rsidRPr="00F852D1">
              <w:rPr>
                <w:color w:val="000000"/>
                <w:sz w:val="22"/>
                <w:szCs w:val="22"/>
                <w:lang w:val="da-DK"/>
              </w:rPr>
              <w:t>é</w:t>
            </w:r>
            <w:r w:rsidR="00CD6294" w:rsidRPr="00F852D1">
              <w:rPr>
                <w:color w:val="000000"/>
                <w:sz w:val="22"/>
                <w:szCs w:val="22"/>
                <w:lang w:val="da-DK"/>
              </w:rPr>
              <w:t xml:space="preserve">, </w:t>
            </w:r>
            <w:r w:rsidRPr="00F852D1">
              <w:rPr>
                <w:color w:val="000000"/>
                <w:sz w:val="22"/>
                <w:szCs w:val="22"/>
                <w:lang w:val="da-DK"/>
              </w:rPr>
              <w:t>opkast, dyspepsi</w:t>
            </w:r>
            <w:r w:rsidR="00CD6294" w:rsidRPr="00F852D1">
              <w:rPr>
                <w:color w:val="000000"/>
                <w:sz w:val="22"/>
                <w:szCs w:val="22"/>
                <w:lang w:val="da-DK"/>
              </w:rPr>
              <w:t>, abdominal</w:t>
            </w:r>
            <w:r w:rsidRPr="00F852D1">
              <w:rPr>
                <w:color w:val="000000"/>
                <w:sz w:val="22"/>
                <w:szCs w:val="22"/>
                <w:lang w:val="da-DK"/>
              </w:rPr>
              <w:t>smerter</w:t>
            </w:r>
            <w:r w:rsidR="00102FCF" w:rsidRPr="00F852D1">
              <w:rPr>
                <w:color w:val="000000"/>
                <w:sz w:val="22"/>
                <w:szCs w:val="22"/>
                <w:vertAlign w:val="superscript"/>
                <w:lang w:val="da-DK"/>
              </w:rPr>
              <w:t>6</w:t>
            </w:r>
          </w:p>
        </w:tc>
      </w:tr>
      <w:tr w:rsidR="00CD6294" w:rsidRPr="00F852D1" w14:paraId="566672BD" w14:textId="77777777" w:rsidTr="006C180B">
        <w:trPr>
          <w:cantSplit/>
        </w:trPr>
        <w:tc>
          <w:tcPr>
            <w:tcW w:w="2235" w:type="dxa"/>
          </w:tcPr>
          <w:p w14:paraId="2D4072D8"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Almindelig:</w:t>
            </w:r>
          </w:p>
        </w:tc>
        <w:tc>
          <w:tcPr>
            <w:tcW w:w="7087" w:type="dxa"/>
          </w:tcPr>
          <w:p w14:paraId="1C828649" w14:textId="77777777" w:rsidR="00CD6294" w:rsidRPr="004C2A59" w:rsidRDefault="007E0EB1" w:rsidP="006C180B">
            <w:pPr>
              <w:keepNext/>
              <w:tabs>
                <w:tab w:val="left" w:pos="567"/>
              </w:tabs>
              <w:rPr>
                <w:color w:val="000000"/>
                <w:sz w:val="22"/>
                <w:szCs w:val="22"/>
                <w:lang w:val="da-DK"/>
              </w:rPr>
            </w:pPr>
            <w:r w:rsidRPr="004C2A59">
              <w:rPr>
                <w:color w:val="000000"/>
                <w:sz w:val="22"/>
                <w:szCs w:val="22"/>
                <w:lang w:val="da-DK"/>
              </w:rPr>
              <w:t>Flatulens</w:t>
            </w:r>
            <w:r w:rsidR="00CD6294" w:rsidRPr="004C2A59">
              <w:rPr>
                <w:color w:val="000000"/>
                <w:sz w:val="22"/>
                <w:szCs w:val="22"/>
                <w:lang w:val="da-DK"/>
              </w:rPr>
              <w:t xml:space="preserve">, abdominal </w:t>
            </w:r>
            <w:r w:rsidRPr="004C2A59">
              <w:rPr>
                <w:color w:val="000000"/>
                <w:sz w:val="22"/>
                <w:szCs w:val="22"/>
                <w:lang w:val="da-DK"/>
              </w:rPr>
              <w:t>udspilling</w:t>
            </w:r>
            <w:r w:rsidR="00CD6294" w:rsidRPr="004C2A59">
              <w:rPr>
                <w:color w:val="000000"/>
                <w:sz w:val="22"/>
                <w:szCs w:val="22"/>
                <w:lang w:val="da-DK"/>
              </w:rPr>
              <w:t>, gastrooesophageal reflu</w:t>
            </w:r>
            <w:r w:rsidRPr="004C2A59">
              <w:rPr>
                <w:color w:val="000000"/>
                <w:sz w:val="22"/>
                <w:szCs w:val="22"/>
                <w:lang w:val="da-DK"/>
              </w:rPr>
              <w:t>ks</w:t>
            </w:r>
            <w:r w:rsidR="00CD6294" w:rsidRPr="004C2A59">
              <w:rPr>
                <w:color w:val="000000"/>
                <w:sz w:val="22"/>
                <w:szCs w:val="22"/>
                <w:lang w:val="da-DK"/>
              </w:rPr>
              <w:t xml:space="preserve">, </w:t>
            </w:r>
            <w:r w:rsidRPr="004C2A59">
              <w:rPr>
                <w:color w:val="000000"/>
                <w:sz w:val="22"/>
                <w:szCs w:val="22"/>
                <w:lang w:val="da-DK"/>
              </w:rPr>
              <w:t>obstipation</w:t>
            </w:r>
            <w:r w:rsidR="00CD6294" w:rsidRPr="004C2A59">
              <w:rPr>
                <w:color w:val="000000"/>
                <w:sz w:val="22"/>
                <w:szCs w:val="22"/>
                <w:lang w:val="da-DK"/>
              </w:rPr>
              <w:t xml:space="preserve">, </w:t>
            </w:r>
            <w:r w:rsidRPr="004C2A59">
              <w:rPr>
                <w:color w:val="000000"/>
                <w:sz w:val="22"/>
                <w:szCs w:val="22"/>
                <w:lang w:val="da-DK"/>
              </w:rPr>
              <w:t>mundtørhed</w:t>
            </w:r>
            <w:r w:rsidR="00CD6294" w:rsidRPr="004C2A59">
              <w:rPr>
                <w:color w:val="000000"/>
                <w:sz w:val="22"/>
                <w:szCs w:val="22"/>
                <w:lang w:val="da-DK"/>
              </w:rPr>
              <w:t>, gastritis</w:t>
            </w:r>
          </w:p>
        </w:tc>
      </w:tr>
      <w:tr w:rsidR="00CD6294" w:rsidRPr="00F852D1" w14:paraId="20ADF631" w14:textId="77777777" w:rsidTr="006C180B">
        <w:trPr>
          <w:cantSplit/>
        </w:trPr>
        <w:tc>
          <w:tcPr>
            <w:tcW w:w="2235" w:type="dxa"/>
          </w:tcPr>
          <w:p w14:paraId="334C9CCB"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Ikke almindelig:</w:t>
            </w:r>
          </w:p>
        </w:tc>
        <w:tc>
          <w:tcPr>
            <w:tcW w:w="7087" w:type="dxa"/>
          </w:tcPr>
          <w:p w14:paraId="1D27F350" w14:textId="77777777" w:rsidR="00CD6294" w:rsidRPr="004C2A59" w:rsidRDefault="00CD6294" w:rsidP="006C180B">
            <w:pPr>
              <w:keepNext/>
              <w:tabs>
                <w:tab w:val="left" w:pos="567"/>
              </w:tabs>
              <w:rPr>
                <w:color w:val="000000"/>
                <w:sz w:val="22"/>
                <w:szCs w:val="22"/>
                <w:lang w:val="da-DK"/>
              </w:rPr>
            </w:pPr>
            <w:r w:rsidRPr="004C2A59">
              <w:rPr>
                <w:color w:val="000000"/>
                <w:sz w:val="22"/>
                <w:szCs w:val="22"/>
                <w:lang w:val="da-DK"/>
              </w:rPr>
              <w:t xml:space="preserve">Stomatitis, </w:t>
            </w:r>
            <w:r w:rsidR="007E0EB1" w:rsidRPr="004C2A59">
              <w:rPr>
                <w:color w:val="000000"/>
                <w:sz w:val="22"/>
                <w:szCs w:val="22"/>
                <w:lang w:val="da-DK"/>
              </w:rPr>
              <w:t>mund</w:t>
            </w:r>
            <w:r w:rsidRPr="004C2A59">
              <w:rPr>
                <w:color w:val="000000"/>
                <w:sz w:val="22"/>
                <w:szCs w:val="22"/>
                <w:lang w:val="da-DK"/>
              </w:rPr>
              <w:t>ulcera, gastrointestinal</w:t>
            </w:r>
            <w:r w:rsidR="007E0EB1" w:rsidRPr="004C2A59">
              <w:rPr>
                <w:color w:val="000000"/>
                <w:sz w:val="22"/>
                <w:szCs w:val="22"/>
                <w:lang w:val="da-DK"/>
              </w:rPr>
              <w:t>blødning</w:t>
            </w:r>
            <w:r w:rsidR="00102FCF" w:rsidRPr="004C2A59">
              <w:rPr>
                <w:color w:val="000000"/>
                <w:sz w:val="22"/>
                <w:szCs w:val="22"/>
                <w:vertAlign w:val="superscript"/>
                <w:lang w:val="da-DK"/>
              </w:rPr>
              <w:t>7</w:t>
            </w:r>
            <w:r w:rsidRPr="004C2A59">
              <w:rPr>
                <w:color w:val="000000"/>
                <w:sz w:val="22"/>
                <w:szCs w:val="22"/>
                <w:lang w:val="da-DK"/>
              </w:rPr>
              <w:t xml:space="preserve">, </w:t>
            </w:r>
            <w:r w:rsidR="00442EE5" w:rsidRPr="004C2A59">
              <w:rPr>
                <w:color w:val="000000"/>
                <w:sz w:val="22"/>
                <w:szCs w:val="22"/>
                <w:lang w:val="da-DK"/>
              </w:rPr>
              <w:t>sure opstød</w:t>
            </w:r>
            <w:r w:rsidRPr="004C2A59">
              <w:rPr>
                <w:color w:val="000000"/>
                <w:sz w:val="22"/>
                <w:szCs w:val="22"/>
                <w:lang w:val="da-DK"/>
              </w:rPr>
              <w:t>, mel</w:t>
            </w:r>
            <w:r w:rsidR="00442EE5" w:rsidRPr="004C2A59">
              <w:rPr>
                <w:color w:val="000000"/>
                <w:sz w:val="22"/>
                <w:szCs w:val="22"/>
                <w:lang w:val="da-DK"/>
              </w:rPr>
              <w:t>æ</w:t>
            </w:r>
            <w:r w:rsidRPr="004C2A59">
              <w:rPr>
                <w:color w:val="000000"/>
                <w:sz w:val="22"/>
                <w:szCs w:val="22"/>
                <w:lang w:val="da-DK"/>
              </w:rPr>
              <w:t xml:space="preserve">na, </w:t>
            </w:r>
            <w:r w:rsidR="00442EE5" w:rsidRPr="004C2A59">
              <w:rPr>
                <w:color w:val="000000"/>
                <w:sz w:val="22"/>
                <w:szCs w:val="22"/>
                <w:lang w:val="da-DK"/>
              </w:rPr>
              <w:t>betændelse i spiserøret</w:t>
            </w:r>
            <w:r w:rsidRPr="004C2A59">
              <w:rPr>
                <w:color w:val="000000"/>
                <w:sz w:val="22"/>
                <w:szCs w:val="22"/>
                <w:lang w:val="da-DK"/>
              </w:rPr>
              <w:t xml:space="preserve">, ascites, </w:t>
            </w:r>
            <w:r w:rsidR="00442EE5" w:rsidRPr="004C2A59">
              <w:rPr>
                <w:color w:val="000000"/>
                <w:sz w:val="22"/>
                <w:szCs w:val="22"/>
                <w:lang w:val="da-DK"/>
              </w:rPr>
              <w:t>mavesår</w:t>
            </w:r>
            <w:r w:rsidRPr="004C2A59">
              <w:rPr>
                <w:color w:val="000000"/>
                <w:sz w:val="22"/>
                <w:szCs w:val="22"/>
                <w:lang w:val="da-DK"/>
              </w:rPr>
              <w:t xml:space="preserve">, </w:t>
            </w:r>
            <w:r w:rsidR="00442EE5" w:rsidRPr="004C2A59">
              <w:rPr>
                <w:color w:val="000000"/>
                <w:sz w:val="22"/>
                <w:szCs w:val="22"/>
                <w:lang w:val="da-DK"/>
              </w:rPr>
              <w:t>hæmatemese, cheilitis, dysf</w:t>
            </w:r>
            <w:r w:rsidRPr="004C2A59">
              <w:rPr>
                <w:color w:val="000000"/>
                <w:sz w:val="22"/>
                <w:szCs w:val="22"/>
                <w:lang w:val="da-DK"/>
              </w:rPr>
              <w:t>agi</w:t>
            </w:r>
            <w:r w:rsidR="00442EE5" w:rsidRPr="004C2A59">
              <w:rPr>
                <w:color w:val="000000"/>
                <w:sz w:val="22"/>
                <w:szCs w:val="22"/>
                <w:lang w:val="da-DK"/>
              </w:rPr>
              <w:t>, pank</w:t>
            </w:r>
            <w:r w:rsidRPr="004C2A59">
              <w:rPr>
                <w:color w:val="000000"/>
                <w:sz w:val="22"/>
                <w:szCs w:val="22"/>
                <w:lang w:val="da-DK"/>
              </w:rPr>
              <w:t>reatitis</w:t>
            </w:r>
          </w:p>
        </w:tc>
      </w:tr>
      <w:tr w:rsidR="00CD6294" w:rsidRPr="004C2A59" w14:paraId="26573DA6" w14:textId="77777777" w:rsidTr="006C180B">
        <w:trPr>
          <w:cantSplit/>
        </w:trPr>
        <w:tc>
          <w:tcPr>
            <w:tcW w:w="2235" w:type="dxa"/>
          </w:tcPr>
          <w:p w14:paraId="4CCA7D22"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Sjælden:</w:t>
            </w:r>
          </w:p>
        </w:tc>
        <w:tc>
          <w:tcPr>
            <w:tcW w:w="7087" w:type="dxa"/>
          </w:tcPr>
          <w:p w14:paraId="0F2F5832" w14:textId="77777777" w:rsidR="00CD6294" w:rsidRPr="004C2A59" w:rsidRDefault="00CD6294" w:rsidP="006C180B">
            <w:pPr>
              <w:keepNext/>
              <w:tabs>
                <w:tab w:val="left" w:pos="567"/>
              </w:tabs>
              <w:rPr>
                <w:snapToGrid w:val="0"/>
                <w:color w:val="000000"/>
                <w:sz w:val="22"/>
                <w:szCs w:val="22"/>
              </w:rPr>
            </w:pPr>
            <w:r w:rsidRPr="004C2A59">
              <w:rPr>
                <w:color w:val="000000"/>
                <w:sz w:val="22"/>
                <w:szCs w:val="22"/>
              </w:rPr>
              <w:t xml:space="preserve">Colitis, </w:t>
            </w:r>
            <w:r w:rsidRPr="004C2A59">
              <w:rPr>
                <w:snapToGrid w:val="0"/>
                <w:color w:val="000000"/>
                <w:sz w:val="22"/>
                <w:szCs w:val="22"/>
              </w:rPr>
              <w:t>ileus, inflammator</w:t>
            </w:r>
            <w:r w:rsidR="00442EE5" w:rsidRPr="004C2A59">
              <w:rPr>
                <w:snapToGrid w:val="0"/>
                <w:color w:val="000000"/>
                <w:sz w:val="22"/>
                <w:szCs w:val="22"/>
              </w:rPr>
              <w:t>isk</w:t>
            </w:r>
            <w:r w:rsidRPr="004C2A59">
              <w:rPr>
                <w:snapToGrid w:val="0"/>
                <w:color w:val="000000"/>
                <w:sz w:val="22"/>
                <w:szCs w:val="22"/>
              </w:rPr>
              <w:t xml:space="preserve"> </w:t>
            </w:r>
            <w:r w:rsidR="00442EE5" w:rsidRPr="004C2A59">
              <w:rPr>
                <w:snapToGrid w:val="0"/>
                <w:color w:val="000000"/>
                <w:sz w:val="22"/>
                <w:szCs w:val="22"/>
              </w:rPr>
              <w:t>tarmsygdom</w:t>
            </w:r>
          </w:p>
        </w:tc>
      </w:tr>
      <w:tr w:rsidR="00D13201" w:rsidRPr="004C2A59" w14:paraId="212CD1F2" w14:textId="77777777" w:rsidTr="006C180B">
        <w:trPr>
          <w:cantSplit/>
        </w:trPr>
        <w:tc>
          <w:tcPr>
            <w:tcW w:w="2235" w:type="dxa"/>
          </w:tcPr>
          <w:p w14:paraId="7BE4C7B7" w14:textId="77777777" w:rsidR="00D13201" w:rsidRPr="004C2A59" w:rsidRDefault="00D13201" w:rsidP="00421681">
            <w:pPr>
              <w:tabs>
                <w:tab w:val="left" w:pos="567"/>
              </w:tabs>
              <w:rPr>
                <w:i/>
                <w:color w:val="000000"/>
                <w:sz w:val="22"/>
                <w:szCs w:val="22"/>
                <w:lang w:val="da-DK"/>
              </w:rPr>
            </w:pPr>
            <w:r w:rsidRPr="004C2A59">
              <w:rPr>
                <w:i/>
                <w:color w:val="000000"/>
                <w:sz w:val="22"/>
                <w:szCs w:val="22"/>
                <w:lang w:val="da-DK"/>
              </w:rPr>
              <w:t>Ikke kendt:</w:t>
            </w:r>
          </w:p>
        </w:tc>
        <w:tc>
          <w:tcPr>
            <w:tcW w:w="7087" w:type="dxa"/>
          </w:tcPr>
          <w:p w14:paraId="12CEC373" w14:textId="77777777" w:rsidR="00D13201" w:rsidRPr="004C2A59" w:rsidRDefault="00D13201" w:rsidP="00421681">
            <w:pPr>
              <w:tabs>
                <w:tab w:val="left" w:pos="567"/>
              </w:tabs>
              <w:rPr>
                <w:color w:val="000000"/>
                <w:sz w:val="22"/>
                <w:szCs w:val="22"/>
                <w:lang w:val="fr-FR"/>
              </w:rPr>
            </w:pPr>
            <w:r w:rsidRPr="004C2A59">
              <w:rPr>
                <w:color w:val="000000"/>
                <w:sz w:val="22"/>
                <w:szCs w:val="22"/>
                <w:lang w:val="fr-FR"/>
              </w:rPr>
              <w:t>Ileus/intestinal obstruktion</w:t>
            </w:r>
            <w:r w:rsidR="00353FC4" w:rsidRPr="004C2A59">
              <w:rPr>
                <w:color w:val="000000"/>
                <w:szCs w:val="22"/>
                <w:lang w:val="fr-FR"/>
              </w:rPr>
              <w:t>*</w:t>
            </w:r>
            <w:r w:rsidRPr="004C2A59">
              <w:rPr>
                <w:color w:val="000000"/>
                <w:sz w:val="22"/>
                <w:szCs w:val="22"/>
                <w:lang w:val="fr-FR"/>
              </w:rPr>
              <w:t xml:space="preserve">, gastrointestinal perforation*, diverticulitis*, </w:t>
            </w:r>
            <w:r w:rsidRPr="00ED22AB">
              <w:rPr>
                <w:i/>
                <w:snapToGrid w:val="0"/>
                <w:color w:val="000000"/>
                <w:sz w:val="22"/>
                <w:szCs w:val="22"/>
              </w:rPr>
              <w:t>gastric antral vascular ectasia</w:t>
            </w:r>
            <w:r w:rsidRPr="004C2A59">
              <w:rPr>
                <w:snapToGrid w:val="0"/>
                <w:color w:val="000000"/>
                <w:sz w:val="22"/>
                <w:szCs w:val="22"/>
              </w:rPr>
              <w:t xml:space="preserve"> (GAVE)*</w:t>
            </w:r>
          </w:p>
        </w:tc>
      </w:tr>
      <w:tr w:rsidR="00553BF4" w:rsidRPr="004C2A59" w14:paraId="52C1B9DA" w14:textId="77777777" w:rsidTr="006C180B">
        <w:trPr>
          <w:cantSplit/>
        </w:trPr>
        <w:tc>
          <w:tcPr>
            <w:tcW w:w="9322" w:type="dxa"/>
            <w:gridSpan w:val="2"/>
          </w:tcPr>
          <w:p w14:paraId="4F7EE91C" w14:textId="77777777" w:rsidR="00553BF4" w:rsidRPr="004C2A59" w:rsidRDefault="00553BF4" w:rsidP="006C180B">
            <w:pPr>
              <w:keepNext/>
              <w:tabs>
                <w:tab w:val="left" w:pos="567"/>
              </w:tabs>
              <w:rPr>
                <w:snapToGrid w:val="0"/>
                <w:color w:val="000000"/>
                <w:sz w:val="22"/>
                <w:szCs w:val="22"/>
                <w:lang w:val="da-DK"/>
              </w:rPr>
            </w:pPr>
            <w:r w:rsidRPr="004C2A59">
              <w:rPr>
                <w:b/>
                <w:color w:val="000000"/>
                <w:sz w:val="22"/>
                <w:szCs w:val="22"/>
                <w:lang w:val="da-DK"/>
              </w:rPr>
              <w:t>Lever og galdevej</w:t>
            </w:r>
            <w:r w:rsidR="001F2D96" w:rsidRPr="004C2A59">
              <w:rPr>
                <w:b/>
                <w:color w:val="000000"/>
                <w:sz w:val="22"/>
                <w:szCs w:val="22"/>
                <w:lang w:val="da-DK"/>
              </w:rPr>
              <w:t>e</w:t>
            </w:r>
          </w:p>
        </w:tc>
      </w:tr>
      <w:tr w:rsidR="00553BF4" w:rsidRPr="004C2A59" w14:paraId="54E600A9" w14:textId="77777777" w:rsidTr="006C180B">
        <w:trPr>
          <w:cantSplit/>
        </w:trPr>
        <w:tc>
          <w:tcPr>
            <w:tcW w:w="2235" w:type="dxa"/>
          </w:tcPr>
          <w:p w14:paraId="6D03C280" w14:textId="77777777" w:rsidR="00553BF4" w:rsidRPr="004C2A59" w:rsidRDefault="00553BF4" w:rsidP="006C180B">
            <w:pPr>
              <w:keepNext/>
              <w:tabs>
                <w:tab w:val="left" w:pos="567"/>
              </w:tabs>
              <w:rPr>
                <w:i/>
                <w:color w:val="000000"/>
                <w:sz w:val="22"/>
                <w:szCs w:val="22"/>
                <w:lang w:val="da-DK"/>
              </w:rPr>
            </w:pPr>
            <w:r w:rsidRPr="004C2A59">
              <w:rPr>
                <w:i/>
                <w:color w:val="000000"/>
                <w:sz w:val="22"/>
                <w:szCs w:val="22"/>
                <w:lang w:val="da-DK"/>
              </w:rPr>
              <w:t>Almindelig:</w:t>
            </w:r>
          </w:p>
        </w:tc>
        <w:tc>
          <w:tcPr>
            <w:tcW w:w="7087" w:type="dxa"/>
          </w:tcPr>
          <w:p w14:paraId="44498E54" w14:textId="77777777" w:rsidR="00553BF4" w:rsidRPr="004C2A59" w:rsidRDefault="00553BF4" w:rsidP="006C180B">
            <w:pPr>
              <w:keepNext/>
              <w:tabs>
                <w:tab w:val="left" w:pos="567"/>
              </w:tabs>
              <w:rPr>
                <w:color w:val="000000"/>
                <w:sz w:val="22"/>
                <w:szCs w:val="22"/>
                <w:lang w:val="da-DK"/>
              </w:rPr>
            </w:pPr>
            <w:r w:rsidRPr="004C2A59">
              <w:rPr>
                <w:color w:val="000000"/>
                <w:sz w:val="22"/>
                <w:szCs w:val="22"/>
                <w:lang w:val="da-DK"/>
              </w:rPr>
              <w:t>Forhøjede leverenzymer</w:t>
            </w:r>
          </w:p>
        </w:tc>
      </w:tr>
      <w:tr w:rsidR="00553BF4" w:rsidRPr="004C2A59" w14:paraId="39FBA3F8" w14:textId="77777777" w:rsidTr="006C180B">
        <w:trPr>
          <w:cantSplit/>
        </w:trPr>
        <w:tc>
          <w:tcPr>
            <w:tcW w:w="2235" w:type="dxa"/>
          </w:tcPr>
          <w:p w14:paraId="16B42C90" w14:textId="77777777" w:rsidR="00553BF4" w:rsidRPr="004C2A59" w:rsidRDefault="00553BF4" w:rsidP="006C180B">
            <w:pPr>
              <w:keepNext/>
              <w:tabs>
                <w:tab w:val="left" w:pos="567"/>
              </w:tabs>
              <w:rPr>
                <w:i/>
                <w:color w:val="000000"/>
                <w:sz w:val="22"/>
                <w:szCs w:val="22"/>
                <w:lang w:val="da-DK"/>
              </w:rPr>
            </w:pPr>
            <w:r w:rsidRPr="004C2A59">
              <w:rPr>
                <w:i/>
                <w:color w:val="000000"/>
                <w:sz w:val="22"/>
                <w:szCs w:val="22"/>
                <w:lang w:val="da-DK"/>
              </w:rPr>
              <w:t>Ikke almindelig:</w:t>
            </w:r>
          </w:p>
        </w:tc>
        <w:tc>
          <w:tcPr>
            <w:tcW w:w="7087" w:type="dxa"/>
          </w:tcPr>
          <w:p w14:paraId="191E49A3" w14:textId="77777777" w:rsidR="00553BF4" w:rsidRPr="004C2A59" w:rsidRDefault="00553BF4" w:rsidP="006C180B">
            <w:pPr>
              <w:keepNext/>
              <w:tabs>
                <w:tab w:val="left" w:pos="567"/>
              </w:tabs>
              <w:rPr>
                <w:color w:val="000000"/>
                <w:sz w:val="22"/>
                <w:szCs w:val="22"/>
                <w:lang w:val="da-DK"/>
              </w:rPr>
            </w:pPr>
            <w:r w:rsidRPr="004C2A59">
              <w:rPr>
                <w:color w:val="000000"/>
                <w:sz w:val="22"/>
                <w:szCs w:val="22"/>
                <w:lang w:val="da-DK"/>
              </w:rPr>
              <w:t>Hyperbilirubinæmi, hepatitis, gulsot</w:t>
            </w:r>
          </w:p>
        </w:tc>
      </w:tr>
      <w:tr w:rsidR="00553BF4" w:rsidRPr="004C2A59" w14:paraId="22918B65" w14:textId="77777777" w:rsidTr="006C180B">
        <w:trPr>
          <w:cantSplit/>
        </w:trPr>
        <w:tc>
          <w:tcPr>
            <w:tcW w:w="2235" w:type="dxa"/>
          </w:tcPr>
          <w:p w14:paraId="05CE2BF3" w14:textId="77777777" w:rsidR="00553BF4" w:rsidRPr="004C2A59" w:rsidRDefault="00553BF4" w:rsidP="00421681">
            <w:pPr>
              <w:tabs>
                <w:tab w:val="left" w:pos="567"/>
              </w:tabs>
              <w:rPr>
                <w:i/>
                <w:color w:val="000000"/>
                <w:sz w:val="22"/>
                <w:szCs w:val="22"/>
                <w:lang w:val="da-DK"/>
              </w:rPr>
            </w:pPr>
            <w:r w:rsidRPr="004C2A59">
              <w:rPr>
                <w:i/>
                <w:color w:val="000000"/>
                <w:sz w:val="22"/>
                <w:szCs w:val="22"/>
                <w:lang w:val="da-DK"/>
              </w:rPr>
              <w:t>Sjælden:</w:t>
            </w:r>
          </w:p>
        </w:tc>
        <w:tc>
          <w:tcPr>
            <w:tcW w:w="7087" w:type="dxa"/>
          </w:tcPr>
          <w:p w14:paraId="5178CE5C" w14:textId="77777777" w:rsidR="00553BF4" w:rsidRPr="004C2A59" w:rsidRDefault="00553BF4" w:rsidP="00421681">
            <w:pPr>
              <w:tabs>
                <w:tab w:val="left" w:pos="567"/>
              </w:tabs>
              <w:rPr>
                <w:color w:val="000000"/>
                <w:sz w:val="22"/>
                <w:szCs w:val="22"/>
                <w:lang w:val="da-DK"/>
              </w:rPr>
            </w:pPr>
            <w:r w:rsidRPr="004C2A59">
              <w:rPr>
                <w:color w:val="000000"/>
                <w:sz w:val="22"/>
                <w:szCs w:val="22"/>
                <w:lang w:val="da-DK"/>
              </w:rPr>
              <w:t>Leversvigt</w:t>
            </w:r>
            <w:r w:rsidR="00102FCF" w:rsidRPr="004C2A59">
              <w:rPr>
                <w:color w:val="000000"/>
                <w:sz w:val="22"/>
                <w:szCs w:val="22"/>
                <w:vertAlign w:val="superscript"/>
                <w:lang w:val="da-DK"/>
              </w:rPr>
              <w:t>8</w:t>
            </w:r>
            <w:r w:rsidRPr="004C2A59">
              <w:rPr>
                <w:color w:val="000000"/>
                <w:sz w:val="22"/>
                <w:szCs w:val="22"/>
                <w:lang w:val="da-DK"/>
              </w:rPr>
              <w:t>, levernekrose</w:t>
            </w:r>
          </w:p>
        </w:tc>
      </w:tr>
      <w:tr w:rsidR="00CD6294" w:rsidRPr="004C2A59" w14:paraId="67205305" w14:textId="77777777" w:rsidTr="006C180B">
        <w:trPr>
          <w:cantSplit/>
        </w:trPr>
        <w:tc>
          <w:tcPr>
            <w:tcW w:w="9322" w:type="dxa"/>
            <w:gridSpan w:val="2"/>
          </w:tcPr>
          <w:p w14:paraId="449D71B7" w14:textId="77777777" w:rsidR="00CD6294" w:rsidRPr="004C2A59" w:rsidRDefault="0098051A" w:rsidP="006C180B">
            <w:pPr>
              <w:keepNext/>
              <w:tabs>
                <w:tab w:val="left" w:pos="567"/>
              </w:tabs>
              <w:rPr>
                <w:color w:val="000000"/>
                <w:sz w:val="22"/>
                <w:szCs w:val="22"/>
              </w:rPr>
            </w:pPr>
            <w:r w:rsidRPr="004C2A59">
              <w:rPr>
                <w:b/>
                <w:color w:val="000000"/>
                <w:sz w:val="22"/>
                <w:szCs w:val="22"/>
              </w:rPr>
              <w:t>Hud og subkutane væv</w:t>
            </w:r>
          </w:p>
        </w:tc>
      </w:tr>
      <w:tr w:rsidR="00CD6294" w:rsidRPr="00F852D1" w14:paraId="124BAB65" w14:textId="77777777" w:rsidTr="006C180B">
        <w:trPr>
          <w:cantSplit/>
        </w:trPr>
        <w:tc>
          <w:tcPr>
            <w:tcW w:w="2235" w:type="dxa"/>
          </w:tcPr>
          <w:p w14:paraId="5E1DC2FA"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Meget almindelig:</w:t>
            </w:r>
          </w:p>
        </w:tc>
        <w:tc>
          <w:tcPr>
            <w:tcW w:w="7087" w:type="dxa"/>
          </w:tcPr>
          <w:p w14:paraId="36CDDAB2" w14:textId="77777777" w:rsidR="00CD6294" w:rsidRPr="004C2A59" w:rsidRDefault="00CD6294" w:rsidP="006C180B">
            <w:pPr>
              <w:keepNext/>
              <w:tabs>
                <w:tab w:val="left" w:pos="567"/>
              </w:tabs>
              <w:rPr>
                <w:color w:val="000000"/>
                <w:sz w:val="22"/>
                <w:szCs w:val="22"/>
                <w:lang w:val="da-DK"/>
              </w:rPr>
            </w:pPr>
            <w:r w:rsidRPr="004C2A59">
              <w:rPr>
                <w:color w:val="000000"/>
                <w:sz w:val="22"/>
                <w:szCs w:val="22"/>
                <w:lang w:val="da-DK"/>
              </w:rPr>
              <w:t>Periorbital</w:t>
            </w:r>
            <w:r w:rsidR="003E1EF1" w:rsidRPr="004C2A59">
              <w:rPr>
                <w:color w:val="000000"/>
                <w:sz w:val="22"/>
                <w:szCs w:val="22"/>
                <w:lang w:val="da-DK"/>
              </w:rPr>
              <w:t>t ø</w:t>
            </w:r>
            <w:r w:rsidRPr="004C2A59">
              <w:rPr>
                <w:color w:val="000000"/>
                <w:sz w:val="22"/>
                <w:szCs w:val="22"/>
                <w:lang w:val="da-DK"/>
              </w:rPr>
              <w:t>dem, dermatitis/e</w:t>
            </w:r>
            <w:r w:rsidR="003E1EF1" w:rsidRPr="004C2A59">
              <w:rPr>
                <w:color w:val="000000"/>
                <w:sz w:val="22"/>
                <w:szCs w:val="22"/>
                <w:lang w:val="da-DK"/>
              </w:rPr>
              <w:t>ksem</w:t>
            </w:r>
            <w:r w:rsidRPr="004C2A59">
              <w:rPr>
                <w:color w:val="000000"/>
                <w:sz w:val="22"/>
                <w:szCs w:val="22"/>
                <w:lang w:val="da-DK"/>
              </w:rPr>
              <w:t>/</w:t>
            </w:r>
            <w:r w:rsidR="003E1EF1" w:rsidRPr="004C2A59">
              <w:rPr>
                <w:color w:val="000000"/>
                <w:sz w:val="22"/>
                <w:szCs w:val="22"/>
                <w:lang w:val="da-DK"/>
              </w:rPr>
              <w:t>udslæt</w:t>
            </w:r>
          </w:p>
        </w:tc>
      </w:tr>
      <w:tr w:rsidR="00CD6294" w:rsidRPr="00F852D1" w14:paraId="36F4CAC9" w14:textId="77777777" w:rsidTr="006C180B">
        <w:trPr>
          <w:cantSplit/>
        </w:trPr>
        <w:tc>
          <w:tcPr>
            <w:tcW w:w="2235" w:type="dxa"/>
          </w:tcPr>
          <w:p w14:paraId="7BFAF52A"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Almindelig:</w:t>
            </w:r>
          </w:p>
        </w:tc>
        <w:tc>
          <w:tcPr>
            <w:tcW w:w="7087" w:type="dxa"/>
          </w:tcPr>
          <w:p w14:paraId="659C444A" w14:textId="77777777" w:rsidR="00CD6294" w:rsidRPr="004C2A59" w:rsidRDefault="00CD6294" w:rsidP="006C180B">
            <w:pPr>
              <w:keepNext/>
              <w:tabs>
                <w:tab w:val="left" w:pos="567"/>
              </w:tabs>
              <w:rPr>
                <w:color w:val="000000"/>
                <w:sz w:val="22"/>
                <w:szCs w:val="22"/>
                <w:lang w:val="da-DK"/>
              </w:rPr>
            </w:pPr>
            <w:r w:rsidRPr="004C2A59">
              <w:rPr>
                <w:color w:val="000000"/>
                <w:sz w:val="22"/>
                <w:szCs w:val="22"/>
                <w:lang w:val="da-DK"/>
              </w:rPr>
              <w:t xml:space="preserve">Pruritus, </w:t>
            </w:r>
            <w:r w:rsidR="003E1EF1" w:rsidRPr="004C2A59">
              <w:rPr>
                <w:color w:val="000000"/>
                <w:sz w:val="22"/>
                <w:szCs w:val="22"/>
                <w:lang w:val="da-DK"/>
              </w:rPr>
              <w:t>ansigtsødem</w:t>
            </w:r>
            <w:r w:rsidRPr="004C2A59">
              <w:rPr>
                <w:color w:val="000000"/>
                <w:sz w:val="22"/>
                <w:szCs w:val="22"/>
                <w:lang w:val="da-DK"/>
              </w:rPr>
              <w:t xml:space="preserve">, </w:t>
            </w:r>
            <w:r w:rsidR="003E1EF1" w:rsidRPr="004C2A59">
              <w:rPr>
                <w:color w:val="000000"/>
                <w:sz w:val="22"/>
                <w:szCs w:val="22"/>
                <w:lang w:val="da-DK"/>
              </w:rPr>
              <w:t>tør hud</w:t>
            </w:r>
            <w:r w:rsidRPr="004C2A59">
              <w:rPr>
                <w:color w:val="000000"/>
                <w:sz w:val="22"/>
                <w:szCs w:val="22"/>
                <w:lang w:val="da-DK"/>
              </w:rPr>
              <w:t xml:space="preserve">, erythem, alopeci, </w:t>
            </w:r>
            <w:r w:rsidR="003E1EF1" w:rsidRPr="004C2A59">
              <w:rPr>
                <w:color w:val="000000"/>
                <w:sz w:val="22"/>
                <w:szCs w:val="22"/>
                <w:lang w:val="da-DK"/>
              </w:rPr>
              <w:t>natlig svedtendens</w:t>
            </w:r>
            <w:r w:rsidRPr="004C2A59">
              <w:rPr>
                <w:color w:val="000000"/>
                <w:sz w:val="22"/>
                <w:szCs w:val="22"/>
                <w:lang w:val="da-DK"/>
              </w:rPr>
              <w:t xml:space="preserve">, </w:t>
            </w:r>
            <w:r w:rsidR="003E1EF1" w:rsidRPr="004C2A59">
              <w:rPr>
                <w:color w:val="000000"/>
                <w:sz w:val="22"/>
                <w:szCs w:val="22"/>
                <w:lang w:val="da-DK"/>
              </w:rPr>
              <w:t>lysoverfølsomhedsreaktion</w:t>
            </w:r>
          </w:p>
        </w:tc>
      </w:tr>
      <w:tr w:rsidR="00CD6294" w:rsidRPr="00F852D1" w14:paraId="058F2239" w14:textId="77777777" w:rsidTr="006C180B">
        <w:trPr>
          <w:cantSplit/>
        </w:trPr>
        <w:tc>
          <w:tcPr>
            <w:tcW w:w="2235" w:type="dxa"/>
          </w:tcPr>
          <w:p w14:paraId="68145D2E"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Ikke almindelig:</w:t>
            </w:r>
          </w:p>
        </w:tc>
        <w:tc>
          <w:tcPr>
            <w:tcW w:w="7087" w:type="dxa"/>
          </w:tcPr>
          <w:p w14:paraId="70479795" w14:textId="77777777" w:rsidR="00CD6294" w:rsidRPr="004C2A59" w:rsidRDefault="003E1EF1" w:rsidP="006C180B">
            <w:pPr>
              <w:keepNext/>
              <w:tabs>
                <w:tab w:val="left" w:pos="567"/>
              </w:tabs>
              <w:rPr>
                <w:color w:val="000000"/>
                <w:sz w:val="22"/>
                <w:szCs w:val="22"/>
                <w:lang w:val="da-DK"/>
              </w:rPr>
            </w:pPr>
            <w:r w:rsidRPr="004C2A59">
              <w:rPr>
                <w:color w:val="000000"/>
                <w:sz w:val="22"/>
                <w:szCs w:val="22"/>
                <w:lang w:val="da-DK"/>
              </w:rPr>
              <w:t>Pustuløst udslæt</w:t>
            </w:r>
            <w:r w:rsidR="00CD6294" w:rsidRPr="004C2A59">
              <w:rPr>
                <w:color w:val="000000"/>
                <w:sz w:val="22"/>
                <w:szCs w:val="22"/>
                <w:lang w:val="da-DK"/>
              </w:rPr>
              <w:t xml:space="preserve">, </w:t>
            </w:r>
            <w:r w:rsidRPr="004C2A59">
              <w:rPr>
                <w:color w:val="000000"/>
                <w:sz w:val="22"/>
                <w:szCs w:val="22"/>
                <w:lang w:val="da-DK"/>
              </w:rPr>
              <w:t>k</w:t>
            </w:r>
            <w:r w:rsidR="00CD6294" w:rsidRPr="004C2A59">
              <w:rPr>
                <w:color w:val="000000"/>
                <w:sz w:val="22"/>
                <w:szCs w:val="22"/>
                <w:lang w:val="da-DK"/>
              </w:rPr>
              <w:t xml:space="preserve">ontusion, </w:t>
            </w:r>
            <w:r w:rsidRPr="004C2A59">
              <w:rPr>
                <w:color w:val="000000"/>
                <w:sz w:val="22"/>
                <w:szCs w:val="22"/>
                <w:lang w:val="da-DK"/>
              </w:rPr>
              <w:t>øget svedtendens</w:t>
            </w:r>
            <w:r w:rsidR="00CD6294" w:rsidRPr="004C2A59">
              <w:rPr>
                <w:color w:val="000000"/>
                <w:sz w:val="22"/>
                <w:szCs w:val="22"/>
                <w:lang w:val="da-DK"/>
              </w:rPr>
              <w:t>, urticaria, ecchymos</w:t>
            </w:r>
            <w:r w:rsidRPr="004C2A59">
              <w:rPr>
                <w:color w:val="000000"/>
                <w:sz w:val="22"/>
                <w:szCs w:val="22"/>
                <w:lang w:val="da-DK"/>
              </w:rPr>
              <w:t>e</w:t>
            </w:r>
            <w:r w:rsidR="00CD6294" w:rsidRPr="004C2A59">
              <w:rPr>
                <w:color w:val="000000"/>
                <w:sz w:val="22"/>
                <w:szCs w:val="22"/>
                <w:lang w:val="da-DK"/>
              </w:rPr>
              <w:t xml:space="preserve">, </w:t>
            </w:r>
            <w:r w:rsidRPr="004C2A59">
              <w:rPr>
                <w:color w:val="000000"/>
                <w:sz w:val="22"/>
                <w:szCs w:val="22"/>
                <w:lang w:val="da-DK"/>
              </w:rPr>
              <w:t>let til knubs og mærker</w:t>
            </w:r>
            <w:r w:rsidR="00CD6294" w:rsidRPr="004C2A59">
              <w:rPr>
                <w:color w:val="000000"/>
                <w:sz w:val="22"/>
                <w:szCs w:val="22"/>
                <w:lang w:val="da-DK"/>
              </w:rPr>
              <w:t>, hypotrichosis, hypopigment</w:t>
            </w:r>
            <w:r w:rsidRPr="004C2A59">
              <w:rPr>
                <w:color w:val="000000"/>
                <w:sz w:val="22"/>
                <w:szCs w:val="22"/>
                <w:lang w:val="da-DK"/>
              </w:rPr>
              <w:t>ering af huden</w:t>
            </w:r>
            <w:r w:rsidR="00CD6294" w:rsidRPr="004C2A59">
              <w:rPr>
                <w:color w:val="000000"/>
                <w:sz w:val="22"/>
                <w:szCs w:val="22"/>
                <w:lang w:val="da-DK"/>
              </w:rPr>
              <w:t>, dermatitis exfoliativ</w:t>
            </w:r>
            <w:r w:rsidRPr="004C2A59">
              <w:rPr>
                <w:color w:val="000000"/>
                <w:sz w:val="22"/>
                <w:szCs w:val="22"/>
                <w:lang w:val="da-DK"/>
              </w:rPr>
              <w:t>a</w:t>
            </w:r>
            <w:r w:rsidR="00CD6294" w:rsidRPr="004C2A59">
              <w:rPr>
                <w:color w:val="000000"/>
                <w:sz w:val="22"/>
                <w:szCs w:val="22"/>
                <w:lang w:val="da-DK"/>
              </w:rPr>
              <w:t>, onychoclasi, folliculitis, petechi</w:t>
            </w:r>
            <w:r w:rsidRPr="004C2A59">
              <w:rPr>
                <w:color w:val="000000"/>
                <w:sz w:val="22"/>
                <w:szCs w:val="22"/>
                <w:lang w:val="da-DK"/>
              </w:rPr>
              <w:t>er</w:t>
            </w:r>
            <w:r w:rsidR="00CD6294" w:rsidRPr="004C2A59">
              <w:rPr>
                <w:color w:val="000000"/>
                <w:sz w:val="22"/>
                <w:szCs w:val="22"/>
                <w:lang w:val="da-DK"/>
              </w:rPr>
              <w:t>, psoriasis, purpura, hyperpigment</w:t>
            </w:r>
            <w:r w:rsidRPr="004C2A59">
              <w:rPr>
                <w:color w:val="000000"/>
                <w:sz w:val="22"/>
                <w:szCs w:val="22"/>
                <w:lang w:val="da-DK"/>
              </w:rPr>
              <w:t>ering af huden</w:t>
            </w:r>
            <w:r w:rsidR="00CD6294" w:rsidRPr="004C2A59">
              <w:rPr>
                <w:color w:val="000000"/>
                <w:sz w:val="22"/>
                <w:szCs w:val="22"/>
                <w:lang w:val="da-DK"/>
              </w:rPr>
              <w:t xml:space="preserve">, </w:t>
            </w:r>
            <w:r w:rsidR="000C2D70" w:rsidRPr="004C2A59">
              <w:rPr>
                <w:color w:val="000000"/>
                <w:sz w:val="22"/>
                <w:szCs w:val="22"/>
                <w:lang w:val="da-DK"/>
              </w:rPr>
              <w:t>bulløst udslæt</w:t>
            </w:r>
          </w:p>
        </w:tc>
      </w:tr>
      <w:tr w:rsidR="00CD6294" w:rsidRPr="00F852D1" w14:paraId="0CD7BCC8" w14:textId="77777777" w:rsidTr="006C180B">
        <w:trPr>
          <w:cantSplit/>
        </w:trPr>
        <w:tc>
          <w:tcPr>
            <w:tcW w:w="2235" w:type="dxa"/>
          </w:tcPr>
          <w:p w14:paraId="5F20982E" w14:textId="77777777" w:rsidR="00CD6294" w:rsidRPr="004C2A59" w:rsidRDefault="00CD6294" w:rsidP="006C180B">
            <w:pPr>
              <w:keepNext/>
              <w:tabs>
                <w:tab w:val="left" w:pos="567"/>
              </w:tabs>
              <w:rPr>
                <w:color w:val="000000"/>
                <w:sz w:val="22"/>
                <w:szCs w:val="22"/>
                <w:lang w:val="da-DK"/>
              </w:rPr>
            </w:pPr>
            <w:r w:rsidRPr="004C2A59">
              <w:rPr>
                <w:i/>
                <w:color w:val="000000"/>
                <w:sz w:val="22"/>
                <w:szCs w:val="22"/>
                <w:lang w:val="da-DK"/>
              </w:rPr>
              <w:t>Sjælden:</w:t>
            </w:r>
          </w:p>
        </w:tc>
        <w:tc>
          <w:tcPr>
            <w:tcW w:w="7087" w:type="dxa"/>
          </w:tcPr>
          <w:p w14:paraId="007B14C0" w14:textId="77777777" w:rsidR="00CD6294" w:rsidRPr="004C2A59" w:rsidRDefault="000C2D70" w:rsidP="006C180B">
            <w:pPr>
              <w:keepNext/>
              <w:tabs>
                <w:tab w:val="left" w:pos="567"/>
              </w:tabs>
              <w:rPr>
                <w:color w:val="000000"/>
                <w:sz w:val="22"/>
                <w:szCs w:val="22"/>
                <w:lang w:val="da-DK"/>
              </w:rPr>
            </w:pPr>
            <w:r w:rsidRPr="004C2A59">
              <w:rPr>
                <w:color w:val="000000"/>
                <w:sz w:val="22"/>
                <w:szCs w:val="22"/>
                <w:lang w:val="da-DK"/>
              </w:rPr>
              <w:t xml:space="preserve">Akut febril neutrofil dermatose </w:t>
            </w:r>
            <w:r w:rsidR="00CD6294" w:rsidRPr="004C2A59">
              <w:rPr>
                <w:color w:val="000000"/>
                <w:sz w:val="22"/>
                <w:szCs w:val="22"/>
                <w:lang w:val="da-DK"/>
              </w:rPr>
              <w:t xml:space="preserve">(Sweets syndrom), </w:t>
            </w:r>
            <w:r w:rsidRPr="004C2A59">
              <w:rPr>
                <w:color w:val="000000"/>
                <w:sz w:val="22"/>
                <w:szCs w:val="22"/>
                <w:lang w:val="da-DK"/>
              </w:rPr>
              <w:t>misfarvning af negle</w:t>
            </w:r>
            <w:r w:rsidR="00CD6294" w:rsidRPr="004C2A59">
              <w:rPr>
                <w:color w:val="000000"/>
                <w:sz w:val="22"/>
                <w:szCs w:val="22"/>
                <w:lang w:val="da-DK"/>
              </w:rPr>
              <w:t xml:space="preserve">, </w:t>
            </w:r>
            <w:r w:rsidRPr="004C2A59">
              <w:rPr>
                <w:color w:val="000000"/>
                <w:sz w:val="22"/>
                <w:szCs w:val="22"/>
                <w:lang w:val="da-DK"/>
              </w:rPr>
              <w:t>angioødem</w:t>
            </w:r>
            <w:r w:rsidR="00CD6294" w:rsidRPr="004C2A59">
              <w:rPr>
                <w:color w:val="000000"/>
                <w:sz w:val="22"/>
                <w:szCs w:val="22"/>
                <w:lang w:val="da-DK"/>
              </w:rPr>
              <w:t xml:space="preserve">, </w:t>
            </w:r>
            <w:r w:rsidRPr="004C2A59">
              <w:rPr>
                <w:color w:val="000000"/>
                <w:sz w:val="22"/>
                <w:szCs w:val="22"/>
                <w:lang w:val="da-DK"/>
              </w:rPr>
              <w:t>vesikulært udslæt</w:t>
            </w:r>
            <w:r w:rsidR="00CD6294" w:rsidRPr="004C2A59">
              <w:rPr>
                <w:color w:val="000000"/>
                <w:sz w:val="22"/>
                <w:szCs w:val="22"/>
                <w:lang w:val="da-DK"/>
              </w:rPr>
              <w:t>, erythema multi</w:t>
            </w:r>
            <w:r w:rsidR="00641BA0" w:rsidRPr="004C2A59">
              <w:rPr>
                <w:color w:val="000000"/>
                <w:sz w:val="22"/>
                <w:szCs w:val="22"/>
                <w:lang w:val="da-DK"/>
              </w:rPr>
              <w:t>forme, leukocytok</w:t>
            </w:r>
            <w:r w:rsidR="00CD6294" w:rsidRPr="004C2A59">
              <w:rPr>
                <w:color w:val="000000"/>
                <w:sz w:val="22"/>
                <w:szCs w:val="22"/>
                <w:lang w:val="da-DK"/>
              </w:rPr>
              <w:t>lasti</w:t>
            </w:r>
            <w:r w:rsidR="00641BA0" w:rsidRPr="004C2A59">
              <w:rPr>
                <w:color w:val="000000"/>
                <w:sz w:val="22"/>
                <w:szCs w:val="22"/>
                <w:lang w:val="da-DK"/>
              </w:rPr>
              <w:t>sk</w:t>
            </w:r>
            <w:r w:rsidR="00CD6294" w:rsidRPr="004C2A59">
              <w:rPr>
                <w:color w:val="000000"/>
                <w:sz w:val="22"/>
                <w:szCs w:val="22"/>
                <w:lang w:val="da-DK"/>
              </w:rPr>
              <w:t xml:space="preserve"> vasculitis, Stevens-Johnson syndrom</w:t>
            </w:r>
            <w:r w:rsidR="00A1040A" w:rsidRPr="004C2A59">
              <w:rPr>
                <w:color w:val="000000"/>
                <w:sz w:val="22"/>
                <w:szCs w:val="22"/>
                <w:lang w:val="da-DK"/>
              </w:rPr>
              <w:t>, akut generaliseret eksantematøs pustul</w:t>
            </w:r>
            <w:r w:rsidR="00E27E74" w:rsidRPr="004C2A59">
              <w:rPr>
                <w:color w:val="000000"/>
                <w:sz w:val="22"/>
                <w:szCs w:val="22"/>
                <w:lang w:val="da-DK"/>
              </w:rPr>
              <w:t>ose</w:t>
            </w:r>
            <w:r w:rsidR="00A1040A" w:rsidRPr="004C2A59">
              <w:rPr>
                <w:color w:val="000000"/>
                <w:sz w:val="22"/>
                <w:szCs w:val="22"/>
                <w:lang w:val="da-DK"/>
              </w:rPr>
              <w:t xml:space="preserve"> (AGEP)</w:t>
            </w:r>
          </w:p>
        </w:tc>
      </w:tr>
      <w:tr w:rsidR="00D13201" w:rsidRPr="00DA2798" w14:paraId="3EF698B4" w14:textId="77777777" w:rsidTr="006C180B">
        <w:trPr>
          <w:cantSplit/>
        </w:trPr>
        <w:tc>
          <w:tcPr>
            <w:tcW w:w="2235" w:type="dxa"/>
          </w:tcPr>
          <w:p w14:paraId="4B71EC85" w14:textId="77777777" w:rsidR="00D13201" w:rsidRPr="004C2A59" w:rsidRDefault="006C180B" w:rsidP="00421681">
            <w:pPr>
              <w:tabs>
                <w:tab w:val="left" w:pos="567"/>
              </w:tabs>
              <w:rPr>
                <w:i/>
                <w:color w:val="000000"/>
                <w:sz w:val="22"/>
                <w:szCs w:val="22"/>
                <w:lang w:val="da-DK"/>
              </w:rPr>
            </w:pPr>
            <w:r>
              <w:rPr>
                <w:i/>
                <w:color w:val="000000"/>
                <w:sz w:val="22"/>
                <w:szCs w:val="22"/>
                <w:lang w:val="da-DK"/>
              </w:rPr>
              <w:t>Ikke kendt:</w:t>
            </w:r>
          </w:p>
        </w:tc>
        <w:tc>
          <w:tcPr>
            <w:tcW w:w="7087" w:type="dxa"/>
          </w:tcPr>
          <w:p w14:paraId="6C8B8191" w14:textId="77777777" w:rsidR="00D13201" w:rsidRPr="00B71B3E" w:rsidRDefault="00D13201" w:rsidP="00421681">
            <w:pPr>
              <w:tabs>
                <w:tab w:val="left" w:pos="567"/>
              </w:tabs>
              <w:rPr>
                <w:color w:val="000000"/>
                <w:sz w:val="22"/>
                <w:szCs w:val="22"/>
                <w:lang w:val="da-DK"/>
              </w:rPr>
            </w:pPr>
            <w:r w:rsidRPr="004C2A59">
              <w:rPr>
                <w:color w:val="000000"/>
                <w:sz w:val="22"/>
                <w:szCs w:val="22"/>
                <w:lang w:val="da-DK"/>
              </w:rPr>
              <w:t>Palmoplantar erytrodysæstesi syndrom*, lichenoid keratosis</w:t>
            </w:r>
            <w:r w:rsidR="004A4D80" w:rsidRPr="004C2A59">
              <w:rPr>
                <w:color w:val="000000"/>
                <w:sz w:val="22"/>
                <w:szCs w:val="22"/>
                <w:lang w:val="da-DK"/>
              </w:rPr>
              <w:t>*</w:t>
            </w:r>
            <w:r w:rsidRPr="004C2A59">
              <w:rPr>
                <w:color w:val="000000"/>
                <w:sz w:val="22"/>
                <w:szCs w:val="22"/>
                <w:lang w:val="da-DK"/>
              </w:rPr>
              <w:t>, lichen planus</w:t>
            </w:r>
            <w:r w:rsidR="004A4D80" w:rsidRPr="004C2A59">
              <w:rPr>
                <w:color w:val="000000"/>
                <w:sz w:val="22"/>
                <w:szCs w:val="22"/>
                <w:lang w:val="da-DK"/>
              </w:rPr>
              <w:t xml:space="preserve">*, toksisk epidermal nekrolyse*, </w:t>
            </w:r>
            <w:r w:rsidR="00712FDC" w:rsidRPr="004C2A59">
              <w:rPr>
                <w:bCs/>
                <w:sz w:val="22"/>
                <w:szCs w:val="22"/>
                <w:lang w:val="da-DK"/>
              </w:rPr>
              <w:t>medikamentelt</w:t>
            </w:r>
            <w:r w:rsidR="004A4D80" w:rsidRPr="004C2A59">
              <w:rPr>
                <w:bCs/>
                <w:sz w:val="22"/>
                <w:szCs w:val="22"/>
                <w:lang w:val="da-DK"/>
              </w:rPr>
              <w:t xml:space="preserve"> udslæt med eosinofili og systemiske symptomer (</w:t>
            </w:r>
            <w:r w:rsidR="004A4D80" w:rsidRPr="00B71B3E">
              <w:rPr>
                <w:bCs/>
                <w:sz w:val="22"/>
                <w:szCs w:val="22"/>
                <w:lang w:val="da-DK"/>
              </w:rPr>
              <w:t>DRESS)*</w:t>
            </w:r>
            <w:r w:rsidR="00B71B3E" w:rsidRPr="00B71B3E">
              <w:rPr>
                <w:color w:val="000000"/>
                <w:sz w:val="22"/>
                <w:szCs w:val="22"/>
                <w:lang w:val="da-DK"/>
              </w:rPr>
              <w:t>, pseudoporfyri*</w:t>
            </w:r>
          </w:p>
        </w:tc>
      </w:tr>
      <w:tr w:rsidR="00CD6294" w:rsidRPr="00F852D1" w14:paraId="467E3613" w14:textId="77777777" w:rsidTr="006C180B">
        <w:trPr>
          <w:cantSplit/>
        </w:trPr>
        <w:tc>
          <w:tcPr>
            <w:tcW w:w="9322" w:type="dxa"/>
            <w:gridSpan w:val="2"/>
          </w:tcPr>
          <w:p w14:paraId="154D0324" w14:textId="77777777" w:rsidR="00CD6294" w:rsidRPr="004C2A59" w:rsidRDefault="0098051A" w:rsidP="006C180B">
            <w:pPr>
              <w:keepNext/>
              <w:tabs>
                <w:tab w:val="left" w:pos="567"/>
              </w:tabs>
              <w:rPr>
                <w:color w:val="000000"/>
                <w:sz w:val="22"/>
                <w:szCs w:val="22"/>
                <w:lang w:val="da-DK"/>
              </w:rPr>
            </w:pPr>
            <w:r w:rsidRPr="004C2A59">
              <w:rPr>
                <w:b/>
                <w:color w:val="000000"/>
                <w:sz w:val="22"/>
                <w:szCs w:val="22"/>
                <w:lang w:val="da-DK"/>
              </w:rPr>
              <w:t>Knogler, led, muskler og bindevæv</w:t>
            </w:r>
          </w:p>
        </w:tc>
      </w:tr>
      <w:tr w:rsidR="00CD6294" w:rsidRPr="00DA2798" w14:paraId="44C45B04" w14:textId="77777777" w:rsidTr="006C180B">
        <w:trPr>
          <w:cantSplit/>
        </w:trPr>
        <w:tc>
          <w:tcPr>
            <w:tcW w:w="2235" w:type="dxa"/>
          </w:tcPr>
          <w:p w14:paraId="72ED4101" w14:textId="77777777" w:rsidR="00CD6294" w:rsidRPr="004C2A59" w:rsidRDefault="00CD6294" w:rsidP="006C180B">
            <w:pPr>
              <w:keepNext/>
              <w:tabs>
                <w:tab w:val="left" w:pos="567"/>
              </w:tabs>
              <w:rPr>
                <w:i/>
                <w:color w:val="000000"/>
                <w:sz w:val="22"/>
                <w:szCs w:val="22"/>
                <w:lang w:val="da-DK"/>
              </w:rPr>
            </w:pPr>
            <w:r w:rsidRPr="004C2A59">
              <w:rPr>
                <w:i/>
                <w:color w:val="000000"/>
                <w:sz w:val="22"/>
                <w:szCs w:val="22"/>
                <w:lang w:val="da-DK"/>
              </w:rPr>
              <w:t>Meget almindelig:</w:t>
            </w:r>
          </w:p>
        </w:tc>
        <w:tc>
          <w:tcPr>
            <w:tcW w:w="7087" w:type="dxa"/>
          </w:tcPr>
          <w:p w14:paraId="12E3B5DB" w14:textId="77777777" w:rsidR="00CD6294" w:rsidRPr="004C2A59" w:rsidRDefault="00003716" w:rsidP="006C180B">
            <w:pPr>
              <w:keepNext/>
              <w:tabs>
                <w:tab w:val="left" w:pos="567"/>
              </w:tabs>
              <w:rPr>
                <w:color w:val="000000"/>
                <w:sz w:val="22"/>
                <w:szCs w:val="22"/>
                <w:vertAlign w:val="superscript"/>
                <w:lang w:val="da-DK"/>
              </w:rPr>
            </w:pPr>
            <w:r w:rsidRPr="004C2A59">
              <w:rPr>
                <w:color w:val="000000"/>
                <w:sz w:val="22"/>
                <w:szCs w:val="22"/>
                <w:lang w:val="da-DK"/>
              </w:rPr>
              <w:t>Muskelspasmer og kramper</w:t>
            </w:r>
            <w:r w:rsidR="00CD6294" w:rsidRPr="004C2A59">
              <w:rPr>
                <w:color w:val="000000"/>
                <w:sz w:val="22"/>
                <w:szCs w:val="22"/>
                <w:lang w:val="da-DK"/>
              </w:rPr>
              <w:t xml:space="preserve">, </w:t>
            </w:r>
            <w:r w:rsidR="003E0A30" w:rsidRPr="004C2A59">
              <w:rPr>
                <w:color w:val="000000"/>
                <w:sz w:val="22"/>
                <w:szCs w:val="22"/>
                <w:lang w:val="da-DK"/>
              </w:rPr>
              <w:t>muskuloskeletale smerter herunder myalgi</w:t>
            </w:r>
            <w:r w:rsidR="00000C01">
              <w:rPr>
                <w:color w:val="000000"/>
                <w:sz w:val="22"/>
                <w:szCs w:val="22"/>
                <w:vertAlign w:val="superscript"/>
                <w:lang w:val="da-DK"/>
              </w:rPr>
              <w:t>9</w:t>
            </w:r>
            <w:r w:rsidR="00CD6294" w:rsidRPr="004C2A59">
              <w:rPr>
                <w:color w:val="000000"/>
                <w:sz w:val="22"/>
                <w:szCs w:val="22"/>
                <w:lang w:val="da-DK"/>
              </w:rPr>
              <w:t xml:space="preserve">, artralgi, </w:t>
            </w:r>
            <w:r w:rsidR="003E0A30" w:rsidRPr="004C2A59">
              <w:rPr>
                <w:color w:val="000000"/>
                <w:sz w:val="22"/>
                <w:szCs w:val="22"/>
                <w:lang w:val="da-DK"/>
              </w:rPr>
              <w:t>knoglesmerter</w:t>
            </w:r>
            <w:r w:rsidR="00000C01">
              <w:rPr>
                <w:color w:val="000000"/>
                <w:sz w:val="22"/>
                <w:szCs w:val="22"/>
                <w:vertAlign w:val="superscript"/>
                <w:lang w:val="da-DK"/>
              </w:rPr>
              <w:t>10</w:t>
            </w:r>
          </w:p>
        </w:tc>
      </w:tr>
      <w:tr w:rsidR="00CD6294" w:rsidRPr="004C2A59" w14:paraId="459C5A8D" w14:textId="77777777" w:rsidTr="006C180B">
        <w:trPr>
          <w:cantSplit/>
        </w:trPr>
        <w:tc>
          <w:tcPr>
            <w:tcW w:w="2235" w:type="dxa"/>
          </w:tcPr>
          <w:p w14:paraId="3BE474BB" w14:textId="77777777" w:rsidR="00CD6294" w:rsidRPr="004C2A59" w:rsidRDefault="00CD6294" w:rsidP="006C180B">
            <w:pPr>
              <w:keepNext/>
              <w:tabs>
                <w:tab w:val="left" w:pos="567"/>
              </w:tabs>
              <w:rPr>
                <w:i/>
                <w:color w:val="000000"/>
                <w:sz w:val="22"/>
                <w:szCs w:val="22"/>
                <w:lang w:val="da-DK"/>
              </w:rPr>
            </w:pPr>
            <w:r w:rsidRPr="004C2A59">
              <w:rPr>
                <w:i/>
                <w:color w:val="000000"/>
                <w:sz w:val="22"/>
                <w:szCs w:val="22"/>
                <w:lang w:val="da-DK"/>
              </w:rPr>
              <w:t>Almindelig:</w:t>
            </w:r>
          </w:p>
        </w:tc>
        <w:tc>
          <w:tcPr>
            <w:tcW w:w="7087" w:type="dxa"/>
          </w:tcPr>
          <w:p w14:paraId="465F0053" w14:textId="77777777" w:rsidR="00CD6294" w:rsidRPr="004C2A59" w:rsidRDefault="003E0A30" w:rsidP="006C180B">
            <w:pPr>
              <w:keepNext/>
              <w:tabs>
                <w:tab w:val="left" w:pos="567"/>
              </w:tabs>
              <w:rPr>
                <w:color w:val="000000"/>
                <w:sz w:val="22"/>
                <w:szCs w:val="22"/>
                <w:lang w:val="da-DK"/>
              </w:rPr>
            </w:pPr>
            <w:r w:rsidRPr="004C2A59">
              <w:rPr>
                <w:color w:val="000000"/>
                <w:sz w:val="22"/>
                <w:szCs w:val="22"/>
                <w:lang w:val="da-DK"/>
              </w:rPr>
              <w:t>Hævelse af led</w:t>
            </w:r>
          </w:p>
        </w:tc>
      </w:tr>
      <w:tr w:rsidR="00CD6294" w:rsidRPr="00F852D1" w14:paraId="09445A60" w14:textId="77777777" w:rsidTr="006C180B">
        <w:trPr>
          <w:cantSplit/>
        </w:trPr>
        <w:tc>
          <w:tcPr>
            <w:tcW w:w="2235" w:type="dxa"/>
          </w:tcPr>
          <w:p w14:paraId="1A4AAA5E" w14:textId="77777777" w:rsidR="00CD6294" w:rsidRPr="004C2A59" w:rsidRDefault="00CD6294" w:rsidP="006C180B">
            <w:pPr>
              <w:keepNext/>
              <w:tabs>
                <w:tab w:val="left" w:pos="567"/>
              </w:tabs>
              <w:rPr>
                <w:i/>
                <w:color w:val="000000"/>
                <w:sz w:val="22"/>
                <w:szCs w:val="22"/>
                <w:lang w:val="da-DK"/>
              </w:rPr>
            </w:pPr>
            <w:r w:rsidRPr="004C2A59">
              <w:rPr>
                <w:i/>
                <w:color w:val="000000"/>
                <w:sz w:val="22"/>
                <w:szCs w:val="22"/>
                <w:lang w:val="da-DK"/>
              </w:rPr>
              <w:t>Ikke almindelig:</w:t>
            </w:r>
          </w:p>
        </w:tc>
        <w:tc>
          <w:tcPr>
            <w:tcW w:w="7087" w:type="dxa"/>
          </w:tcPr>
          <w:p w14:paraId="3D769524" w14:textId="77777777" w:rsidR="00CD6294" w:rsidRPr="004C2A59" w:rsidRDefault="003E0A30" w:rsidP="006C180B">
            <w:pPr>
              <w:keepNext/>
              <w:tabs>
                <w:tab w:val="left" w:pos="567"/>
              </w:tabs>
              <w:rPr>
                <w:color w:val="000000"/>
                <w:sz w:val="22"/>
                <w:szCs w:val="22"/>
                <w:lang w:val="da-DK"/>
              </w:rPr>
            </w:pPr>
            <w:r w:rsidRPr="004C2A59">
              <w:rPr>
                <w:color w:val="000000"/>
                <w:sz w:val="22"/>
                <w:szCs w:val="22"/>
                <w:lang w:val="da-DK"/>
              </w:rPr>
              <w:t>Stivhed i led og muskler</w:t>
            </w:r>
          </w:p>
        </w:tc>
      </w:tr>
      <w:tr w:rsidR="00CD6294" w:rsidRPr="004C2A59" w14:paraId="0E148430" w14:textId="77777777" w:rsidTr="006C180B">
        <w:trPr>
          <w:cantSplit/>
        </w:trPr>
        <w:tc>
          <w:tcPr>
            <w:tcW w:w="2235" w:type="dxa"/>
          </w:tcPr>
          <w:p w14:paraId="1E4BD59E" w14:textId="77777777" w:rsidR="00CD6294" w:rsidRPr="004C2A59" w:rsidRDefault="00CD6294" w:rsidP="006C180B">
            <w:pPr>
              <w:keepNext/>
              <w:tabs>
                <w:tab w:val="left" w:pos="567"/>
              </w:tabs>
              <w:rPr>
                <w:i/>
                <w:color w:val="000000"/>
                <w:sz w:val="22"/>
                <w:szCs w:val="22"/>
                <w:lang w:val="da-DK"/>
              </w:rPr>
            </w:pPr>
            <w:r w:rsidRPr="004C2A59">
              <w:rPr>
                <w:i/>
                <w:color w:val="000000"/>
                <w:sz w:val="22"/>
                <w:szCs w:val="22"/>
                <w:lang w:val="da-DK"/>
              </w:rPr>
              <w:t>Sjælden:</w:t>
            </w:r>
          </w:p>
        </w:tc>
        <w:tc>
          <w:tcPr>
            <w:tcW w:w="7087" w:type="dxa"/>
          </w:tcPr>
          <w:p w14:paraId="5E4EBF7A" w14:textId="77777777" w:rsidR="00CD6294" w:rsidRPr="004C2A59" w:rsidRDefault="003E0A30" w:rsidP="006C180B">
            <w:pPr>
              <w:keepNext/>
              <w:tabs>
                <w:tab w:val="left" w:pos="567"/>
              </w:tabs>
              <w:rPr>
                <w:color w:val="000000"/>
                <w:sz w:val="22"/>
                <w:szCs w:val="22"/>
                <w:lang w:val="da-DK"/>
              </w:rPr>
            </w:pPr>
            <w:r w:rsidRPr="004C2A59">
              <w:rPr>
                <w:bCs/>
                <w:color w:val="000000"/>
                <w:sz w:val="22"/>
                <w:szCs w:val="22"/>
                <w:lang w:val="da-DK"/>
              </w:rPr>
              <w:t xml:space="preserve">Musklesvaghed, </w:t>
            </w:r>
            <w:r w:rsidR="00CD6294" w:rsidRPr="004C2A59">
              <w:rPr>
                <w:bCs/>
                <w:color w:val="000000"/>
                <w:sz w:val="22"/>
                <w:szCs w:val="22"/>
                <w:lang w:val="da-DK"/>
              </w:rPr>
              <w:t>arthritis</w:t>
            </w:r>
            <w:r w:rsidR="00E72E97" w:rsidRPr="004C2A59">
              <w:rPr>
                <w:bCs/>
                <w:color w:val="000000"/>
                <w:sz w:val="22"/>
                <w:szCs w:val="22"/>
                <w:lang w:val="da-DK"/>
              </w:rPr>
              <w:t>, rabdomyolyse</w:t>
            </w:r>
            <w:r w:rsidR="00DD0C30" w:rsidRPr="004C2A59">
              <w:rPr>
                <w:bCs/>
                <w:color w:val="000000"/>
                <w:sz w:val="22"/>
                <w:szCs w:val="22"/>
                <w:lang w:val="da-DK"/>
              </w:rPr>
              <w:t>/myopati</w:t>
            </w:r>
          </w:p>
        </w:tc>
      </w:tr>
      <w:tr w:rsidR="004A4D80" w:rsidRPr="00F852D1" w14:paraId="2686CAC4" w14:textId="77777777" w:rsidTr="006C180B">
        <w:trPr>
          <w:cantSplit/>
        </w:trPr>
        <w:tc>
          <w:tcPr>
            <w:tcW w:w="2235" w:type="dxa"/>
          </w:tcPr>
          <w:p w14:paraId="441FE93F" w14:textId="77777777" w:rsidR="004A4D80" w:rsidRPr="004C2A59" w:rsidRDefault="004A4D80" w:rsidP="00421681">
            <w:pPr>
              <w:tabs>
                <w:tab w:val="left" w:pos="567"/>
              </w:tabs>
              <w:rPr>
                <w:i/>
                <w:color w:val="000000"/>
                <w:sz w:val="22"/>
                <w:szCs w:val="22"/>
                <w:lang w:val="da-DK"/>
              </w:rPr>
            </w:pPr>
            <w:r w:rsidRPr="004C2A59">
              <w:rPr>
                <w:i/>
                <w:color w:val="000000"/>
                <w:sz w:val="22"/>
                <w:szCs w:val="22"/>
                <w:lang w:val="da-DK"/>
              </w:rPr>
              <w:t>Ikke kendt:</w:t>
            </w:r>
          </w:p>
        </w:tc>
        <w:tc>
          <w:tcPr>
            <w:tcW w:w="7087" w:type="dxa"/>
          </w:tcPr>
          <w:p w14:paraId="1743FE7D" w14:textId="77777777" w:rsidR="004A4D80" w:rsidRPr="004C2A59" w:rsidRDefault="004A4D80" w:rsidP="00421681">
            <w:pPr>
              <w:tabs>
                <w:tab w:val="left" w:pos="567"/>
              </w:tabs>
              <w:rPr>
                <w:bCs/>
                <w:color w:val="000000"/>
                <w:sz w:val="22"/>
                <w:szCs w:val="22"/>
                <w:lang w:val="da-DK"/>
              </w:rPr>
            </w:pPr>
            <w:r w:rsidRPr="004C2A59">
              <w:rPr>
                <w:color w:val="000000"/>
                <w:sz w:val="22"/>
                <w:szCs w:val="22"/>
                <w:lang w:val="da-DK"/>
              </w:rPr>
              <w:t>Avaskulær nekrose/hoftenekrose*, væksthæmning hos børn*</w:t>
            </w:r>
          </w:p>
        </w:tc>
      </w:tr>
      <w:tr w:rsidR="00553BF4" w:rsidRPr="004C2A59" w14:paraId="35D1F22E" w14:textId="77777777" w:rsidTr="006C180B">
        <w:trPr>
          <w:cantSplit/>
        </w:trPr>
        <w:tc>
          <w:tcPr>
            <w:tcW w:w="9322" w:type="dxa"/>
            <w:gridSpan w:val="2"/>
          </w:tcPr>
          <w:p w14:paraId="1C1D9460" w14:textId="77777777" w:rsidR="00553BF4" w:rsidRPr="004C2A59" w:rsidRDefault="00553BF4" w:rsidP="006C180B">
            <w:pPr>
              <w:keepNext/>
              <w:tabs>
                <w:tab w:val="left" w:pos="567"/>
              </w:tabs>
              <w:rPr>
                <w:b/>
                <w:color w:val="000000"/>
                <w:sz w:val="22"/>
                <w:szCs w:val="22"/>
                <w:lang w:val="da-DK"/>
              </w:rPr>
            </w:pPr>
            <w:r w:rsidRPr="004C2A59">
              <w:rPr>
                <w:b/>
                <w:color w:val="000000"/>
                <w:sz w:val="22"/>
                <w:szCs w:val="22"/>
                <w:lang w:val="da-DK"/>
              </w:rPr>
              <w:t>Nyrer og urinveje</w:t>
            </w:r>
          </w:p>
        </w:tc>
      </w:tr>
      <w:tr w:rsidR="00553BF4" w:rsidRPr="00F852D1" w14:paraId="1ED66FD7" w14:textId="77777777" w:rsidTr="006C180B">
        <w:trPr>
          <w:cantSplit/>
        </w:trPr>
        <w:tc>
          <w:tcPr>
            <w:tcW w:w="2235" w:type="dxa"/>
          </w:tcPr>
          <w:p w14:paraId="5244973E" w14:textId="77777777" w:rsidR="00553BF4" w:rsidRPr="004C2A59" w:rsidRDefault="00553BF4" w:rsidP="006C180B">
            <w:pPr>
              <w:keepNext/>
              <w:tabs>
                <w:tab w:val="left" w:pos="567"/>
              </w:tabs>
              <w:rPr>
                <w:color w:val="000000"/>
                <w:sz w:val="22"/>
                <w:szCs w:val="22"/>
                <w:lang w:val="da-DK"/>
              </w:rPr>
            </w:pPr>
            <w:r w:rsidRPr="004C2A59">
              <w:rPr>
                <w:i/>
                <w:color w:val="000000"/>
                <w:sz w:val="22"/>
                <w:szCs w:val="22"/>
                <w:lang w:val="da-DK"/>
              </w:rPr>
              <w:t>Ikke almindelig:</w:t>
            </w:r>
          </w:p>
        </w:tc>
        <w:tc>
          <w:tcPr>
            <w:tcW w:w="7087" w:type="dxa"/>
          </w:tcPr>
          <w:p w14:paraId="2C6AF8C5" w14:textId="77777777" w:rsidR="00553BF4" w:rsidRPr="004C2A59" w:rsidRDefault="00553BF4" w:rsidP="006C180B">
            <w:pPr>
              <w:keepNext/>
              <w:tabs>
                <w:tab w:val="left" w:pos="567"/>
              </w:tabs>
              <w:rPr>
                <w:color w:val="000000"/>
                <w:sz w:val="22"/>
                <w:szCs w:val="22"/>
                <w:lang w:val="da-DK"/>
              </w:rPr>
            </w:pPr>
            <w:r w:rsidRPr="004C2A59">
              <w:rPr>
                <w:color w:val="000000"/>
                <w:sz w:val="22"/>
                <w:szCs w:val="22"/>
                <w:lang w:val="da-DK"/>
              </w:rPr>
              <w:t>Nyresmerter, hæmaturi, akut nyresvigt, øget vandladningsfrekvens</w:t>
            </w:r>
          </w:p>
        </w:tc>
      </w:tr>
      <w:tr w:rsidR="00931AA8" w:rsidRPr="004C2A59" w14:paraId="7B432C26" w14:textId="77777777" w:rsidTr="006C180B">
        <w:trPr>
          <w:cantSplit/>
        </w:trPr>
        <w:tc>
          <w:tcPr>
            <w:tcW w:w="2235" w:type="dxa"/>
          </w:tcPr>
          <w:p w14:paraId="238D4F84" w14:textId="77777777" w:rsidR="00931AA8" w:rsidRPr="004C2A59" w:rsidRDefault="00931AA8" w:rsidP="00421681">
            <w:pPr>
              <w:tabs>
                <w:tab w:val="left" w:pos="567"/>
              </w:tabs>
              <w:rPr>
                <w:i/>
                <w:color w:val="000000"/>
                <w:sz w:val="22"/>
                <w:szCs w:val="22"/>
                <w:lang w:val="da-DK"/>
              </w:rPr>
            </w:pPr>
            <w:r>
              <w:rPr>
                <w:i/>
                <w:color w:val="000000"/>
                <w:sz w:val="22"/>
                <w:szCs w:val="22"/>
                <w:lang w:val="da-DK"/>
              </w:rPr>
              <w:t>Ikke kendt:</w:t>
            </w:r>
          </w:p>
        </w:tc>
        <w:tc>
          <w:tcPr>
            <w:tcW w:w="7087" w:type="dxa"/>
          </w:tcPr>
          <w:p w14:paraId="7F304E92" w14:textId="77777777" w:rsidR="00931AA8" w:rsidRPr="004C2A59" w:rsidRDefault="00931AA8" w:rsidP="00421681">
            <w:pPr>
              <w:tabs>
                <w:tab w:val="left" w:pos="567"/>
              </w:tabs>
              <w:rPr>
                <w:color w:val="000000"/>
                <w:sz w:val="22"/>
                <w:szCs w:val="22"/>
                <w:lang w:val="da-DK"/>
              </w:rPr>
            </w:pPr>
            <w:r>
              <w:rPr>
                <w:color w:val="000000"/>
                <w:sz w:val="22"/>
                <w:szCs w:val="22"/>
                <w:lang w:val="da-DK"/>
              </w:rPr>
              <w:t>Kronisk nyresvigt</w:t>
            </w:r>
          </w:p>
        </w:tc>
      </w:tr>
      <w:tr w:rsidR="00553BF4" w:rsidRPr="00DA2798" w14:paraId="69F35AAE" w14:textId="77777777" w:rsidTr="006C180B">
        <w:trPr>
          <w:cantSplit/>
        </w:trPr>
        <w:tc>
          <w:tcPr>
            <w:tcW w:w="9322" w:type="dxa"/>
            <w:gridSpan w:val="2"/>
          </w:tcPr>
          <w:p w14:paraId="5B01AA69" w14:textId="77777777" w:rsidR="00553BF4" w:rsidRPr="004C2A59" w:rsidRDefault="00553BF4" w:rsidP="006C180B">
            <w:pPr>
              <w:keepNext/>
              <w:tabs>
                <w:tab w:val="left" w:pos="567"/>
              </w:tabs>
              <w:rPr>
                <w:color w:val="000000"/>
                <w:sz w:val="22"/>
                <w:szCs w:val="22"/>
                <w:lang w:val="da-DK"/>
              </w:rPr>
            </w:pPr>
            <w:r w:rsidRPr="004C2A59">
              <w:rPr>
                <w:b/>
                <w:color w:val="000000"/>
                <w:sz w:val="22"/>
                <w:szCs w:val="22"/>
                <w:lang w:val="da-DK"/>
              </w:rPr>
              <w:t>Det reproduktive system og mammae</w:t>
            </w:r>
          </w:p>
        </w:tc>
      </w:tr>
      <w:tr w:rsidR="00553BF4" w:rsidRPr="00F852D1" w14:paraId="501A1AD2" w14:textId="77777777" w:rsidTr="006C180B">
        <w:trPr>
          <w:cantSplit/>
        </w:trPr>
        <w:tc>
          <w:tcPr>
            <w:tcW w:w="2235" w:type="dxa"/>
          </w:tcPr>
          <w:p w14:paraId="37EAAB90" w14:textId="77777777" w:rsidR="00553BF4" w:rsidRPr="004C2A59" w:rsidRDefault="00553BF4" w:rsidP="006C180B">
            <w:pPr>
              <w:keepNext/>
              <w:tabs>
                <w:tab w:val="left" w:pos="567"/>
              </w:tabs>
              <w:rPr>
                <w:i/>
                <w:color w:val="000000"/>
                <w:sz w:val="22"/>
                <w:szCs w:val="22"/>
                <w:lang w:val="da-DK"/>
              </w:rPr>
            </w:pPr>
            <w:r w:rsidRPr="004C2A59">
              <w:rPr>
                <w:i/>
                <w:color w:val="000000"/>
                <w:sz w:val="22"/>
                <w:szCs w:val="22"/>
                <w:lang w:val="da-DK"/>
              </w:rPr>
              <w:t>Ikke almindelig:</w:t>
            </w:r>
          </w:p>
        </w:tc>
        <w:tc>
          <w:tcPr>
            <w:tcW w:w="7087" w:type="dxa"/>
          </w:tcPr>
          <w:p w14:paraId="40C491CC" w14:textId="77777777" w:rsidR="00553BF4" w:rsidRPr="004C2A59" w:rsidRDefault="00553BF4" w:rsidP="006C180B">
            <w:pPr>
              <w:keepNext/>
              <w:tabs>
                <w:tab w:val="left" w:pos="567"/>
              </w:tabs>
              <w:rPr>
                <w:color w:val="000000"/>
                <w:sz w:val="22"/>
                <w:szCs w:val="22"/>
                <w:lang w:val="da-DK"/>
              </w:rPr>
            </w:pPr>
            <w:r w:rsidRPr="004C2A59">
              <w:rPr>
                <w:color w:val="000000"/>
                <w:sz w:val="22"/>
                <w:szCs w:val="22"/>
                <w:lang w:val="da-DK"/>
              </w:rPr>
              <w:t>Gynæ</w:t>
            </w:r>
            <w:r w:rsidR="00D269D9" w:rsidRPr="004C2A59">
              <w:rPr>
                <w:color w:val="000000"/>
                <w:sz w:val="22"/>
                <w:szCs w:val="22"/>
                <w:lang w:val="da-DK"/>
              </w:rPr>
              <w:t>k</w:t>
            </w:r>
            <w:r w:rsidRPr="004C2A59">
              <w:rPr>
                <w:color w:val="000000"/>
                <w:sz w:val="22"/>
                <w:szCs w:val="22"/>
                <w:lang w:val="da-DK"/>
              </w:rPr>
              <w:t>omasti, erektil dysfunktion, menoragi, uregelmæssig menstruation, seksuel dysfunktion, smerter i brystvorterne, brystforstørrelse, s</w:t>
            </w:r>
            <w:r w:rsidR="00D269D9" w:rsidRPr="004C2A59">
              <w:rPr>
                <w:color w:val="000000"/>
                <w:sz w:val="22"/>
                <w:szCs w:val="22"/>
                <w:lang w:val="da-DK"/>
              </w:rPr>
              <w:t>k</w:t>
            </w:r>
            <w:r w:rsidRPr="004C2A59">
              <w:rPr>
                <w:color w:val="000000"/>
                <w:sz w:val="22"/>
                <w:szCs w:val="22"/>
                <w:lang w:val="da-DK"/>
              </w:rPr>
              <w:t>rotalt ødem</w:t>
            </w:r>
          </w:p>
        </w:tc>
      </w:tr>
      <w:tr w:rsidR="00553BF4" w:rsidRPr="00F852D1" w14:paraId="10EA656B" w14:textId="77777777" w:rsidTr="006C180B">
        <w:trPr>
          <w:cantSplit/>
        </w:trPr>
        <w:tc>
          <w:tcPr>
            <w:tcW w:w="2235" w:type="dxa"/>
          </w:tcPr>
          <w:p w14:paraId="1483D0B8" w14:textId="77777777" w:rsidR="00553BF4" w:rsidRPr="004C2A59" w:rsidRDefault="00553BF4" w:rsidP="00421681">
            <w:pPr>
              <w:tabs>
                <w:tab w:val="left" w:pos="567"/>
              </w:tabs>
              <w:rPr>
                <w:i/>
                <w:color w:val="000000"/>
                <w:sz w:val="22"/>
                <w:szCs w:val="22"/>
                <w:lang w:val="da-DK"/>
              </w:rPr>
            </w:pPr>
            <w:r w:rsidRPr="004C2A59">
              <w:rPr>
                <w:i/>
                <w:color w:val="000000"/>
                <w:sz w:val="22"/>
                <w:szCs w:val="22"/>
                <w:lang w:val="da-DK"/>
              </w:rPr>
              <w:t>Sjælden:</w:t>
            </w:r>
          </w:p>
        </w:tc>
        <w:tc>
          <w:tcPr>
            <w:tcW w:w="7087" w:type="dxa"/>
          </w:tcPr>
          <w:p w14:paraId="1FEAE1F0" w14:textId="77777777" w:rsidR="00553BF4" w:rsidRPr="00F852D1" w:rsidRDefault="00553BF4" w:rsidP="00421681">
            <w:pPr>
              <w:tabs>
                <w:tab w:val="left" w:pos="567"/>
              </w:tabs>
              <w:rPr>
                <w:color w:val="000000"/>
                <w:sz w:val="22"/>
                <w:szCs w:val="22"/>
                <w:lang w:val="sv-SE"/>
              </w:rPr>
            </w:pPr>
            <w:r w:rsidRPr="00F852D1">
              <w:rPr>
                <w:color w:val="000000"/>
                <w:sz w:val="22"/>
                <w:szCs w:val="22"/>
                <w:lang w:val="sv-SE"/>
              </w:rPr>
              <w:t>Hæmoragisk corpus luteum/ hæmoragisk ovariecyste</w:t>
            </w:r>
          </w:p>
        </w:tc>
      </w:tr>
      <w:tr w:rsidR="00CD6294" w:rsidRPr="00DA2798" w14:paraId="69FE0AA1" w14:textId="77777777" w:rsidTr="006C180B">
        <w:trPr>
          <w:cantSplit/>
        </w:trPr>
        <w:tc>
          <w:tcPr>
            <w:tcW w:w="9322" w:type="dxa"/>
            <w:gridSpan w:val="2"/>
          </w:tcPr>
          <w:p w14:paraId="0B417A50" w14:textId="77777777" w:rsidR="00CD6294" w:rsidRPr="004C2A59" w:rsidRDefault="0098051A" w:rsidP="006C180B">
            <w:pPr>
              <w:keepNext/>
              <w:tabs>
                <w:tab w:val="left" w:pos="567"/>
              </w:tabs>
              <w:rPr>
                <w:color w:val="000000"/>
                <w:sz w:val="22"/>
                <w:szCs w:val="22"/>
                <w:lang w:val="da-DK"/>
              </w:rPr>
            </w:pPr>
            <w:r w:rsidRPr="004C2A59">
              <w:rPr>
                <w:b/>
                <w:color w:val="000000"/>
                <w:sz w:val="22"/>
                <w:szCs w:val="22"/>
                <w:lang w:val="da-DK"/>
              </w:rPr>
              <w:t>Almene symptomer og reaktioner på administrationsstedet</w:t>
            </w:r>
          </w:p>
        </w:tc>
      </w:tr>
      <w:tr w:rsidR="00CD6294" w:rsidRPr="004C2A59" w14:paraId="4E0EEE32" w14:textId="77777777" w:rsidTr="006C180B">
        <w:trPr>
          <w:cantSplit/>
        </w:trPr>
        <w:tc>
          <w:tcPr>
            <w:tcW w:w="2235" w:type="dxa"/>
          </w:tcPr>
          <w:p w14:paraId="51EAABD6" w14:textId="77777777" w:rsidR="00CD6294" w:rsidRPr="004C2A59" w:rsidRDefault="00CD6294" w:rsidP="006C180B">
            <w:pPr>
              <w:keepNext/>
              <w:tabs>
                <w:tab w:val="left" w:pos="567"/>
              </w:tabs>
              <w:rPr>
                <w:i/>
                <w:color w:val="000000"/>
                <w:sz w:val="22"/>
                <w:szCs w:val="22"/>
                <w:lang w:val="da-DK"/>
              </w:rPr>
            </w:pPr>
            <w:r w:rsidRPr="004C2A59">
              <w:rPr>
                <w:i/>
                <w:color w:val="000000"/>
                <w:sz w:val="22"/>
                <w:szCs w:val="22"/>
                <w:lang w:val="da-DK"/>
              </w:rPr>
              <w:t>Meget almindelig:</w:t>
            </w:r>
          </w:p>
        </w:tc>
        <w:tc>
          <w:tcPr>
            <w:tcW w:w="7087" w:type="dxa"/>
          </w:tcPr>
          <w:p w14:paraId="32CF196B" w14:textId="77777777" w:rsidR="00CD6294" w:rsidRPr="004C2A59" w:rsidRDefault="008D7C13" w:rsidP="006C180B">
            <w:pPr>
              <w:keepNext/>
              <w:tabs>
                <w:tab w:val="left" w:pos="567"/>
              </w:tabs>
              <w:rPr>
                <w:color w:val="000000"/>
                <w:sz w:val="22"/>
                <w:szCs w:val="22"/>
              </w:rPr>
            </w:pPr>
            <w:r w:rsidRPr="004C2A59">
              <w:rPr>
                <w:color w:val="000000"/>
                <w:sz w:val="22"/>
                <w:szCs w:val="22"/>
              </w:rPr>
              <w:t>Væske</w:t>
            </w:r>
            <w:r w:rsidR="00CD6294" w:rsidRPr="004C2A59">
              <w:rPr>
                <w:color w:val="000000"/>
                <w:sz w:val="22"/>
                <w:szCs w:val="22"/>
              </w:rPr>
              <w:t xml:space="preserve">retention </w:t>
            </w:r>
            <w:r w:rsidRPr="004C2A59">
              <w:rPr>
                <w:color w:val="000000"/>
                <w:sz w:val="22"/>
                <w:szCs w:val="22"/>
              </w:rPr>
              <w:t>og ødem</w:t>
            </w:r>
            <w:r w:rsidR="00CD6294" w:rsidRPr="004C2A59">
              <w:rPr>
                <w:color w:val="000000"/>
                <w:sz w:val="22"/>
                <w:szCs w:val="22"/>
              </w:rPr>
              <w:t xml:space="preserve">, </w:t>
            </w:r>
            <w:r w:rsidRPr="004C2A59">
              <w:rPr>
                <w:color w:val="000000"/>
                <w:sz w:val="22"/>
                <w:szCs w:val="22"/>
              </w:rPr>
              <w:t>tr</w:t>
            </w:r>
            <w:r w:rsidR="00003716" w:rsidRPr="004C2A59">
              <w:rPr>
                <w:color w:val="000000"/>
                <w:sz w:val="22"/>
                <w:szCs w:val="22"/>
              </w:rPr>
              <w:t>æ</w:t>
            </w:r>
            <w:r w:rsidRPr="004C2A59">
              <w:rPr>
                <w:color w:val="000000"/>
                <w:sz w:val="22"/>
                <w:szCs w:val="22"/>
              </w:rPr>
              <w:t>thed</w:t>
            </w:r>
          </w:p>
        </w:tc>
      </w:tr>
      <w:tr w:rsidR="00CD6294" w:rsidRPr="00F852D1" w14:paraId="1E247868" w14:textId="77777777" w:rsidTr="006C180B">
        <w:trPr>
          <w:cantSplit/>
        </w:trPr>
        <w:tc>
          <w:tcPr>
            <w:tcW w:w="2235" w:type="dxa"/>
          </w:tcPr>
          <w:p w14:paraId="2DD4C337" w14:textId="77777777" w:rsidR="00CD6294" w:rsidRPr="004C2A59" w:rsidRDefault="00CD6294" w:rsidP="006C180B">
            <w:pPr>
              <w:keepNext/>
              <w:tabs>
                <w:tab w:val="left" w:pos="567"/>
              </w:tabs>
              <w:rPr>
                <w:i/>
                <w:color w:val="000000"/>
                <w:sz w:val="22"/>
                <w:szCs w:val="22"/>
                <w:lang w:val="da-DK"/>
              </w:rPr>
            </w:pPr>
            <w:r w:rsidRPr="004C2A59">
              <w:rPr>
                <w:i/>
                <w:color w:val="000000"/>
                <w:sz w:val="22"/>
                <w:szCs w:val="22"/>
                <w:lang w:val="da-DK"/>
              </w:rPr>
              <w:t>Almindelig:</w:t>
            </w:r>
          </w:p>
        </w:tc>
        <w:tc>
          <w:tcPr>
            <w:tcW w:w="7087" w:type="dxa"/>
          </w:tcPr>
          <w:p w14:paraId="5651E0A8" w14:textId="77777777" w:rsidR="00CD6294" w:rsidRPr="004C2A59" w:rsidRDefault="008D7C13" w:rsidP="006C180B">
            <w:pPr>
              <w:keepNext/>
              <w:tabs>
                <w:tab w:val="left" w:pos="567"/>
              </w:tabs>
              <w:rPr>
                <w:color w:val="000000"/>
                <w:sz w:val="22"/>
                <w:szCs w:val="22"/>
                <w:lang w:val="da-DK"/>
              </w:rPr>
            </w:pPr>
            <w:r w:rsidRPr="004C2A59">
              <w:rPr>
                <w:color w:val="000000"/>
                <w:sz w:val="22"/>
                <w:szCs w:val="22"/>
                <w:lang w:val="da-DK"/>
              </w:rPr>
              <w:t>Svaghed</w:t>
            </w:r>
            <w:r w:rsidR="00CD6294" w:rsidRPr="004C2A59">
              <w:rPr>
                <w:color w:val="000000"/>
                <w:sz w:val="22"/>
                <w:szCs w:val="22"/>
                <w:lang w:val="da-DK"/>
              </w:rPr>
              <w:t>, pyre</w:t>
            </w:r>
            <w:r w:rsidR="00712FDC" w:rsidRPr="004C2A59">
              <w:rPr>
                <w:color w:val="000000"/>
                <w:sz w:val="22"/>
                <w:szCs w:val="22"/>
                <w:lang w:val="da-DK"/>
              </w:rPr>
              <w:t>ksi</w:t>
            </w:r>
            <w:r w:rsidR="00CD6294" w:rsidRPr="004C2A59">
              <w:rPr>
                <w:color w:val="000000"/>
                <w:sz w:val="22"/>
                <w:szCs w:val="22"/>
                <w:lang w:val="da-DK"/>
              </w:rPr>
              <w:t>, anasar</w:t>
            </w:r>
            <w:r w:rsidR="0064427E" w:rsidRPr="004C2A59">
              <w:rPr>
                <w:color w:val="000000"/>
                <w:sz w:val="22"/>
                <w:szCs w:val="22"/>
                <w:lang w:val="da-DK"/>
              </w:rPr>
              <w:t>k</w:t>
            </w:r>
            <w:r w:rsidR="00CD6294" w:rsidRPr="004C2A59">
              <w:rPr>
                <w:color w:val="000000"/>
                <w:sz w:val="22"/>
                <w:szCs w:val="22"/>
                <w:lang w:val="da-DK"/>
              </w:rPr>
              <w:t xml:space="preserve">a, </w:t>
            </w:r>
            <w:r w:rsidR="0064427E" w:rsidRPr="004C2A59">
              <w:rPr>
                <w:color w:val="000000"/>
                <w:sz w:val="22"/>
                <w:szCs w:val="22"/>
                <w:lang w:val="da-DK"/>
              </w:rPr>
              <w:t>kuldegysninger og kulderystelser</w:t>
            </w:r>
          </w:p>
        </w:tc>
      </w:tr>
      <w:tr w:rsidR="00CD6294" w:rsidRPr="004C2A59" w14:paraId="1ECFC57B" w14:textId="77777777" w:rsidTr="006C180B">
        <w:trPr>
          <w:cantSplit/>
        </w:trPr>
        <w:tc>
          <w:tcPr>
            <w:tcW w:w="2235" w:type="dxa"/>
          </w:tcPr>
          <w:p w14:paraId="782BEC6B" w14:textId="77777777" w:rsidR="00CD6294" w:rsidRPr="004C2A59" w:rsidRDefault="00CD6294" w:rsidP="00421681">
            <w:pPr>
              <w:tabs>
                <w:tab w:val="left" w:pos="567"/>
              </w:tabs>
              <w:rPr>
                <w:i/>
                <w:color w:val="000000"/>
                <w:sz w:val="22"/>
                <w:szCs w:val="22"/>
                <w:lang w:val="da-DK"/>
              </w:rPr>
            </w:pPr>
            <w:r w:rsidRPr="004C2A59">
              <w:rPr>
                <w:i/>
                <w:color w:val="000000"/>
                <w:sz w:val="22"/>
                <w:szCs w:val="22"/>
                <w:lang w:val="da-DK"/>
              </w:rPr>
              <w:t>Ikke almindelig:</w:t>
            </w:r>
          </w:p>
        </w:tc>
        <w:tc>
          <w:tcPr>
            <w:tcW w:w="7087" w:type="dxa"/>
          </w:tcPr>
          <w:p w14:paraId="4819BF61" w14:textId="77777777" w:rsidR="00CD6294" w:rsidRPr="004C2A59" w:rsidRDefault="0064427E" w:rsidP="00421681">
            <w:pPr>
              <w:tabs>
                <w:tab w:val="left" w:pos="567"/>
              </w:tabs>
              <w:rPr>
                <w:color w:val="000000"/>
                <w:sz w:val="22"/>
                <w:szCs w:val="22"/>
                <w:lang w:val="da-DK"/>
              </w:rPr>
            </w:pPr>
            <w:r w:rsidRPr="004C2A59">
              <w:rPr>
                <w:color w:val="000000"/>
                <w:sz w:val="22"/>
                <w:szCs w:val="22"/>
                <w:lang w:val="da-DK"/>
              </w:rPr>
              <w:t>Brystsmerter</w:t>
            </w:r>
            <w:r w:rsidR="00CD6294" w:rsidRPr="004C2A59">
              <w:rPr>
                <w:color w:val="000000"/>
                <w:sz w:val="22"/>
                <w:szCs w:val="22"/>
                <w:lang w:val="da-DK"/>
              </w:rPr>
              <w:t xml:space="preserve">, </w:t>
            </w:r>
            <w:r w:rsidRPr="004C2A59">
              <w:rPr>
                <w:color w:val="000000"/>
                <w:sz w:val="22"/>
                <w:szCs w:val="22"/>
                <w:lang w:val="da-DK"/>
              </w:rPr>
              <w:t>utilpashed</w:t>
            </w:r>
          </w:p>
        </w:tc>
      </w:tr>
      <w:tr w:rsidR="00F37408" w:rsidRPr="004C2A59" w14:paraId="26EC8774" w14:textId="77777777" w:rsidTr="006C180B">
        <w:trPr>
          <w:cantSplit/>
        </w:trPr>
        <w:tc>
          <w:tcPr>
            <w:tcW w:w="9322" w:type="dxa"/>
            <w:gridSpan w:val="2"/>
          </w:tcPr>
          <w:p w14:paraId="23D7BFF9" w14:textId="77777777" w:rsidR="00F37408" w:rsidRPr="004C2A59" w:rsidRDefault="00F37408" w:rsidP="006C180B">
            <w:pPr>
              <w:keepNext/>
              <w:tabs>
                <w:tab w:val="left" w:pos="567"/>
              </w:tabs>
              <w:rPr>
                <w:color w:val="000000"/>
                <w:sz w:val="22"/>
                <w:szCs w:val="22"/>
                <w:lang w:val="da-DK"/>
              </w:rPr>
            </w:pPr>
            <w:r w:rsidRPr="004C2A59">
              <w:rPr>
                <w:b/>
                <w:color w:val="000000"/>
                <w:sz w:val="22"/>
                <w:szCs w:val="22"/>
                <w:lang w:val="da-DK"/>
              </w:rPr>
              <w:lastRenderedPageBreak/>
              <w:t>Undersøgelser</w:t>
            </w:r>
          </w:p>
        </w:tc>
      </w:tr>
      <w:tr w:rsidR="00F37408" w:rsidRPr="004C2A59" w14:paraId="6B92EE44" w14:textId="77777777" w:rsidTr="006C180B">
        <w:trPr>
          <w:cantSplit/>
        </w:trPr>
        <w:tc>
          <w:tcPr>
            <w:tcW w:w="2235" w:type="dxa"/>
          </w:tcPr>
          <w:p w14:paraId="5B15385E" w14:textId="77777777" w:rsidR="00F37408" w:rsidRPr="004C2A59" w:rsidRDefault="00F37408" w:rsidP="006C180B">
            <w:pPr>
              <w:keepNext/>
              <w:tabs>
                <w:tab w:val="left" w:pos="567"/>
              </w:tabs>
              <w:rPr>
                <w:color w:val="000000"/>
                <w:sz w:val="22"/>
                <w:szCs w:val="22"/>
                <w:lang w:val="da-DK"/>
              </w:rPr>
            </w:pPr>
            <w:r w:rsidRPr="004C2A59">
              <w:rPr>
                <w:i/>
                <w:color w:val="000000"/>
                <w:sz w:val="22"/>
                <w:szCs w:val="22"/>
                <w:lang w:val="da-DK"/>
              </w:rPr>
              <w:t>Meget almindelig:</w:t>
            </w:r>
          </w:p>
        </w:tc>
        <w:tc>
          <w:tcPr>
            <w:tcW w:w="7087" w:type="dxa"/>
          </w:tcPr>
          <w:p w14:paraId="58205613" w14:textId="77777777" w:rsidR="00F37408" w:rsidRPr="004C2A59" w:rsidRDefault="00F37408" w:rsidP="006C180B">
            <w:pPr>
              <w:keepNext/>
              <w:tabs>
                <w:tab w:val="left" w:pos="567"/>
              </w:tabs>
              <w:rPr>
                <w:color w:val="000000"/>
                <w:sz w:val="22"/>
                <w:szCs w:val="22"/>
                <w:lang w:val="da-DK"/>
              </w:rPr>
            </w:pPr>
            <w:r w:rsidRPr="004C2A59">
              <w:rPr>
                <w:color w:val="000000"/>
                <w:sz w:val="22"/>
                <w:szCs w:val="22"/>
              </w:rPr>
              <w:t>Vægtstigning</w:t>
            </w:r>
          </w:p>
        </w:tc>
      </w:tr>
      <w:tr w:rsidR="00F37408" w:rsidRPr="004C2A59" w14:paraId="23E6E891" w14:textId="77777777" w:rsidTr="006C180B">
        <w:trPr>
          <w:cantSplit/>
        </w:trPr>
        <w:tc>
          <w:tcPr>
            <w:tcW w:w="2235" w:type="dxa"/>
          </w:tcPr>
          <w:p w14:paraId="7ECB9EF6" w14:textId="77777777" w:rsidR="00F37408" w:rsidRPr="004C2A59" w:rsidRDefault="00F37408" w:rsidP="006C180B">
            <w:pPr>
              <w:keepNext/>
              <w:tabs>
                <w:tab w:val="left" w:pos="567"/>
              </w:tabs>
              <w:rPr>
                <w:color w:val="000000"/>
                <w:sz w:val="22"/>
                <w:szCs w:val="22"/>
                <w:lang w:val="da-DK"/>
              </w:rPr>
            </w:pPr>
            <w:r w:rsidRPr="004C2A59">
              <w:rPr>
                <w:i/>
                <w:color w:val="000000"/>
                <w:sz w:val="22"/>
                <w:szCs w:val="22"/>
                <w:lang w:val="da-DK"/>
              </w:rPr>
              <w:t>Almindelig</w:t>
            </w:r>
            <w:r w:rsidRPr="004C2A59">
              <w:rPr>
                <w:color w:val="000000"/>
                <w:sz w:val="22"/>
                <w:szCs w:val="22"/>
                <w:lang w:val="da-DK"/>
              </w:rPr>
              <w:t>:</w:t>
            </w:r>
          </w:p>
        </w:tc>
        <w:tc>
          <w:tcPr>
            <w:tcW w:w="7087" w:type="dxa"/>
          </w:tcPr>
          <w:p w14:paraId="649E31BC" w14:textId="77777777" w:rsidR="00F37408" w:rsidRPr="004C2A59" w:rsidRDefault="00F37408" w:rsidP="006C180B">
            <w:pPr>
              <w:keepNext/>
              <w:tabs>
                <w:tab w:val="left" w:pos="567"/>
              </w:tabs>
              <w:rPr>
                <w:color w:val="000000"/>
                <w:sz w:val="22"/>
                <w:szCs w:val="22"/>
                <w:lang w:val="da-DK"/>
              </w:rPr>
            </w:pPr>
            <w:r w:rsidRPr="004C2A59">
              <w:rPr>
                <w:color w:val="000000"/>
                <w:sz w:val="22"/>
                <w:szCs w:val="22"/>
                <w:lang w:val="da-DK"/>
              </w:rPr>
              <w:t>Vægttab</w:t>
            </w:r>
          </w:p>
        </w:tc>
      </w:tr>
      <w:tr w:rsidR="00F37408" w:rsidRPr="00F852D1" w14:paraId="37BD4D5A" w14:textId="77777777" w:rsidTr="006C180B">
        <w:trPr>
          <w:cantSplit/>
        </w:trPr>
        <w:tc>
          <w:tcPr>
            <w:tcW w:w="2235" w:type="dxa"/>
          </w:tcPr>
          <w:p w14:paraId="6C74D266" w14:textId="77777777" w:rsidR="00F37408" w:rsidRPr="004C2A59" w:rsidRDefault="00F37408" w:rsidP="006C180B">
            <w:pPr>
              <w:keepNext/>
              <w:tabs>
                <w:tab w:val="left" w:pos="567"/>
              </w:tabs>
              <w:rPr>
                <w:color w:val="000000"/>
                <w:sz w:val="22"/>
                <w:szCs w:val="22"/>
                <w:lang w:val="da-DK"/>
              </w:rPr>
            </w:pPr>
            <w:r w:rsidRPr="004C2A59">
              <w:rPr>
                <w:i/>
                <w:color w:val="000000"/>
                <w:sz w:val="22"/>
                <w:szCs w:val="22"/>
                <w:lang w:val="da-DK"/>
              </w:rPr>
              <w:t>Ikke almindelig</w:t>
            </w:r>
            <w:r w:rsidRPr="004C2A59">
              <w:rPr>
                <w:color w:val="000000"/>
                <w:sz w:val="22"/>
                <w:szCs w:val="22"/>
                <w:lang w:val="da-DK"/>
              </w:rPr>
              <w:t>:</w:t>
            </w:r>
          </w:p>
        </w:tc>
        <w:tc>
          <w:tcPr>
            <w:tcW w:w="7087" w:type="dxa"/>
          </w:tcPr>
          <w:p w14:paraId="58B87715" w14:textId="77777777" w:rsidR="00F37408" w:rsidRPr="004C2A59" w:rsidRDefault="001B2273" w:rsidP="006C180B">
            <w:pPr>
              <w:keepNext/>
              <w:tabs>
                <w:tab w:val="left" w:pos="567"/>
              </w:tabs>
              <w:rPr>
                <w:color w:val="000000"/>
                <w:sz w:val="22"/>
                <w:szCs w:val="22"/>
                <w:lang w:val="da-DK"/>
              </w:rPr>
            </w:pPr>
            <w:r w:rsidRPr="004C2A59">
              <w:rPr>
                <w:color w:val="000000"/>
                <w:sz w:val="22"/>
                <w:szCs w:val="22"/>
                <w:lang w:val="da-DK"/>
              </w:rPr>
              <w:t>F</w:t>
            </w:r>
            <w:r w:rsidR="00F37408" w:rsidRPr="004C2A59">
              <w:rPr>
                <w:color w:val="000000"/>
                <w:sz w:val="22"/>
                <w:szCs w:val="22"/>
                <w:lang w:val="da-DK"/>
              </w:rPr>
              <w:t xml:space="preserve">orhøjet </w:t>
            </w:r>
            <w:r w:rsidR="00D269D9" w:rsidRPr="004C2A59">
              <w:rPr>
                <w:color w:val="000000"/>
                <w:sz w:val="22"/>
                <w:szCs w:val="22"/>
                <w:lang w:val="da-DK"/>
              </w:rPr>
              <w:t>serum</w:t>
            </w:r>
            <w:r w:rsidR="00F37408" w:rsidRPr="004C2A59">
              <w:rPr>
                <w:color w:val="000000"/>
                <w:sz w:val="22"/>
                <w:szCs w:val="22"/>
                <w:lang w:val="da-DK"/>
              </w:rPr>
              <w:t xml:space="preserve">kreatinin, </w:t>
            </w:r>
            <w:r w:rsidR="00D269D9" w:rsidRPr="004C2A59">
              <w:rPr>
                <w:color w:val="000000"/>
                <w:sz w:val="22"/>
                <w:szCs w:val="22"/>
                <w:lang w:val="da-DK"/>
              </w:rPr>
              <w:t>forhøjet</w:t>
            </w:r>
            <w:r w:rsidR="00F37408" w:rsidRPr="004C2A59">
              <w:rPr>
                <w:color w:val="000000"/>
                <w:sz w:val="22"/>
                <w:szCs w:val="22"/>
                <w:lang w:val="da-DK"/>
              </w:rPr>
              <w:t xml:space="preserve"> </w:t>
            </w:r>
            <w:r w:rsidR="00F37408" w:rsidRPr="00556F07">
              <w:rPr>
                <w:color w:val="000000"/>
                <w:sz w:val="22"/>
                <w:szCs w:val="22"/>
                <w:lang w:val="da-DK"/>
              </w:rPr>
              <w:t>serumkre</w:t>
            </w:r>
            <w:r w:rsidR="00403EC3" w:rsidRPr="00556F07">
              <w:rPr>
                <w:color w:val="000000"/>
                <w:sz w:val="22"/>
                <w:szCs w:val="22"/>
                <w:lang w:val="da-DK"/>
              </w:rPr>
              <w:t>atinkinase o</w:t>
            </w:r>
            <w:r w:rsidR="00403EC3" w:rsidRPr="004C2A59">
              <w:rPr>
                <w:color w:val="000000"/>
                <w:sz w:val="22"/>
                <w:szCs w:val="22"/>
                <w:lang w:val="da-DK"/>
              </w:rPr>
              <w:t xml:space="preserve">g </w:t>
            </w:r>
            <w:r w:rsidR="00712FDC" w:rsidRPr="004C2A59">
              <w:rPr>
                <w:color w:val="000000"/>
                <w:sz w:val="22"/>
                <w:szCs w:val="22"/>
                <w:lang w:val="da-DK"/>
              </w:rPr>
              <w:t>forhøjet</w:t>
            </w:r>
            <w:r w:rsidR="00403EC3" w:rsidRPr="004C2A59">
              <w:rPr>
                <w:color w:val="000000"/>
                <w:sz w:val="22"/>
                <w:szCs w:val="22"/>
                <w:lang w:val="da-DK"/>
              </w:rPr>
              <w:t xml:space="preserve"> serumlak</w:t>
            </w:r>
            <w:r w:rsidR="00F37408" w:rsidRPr="004C2A59">
              <w:rPr>
                <w:color w:val="000000"/>
                <w:sz w:val="22"/>
                <w:szCs w:val="22"/>
                <w:lang w:val="da-DK"/>
              </w:rPr>
              <w:t>tatdehydrogenase</w:t>
            </w:r>
            <w:r w:rsidRPr="004C2A59">
              <w:rPr>
                <w:color w:val="000000"/>
                <w:sz w:val="22"/>
                <w:szCs w:val="22"/>
                <w:lang w:val="da-DK"/>
              </w:rPr>
              <w:t>, forhøjet alkalisk fosfatase</w:t>
            </w:r>
          </w:p>
        </w:tc>
      </w:tr>
      <w:tr w:rsidR="00F37408" w:rsidRPr="004C2A59" w14:paraId="5294131D" w14:textId="77777777" w:rsidTr="006C180B">
        <w:trPr>
          <w:cantSplit/>
        </w:trPr>
        <w:tc>
          <w:tcPr>
            <w:tcW w:w="2235" w:type="dxa"/>
          </w:tcPr>
          <w:p w14:paraId="744D3EAC" w14:textId="77777777" w:rsidR="00F37408" w:rsidRPr="004C2A59" w:rsidRDefault="00F37408" w:rsidP="006C180B">
            <w:pPr>
              <w:keepNext/>
              <w:tabs>
                <w:tab w:val="left" w:pos="567"/>
              </w:tabs>
              <w:rPr>
                <w:i/>
                <w:color w:val="000000"/>
                <w:sz w:val="22"/>
                <w:szCs w:val="22"/>
                <w:lang w:val="da-DK"/>
              </w:rPr>
            </w:pPr>
            <w:r w:rsidRPr="004C2A59">
              <w:rPr>
                <w:i/>
                <w:color w:val="000000"/>
                <w:sz w:val="22"/>
                <w:szCs w:val="22"/>
                <w:lang w:val="da-DK"/>
              </w:rPr>
              <w:t>Sjælden:</w:t>
            </w:r>
          </w:p>
        </w:tc>
        <w:tc>
          <w:tcPr>
            <w:tcW w:w="7087" w:type="dxa"/>
          </w:tcPr>
          <w:p w14:paraId="526A498A" w14:textId="77777777" w:rsidR="00F37408" w:rsidRPr="004C2A59" w:rsidRDefault="00F37408" w:rsidP="006C180B">
            <w:pPr>
              <w:keepNext/>
              <w:tabs>
                <w:tab w:val="left" w:pos="567"/>
              </w:tabs>
              <w:rPr>
                <w:color w:val="000000"/>
                <w:sz w:val="22"/>
                <w:szCs w:val="22"/>
                <w:lang w:val="da-DK"/>
              </w:rPr>
            </w:pPr>
            <w:r w:rsidRPr="004C2A59">
              <w:rPr>
                <w:color w:val="000000"/>
                <w:sz w:val="22"/>
                <w:szCs w:val="22"/>
                <w:lang w:val="da-DK"/>
              </w:rPr>
              <w:t>Forhøjet serumamylase</w:t>
            </w:r>
          </w:p>
        </w:tc>
      </w:tr>
    </w:tbl>
    <w:p w14:paraId="15AE3387" w14:textId="77777777" w:rsidR="00F37408" w:rsidRPr="004C2A59" w:rsidRDefault="00F37408" w:rsidP="006C180B">
      <w:pPr>
        <w:keepNext/>
        <w:widowControl w:val="0"/>
        <w:ind w:left="567" w:hanging="567"/>
        <w:rPr>
          <w:color w:val="000000"/>
          <w:sz w:val="22"/>
          <w:szCs w:val="22"/>
          <w:lang w:val="da-DK"/>
        </w:rPr>
      </w:pPr>
    </w:p>
    <w:p w14:paraId="56FB7C69" w14:textId="77777777" w:rsidR="00C76EB9" w:rsidRPr="004C2A59" w:rsidRDefault="00C76EB9" w:rsidP="006C180B">
      <w:pPr>
        <w:keepNext/>
        <w:keepLines/>
        <w:widowControl w:val="0"/>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t xml:space="preserve">Denne type </w:t>
      </w:r>
      <w:r w:rsidR="00B90A79" w:rsidRPr="004C2A59">
        <w:rPr>
          <w:color w:val="000000"/>
          <w:sz w:val="22"/>
          <w:szCs w:val="22"/>
          <w:lang w:val="da-DK"/>
        </w:rPr>
        <w:t>bivirkninger</w:t>
      </w:r>
      <w:r w:rsidRPr="004C2A59">
        <w:rPr>
          <w:color w:val="000000"/>
          <w:sz w:val="22"/>
          <w:szCs w:val="22"/>
          <w:lang w:val="da-DK"/>
        </w:rPr>
        <w:t xml:space="preserve"> er hovedsageligt blevet rapportere</w:t>
      </w:r>
      <w:r w:rsidR="004B2A4B" w:rsidRPr="004C2A59">
        <w:rPr>
          <w:color w:val="000000"/>
          <w:sz w:val="22"/>
          <w:szCs w:val="22"/>
          <w:lang w:val="da-DK"/>
        </w:rPr>
        <w:t>t efter</w:t>
      </w:r>
      <w:r w:rsidR="001F0D62" w:rsidRPr="004C2A59">
        <w:rPr>
          <w:color w:val="000000"/>
          <w:sz w:val="22"/>
          <w:szCs w:val="22"/>
          <w:lang w:val="da-DK"/>
        </w:rPr>
        <w:t xml:space="preserve"> </w:t>
      </w:r>
      <w:r w:rsidRPr="004C2A59">
        <w:rPr>
          <w:color w:val="000000"/>
          <w:sz w:val="22"/>
          <w:szCs w:val="22"/>
          <w:lang w:val="da-DK"/>
        </w:rPr>
        <w:t>markedsføring</w:t>
      </w:r>
      <w:r w:rsidR="00BD34CE" w:rsidRPr="004C2A59">
        <w:rPr>
          <w:color w:val="000000"/>
          <w:sz w:val="22"/>
          <w:szCs w:val="22"/>
          <w:lang w:val="da-DK"/>
        </w:rPr>
        <w:t xml:space="preserve"> af Glivec</w:t>
      </w:r>
      <w:r w:rsidRPr="004C2A59">
        <w:rPr>
          <w:color w:val="000000"/>
          <w:sz w:val="22"/>
          <w:szCs w:val="22"/>
          <w:lang w:val="da-DK"/>
        </w:rPr>
        <w:t>. Det inkluderer spontane kasuisti</w:t>
      </w:r>
      <w:r w:rsidR="008F17EF" w:rsidRPr="004C2A59">
        <w:rPr>
          <w:color w:val="000000"/>
          <w:sz w:val="22"/>
          <w:szCs w:val="22"/>
          <w:lang w:val="da-DK"/>
        </w:rPr>
        <w:t>k</w:t>
      </w:r>
      <w:r w:rsidRPr="004C2A59">
        <w:rPr>
          <w:color w:val="000000"/>
          <w:sz w:val="22"/>
          <w:szCs w:val="22"/>
          <w:lang w:val="da-DK"/>
        </w:rPr>
        <w:t>ker såvel</w:t>
      </w:r>
      <w:r w:rsidR="004B2A4B" w:rsidRPr="004C2A59">
        <w:rPr>
          <w:color w:val="000000"/>
          <w:sz w:val="22"/>
          <w:szCs w:val="22"/>
          <w:lang w:val="da-DK"/>
        </w:rPr>
        <w:t xml:space="preserve"> som alvorlige bivirkninger fra</w:t>
      </w:r>
      <w:r w:rsidR="001F0D62" w:rsidRPr="004C2A59">
        <w:rPr>
          <w:color w:val="000000"/>
          <w:sz w:val="22"/>
          <w:szCs w:val="22"/>
          <w:lang w:val="da-DK"/>
        </w:rPr>
        <w:t xml:space="preserve"> </w:t>
      </w:r>
      <w:r w:rsidRPr="004C2A59">
        <w:rPr>
          <w:color w:val="000000"/>
          <w:sz w:val="22"/>
          <w:szCs w:val="22"/>
          <w:lang w:val="da-DK"/>
        </w:rPr>
        <w:t xml:space="preserve">igangværende studier, </w:t>
      </w:r>
      <w:r w:rsidR="00314D7F" w:rsidRPr="004C2A59">
        <w:rPr>
          <w:i/>
          <w:color w:val="000000"/>
          <w:sz w:val="22"/>
          <w:szCs w:val="22"/>
          <w:lang w:val="da-DK"/>
        </w:rPr>
        <w:t>expanded access</w:t>
      </w:r>
      <w:r w:rsidR="00314D7F" w:rsidRPr="004C2A59">
        <w:rPr>
          <w:color w:val="000000"/>
          <w:sz w:val="22"/>
          <w:szCs w:val="22"/>
          <w:lang w:val="da-DK"/>
        </w:rPr>
        <w:t xml:space="preserve"> </w:t>
      </w:r>
      <w:r w:rsidRPr="004C2A59">
        <w:rPr>
          <w:color w:val="000000"/>
          <w:sz w:val="22"/>
          <w:szCs w:val="22"/>
          <w:lang w:val="da-DK"/>
        </w:rPr>
        <w:t>programmer,</w:t>
      </w:r>
      <w:r w:rsidR="004B2A4B" w:rsidRPr="004C2A59">
        <w:rPr>
          <w:color w:val="000000"/>
          <w:sz w:val="22"/>
          <w:szCs w:val="22"/>
          <w:lang w:val="da-DK"/>
        </w:rPr>
        <w:t xml:space="preserve"> klinisk farmakologi</w:t>
      </w:r>
      <w:r w:rsidR="00712FDC" w:rsidRPr="004C2A59">
        <w:rPr>
          <w:color w:val="000000"/>
          <w:sz w:val="22"/>
          <w:szCs w:val="22"/>
          <w:lang w:val="da-DK"/>
        </w:rPr>
        <w:t xml:space="preserve">ske </w:t>
      </w:r>
      <w:r w:rsidR="004B2A4B" w:rsidRPr="004C2A59">
        <w:rPr>
          <w:color w:val="000000"/>
          <w:sz w:val="22"/>
          <w:szCs w:val="22"/>
          <w:lang w:val="da-DK"/>
        </w:rPr>
        <w:t>studier og</w:t>
      </w:r>
      <w:r w:rsidR="001F0D62" w:rsidRPr="004C2A59">
        <w:rPr>
          <w:color w:val="000000"/>
          <w:sz w:val="22"/>
          <w:szCs w:val="22"/>
          <w:lang w:val="da-DK"/>
        </w:rPr>
        <w:t xml:space="preserve"> </w:t>
      </w:r>
      <w:r w:rsidR="00314D7F" w:rsidRPr="004C2A59">
        <w:rPr>
          <w:color w:val="000000"/>
          <w:sz w:val="22"/>
          <w:szCs w:val="22"/>
          <w:lang w:val="da-DK"/>
        </w:rPr>
        <w:t xml:space="preserve">eksplorative </w:t>
      </w:r>
      <w:r w:rsidRPr="004C2A59">
        <w:rPr>
          <w:color w:val="000000"/>
          <w:sz w:val="22"/>
          <w:szCs w:val="22"/>
          <w:lang w:val="da-DK"/>
        </w:rPr>
        <w:t xml:space="preserve">studier med ikke godkendte indikationer. Eftersom disse </w:t>
      </w:r>
      <w:r w:rsidR="00B90A79" w:rsidRPr="004C2A59">
        <w:rPr>
          <w:color w:val="000000"/>
          <w:sz w:val="22"/>
          <w:szCs w:val="22"/>
          <w:lang w:val="da-DK"/>
        </w:rPr>
        <w:t>bivirkninger</w:t>
      </w:r>
      <w:r w:rsidR="004B2A4B" w:rsidRPr="004C2A59">
        <w:rPr>
          <w:color w:val="000000"/>
          <w:sz w:val="22"/>
          <w:szCs w:val="22"/>
          <w:lang w:val="da-DK"/>
        </w:rPr>
        <w:t xml:space="preserve"> er rapporteret fra en</w:t>
      </w:r>
      <w:r w:rsidR="001F0D62" w:rsidRPr="004C2A59">
        <w:rPr>
          <w:color w:val="000000"/>
          <w:sz w:val="22"/>
          <w:szCs w:val="22"/>
          <w:lang w:val="da-DK"/>
        </w:rPr>
        <w:t xml:space="preserve"> </w:t>
      </w:r>
      <w:r w:rsidRPr="004C2A59">
        <w:rPr>
          <w:color w:val="000000"/>
          <w:sz w:val="22"/>
          <w:szCs w:val="22"/>
          <w:lang w:val="da-DK"/>
        </w:rPr>
        <w:t>population af ukendt størrelse, er det ikke altid muligt at bestemme</w:t>
      </w:r>
      <w:r w:rsidR="004B2A4B" w:rsidRPr="004C2A59">
        <w:rPr>
          <w:color w:val="000000"/>
          <w:sz w:val="22"/>
          <w:szCs w:val="22"/>
          <w:lang w:val="da-DK"/>
        </w:rPr>
        <w:t xml:space="preserve"> frekvensen pålideligt eller at</w:t>
      </w:r>
      <w:r w:rsidR="001F0D62" w:rsidRPr="004C2A59">
        <w:rPr>
          <w:color w:val="000000"/>
          <w:sz w:val="22"/>
          <w:szCs w:val="22"/>
          <w:lang w:val="da-DK"/>
        </w:rPr>
        <w:t xml:space="preserve"> </w:t>
      </w:r>
      <w:r w:rsidRPr="004C2A59">
        <w:rPr>
          <w:color w:val="000000"/>
          <w:sz w:val="22"/>
          <w:szCs w:val="22"/>
          <w:lang w:val="da-DK"/>
        </w:rPr>
        <w:t xml:space="preserve">fastlægge en kausal sammenhæng med eksponering </w:t>
      </w:r>
      <w:r w:rsidR="00712FDC" w:rsidRPr="004C2A59">
        <w:rPr>
          <w:color w:val="000000"/>
          <w:sz w:val="22"/>
          <w:szCs w:val="22"/>
          <w:lang w:val="da-DK"/>
        </w:rPr>
        <w:t>for</w:t>
      </w:r>
      <w:r w:rsidRPr="004C2A59">
        <w:rPr>
          <w:color w:val="000000"/>
          <w:sz w:val="22"/>
          <w:szCs w:val="22"/>
          <w:lang w:val="da-DK"/>
        </w:rPr>
        <w:t xml:space="preserve"> imatinib.</w:t>
      </w:r>
    </w:p>
    <w:p w14:paraId="08E0B518" w14:textId="77777777" w:rsidR="00E42B15" w:rsidRPr="004C2A59" w:rsidRDefault="00E42B15" w:rsidP="006C180B">
      <w:pPr>
        <w:keepNext/>
        <w:keepLines/>
        <w:widowControl w:val="0"/>
        <w:ind w:left="567" w:hanging="567"/>
        <w:rPr>
          <w:color w:val="000000"/>
          <w:sz w:val="22"/>
          <w:szCs w:val="22"/>
          <w:lang w:val="da-DK"/>
        </w:rPr>
      </w:pPr>
      <w:r w:rsidRPr="004C2A59">
        <w:rPr>
          <w:color w:val="000000"/>
          <w:sz w:val="22"/>
          <w:szCs w:val="22"/>
          <w:lang w:val="da-DK"/>
        </w:rPr>
        <w:t>1</w:t>
      </w:r>
      <w:r w:rsidRPr="004C2A59">
        <w:rPr>
          <w:color w:val="000000"/>
          <w:sz w:val="22"/>
          <w:szCs w:val="22"/>
          <w:lang w:val="da-DK"/>
        </w:rPr>
        <w:tab/>
      </w:r>
      <w:r w:rsidR="006221C2" w:rsidRPr="004C2A59">
        <w:rPr>
          <w:color w:val="000000"/>
          <w:sz w:val="22"/>
          <w:szCs w:val="22"/>
          <w:lang w:val="da-DK"/>
        </w:rPr>
        <w:t>Pneumoni blev oftest observeret hos patienter med transformeret CML og hos patienter med GIST.</w:t>
      </w:r>
    </w:p>
    <w:p w14:paraId="2F90113E" w14:textId="77777777" w:rsidR="00361FE5" w:rsidRPr="004C2A59" w:rsidRDefault="00361FE5" w:rsidP="006C180B">
      <w:pPr>
        <w:keepNext/>
        <w:keepLines/>
        <w:widowControl w:val="0"/>
        <w:ind w:left="567" w:hanging="567"/>
        <w:rPr>
          <w:color w:val="000000"/>
          <w:sz w:val="22"/>
          <w:szCs w:val="22"/>
          <w:lang w:val="da-DK"/>
        </w:rPr>
      </w:pPr>
      <w:r w:rsidRPr="004C2A59">
        <w:rPr>
          <w:color w:val="000000"/>
          <w:sz w:val="22"/>
          <w:szCs w:val="22"/>
          <w:lang w:val="da-DK"/>
        </w:rPr>
        <w:t>2</w:t>
      </w:r>
      <w:r w:rsidRPr="004C2A59">
        <w:rPr>
          <w:color w:val="000000"/>
          <w:sz w:val="22"/>
          <w:szCs w:val="22"/>
          <w:lang w:val="da-DK"/>
        </w:rPr>
        <w:tab/>
        <w:t xml:space="preserve">Hovedpine var </w:t>
      </w:r>
      <w:r w:rsidR="00B90A79" w:rsidRPr="004C2A59">
        <w:rPr>
          <w:color w:val="000000"/>
          <w:sz w:val="22"/>
          <w:szCs w:val="22"/>
          <w:lang w:val="da-DK"/>
        </w:rPr>
        <w:t xml:space="preserve">hyppigst </w:t>
      </w:r>
      <w:r w:rsidRPr="004C2A59">
        <w:rPr>
          <w:color w:val="000000"/>
          <w:sz w:val="22"/>
          <w:szCs w:val="22"/>
          <w:lang w:val="da-DK"/>
        </w:rPr>
        <w:t>hos GIST</w:t>
      </w:r>
      <w:r w:rsidR="003E0A30" w:rsidRPr="004C2A59">
        <w:rPr>
          <w:color w:val="000000"/>
          <w:sz w:val="22"/>
          <w:szCs w:val="22"/>
          <w:lang w:val="da-DK"/>
        </w:rPr>
        <w:noBreakHyphen/>
      </w:r>
      <w:r w:rsidRPr="004C2A59">
        <w:rPr>
          <w:color w:val="000000"/>
          <w:sz w:val="22"/>
          <w:szCs w:val="22"/>
          <w:lang w:val="da-DK"/>
        </w:rPr>
        <w:t>patienter.</w:t>
      </w:r>
    </w:p>
    <w:p w14:paraId="44F241DA" w14:textId="77777777" w:rsidR="006221C2" w:rsidRPr="004C2A59" w:rsidRDefault="00361FE5" w:rsidP="006C180B">
      <w:pPr>
        <w:keepNext/>
        <w:keepLines/>
        <w:widowControl w:val="0"/>
        <w:ind w:left="567" w:hanging="567"/>
        <w:rPr>
          <w:color w:val="000000"/>
          <w:sz w:val="22"/>
          <w:szCs w:val="22"/>
          <w:lang w:val="da-DK"/>
        </w:rPr>
      </w:pPr>
      <w:r w:rsidRPr="004C2A59">
        <w:rPr>
          <w:color w:val="000000"/>
          <w:sz w:val="22"/>
          <w:szCs w:val="22"/>
          <w:lang w:val="da-DK"/>
        </w:rPr>
        <w:t>3</w:t>
      </w:r>
      <w:r w:rsidRPr="004C2A59">
        <w:rPr>
          <w:color w:val="000000"/>
          <w:sz w:val="22"/>
          <w:szCs w:val="22"/>
          <w:lang w:val="da-DK"/>
        </w:rPr>
        <w:tab/>
      </w:r>
      <w:r w:rsidR="006221C2" w:rsidRPr="004C2A59">
        <w:rPr>
          <w:color w:val="000000"/>
          <w:sz w:val="22"/>
          <w:szCs w:val="22"/>
          <w:lang w:val="da-DK"/>
        </w:rPr>
        <w:t>På patientårsbasis blev kardielle hændelser, herunder hjerte</w:t>
      </w:r>
      <w:r w:rsidR="001B2273" w:rsidRPr="004C2A59">
        <w:rPr>
          <w:color w:val="000000"/>
          <w:sz w:val="22"/>
          <w:szCs w:val="22"/>
          <w:lang w:val="da-DK"/>
        </w:rPr>
        <w:t>insufficiens</w:t>
      </w:r>
      <w:r w:rsidR="006221C2" w:rsidRPr="004C2A59">
        <w:rPr>
          <w:color w:val="000000"/>
          <w:sz w:val="22"/>
          <w:szCs w:val="22"/>
          <w:lang w:val="da-DK"/>
        </w:rPr>
        <w:t xml:space="preserve">, observeret oftere hos patienter med transformeret CML </w:t>
      </w:r>
      <w:r w:rsidR="001B2273" w:rsidRPr="004C2A59">
        <w:rPr>
          <w:color w:val="000000"/>
          <w:sz w:val="22"/>
          <w:szCs w:val="22"/>
          <w:lang w:val="da-DK"/>
        </w:rPr>
        <w:t>end hos</w:t>
      </w:r>
      <w:r w:rsidR="006221C2" w:rsidRPr="004C2A59">
        <w:rPr>
          <w:color w:val="000000"/>
          <w:sz w:val="22"/>
          <w:szCs w:val="22"/>
          <w:lang w:val="da-DK"/>
        </w:rPr>
        <w:t xml:space="preserve"> patienter med kronisk CML.</w:t>
      </w:r>
    </w:p>
    <w:p w14:paraId="1CD5293B" w14:textId="77777777" w:rsidR="006221C2" w:rsidRPr="004C2A59" w:rsidRDefault="006221C2" w:rsidP="006C180B">
      <w:pPr>
        <w:keepNext/>
        <w:keepLines/>
        <w:widowControl w:val="0"/>
        <w:ind w:left="567" w:hanging="567"/>
        <w:rPr>
          <w:color w:val="000000"/>
          <w:sz w:val="22"/>
          <w:szCs w:val="22"/>
          <w:lang w:val="da-DK"/>
        </w:rPr>
      </w:pPr>
      <w:r w:rsidRPr="004C2A59">
        <w:rPr>
          <w:color w:val="000000"/>
          <w:sz w:val="22"/>
          <w:szCs w:val="22"/>
          <w:lang w:val="da-DK"/>
        </w:rPr>
        <w:t>4</w:t>
      </w:r>
      <w:r w:rsidRPr="004C2A59">
        <w:rPr>
          <w:color w:val="000000"/>
          <w:sz w:val="22"/>
          <w:szCs w:val="22"/>
          <w:lang w:val="da-DK"/>
        </w:rPr>
        <w:tab/>
      </w:r>
      <w:r w:rsidR="001B2273" w:rsidRPr="004C2A59">
        <w:rPr>
          <w:i/>
          <w:color w:val="000000"/>
          <w:sz w:val="22"/>
          <w:szCs w:val="22"/>
          <w:lang w:val="da-DK"/>
        </w:rPr>
        <w:t>Flushing</w:t>
      </w:r>
      <w:r w:rsidRPr="004C2A59">
        <w:rPr>
          <w:color w:val="000000"/>
          <w:sz w:val="22"/>
          <w:szCs w:val="22"/>
          <w:lang w:val="da-DK"/>
        </w:rPr>
        <w:t xml:space="preserve"> var almindelig</w:t>
      </w:r>
      <w:r w:rsidR="001B2273" w:rsidRPr="004C2A59">
        <w:rPr>
          <w:color w:val="000000"/>
          <w:sz w:val="22"/>
          <w:szCs w:val="22"/>
          <w:lang w:val="da-DK"/>
        </w:rPr>
        <w:t>s</w:t>
      </w:r>
      <w:r w:rsidRPr="004C2A59">
        <w:rPr>
          <w:color w:val="000000"/>
          <w:sz w:val="22"/>
          <w:szCs w:val="22"/>
          <w:lang w:val="da-DK"/>
        </w:rPr>
        <w:t>t host patienter med GIST</w:t>
      </w:r>
      <w:r w:rsidR="001B2273" w:rsidRPr="004C2A59">
        <w:rPr>
          <w:color w:val="000000"/>
          <w:sz w:val="22"/>
          <w:szCs w:val="22"/>
          <w:lang w:val="da-DK"/>
        </w:rPr>
        <w:t>,</w:t>
      </w:r>
      <w:r w:rsidRPr="004C2A59">
        <w:rPr>
          <w:color w:val="000000"/>
          <w:sz w:val="22"/>
          <w:szCs w:val="22"/>
          <w:lang w:val="da-DK"/>
        </w:rPr>
        <w:t xml:space="preserve"> og blødning (hæmatom og blødning) var almindelig</w:t>
      </w:r>
      <w:r w:rsidR="001B2273" w:rsidRPr="004C2A59">
        <w:rPr>
          <w:color w:val="000000"/>
          <w:sz w:val="22"/>
          <w:szCs w:val="22"/>
          <w:lang w:val="da-DK"/>
        </w:rPr>
        <w:t>s</w:t>
      </w:r>
      <w:r w:rsidRPr="004C2A59">
        <w:rPr>
          <w:color w:val="000000"/>
          <w:sz w:val="22"/>
          <w:szCs w:val="22"/>
          <w:lang w:val="da-DK"/>
        </w:rPr>
        <w:t>t hos patienter med GIST og med transformeret CML (CML</w:t>
      </w:r>
      <w:r w:rsidRPr="004C2A59">
        <w:rPr>
          <w:color w:val="000000"/>
          <w:sz w:val="22"/>
          <w:szCs w:val="22"/>
          <w:lang w:val="da-DK"/>
        </w:rPr>
        <w:noBreakHyphen/>
        <w:t>AP og CML</w:t>
      </w:r>
      <w:r w:rsidRPr="004C2A59">
        <w:rPr>
          <w:color w:val="000000"/>
          <w:sz w:val="22"/>
          <w:szCs w:val="22"/>
          <w:lang w:val="da-DK"/>
        </w:rPr>
        <w:noBreakHyphen/>
        <w:t>BC).</w:t>
      </w:r>
    </w:p>
    <w:p w14:paraId="389B7887" w14:textId="77777777" w:rsidR="006221C2" w:rsidRPr="004C2A59" w:rsidRDefault="006221C2" w:rsidP="006C180B">
      <w:pPr>
        <w:keepNext/>
        <w:keepLines/>
        <w:widowControl w:val="0"/>
        <w:ind w:left="567" w:hanging="567"/>
        <w:rPr>
          <w:color w:val="000000"/>
          <w:sz w:val="22"/>
          <w:szCs w:val="22"/>
          <w:lang w:val="da-DK"/>
        </w:rPr>
      </w:pPr>
      <w:r w:rsidRPr="004C2A59">
        <w:rPr>
          <w:color w:val="000000"/>
          <w:sz w:val="22"/>
          <w:szCs w:val="22"/>
          <w:lang w:val="da-DK"/>
        </w:rPr>
        <w:t>5</w:t>
      </w:r>
      <w:r w:rsidRPr="004C2A59">
        <w:rPr>
          <w:color w:val="000000"/>
          <w:sz w:val="22"/>
          <w:szCs w:val="22"/>
          <w:lang w:val="da-DK"/>
        </w:rPr>
        <w:tab/>
        <w:t>Pleural</w:t>
      </w:r>
      <w:r w:rsidR="001B2273" w:rsidRPr="004C2A59">
        <w:rPr>
          <w:color w:val="000000"/>
          <w:sz w:val="22"/>
          <w:szCs w:val="22"/>
          <w:lang w:val="da-DK"/>
        </w:rPr>
        <w:t xml:space="preserve"> effusion</w:t>
      </w:r>
      <w:r w:rsidRPr="004C2A59">
        <w:rPr>
          <w:color w:val="000000"/>
          <w:sz w:val="22"/>
          <w:szCs w:val="22"/>
          <w:lang w:val="da-DK"/>
        </w:rPr>
        <w:t xml:space="preserve"> blev observeret </w:t>
      </w:r>
      <w:r w:rsidR="00234640" w:rsidRPr="004C2A59">
        <w:rPr>
          <w:color w:val="000000"/>
          <w:sz w:val="22"/>
          <w:szCs w:val="22"/>
          <w:lang w:val="da-DK"/>
        </w:rPr>
        <w:t xml:space="preserve">oftere </w:t>
      </w:r>
      <w:r w:rsidRPr="004C2A59">
        <w:rPr>
          <w:color w:val="000000"/>
          <w:sz w:val="22"/>
          <w:szCs w:val="22"/>
          <w:lang w:val="da-DK"/>
        </w:rPr>
        <w:t>hos patienter med GIST og hos patienter med transformeret CML (CML</w:t>
      </w:r>
      <w:r w:rsidRPr="004C2A59">
        <w:rPr>
          <w:color w:val="000000"/>
          <w:sz w:val="22"/>
          <w:szCs w:val="22"/>
          <w:lang w:val="da-DK"/>
        </w:rPr>
        <w:noBreakHyphen/>
        <w:t>AP og CML</w:t>
      </w:r>
      <w:r w:rsidRPr="004C2A59">
        <w:rPr>
          <w:color w:val="000000"/>
          <w:sz w:val="22"/>
          <w:szCs w:val="22"/>
          <w:lang w:val="da-DK"/>
        </w:rPr>
        <w:noBreakHyphen/>
        <w:t>BC) end hos patienter med kronisk CML.</w:t>
      </w:r>
    </w:p>
    <w:p w14:paraId="3F6BA072" w14:textId="77777777" w:rsidR="006221C2" w:rsidRPr="004C2A59" w:rsidRDefault="006221C2" w:rsidP="006C180B">
      <w:pPr>
        <w:keepNext/>
        <w:keepLines/>
        <w:widowControl w:val="0"/>
        <w:ind w:left="567" w:hanging="567"/>
        <w:rPr>
          <w:color w:val="000000"/>
          <w:sz w:val="22"/>
          <w:szCs w:val="22"/>
          <w:lang w:val="da-DK"/>
        </w:rPr>
      </w:pPr>
      <w:r w:rsidRPr="004C2A59">
        <w:rPr>
          <w:color w:val="000000"/>
          <w:sz w:val="22"/>
          <w:szCs w:val="22"/>
          <w:lang w:val="da-DK"/>
        </w:rPr>
        <w:t>6+7</w:t>
      </w:r>
      <w:r w:rsidRPr="004C2A59">
        <w:rPr>
          <w:color w:val="000000"/>
          <w:sz w:val="22"/>
          <w:szCs w:val="22"/>
          <w:lang w:val="da-DK"/>
        </w:rPr>
        <w:tab/>
        <w:t>Abdominalsmerter og gastrointestinalblødning blev oftest observeret hos patienter med GIST.</w:t>
      </w:r>
    </w:p>
    <w:p w14:paraId="1EF7013E" w14:textId="77777777" w:rsidR="006221C2" w:rsidRPr="004C2A59" w:rsidRDefault="006221C2" w:rsidP="006C180B">
      <w:pPr>
        <w:keepNext/>
        <w:keepLines/>
        <w:widowControl w:val="0"/>
        <w:ind w:left="567" w:hanging="567"/>
        <w:rPr>
          <w:color w:val="000000"/>
          <w:sz w:val="22"/>
          <w:szCs w:val="22"/>
          <w:lang w:val="da-DK"/>
        </w:rPr>
      </w:pPr>
      <w:r w:rsidRPr="004C2A59">
        <w:rPr>
          <w:color w:val="000000"/>
          <w:sz w:val="22"/>
          <w:szCs w:val="22"/>
          <w:lang w:val="da-DK"/>
        </w:rPr>
        <w:t>8</w:t>
      </w:r>
      <w:r w:rsidRPr="004C2A59">
        <w:rPr>
          <w:color w:val="000000"/>
          <w:sz w:val="22"/>
          <w:szCs w:val="22"/>
          <w:lang w:val="da-DK"/>
        </w:rPr>
        <w:tab/>
        <w:t xml:space="preserve">Der er rapporteret tilfælde af </w:t>
      </w:r>
      <w:r w:rsidR="001B2273" w:rsidRPr="004C2A59">
        <w:rPr>
          <w:color w:val="000000"/>
          <w:sz w:val="22"/>
          <w:szCs w:val="22"/>
          <w:lang w:val="da-DK"/>
        </w:rPr>
        <w:t>le</w:t>
      </w:r>
      <w:r w:rsidRPr="004C2A59">
        <w:rPr>
          <w:color w:val="000000"/>
          <w:sz w:val="22"/>
          <w:szCs w:val="22"/>
          <w:lang w:val="da-DK"/>
        </w:rPr>
        <w:t>talt leversvigt og levernekrose.</w:t>
      </w:r>
    </w:p>
    <w:p w14:paraId="04F77A79" w14:textId="77777777" w:rsidR="00000C01" w:rsidRDefault="006221C2" w:rsidP="006C180B">
      <w:pPr>
        <w:keepNext/>
        <w:keepLines/>
        <w:widowControl w:val="0"/>
        <w:ind w:left="567" w:hanging="567"/>
        <w:rPr>
          <w:color w:val="000000"/>
          <w:sz w:val="22"/>
          <w:szCs w:val="22"/>
          <w:lang w:val="da-DK"/>
        </w:rPr>
      </w:pPr>
      <w:r w:rsidRPr="004C2A59">
        <w:rPr>
          <w:color w:val="000000"/>
          <w:sz w:val="22"/>
          <w:szCs w:val="22"/>
          <w:lang w:val="da-DK"/>
        </w:rPr>
        <w:t>9</w:t>
      </w:r>
      <w:r w:rsidRPr="004C2A59">
        <w:rPr>
          <w:color w:val="000000"/>
          <w:sz w:val="22"/>
          <w:szCs w:val="22"/>
          <w:lang w:val="da-DK"/>
        </w:rPr>
        <w:tab/>
      </w:r>
      <w:r w:rsidR="00000C01">
        <w:rPr>
          <w:color w:val="000000"/>
          <w:sz w:val="22"/>
          <w:szCs w:val="22"/>
          <w:lang w:val="da-DK"/>
        </w:rPr>
        <w:t>Muskuloskeletal</w:t>
      </w:r>
      <w:r w:rsidR="000A2A89">
        <w:rPr>
          <w:color w:val="000000"/>
          <w:sz w:val="22"/>
          <w:szCs w:val="22"/>
          <w:lang w:val="da-DK"/>
        </w:rPr>
        <w:t>e</w:t>
      </w:r>
      <w:r w:rsidR="00000C01">
        <w:rPr>
          <w:color w:val="000000"/>
          <w:sz w:val="22"/>
          <w:szCs w:val="22"/>
          <w:lang w:val="da-DK"/>
        </w:rPr>
        <w:t xml:space="preserve"> smerte</w:t>
      </w:r>
      <w:r w:rsidR="000A2A89">
        <w:rPr>
          <w:color w:val="000000"/>
          <w:sz w:val="22"/>
          <w:szCs w:val="22"/>
          <w:lang w:val="da-DK"/>
        </w:rPr>
        <w:t>r</w:t>
      </w:r>
      <w:r w:rsidR="00000C01">
        <w:rPr>
          <w:color w:val="000000"/>
          <w:sz w:val="22"/>
          <w:szCs w:val="22"/>
          <w:lang w:val="da-DK"/>
        </w:rPr>
        <w:t xml:space="preserve"> under behandling med </w:t>
      </w:r>
      <w:r w:rsidR="00000C01" w:rsidRPr="00BE3BD9">
        <w:rPr>
          <w:color w:val="000000"/>
          <w:sz w:val="22"/>
          <w:szCs w:val="22"/>
          <w:lang w:val="da-DK"/>
        </w:rPr>
        <w:t xml:space="preserve">imatinib eller efter </w:t>
      </w:r>
      <w:r w:rsidR="000A2A89" w:rsidRPr="00BE3BD9">
        <w:rPr>
          <w:color w:val="000000"/>
          <w:sz w:val="22"/>
          <w:szCs w:val="22"/>
          <w:lang w:val="da-DK"/>
        </w:rPr>
        <w:t xml:space="preserve">seponering </w:t>
      </w:r>
      <w:r w:rsidR="00ED5084" w:rsidRPr="00BE3BD9">
        <w:rPr>
          <w:color w:val="000000"/>
          <w:sz w:val="22"/>
          <w:szCs w:val="22"/>
          <w:lang w:val="da-DK"/>
        </w:rPr>
        <w:t>er blevet</w:t>
      </w:r>
      <w:r w:rsidR="00ED5084">
        <w:rPr>
          <w:color w:val="000000"/>
          <w:sz w:val="22"/>
          <w:szCs w:val="22"/>
          <w:lang w:val="da-DK"/>
        </w:rPr>
        <w:t xml:space="preserve"> observeret efter markedsføring.</w:t>
      </w:r>
    </w:p>
    <w:p w14:paraId="25222A5B" w14:textId="77777777" w:rsidR="006221C2" w:rsidRPr="004C2A59" w:rsidRDefault="00000C01" w:rsidP="006C180B">
      <w:pPr>
        <w:keepNext/>
        <w:keepLines/>
        <w:widowControl w:val="0"/>
        <w:ind w:left="567" w:hanging="567"/>
        <w:rPr>
          <w:color w:val="000000"/>
          <w:sz w:val="22"/>
          <w:szCs w:val="22"/>
          <w:lang w:val="da-DK"/>
        </w:rPr>
      </w:pPr>
      <w:r>
        <w:rPr>
          <w:color w:val="000000"/>
          <w:sz w:val="22"/>
          <w:szCs w:val="22"/>
          <w:lang w:val="da-DK"/>
        </w:rPr>
        <w:t>10</w:t>
      </w:r>
      <w:r>
        <w:rPr>
          <w:color w:val="000000"/>
          <w:sz w:val="22"/>
          <w:szCs w:val="22"/>
          <w:lang w:val="da-DK"/>
        </w:rPr>
        <w:tab/>
      </w:r>
      <w:r w:rsidR="006221C2" w:rsidRPr="004C2A59">
        <w:rPr>
          <w:color w:val="000000"/>
          <w:sz w:val="22"/>
          <w:szCs w:val="22"/>
          <w:lang w:val="da-DK"/>
        </w:rPr>
        <w:t xml:space="preserve">Muskuloskeletale smerter og relaterede hændelser blev observeret </w:t>
      </w:r>
      <w:r w:rsidR="00234640" w:rsidRPr="004C2A59">
        <w:rPr>
          <w:color w:val="000000"/>
          <w:sz w:val="22"/>
          <w:szCs w:val="22"/>
          <w:lang w:val="da-DK"/>
        </w:rPr>
        <w:t xml:space="preserve">oftere </w:t>
      </w:r>
      <w:r w:rsidR="006221C2" w:rsidRPr="004C2A59">
        <w:rPr>
          <w:color w:val="000000"/>
          <w:sz w:val="22"/>
          <w:szCs w:val="22"/>
          <w:lang w:val="da-DK"/>
        </w:rPr>
        <w:t>hos patienter med CML end hos patienter med GIST.</w:t>
      </w:r>
    </w:p>
    <w:p w14:paraId="2ABFB9F4" w14:textId="77777777" w:rsidR="005122C3" w:rsidRPr="004C2A59" w:rsidRDefault="00000C01" w:rsidP="006C180B">
      <w:pPr>
        <w:keepLines/>
        <w:widowControl w:val="0"/>
        <w:ind w:left="567" w:hanging="567"/>
        <w:rPr>
          <w:color w:val="000000"/>
          <w:sz w:val="22"/>
          <w:szCs w:val="22"/>
          <w:lang w:val="da-DK"/>
        </w:rPr>
      </w:pPr>
      <w:r>
        <w:rPr>
          <w:color w:val="000000"/>
          <w:sz w:val="22"/>
          <w:szCs w:val="22"/>
          <w:lang w:val="da-DK"/>
        </w:rPr>
        <w:t>11</w:t>
      </w:r>
      <w:r w:rsidR="005122C3" w:rsidRPr="004C2A59">
        <w:rPr>
          <w:color w:val="000000"/>
          <w:sz w:val="22"/>
          <w:szCs w:val="22"/>
          <w:lang w:val="da-DK"/>
        </w:rPr>
        <w:tab/>
        <w:t xml:space="preserve">Der er blevet rapporteret </w:t>
      </w:r>
      <w:r w:rsidR="00B90A79" w:rsidRPr="004C2A59">
        <w:rPr>
          <w:color w:val="000000"/>
          <w:sz w:val="22"/>
          <w:szCs w:val="22"/>
          <w:lang w:val="da-DK"/>
        </w:rPr>
        <w:t>dødelige</w:t>
      </w:r>
      <w:r w:rsidR="005122C3" w:rsidRPr="004C2A59">
        <w:rPr>
          <w:color w:val="000000"/>
          <w:sz w:val="22"/>
          <w:szCs w:val="22"/>
          <w:lang w:val="da-DK"/>
        </w:rPr>
        <w:t xml:space="preserve"> tilfælde hos patienter med fremskreden sygdom, alvorlige infektioner, alvorlig neutropeni og andre alvorlige</w:t>
      </w:r>
      <w:r w:rsidR="006B0BC7" w:rsidRPr="004C2A59">
        <w:rPr>
          <w:color w:val="000000"/>
          <w:sz w:val="22"/>
          <w:szCs w:val="22"/>
          <w:lang w:val="da-DK"/>
        </w:rPr>
        <w:t>,</w:t>
      </w:r>
      <w:r w:rsidR="005122C3" w:rsidRPr="004C2A59">
        <w:rPr>
          <w:color w:val="000000"/>
          <w:sz w:val="22"/>
          <w:szCs w:val="22"/>
          <w:lang w:val="da-DK"/>
        </w:rPr>
        <w:t xml:space="preserve"> samtidige </w:t>
      </w:r>
      <w:r w:rsidR="00B90A79" w:rsidRPr="004C2A59">
        <w:rPr>
          <w:color w:val="000000"/>
          <w:sz w:val="22"/>
          <w:szCs w:val="22"/>
          <w:lang w:val="da-DK"/>
        </w:rPr>
        <w:t>tilstande</w:t>
      </w:r>
      <w:r w:rsidR="005122C3" w:rsidRPr="004C2A59">
        <w:rPr>
          <w:color w:val="000000"/>
          <w:sz w:val="22"/>
          <w:szCs w:val="22"/>
          <w:lang w:val="da-DK"/>
        </w:rPr>
        <w:t>.</w:t>
      </w:r>
    </w:p>
    <w:p w14:paraId="184D97C4" w14:textId="77777777" w:rsidR="00C648A1" w:rsidRPr="004C2A59" w:rsidRDefault="00C648A1" w:rsidP="00421681">
      <w:pPr>
        <w:widowControl w:val="0"/>
        <w:rPr>
          <w:color w:val="000000"/>
          <w:sz w:val="22"/>
          <w:szCs w:val="22"/>
          <w:lang w:val="da-DK"/>
        </w:rPr>
      </w:pPr>
    </w:p>
    <w:p w14:paraId="73C3F0AC" w14:textId="77777777" w:rsidR="00270C5A" w:rsidRPr="004C2A59" w:rsidRDefault="00270C5A" w:rsidP="006C180B">
      <w:pPr>
        <w:keepNext/>
        <w:widowControl w:val="0"/>
        <w:suppressAutoHyphens/>
        <w:ind w:left="567" w:hanging="567"/>
        <w:jc w:val="both"/>
        <w:rPr>
          <w:color w:val="000000"/>
          <w:sz w:val="22"/>
          <w:szCs w:val="22"/>
          <w:u w:val="single"/>
          <w:lang w:val="da-DK"/>
        </w:rPr>
      </w:pPr>
      <w:r w:rsidRPr="004C2A59">
        <w:rPr>
          <w:color w:val="000000"/>
          <w:sz w:val="22"/>
          <w:szCs w:val="22"/>
          <w:u w:val="single"/>
          <w:lang w:val="da-DK"/>
        </w:rPr>
        <w:t>Afvigelser i laboratorieværdier</w:t>
      </w:r>
    </w:p>
    <w:p w14:paraId="3EF4F8B6" w14:textId="77777777" w:rsidR="00270C5A" w:rsidRPr="004C2A59" w:rsidRDefault="00270C5A" w:rsidP="006C180B">
      <w:pPr>
        <w:keepNext/>
        <w:widowControl w:val="0"/>
        <w:suppressAutoHyphens/>
        <w:ind w:left="567" w:hanging="567"/>
        <w:jc w:val="both"/>
        <w:rPr>
          <w:i/>
          <w:color w:val="000000"/>
          <w:sz w:val="22"/>
          <w:szCs w:val="22"/>
          <w:lang w:val="da-DK"/>
        </w:rPr>
      </w:pPr>
      <w:r w:rsidRPr="004C2A59">
        <w:rPr>
          <w:i/>
          <w:color w:val="000000"/>
          <w:sz w:val="22"/>
          <w:szCs w:val="22"/>
          <w:lang w:val="da-DK"/>
        </w:rPr>
        <w:t>Hæmatologi</w:t>
      </w:r>
    </w:p>
    <w:p w14:paraId="56F62C44" w14:textId="77777777" w:rsidR="00270C5A" w:rsidRPr="004C2A59" w:rsidRDefault="00270C5A" w:rsidP="00421681">
      <w:pPr>
        <w:widowControl w:val="0"/>
        <w:suppressAutoHyphens/>
        <w:rPr>
          <w:color w:val="000000"/>
          <w:sz w:val="22"/>
          <w:szCs w:val="22"/>
          <w:lang w:val="da-DK"/>
        </w:rPr>
      </w:pPr>
      <w:r w:rsidRPr="004C2A59">
        <w:rPr>
          <w:color w:val="000000"/>
          <w:sz w:val="22"/>
          <w:szCs w:val="22"/>
          <w:lang w:val="da-DK"/>
        </w:rPr>
        <w:t xml:space="preserve">Cytopeni hos </w:t>
      </w:r>
      <w:r w:rsidR="000E2F8A" w:rsidRPr="004C2A59">
        <w:rPr>
          <w:color w:val="000000"/>
          <w:sz w:val="22"/>
          <w:szCs w:val="22"/>
          <w:lang w:val="da-DK"/>
        </w:rPr>
        <w:t>CML-patienter</w:t>
      </w:r>
      <w:r w:rsidRPr="004C2A59">
        <w:rPr>
          <w:color w:val="000000"/>
          <w:sz w:val="22"/>
          <w:szCs w:val="22"/>
          <w:lang w:val="da-DK"/>
        </w:rPr>
        <w:t xml:space="preserve">, særligt neutropeni og trombocytopeni, har været gennemgående fund i alle undersøgelser med tegn på større hyppighed ved doser </w:t>
      </w:r>
      <w:r w:rsidRPr="004C2A59">
        <w:rPr>
          <w:color w:val="000000"/>
          <w:sz w:val="22"/>
          <w:szCs w:val="22"/>
          <w:lang w:val="da-DK"/>
        </w:rPr>
        <w:sym w:font="Symbol" w:char="F0B3"/>
      </w:r>
      <w:r w:rsidRPr="004C2A59">
        <w:rPr>
          <w:color w:val="000000"/>
          <w:sz w:val="22"/>
          <w:szCs w:val="22"/>
          <w:lang w:val="da-DK"/>
        </w:rPr>
        <w:t>750</w:t>
      </w:r>
      <w:r w:rsidR="00C17108" w:rsidRPr="004C2A59">
        <w:rPr>
          <w:color w:val="000000"/>
          <w:sz w:val="22"/>
          <w:szCs w:val="22"/>
          <w:lang w:val="da-DK"/>
        </w:rPr>
        <w:t> mg</w:t>
      </w:r>
      <w:r w:rsidRPr="004C2A59">
        <w:rPr>
          <w:color w:val="000000"/>
          <w:sz w:val="22"/>
          <w:szCs w:val="22"/>
          <w:lang w:val="da-DK"/>
        </w:rPr>
        <w:t xml:space="preserve"> (fase</w:t>
      </w:r>
      <w:r w:rsidR="00B27D9A" w:rsidRPr="004C2A59">
        <w:rPr>
          <w:color w:val="000000"/>
          <w:sz w:val="22"/>
          <w:szCs w:val="22"/>
          <w:lang w:val="da-DK"/>
        </w:rPr>
        <w:t> </w:t>
      </w:r>
      <w:r w:rsidRPr="004C2A59">
        <w:rPr>
          <w:color w:val="000000"/>
          <w:sz w:val="22"/>
          <w:szCs w:val="22"/>
          <w:lang w:val="da-DK"/>
        </w:rPr>
        <w:t>I undersøgelse). Incidensen af cytopeni hang imidlertid også tydeligt sammen med sygdomsstadiet, idet hyppighed af 3. eller 4.</w:t>
      </w:r>
      <w:r w:rsidR="000F2BB3" w:rsidRPr="004C2A59">
        <w:rPr>
          <w:color w:val="000000"/>
          <w:sz w:val="22"/>
          <w:szCs w:val="22"/>
          <w:lang w:val="da-DK"/>
        </w:rPr>
        <w:t> </w:t>
      </w:r>
      <w:r w:rsidRPr="004C2A59">
        <w:rPr>
          <w:color w:val="000000"/>
          <w:sz w:val="22"/>
          <w:szCs w:val="22"/>
          <w:lang w:val="da-DK"/>
        </w:rPr>
        <w:t>grads neutropeni (ANC &lt;1,0</w:t>
      </w:r>
      <w:r w:rsidR="000F2BB3" w:rsidRPr="004C2A59">
        <w:rPr>
          <w:color w:val="000000"/>
          <w:sz w:val="22"/>
          <w:szCs w:val="22"/>
          <w:lang w:val="da-DK"/>
        </w:rPr>
        <w:t> </w:t>
      </w:r>
      <w:r w:rsidRPr="004C2A59">
        <w:rPr>
          <w:color w:val="000000"/>
          <w:sz w:val="22"/>
          <w:szCs w:val="22"/>
          <w:lang w:val="da-DK"/>
        </w:rPr>
        <w:t>x</w:t>
      </w:r>
      <w:r w:rsidR="000F2BB3" w:rsidRPr="004C2A59">
        <w:rPr>
          <w:color w:val="000000"/>
          <w:sz w:val="22"/>
          <w:szCs w:val="22"/>
          <w:lang w:val="da-DK"/>
        </w:rPr>
        <w:t> </w:t>
      </w:r>
      <w:r w:rsidRPr="004C2A59">
        <w:rPr>
          <w:color w:val="000000"/>
          <w:sz w:val="22"/>
          <w:szCs w:val="22"/>
          <w:lang w:val="da-DK"/>
        </w:rPr>
        <w:t>10</w:t>
      </w:r>
      <w:r w:rsidRPr="004C2A59">
        <w:rPr>
          <w:color w:val="000000"/>
          <w:sz w:val="22"/>
          <w:szCs w:val="22"/>
          <w:vertAlign w:val="superscript"/>
          <w:lang w:val="da-DK"/>
        </w:rPr>
        <w:t>9</w:t>
      </w:r>
      <w:r w:rsidRPr="004C2A59">
        <w:rPr>
          <w:color w:val="000000"/>
          <w:sz w:val="22"/>
          <w:szCs w:val="22"/>
          <w:lang w:val="da-DK"/>
        </w:rPr>
        <w:t>/l) og trombocytopeni (trombocyttal &lt;50</w:t>
      </w:r>
      <w:r w:rsidR="000F2BB3" w:rsidRPr="004C2A59">
        <w:rPr>
          <w:color w:val="000000"/>
          <w:sz w:val="22"/>
          <w:szCs w:val="22"/>
          <w:lang w:val="da-DK"/>
        </w:rPr>
        <w:t> </w:t>
      </w:r>
      <w:r w:rsidRPr="004C2A59">
        <w:rPr>
          <w:color w:val="000000"/>
          <w:sz w:val="22"/>
          <w:szCs w:val="22"/>
          <w:lang w:val="da-DK"/>
        </w:rPr>
        <w:t>x</w:t>
      </w:r>
      <w:r w:rsidR="000F2BB3" w:rsidRPr="004C2A59">
        <w:rPr>
          <w:color w:val="000000"/>
          <w:sz w:val="22"/>
          <w:szCs w:val="22"/>
          <w:lang w:val="da-DK"/>
        </w:rPr>
        <w:t> </w:t>
      </w:r>
      <w:r w:rsidRPr="004C2A59">
        <w:rPr>
          <w:color w:val="000000"/>
          <w:sz w:val="22"/>
          <w:szCs w:val="22"/>
          <w:lang w:val="da-DK"/>
        </w:rPr>
        <w:t>10</w:t>
      </w:r>
      <w:r w:rsidRPr="004C2A59">
        <w:rPr>
          <w:color w:val="000000"/>
          <w:sz w:val="22"/>
          <w:szCs w:val="22"/>
          <w:vertAlign w:val="superscript"/>
          <w:lang w:val="da-DK"/>
        </w:rPr>
        <w:t>9</w:t>
      </w:r>
      <w:r w:rsidRPr="004C2A59">
        <w:rPr>
          <w:color w:val="000000"/>
          <w:sz w:val="22"/>
          <w:szCs w:val="22"/>
          <w:lang w:val="da-DK"/>
        </w:rPr>
        <w:t>/l) var 4</w:t>
      </w:r>
      <w:r w:rsidR="00ED38CD" w:rsidRPr="004C2A59">
        <w:rPr>
          <w:color w:val="000000"/>
          <w:sz w:val="22"/>
          <w:szCs w:val="22"/>
          <w:lang w:val="da-DK"/>
        </w:rPr>
        <w:t>–</w:t>
      </w:r>
      <w:r w:rsidRPr="004C2A59">
        <w:rPr>
          <w:color w:val="000000"/>
          <w:sz w:val="22"/>
          <w:szCs w:val="22"/>
          <w:lang w:val="da-DK"/>
        </w:rPr>
        <w:t>6</w:t>
      </w:r>
      <w:r w:rsidR="00C02CD8" w:rsidRPr="004C2A59">
        <w:rPr>
          <w:color w:val="000000"/>
          <w:sz w:val="22"/>
          <w:szCs w:val="22"/>
          <w:lang w:val="da-DK"/>
        </w:rPr>
        <w:t> </w:t>
      </w:r>
      <w:r w:rsidRPr="004C2A59">
        <w:rPr>
          <w:color w:val="000000"/>
          <w:sz w:val="22"/>
          <w:szCs w:val="22"/>
          <w:lang w:val="da-DK"/>
        </w:rPr>
        <w:t>gange højere ved blastkrise og accelereret fase (5</w:t>
      </w:r>
      <w:r w:rsidR="00B21DC7" w:rsidRPr="004C2A59">
        <w:rPr>
          <w:color w:val="000000"/>
          <w:sz w:val="22"/>
          <w:szCs w:val="22"/>
          <w:lang w:val="da-DK"/>
        </w:rPr>
        <w:t>9</w:t>
      </w:r>
      <w:r w:rsidR="00ED38CD" w:rsidRPr="004C2A59">
        <w:rPr>
          <w:color w:val="000000"/>
          <w:sz w:val="22"/>
          <w:szCs w:val="22"/>
          <w:lang w:val="da-DK"/>
        </w:rPr>
        <w:t>–</w:t>
      </w:r>
      <w:r w:rsidRPr="004C2A59">
        <w:rPr>
          <w:color w:val="000000"/>
          <w:sz w:val="22"/>
          <w:szCs w:val="22"/>
          <w:lang w:val="da-DK"/>
        </w:rPr>
        <w:t>6</w:t>
      </w:r>
      <w:r w:rsidR="00B21DC7" w:rsidRPr="004C2A59">
        <w:rPr>
          <w:color w:val="000000"/>
          <w:sz w:val="22"/>
          <w:szCs w:val="22"/>
          <w:lang w:val="da-DK"/>
        </w:rPr>
        <w:t>4</w:t>
      </w:r>
      <w:r w:rsidRPr="004C2A59">
        <w:rPr>
          <w:color w:val="000000"/>
          <w:sz w:val="22"/>
          <w:szCs w:val="22"/>
          <w:lang w:val="da-DK"/>
        </w:rPr>
        <w:t>% og 4</w:t>
      </w:r>
      <w:r w:rsidR="00B21DC7" w:rsidRPr="004C2A59">
        <w:rPr>
          <w:color w:val="000000"/>
          <w:sz w:val="22"/>
          <w:szCs w:val="22"/>
          <w:lang w:val="da-DK"/>
        </w:rPr>
        <w:t>4</w:t>
      </w:r>
      <w:r w:rsidR="00ED38CD" w:rsidRPr="004C2A59">
        <w:rPr>
          <w:color w:val="000000"/>
          <w:sz w:val="22"/>
          <w:szCs w:val="22"/>
          <w:lang w:val="da-DK"/>
        </w:rPr>
        <w:t>–</w:t>
      </w:r>
      <w:r w:rsidR="00B21DC7" w:rsidRPr="004C2A59">
        <w:rPr>
          <w:color w:val="000000"/>
          <w:sz w:val="22"/>
          <w:szCs w:val="22"/>
          <w:lang w:val="da-DK"/>
        </w:rPr>
        <w:t>63</w:t>
      </w:r>
      <w:r w:rsidRPr="004C2A59">
        <w:rPr>
          <w:color w:val="000000"/>
          <w:sz w:val="22"/>
          <w:szCs w:val="22"/>
          <w:lang w:val="da-DK"/>
        </w:rPr>
        <w:t>% for henholdsvis neutropeni og trombopeni) end ved sammenligning med nydiagnosticerede patienter med kronisk fase CML (</w:t>
      </w:r>
      <w:r w:rsidR="003C55DB" w:rsidRPr="004C2A59">
        <w:rPr>
          <w:color w:val="000000"/>
          <w:sz w:val="22"/>
          <w:szCs w:val="22"/>
          <w:lang w:val="da-DK"/>
        </w:rPr>
        <w:t>16,7</w:t>
      </w:r>
      <w:r w:rsidRPr="004C2A59">
        <w:rPr>
          <w:color w:val="000000"/>
          <w:sz w:val="22"/>
          <w:szCs w:val="22"/>
          <w:lang w:val="da-DK"/>
        </w:rPr>
        <w:t xml:space="preserve">% neutropeni og </w:t>
      </w:r>
      <w:r w:rsidR="00B21DC7" w:rsidRPr="004C2A59">
        <w:rPr>
          <w:color w:val="000000"/>
          <w:sz w:val="22"/>
          <w:szCs w:val="22"/>
          <w:lang w:val="da-DK"/>
        </w:rPr>
        <w:t>8,</w:t>
      </w:r>
      <w:r w:rsidR="003C55DB" w:rsidRPr="004C2A59">
        <w:rPr>
          <w:color w:val="000000"/>
          <w:sz w:val="22"/>
          <w:szCs w:val="22"/>
          <w:lang w:val="da-DK"/>
        </w:rPr>
        <w:t>9</w:t>
      </w:r>
      <w:r w:rsidRPr="004C2A59">
        <w:rPr>
          <w:color w:val="000000"/>
          <w:sz w:val="22"/>
          <w:szCs w:val="22"/>
          <w:lang w:val="da-DK"/>
        </w:rPr>
        <w:t>% trombocytopeni). Der sås 4.</w:t>
      </w:r>
      <w:r w:rsidR="000F2BB3" w:rsidRPr="004C2A59">
        <w:rPr>
          <w:color w:val="000000"/>
          <w:sz w:val="22"/>
          <w:szCs w:val="22"/>
          <w:lang w:val="da-DK"/>
        </w:rPr>
        <w:t> </w:t>
      </w:r>
      <w:r w:rsidRPr="004C2A59">
        <w:rPr>
          <w:color w:val="000000"/>
          <w:sz w:val="22"/>
          <w:szCs w:val="22"/>
          <w:lang w:val="da-DK"/>
        </w:rPr>
        <w:t>grads neutropeni (ANC &lt;0,5</w:t>
      </w:r>
      <w:r w:rsidR="000F2BB3" w:rsidRPr="004C2A59">
        <w:rPr>
          <w:color w:val="000000"/>
          <w:sz w:val="22"/>
          <w:szCs w:val="22"/>
          <w:lang w:val="da-DK"/>
        </w:rPr>
        <w:t> </w:t>
      </w:r>
      <w:r w:rsidRPr="004C2A59">
        <w:rPr>
          <w:color w:val="000000"/>
          <w:sz w:val="22"/>
          <w:szCs w:val="22"/>
          <w:lang w:val="da-DK"/>
        </w:rPr>
        <w:t>x</w:t>
      </w:r>
      <w:r w:rsidR="000F2BB3" w:rsidRPr="004C2A59">
        <w:rPr>
          <w:color w:val="000000"/>
          <w:sz w:val="22"/>
          <w:szCs w:val="22"/>
          <w:lang w:val="da-DK"/>
        </w:rPr>
        <w:t> </w:t>
      </w:r>
      <w:r w:rsidRPr="004C2A59">
        <w:rPr>
          <w:color w:val="000000"/>
          <w:sz w:val="22"/>
          <w:szCs w:val="22"/>
          <w:lang w:val="da-DK"/>
        </w:rPr>
        <w:t>10</w:t>
      </w:r>
      <w:r w:rsidRPr="004C2A59">
        <w:rPr>
          <w:color w:val="000000"/>
          <w:sz w:val="22"/>
          <w:szCs w:val="22"/>
          <w:vertAlign w:val="superscript"/>
          <w:lang w:val="da-DK"/>
        </w:rPr>
        <w:t>9</w:t>
      </w:r>
      <w:r w:rsidRPr="004C2A59">
        <w:rPr>
          <w:color w:val="000000"/>
          <w:sz w:val="22"/>
          <w:szCs w:val="22"/>
          <w:lang w:val="da-DK"/>
        </w:rPr>
        <w:t>/l) og trombopeni (trombocyttal &lt;10</w:t>
      </w:r>
      <w:r w:rsidR="000F2BB3" w:rsidRPr="004C2A59">
        <w:rPr>
          <w:color w:val="000000"/>
          <w:sz w:val="22"/>
          <w:szCs w:val="22"/>
          <w:lang w:val="da-DK"/>
        </w:rPr>
        <w:t> </w:t>
      </w:r>
      <w:r w:rsidRPr="004C2A59">
        <w:rPr>
          <w:color w:val="000000"/>
          <w:sz w:val="22"/>
          <w:szCs w:val="22"/>
          <w:lang w:val="da-DK"/>
        </w:rPr>
        <w:t>x</w:t>
      </w:r>
      <w:r w:rsidR="000F2BB3" w:rsidRPr="004C2A59">
        <w:rPr>
          <w:color w:val="000000"/>
          <w:sz w:val="22"/>
          <w:szCs w:val="22"/>
          <w:lang w:val="da-DK"/>
        </w:rPr>
        <w:t> </w:t>
      </w:r>
      <w:r w:rsidRPr="004C2A59">
        <w:rPr>
          <w:color w:val="000000"/>
          <w:sz w:val="22"/>
          <w:szCs w:val="22"/>
          <w:lang w:val="da-DK"/>
        </w:rPr>
        <w:t>10</w:t>
      </w:r>
      <w:r w:rsidRPr="004C2A59">
        <w:rPr>
          <w:color w:val="000000"/>
          <w:sz w:val="22"/>
          <w:szCs w:val="22"/>
          <w:vertAlign w:val="superscript"/>
          <w:lang w:val="da-DK"/>
        </w:rPr>
        <w:t>9</w:t>
      </w:r>
      <w:r w:rsidRPr="004C2A59">
        <w:rPr>
          <w:color w:val="000000"/>
          <w:sz w:val="22"/>
          <w:szCs w:val="22"/>
          <w:lang w:val="da-DK"/>
        </w:rPr>
        <w:t xml:space="preserve">/l) hos henholdsvis </w:t>
      </w:r>
      <w:r w:rsidR="00B21DC7" w:rsidRPr="004C2A59">
        <w:rPr>
          <w:color w:val="000000"/>
          <w:sz w:val="22"/>
          <w:szCs w:val="22"/>
          <w:lang w:val="da-DK"/>
        </w:rPr>
        <w:t>3</w:t>
      </w:r>
      <w:r w:rsidR="003C55DB" w:rsidRPr="004C2A59">
        <w:rPr>
          <w:color w:val="000000"/>
          <w:sz w:val="22"/>
          <w:szCs w:val="22"/>
          <w:lang w:val="da-DK"/>
        </w:rPr>
        <w:t>,6</w:t>
      </w:r>
      <w:r w:rsidRPr="004C2A59">
        <w:rPr>
          <w:color w:val="000000"/>
          <w:sz w:val="22"/>
          <w:szCs w:val="22"/>
          <w:lang w:val="da-DK"/>
        </w:rPr>
        <w:t xml:space="preserve">% og </w:t>
      </w:r>
      <w:r w:rsidRPr="004C2A59">
        <w:rPr>
          <w:color w:val="000000"/>
          <w:sz w:val="22"/>
          <w:szCs w:val="22"/>
          <w:lang w:val="da-DK"/>
        </w:rPr>
        <w:sym w:font="Symbol" w:char="F03C"/>
      </w:r>
      <w:r w:rsidRPr="004C2A59">
        <w:rPr>
          <w:color w:val="000000"/>
          <w:sz w:val="22"/>
          <w:szCs w:val="22"/>
          <w:lang w:val="da-DK"/>
        </w:rPr>
        <w:t>1% af patienterne med nydiagnosticeret CML i kronisk fase. Den gennemsnitlige varighed af neutropeni- og trombocytopeniepisoderne varierede sædvanligvis fra henholdsvis 2</w:t>
      </w:r>
      <w:r w:rsidR="00ED38CD" w:rsidRPr="004C2A59">
        <w:rPr>
          <w:color w:val="000000"/>
          <w:sz w:val="22"/>
          <w:szCs w:val="22"/>
          <w:lang w:val="da-DK"/>
        </w:rPr>
        <w:t>–</w:t>
      </w:r>
      <w:r w:rsidRPr="004C2A59">
        <w:rPr>
          <w:color w:val="000000"/>
          <w:sz w:val="22"/>
          <w:szCs w:val="22"/>
          <w:lang w:val="da-DK"/>
        </w:rPr>
        <w:t>3</w:t>
      </w:r>
      <w:r w:rsidR="00C02CD8" w:rsidRPr="004C2A59">
        <w:rPr>
          <w:color w:val="000000"/>
          <w:sz w:val="22"/>
          <w:szCs w:val="22"/>
          <w:lang w:val="da-DK"/>
        </w:rPr>
        <w:t> </w:t>
      </w:r>
      <w:r w:rsidRPr="004C2A59">
        <w:rPr>
          <w:color w:val="000000"/>
          <w:sz w:val="22"/>
          <w:szCs w:val="22"/>
          <w:lang w:val="da-DK"/>
        </w:rPr>
        <w:t>uger og 3</w:t>
      </w:r>
      <w:r w:rsidR="00ED38CD" w:rsidRPr="004C2A59">
        <w:rPr>
          <w:color w:val="000000"/>
          <w:sz w:val="22"/>
          <w:szCs w:val="22"/>
          <w:lang w:val="da-DK"/>
        </w:rPr>
        <w:t>–</w:t>
      </w:r>
      <w:r w:rsidRPr="004C2A59">
        <w:rPr>
          <w:color w:val="000000"/>
          <w:sz w:val="22"/>
          <w:szCs w:val="22"/>
          <w:lang w:val="da-DK"/>
        </w:rPr>
        <w:t>4</w:t>
      </w:r>
      <w:r w:rsidR="00C02CD8" w:rsidRPr="004C2A59">
        <w:rPr>
          <w:color w:val="000000"/>
          <w:sz w:val="22"/>
          <w:szCs w:val="22"/>
          <w:lang w:val="da-DK"/>
        </w:rPr>
        <w:t> </w:t>
      </w:r>
      <w:r w:rsidRPr="004C2A59">
        <w:rPr>
          <w:color w:val="000000"/>
          <w:sz w:val="22"/>
          <w:szCs w:val="22"/>
          <w:lang w:val="da-DK"/>
        </w:rPr>
        <w:t>uger. Disse episoder kan sædvanligvis behandles med enten dosisreduktion eller seponering af Glivec, men kan i sjældne tilfælde medføre permanent seponering af behandlingen.</w:t>
      </w:r>
      <w:r w:rsidR="006E4618" w:rsidRPr="004C2A59">
        <w:rPr>
          <w:color w:val="000000"/>
          <w:sz w:val="22"/>
          <w:szCs w:val="22"/>
          <w:lang w:val="da-DK"/>
        </w:rPr>
        <w:t xml:space="preserve"> De hyppigst observerede alvorlige bivirkninger hos børn med CML var grad 3 eller 4 cytopenier med neutropeni, trombocytopeni og anæmi. Disse opstår almindeligvis indenfor de første måneders behandling.</w:t>
      </w:r>
    </w:p>
    <w:p w14:paraId="3D0D17DA" w14:textId="77777777" w:rsidR="009313F9" w:rsidRPr="004C2A59" w:rsidRDefault="009313F9" w:rsidP="00421681">
      <w:pPr>
        <w:widowControl w:val="0"/>
        <w:suppressAutoHyphens/>
        <w:rPr>
          <w:color w:val="000000"/>
          <w:sz w:val="22"/>
          <w:szCs w:val="22"/>
          <w:lang w:val="da-DK"/>
        </w:rPr>
      </w:pPr>
    </w:p>
    <w:p w14:paraId="3A58D64B" w14:textId="77777777" w:rsidR="00270C5A" w:rsidRPr="004C2A59" w:rsidRDefault="009313F9" w:rsidP="00421681">
      <w:pPr>
        <w:widowControl w:val="0"/>
        <w:suppressAutoHyphens/>
        <w:rPr>
          <w:color w:val="000000"/>
          <w:sz w:val="22"/>
          <w:szCs w:val="22"/>
          <w:lang w:val="da-DK"/>
        </w:rPr>
      </w:pPr>
      <w:r w:rsidRPr="004C2A59">
        <w:rPr>
          <w:color w:val="000000"/>
          <w:sz w:val="22"/>
          <w:szCs w:val="22"/>
          <w:lang w:val="da-DK"/>
        </w:rPr>
        <w:t>I undersøgelsen med patienter med inoperabel og/eller metastaserende GIST rapporteredes</w:t>
      </w:r>
      <w:r w:rsidR="00270C5A" w:rsidRPr="004C2A59">
        <w:rPr>
          <w:color w:val="000000"/>
          <w:sz w:val="22"/>
          <w:szCs w:val="22"/>
          <w:lang w:val="da-DK"/>
        </w:rPr>
        <w:t xml:space="preserve"> anæmi grad</w:t>
      </w:r>
      <w:r w:rsidR="000F2BB3" w:rsidRPr="004C2A59">
        <w:rPr>
          <w:color w:val="000000"/>
          <w:sz w:val="22"/>
          <w:szCs w:val="22"/>
          <w:lang w:val="da-DK"/>
        </w:rPr>
        <w:t> </w:t>
      </w:r>
      <w:r w:rsidR="00270C5A" w:rsidRPr="004C2A59">
        <w:rPr>
          <w:color w:val="000000"/>
          <w:sz w:val="22"/>
          <w:szCs w:val="22"/>
          <w:lang w:val="da-DK"/>
        </w:rPr>
        <w:t xml:space="preserve">3 og 4 hos henholdsvis </w:t>
      </w:r>
      <w:r w:rsidR="00B21DC7" w:rsidRPr="004C2A59">
        <w:rPr>
          <w:color w:val="000000"/>
          <w:sz w:val="22"/>
          <w:szCs w:val="22"/>
          <w:lang w:val="da-DK"/>
        </w:rPr>
        <w:t>5</w:t>
      </w:r>
      <w:r w:rsidR="00270C5A" w:rsidRPr="004C2A59">
        <w:rPr>
          <w:color w:val="000000"/>
          <w:sz w:val="22"/>
          <w:szCs w:val="22"/>
          <w:lang w:val="da-DK"/>
        </w:rPr>
        <w:t>,4% og 0,7% af patienterne, hvilket kan hænge sammen med gastrointestinal eller intra-tumoral blødning, i hvert fald hos enkelte af patienterne. Grad</w:t>
      </w:r>
      <w:r w:rsidR="000F2BB3" w:rsidRPr="004C2A59">
        <w:rPr>
          <w:color w:val="000000"/>
          <w:sz w:val="22"/>
          <w:szCs w:val="22"/>
          <w:lang w:val="da-DK"/>
        </w:rPr>
        <w:t> </w:t>
      </w:r>
      <w:r w:rsidR="00270C5A" w:rsidRPr="004C2A59">
        <w:rPr>
          <w:color w:val="000000"/>
          <w:sz w:val="22"/>
          <w:szCs w:val="22"/>
          <w:lang w:val="da-DK"/>
        </w:rPr>
        <w:t xml:space="preserve">3 og 4 neutropeni sås hos henholdsvis </w:t>
      </w:r>
      <w:r w:rsidR="00B21DC7" w:rsidRPr="004C2A59">
        <w:rPr>
          <w:color w:val="000000"/>
          <w:sz w:val="22"/>
          <w:szCs w:val="22"/>
          <w:lang w:val="da-DK"/>
        </w:rPr>
        <w:t>7</w:t>
      </w:r>
      <w:r w:rsidR="00270C5A" w:rsidRPr="004C2A59">
        <w:rPr>
          <w:color w:val="000000"/>
          <w:sz w:val="22"/>
          <w:szCs w:val="22"/>
          <w:lang w:val="da-DK"/>
        </w:rPr>
        <w:t>,</w:t>
      </w:r>
      <w:r w:rsidR="00B21DC7" w:rsidRPr="004C2A59">
        <w:rPr>
          <w:color w:val="000000"/>
          <w:sz w:val="22"/>
          <w:szCs w:val="22"/>
          <w:lang w:val="da-DK"/>
        </w:rPr>
        <w:t>5</w:t>
      </w:r>
      <w:r w:rsidR="00270C5A" w:rsidRPr="004C2A59">
        <w:rPr>
          <w:color w:val="000000"/>
          <w:sz w:val="22"/>
          <w:szCs w:val="22"/>
          <w:lang w:val="da-DK"/>
        </w:rPr>
        <w:t xml:space="preserve">% og </w:t>
      </w:r>
      <w:r w:rsidR="00B21DC7" w:rsidRPr="004C2A59">
        <w:rPr>
          <w:color w:val="000000"/>
          <w:sz w:val="22"/>
          <w:szCs w:val="22"/>
          <w:lang w:val="da-DK"/>
        </w:rPr>
        <w:t>2</w:t>
      </w:r>
      <w:r w:rsidR="00270C5A" w:rsidRPr="004C2A59">
        <w:rPr>
          <w:color w:val="000000"/>
          <w:sz w:val="22"/>
          <w:szCs w:val="22"/>
          <w:lang w:val="da-DK"/>
        </w:rPr>
        <w:t>,</w:t>
      </w:r>
      <w:r w:rsidR="00B21DC7" w:rsidRPr="004C2A59">
        <w:rPr>
          <w:color w:val="000000"/>
          <w:sz w:val="22"/>
          <w:szCs w:val="22"/>
          <w:lang w:val="da-DK"/>
        </w:rPr>
        <w:t>7</w:t>
      </w:r>
      <w:r w:rsidR="00270C5A" w:rsidRPr="004C2A59">
        <w:rPr>
          <w:color w:val="000000"/>
          <w:sz w:val="22"/>
          <w:szCs w:val="22"/>
          <w:lang w:val="da-DK"/>
        </w:rPr>
        <w:t>% af patienterne og grad</w:t>
      </w:r>
      <w:r w:rsidR="000F2BB3" w:rsidRPr="004C2A59">
        <w:rPr>
          <w:color w:val="000000"/>
          <w:sz w:val="22"/>
          <w:szCs w:val="22"/>
          <w:lang w:val="da-DK"/>
        </w:rPr>
        <w:t> </w:t>
      </w:r>
      <w:r w:rsidR="00270C5A" w:rsidRPr="004C2A59">
        <w:rPr>
          <w:color w:val="000000"/>
          <w:sz w:val="22"/>
          <w:szCs w:val="22"/>
          <w:lang w:val="da-DK"/>
        </w:rPr>
        <w:t>3 trombocytopeni hos 0,7% af patienterne. Ingen patienter udviklede grad</w:t>
      </w:r>
      <w:r w:rsidR="000F2BB3" w:rsidRPr="004C2A59">
        <w:rPr>
          <w:color w:val="000000"/>
          <w:sz w:val="22"/>
          <w:szCs w:val="22"/>
          <w:lang w:val="da-DK"/>
        </w:rPr>
        <w:t> </w:t>
      </w:r>
      <w:r w:rsidR="00270C5A" w:rsidRPr="004C2A59">
        <w:rPr>
          <w:color w:val="000000"/>
          <w:sz w:val="22"/>
          <w:szCs w:val="22"/>
          <w:lang w:val="da-DK"/>
        </w:rPr>
        <w:t>4 trombocytopeni. Fald i leukocytter (WBC) og neutrofiltal sås primært i løbet af de første 6</w:t>
      </w:r>
      <w:r w:rsidR="00C02CD8" w:rsidRPr="004C2A59">
        <w:rPr>
          <w:color w:val="000000"/>
          <w:sz w:val="22"/>
          <w:szCs w:val="22"/>
          <w:lang w:val="da-DK"/>
        </w:rPr>
        <w:t> </w:t>
      </w:r>
      <w:r w:rsidR="00270C5A" w:rsidRPr="004C2A59">
        <w:rPr>
          <w:color w:val="000000"/>
          <w:sz w:val="22"/>
          <w:szCs w:val="22"/>
          <w:lang w:val="da-DK"/>
        </w:rPr>
        <w:t>uger af behandlingen, herefter sås relativ stabilisering af værdierne.</w:t>
      </w:r>
    </w:p>
    <w:p w14:paraId="7D21DBC0" w14:textId="77777777" w:rsidR="00270C5A" w:rsidRPr="004C2A59" w:rsidRDefault="00270C5A" w:rsidP="00421681">
      <w:pPr>
        <w:widowControl w:val="0"/>
        <w:suppressAutoHyphens/>
        <w:rPr>
          <w:color w:val="000000"/>
          <w:sz w:val="22"/>
          <w:szCs w:val="22"/>
          <w:lang w:val="da-DK"/>
        </w:rPr>
      </w:pPr>
    </w:p>
    <w:p w14:paraId="16F85328" w14:textId="77777777" w:rsidR="00270C5A" w:rsidRPr="004C2A59" w:rsidRDefault="00270C5A" w:rsidP="00421681">
      <w:pPr>
        <w:pStyle w:val="Heading6"/>
        <w:widowControl w:val="0"/>
        <w:numPr>
          <w:ilvl w:val="0"/>
          <w:numId w:val="0"/>
        </w:numPr>
        <w:tabs>
          <w:tab w:val="clear" w:pos="-720"/>
          <w:tab w:val="clear" w:pos="567"/>
          <w:tab w:val="clear" w:pos="4536"/>
        </w:tabs>
        <w:spacing w:line="240" w:lineRule="auto"/>
        <w:rPr>
          <w:color w:val="000000"/>
          <w:szCs w:val="22"/>
          <w:lang w:val="da-DK"/>
        </w:rPr>
      </w:pPr>
      <w:r w:rsidRPr="004C2A59">
        <w:rPr>
          <w:color w:val="000000"/>
          <w:szCs w:val="22"/>
          <w:lang w:val="da-DK"/>
        </w:rPr>
        <w:lastRenderedPageBreak/>
        <w:t>Biokemi</w:t>
      </w:r>
    </w:p>
    <w:p w14:paraId="4F9AE97E" w14:textId="77777777" w:rsidR="00F74497" w:rsidRPr="004C2A59" w:rsidRDefault="00B21DC7" w:rsidP="00421681">
      <w:pPr>
        <w:widowControl w:val="0"/>
        <w:suppressAutoHyphens/>
        <w:rPr>
          <w:color w:val="000000"/>
          <w:sz w:val="22"/>
          <w:szCs w:val="22"/>
          <w:lang w:val="da-DK"/>
        </w:rPr>
      </w:pPr>
      <w:r w:rsidRPr="004C2A59">
        <w:rPr>
          <w:color w:val="000000"/>
          <w:sz w:val="22"/>
          <w:szCs w:val="22"/>
          <w:lang w:val="da-DK"/>
        </w:rPr>
        <w:t xml:space="preserve">Svære stigninger i transaminaser </w:t>
      </w:r>
      <w:r w:rsidR="004B0224" w:rsidRPr="004C2A59">
        <w:rPr>
          <w:color w:val="000000"/>
          <w:sz w:val="22"/>
          <w:szCs w:val="22"/>
          <w:lang w:val="da-DK"/>
        </w:rPr>
        <w:t xml:space="preserve">(&lt;5%) </w:t>
      </w:r>
      <w:r w:rsidRPr="004C2A59">
        <w:rPr>
          <w:color w:val="000000"/>
          <w:sz w:val="22"/>
          <w:szCs w:val="22"/>
          <w:lang w:val="da-DK"/>
        </w:rPr>
        <w:t xml:space="preserve">eller bilirubin </w:t>
      </w:r>
      <w:r w:rsidR="004B0224" w:rsidRPr="004C2A59">
        <w:rPr>
          <w:color w:val="000000"/>
          <w:sz w:val="22"/>
          <w:szCs w:val="22"/>
          <w:lang w:val="da-DK"/>
        </w:rPr>
        <w:t xml:space="preserve">(&lt;1%) </w:t>
      </w:r>
      <w:r w:rsidR="00B14E4F" w:rsidRPr="004C2A59">
        <w:rPr>
          <w:color w:val="000000"/>
          <w:sz w:val="22"/>
          <w:szCs w:val="22"/>
          <w:lang w:val="da-DK"/>
        </w:rPr>
        <w:t xml:space="preserve">blev observeret hos </w:t>
      </w:r>
      <w:r w:rsidR="000E2F8A" w:rsidRPr="004C2A59">
        <w:rPr>
          <w:color w:val="000000"/>
          <w:sz w:val="22"/>
          <w:szCs w:val="22"/>
          <w:lang w:val="da-DK"/>
        </w:rPr>
        <w:t>CML-patienter</w:t>
      </w:r>
      <w:r w:rsidR="00B14E4F" w:rsidRPr="004C2A59">
        <w:rPr>
          <w:color w:val="000000"/>
          <w:sz w:val="22"/>
          <w:szCs w:val="22"/>
          <w:lang w:val="da-DK"/>
        </w:rPr>
        <w:t>ne</w:t>
      </w:r>
      <w:r w:rsidRPr="004C2A59">
        <w:rPr>
          <w:color w:val="000000"/>
          <w:sz w:val="22"/>
          <w:szCs w:val="22"/>
          <w:lang w:val="da-DK"/>
        </w:rPr>
        <w:t xml:space="preserve"> og blev sædvanligvis behandlet med dosisreduktion eller seponering (den gennemsnitlige varighed af disse episoder var ca. 1 uge).</w:t>
      </w:r>
      <w:r w:rsidR="00030B08" w:rsidRPr="004C2A59">
        <w:rPr>
          <w:color w:val="000000"/>
          <w:sz w:val="22"/>
          <w:szCs w:val="22"/>
          <w:lang w:val="da-DK"/>
        </w:rPr>
        <w:t xml:space="preserve"> Færre end</w:t>
      </w:r>
      <w:r w:rsidR="00412C86" w:rsidRPr="004C2A59">
        <w:rPr>
          <w:color w:val="000000"/>
          <w:sz w:val="22"/>
          <w:szCs w:val="22"/>
          <w:lang w:val="da-DK"/>
        </w:rPr>
        <w:t xml:space="preserve"> </w:t>
      </w:r>
      <w:r w:rsidR="00B14E4F" w:rsidRPr="004C2A59">
        <w:rPr>
          <w:color w:val="000000"/>
          <w:sz w:val="22"/>
          <w:szCs w:val="22"/>
          <w:lang w:val="da-DK"/>
        </w:rPr>
        <w:t>1</w:t>
      </w:r>
      <w:r w:rsidR="00030B08" w:rsidRPr="004C2A59">
        <w:rPr>
          <w:color w:val="000000"/>
          <w:sz w:val="22"/>
          <w:szCs w:val="22"/>
          <w:lang w:val="da-DK"/>
        </w:rPr>
        <w:t xml:space="preserve">% af </w:t>
      </w:r>
      <w:r w:rsidR="000E2F8A" w:rsidRPr="004C2A59">
        <w:rPr>
          <w:color w:val="000000"/>
          <w:sz w:val="22"/>
          <w:szCs w:val="22"/>
          <w:lang w:val="da-DK"/>
        </w:rPr>
        <w:t>CML-patienter</w:t>
      </w:r>
      <w:r w:rsidR="00030B08" w:rsidRPr="004C2A59">
        <w:rPr>
          <w:color w:val="000000"/>
          <w:sz w:val="22"/>
          <w:szCs w:val="22"/>
          <w:lang w:val="da-DK"/>
        </w:rPr>
        <w:t xml:space="preserve">ne fik seponeret behandlingen permanent på grund af abnormaliteter i levertal. Der blev </w:t>
      </w:r>
      <w:r w:rsidR="007277BA" w:rsidRPr="004C2A59">
        <w:rPr>
          <w:color w:val="000000"/>
          <w:sz w:val="22"/>
          <w:szCs w:val="22"/>
          <w:lang w:val="da-DK"/>
        </w:rPr>
        <w:t xml:space="preserve">hos GIST patienter (studie B2222) </w:t>
      </w:r>
      <w:r w:rsidR="00030B08" w:rsidRPr="004C2A59">
        <w:rPr>
          <w:color w:val="000000"/>
          <w:sz w:val="22"/>
          <w:szCs w:val="22"/>
          <w:lang w:val="da-DK"/>
        </w:rPr>
        <w:t xml:space="preserve">observeret </w:t>
      </w:r>
      <w:r w:rsidR="007277BA" w:rsidRPr="004C2A59">
        <w:rPr>
          <w:color w:val="000000"/>
          <w:sz w:val="22"/>
          <w:szCs w:val="22"/>
          <w:lang w:val="da-DK"/>
        </w:rPr>
        <w:t>stigning i</w:t>
      </w:r>
      <w:r w:rsidR="00030B08" w:rsidRPr="004C2A59">
        <w:rPr>
          <w:color w:val="000000"/>
          <w:sz w:val="22"/>
          <w:szCs w:val="22"/>
          <w:lang w:val="da-DK"/>
        </w:rPr>
        <w:t xml:space="preserve"> grad 3 eller 4 AL</w:t>
      </w:r>
      <w:r w:rsidR="00233C3A" w:rsidRPr="004C2A59">
        <w:rPr>
          <w:color w:val="000000"/>
          <w:sz w:val="22"/>
          <w:szCs w:val="22"/>
          <w:lang w:val="da-DK"/>
        </w:rPr>
        <w:t>A</w:t>
      </w:r>
      <w:r w:rsidR="00030B08" w:rsidRPr="004C2A59">
        <w:rPr>
          <w:color w:val="000000"/>
          <w:sz w:val="22"/>
          <w:szCs w:val="22"/>
          <w:lang w:val="da-DK"/>
        </w:rPr>
        <w:t xml:space="preserve">T (alaninaminotransferase) </w:t>
      </w:r>
      <w:r w:rsidR="007277BA" w:rsidRPr="004C2A59">
        <w:rPr>
          <w:color w:val="000000"/>
          <w:sz w:val="22"/>
          <w:szCs w:val="22"/>
          <w:lang w:val="da-DK"/>
        </w:rPr>
        <w:t xml:space="preserve">hos 6,8% </w:t>
      </w:r>
      <w:r w:rsidR="00030B08" w:rsidRPr="004C2A59">
        <w:rPr>
          <w:color w:val="000000"/>
          <w:sz w:val="22"/>
          <w:szCs w:val="22"/>
          <w:lang w:val="da-DK"/>
        </w:rPr>
        <w:t xml:space="preserve">og </w:t>
      </w:r>
      <w:r w:rsidR="007277BA" w:rsidRPr="004C2A59">
        <w:rPr>
          <w:color w:val="000000"/>
          <w:sz w:val="22"/>
          <w:szCs w:val="22"/>
          <w:lang w:val="da-DK"/>
        </w:rPr>
        <w:t>stigning i</w:t>
      </w:r>
      <w:r w:rsidR="00030B08" w:rsidRPr="004C2A59">
        <w:rPr>
          <w:color w:val="000000"/>
          <w:sz w:val="22"/>
          <w:szCs w:val="22"/>
          <w:lang w:val="da-DK"/>
        </w:rPr>
        <w:t xml:space="preserve"> grad 3 eller 4 AS</w:t>
      </w:r>
      <w:r w:rsidR="00E60059" w:rsidRPr="004C2A59">
        <w:rPr>
          <w:color w:val="000000"/>
          <w:sz w:val="22"/>
          <w:szCs w:val="22"/>
          <w:lang w:val="da-DK"/>
        </w:rPr>
        <w:t>A</w:t>
      </w:r>
      <w:r w:rsidR="00030B08" w:rsidRPr="004C2A59">
        <w:rPr>
          <w:color w:val="000000"/>
          <w:sz w:val="22"/>
          <w:szCs w:val="22"/>
          <w:lang w:val="da-DK"/>
        </w:rPr>
        <w:t xml:space="preserve">T (aspartataminotransferase) </w:t>
      </w:r>
      <w:r w:rsidR="00463D43" w:rsidRPr="004C2A59">
        <w:rPr>
          <w:color w:val="000000"/>
          <w:sz w:val="22"/>
          <w:szCs w:val="22"/>
          <w:lang w:val="da-DK"/>
        </w:rPr>
        <w:t xml:space="preserve">hos </w:t>
      </w:r>
      <w:r w:rsidR="007277BA" w:rsidRPr="004C2A59">
        <w:rPr>
          <w:color w:val="000000"/>
          <w:sz w:val="22"/>
          <w:szCs w:val="22"/>
          <w:lang w:val="da-DK"/>
        </w:rPr>
        <w:t>4,8%</w:t>
      </w:r>
      <w:r w:rsidR="00030B08" w:rsidRPr="004C2A59">
        <w:rPr>
          <w:color w:val="000000"/>
          <w:sz w:val="22"/>
          <w:szCs w:val="22"/>
          <w:lang w:val="da-DK"/>
        </w:rPr>
        <w:t>. Stigning af bilirubin var under 3%.</w:t>
      </w:r>
    </w:p>
    <w:p w14:paraId="04FC56F3" w14:textId="77777777" w:rsidR="00F74497" w:rsidRPr="004C2A59" w:rsidRDefault="00F74497" w:rsidP="00421681">
      <w:pPr>
        <w:widowControl w:val="0"/>
        <w:suppressAutoHyphens/>
        <w:rPr>
          <w:color w:val="000000"/>
          <w:sz w:val="22"/>
          <w:szCs w:val="22"/>
          <w:lang w:val="da-DK"/>
        </w:rPr>
      </w:pPr>
    </w:p>
    <w:p w14:paraId="5FA06963" w14:textId="77777777" w:rsidR="00B023D7" w:rsidRDefault="00270C5A" w:rsidP="00421681">
      <w:pPr>
        <w:widowControl w:val="0"/>
        <w:suppressAutoHyphens/>
        <w:rPr>
          <w:lang w:val="da-DK"/>
        </w:rPr>
      </w:pPr>
      <w:r w:rsidRPr="004C2A59">
        <w:rPr>
          <w:color w:val="000000"/>
          <w:sz w:val="22"/>
          <w:szCs w:val="22"/>
          <w:lang w:val="da-DK"/>
        </w:rPr>
        <w:t xml:space="preserve">Der har været tilfælde af cytolytisk og cholestatisk hepatitis samt leversvigt, i nogle tilfælde </w:t>
      </w:r>
      <w:r w:rsidR="00164024" w:rsidRPr="004C2A59">
        <w:rPr>
          <w:color w:val="000000"/>
          <w:sz w:val="22"/>
          <w:szCs w:val="22"/>
          <w:lang w:val="da-DK"/>
        </w:rPr>
        <w:t xml:space="preserve">var udfaldet </w:t>
      </w:r>
      <w:r w:rsidR="00293CA9" w:rsidRPr="004C2A59">
        <w:rPr>
          <w:color w:val="000000"/>
          <w:sz w:val="22"/>
          <w:szCs w:val="22"/>
          <w:lang w:val="da-DK"/>
        </w:rPr>
        <w:t>le</w:t>
      </w:r>
      <w:r w:rsidRPr="004C2A59">
        <w:rPr>
          <w:color w:val="000000"/>
          <w:sz w:val="22"/>
          <w:szCs w:val="22"/>
          <w:lang w:val="da-DK"/>
        </w:rPr>
        <w:t>tal</w:t>
      </w:r>
      <w:r w:rsidR="00164024" w:rsidRPr="004C2A59">
        <w:rPr>
          <w:color w:val="000000"/>
          <w:sz w:val="22"/>
          <w:szCs w:val="22"/>
          <w:lang w:val="da-DK"/>
        </w:rPr>
        <w:t>t</w:t>
      </w:r>
      <w:r w:rsidRPr="004C2A59">
        <w:rPr>
          <w:color w:val="000000"/>
          <w:sz w:val="22"/>
          <w:szCs w:val="22"/>
          <w:lang w:val="da-DK"/>
        </w:rPr>
        <w:t>, inkluderende én patient</w:t>
      </w:r>
      <w:r w:rsidR="00164024" w:rsidRPr="004C2A59">
        <w:rPr>
          <w:color w:val="000000"/>
          <w:sz w:val="22"/>
          <w:szCs w:val="22"/>
          <w:lang w:val="da-DK"/>
        </w:rPr>
        <w:t>,</w:t>
      </w:r>
      <w:r w:rsidRPr="004C2A59">
        <w:rPr>
          <w:color w:val="000000"/>
          <w:sz w:val="22"/>
          <w:szCs w:val="22"/>
          <w:lang w:val="da-DK"/>
        </w:rPr>
        <w:t xml:space="preserve"> der fik højdosis paracetamol.</w:t>
      </w:r>
    </w:p>
    <w:p w14:paraId="27F7F540" w14:textId="77777777" w:rsidR="00B023D7" w:rsidRDefault="00B023D7" w:rsidP="00421681">
      <w:pPr>
        <w:widowControl w:val="0"/>
        <w:suppressAutoHyphens/>
        <w:rPr>
          <w:color w:val="000000"/>
          <w:sz w:val="22"/>
          <w:szCs w:val="22"/>
          <w:u w:val="single"/>
          <w:lang w:val="da-DK"/>
        </w:rPr>
      </w:pPr>
    </w:p>
    <w:p w14:paraId="6E885C82" w14:textId="77777777" w:rsidR="00B023D7" w:rsidRDefault="00B023D7" w:rsidP="00421681">
      <w:pPr>
        <w:keepNext/>
        <w:widowControl w:val="0"/>
        <w:rPr>
          <w:color w:val="000000"/>
          <w:sz w:val="22"/>
          <w:szCs w:val="22"/>
          <w:u w:val="single"/>
          <w:lang w:val="da-DK"/>
        </w:rPr>
      </w:pPr>
      <w:r w:rsidRPr="007F2E31">
        <w:rPr>
          <w:color w:val="000000"/>
          <w:sz w:val="22"/>
          <w:szCs w:val="22"/>
          <w:u w:val="single"/>
          <w:lang w:val="da-DK"/>
        </w:rPr>
        <w:t>Beskr</w:t>
      </w:r>
      <w:r w:rsidR="00E5610F" w:rsidRPr="00E5610F">
        <w:rPr>
          <w:color w:val="000000"/>
          <w:sz w:val="22"/>
          <w:szCs w:val="22"/>
          <w:u w:val="single"/>
          <w:lang w:val="da-DK"/>
        </w:rPr>
        <w:t>ivelse af udvalgte bivirkninger</w:t>
      </w:r>
    </w:p>
    <w:p w14:paraId="0051D347" w14:textId="77777777" w:rsidR="00B023D7" w:rsidRPr="007F2E31" w:rsidRDefault="00B023D7" w:rsidP="00421681">
      <w:pPr>
        <w:keepNext/>
        <w:widowControl w:val="0"/>
        <w:rPr>
          <w:i/>
          <w:color w:val="000000"/>
          <w:sz w:val="22"/>
          <w:szCs w:val="22"/>
          <w:u w:val="single"/>
          <w:lang w:val="da-DK"/>
        </w:rPr>
      </w:pPr>
      <w:r w:rsidRPr="007F2E31">
        <w:rPr>
          <w:i/>
          <w:color w:val="000000"/>
          <w:sz w:val="22"/>
          <w:szCs w:val="22"/>
          <w:u w:val="single"/>
          <w:lang w:val="da-DK"/>
        </w:rPr>
        <w:t>Reaktivering af hepatitis B</w:t>
      </w:r>
    </w:p>
    <w:p w14:paraId="5E22FB92" w14:textId="77777777" w:rsidR="00270C5A" w:rsidRPr="004C2A59" w:rsidRDefault="00B023D7" w:rsidP="00421681">
      <w:pPr>
        <w:widowControl w:val="0"/>
        <w:suppressAutoHyphens/>
        <w:rPr>
          <w:color w:val="000000"/>
          <w:sz w:val="22"/>
          <w:szCs w:val="22"/>
          <w:lang w:val="da-DK"/>
        </w:rPr>
      </w:pPr>
      <w:r w:rsidRPr="00B023D7">
        <w:rPr>
          <w:color w:val="000000"/>
          <w:sz w:val="22"/>
          <w:szCs w:val="22"/>
          <w:lang w:val="da-DK"/>
        </w:rPr>
        <w:t>Reaktivering af hepatitis B er beskrevet i forbindelse med behandling med BCR-ABL-tyrosinkinasehæmmere. I nogle tilfælde har dette medført akut leversvigt eller fulminant hepatitis, førende til levertrans</w:t>
      </w:r>
      <w:r w:rsidR="00636691">
        <w:rPr>
          <w:color w:val="000000"/>
          <w:sz w:val="22"/>
          <w:szCs w:val="22"/>
          <w:lang w:val="da-DK"/>
        </w:rPr>
        <w:t>plantation eller død (se pkt. </w:t>
      </w:r>
      <w:r w:rsidRPr="00B023D7">
        <w:rPr>
          <w:color w:val="000000"/>
          <w:sz w:val="22"/>
          <w:szCs w:val="22"/>
          <w:lang w:val="da-DK"/>
        </w:rPr>
        <w:t>4.4).</w:t>
      </w:r>
    </w:p>
    <w:p w14:paraId="7F19F364" w14:textId="77777777" w:rsidR="00270C5A" w:rsidRPr="004C2A59" w:rsidRDefault="00270C5A" w:rsidP="00421681">
      <w:pPr>
        <w:widowControl w:val="0"/>
        <w:suppressAutoHyphens/>
        <w:rPr>
          <w:color w:val="000000"/>
          <w:sz w:val="22"/>
          <w:szCs w:val="22"/>
          <w:lang w:val="da-DK"/>
        </w:rPr>
      </w:pPr>
    </w:p>
    <w:p w14:paraId="219B4C60" w14:textId="77777777" w:rsidR="00E53600" w:rsidRPr="004C2A59" w:rsidRDefault="00E53600" w:rsidP="006C180B">
      <w:pPr>
        <w:keepNext/>
        <w:autoSpaceDE w:val="0"/>
        <w:autoSpaceDN w:val="0"/>
        <w:adjustRightInd w:val="0"/>
        <w:rPr>
          <w:sz w:val="22"/>
          <w:szCs w:val="22"/>
          <w:u w:val="single"/>
          <w:lang w:val="da-DK"/>
        </w:rPr>
      </w:pPr>
      <w:r w:rsidRPr="004C2A59">
        <w:rPr>
          <w:noProof/>
          <w:sz w:val="22"/>
          <w:szCs w:val="22"/>
          <w:u w:val="single"/>
          <w:lang w:val="da-DK"/>
        </w:rPr>
        <w:t>Indberetning af formodede bivirkninger</w:t>
      </w:r>
    </w:p>
    <w:p w14:paraId="5DCDBAE4" w14:textId="77777777" w:rsidR="00E53600" w:rsidRPr="004C2A59" w:rsidRDefault="00E53600" w:rsidP="00421681">
      <w:pPr>
        <w:widowControl w:val="0"/>
        <w:suppressAutoHyphens/>
        <w:rPr>
          <w:color w:val="000000"/>
          <w:sz w:val="22"/>
          <w:szCs w:val="22"/>
          <w:lang w:val="da-DK"/>
        </w:rPr>
      </w:pPr>
      <w:r w:rsidRPr="004C2A59">
        <w:rPr>
          <w:noProof/>
          <w:sz w:val="22"/>
          <w:szCs w:val="22"/>
          <w:lang w:val="da-DK"/>
        </w:rPr>
        <w:t>Når lægemidlet er godkendt, er indberetning af formodede bivirkninger vigtig.</w:t>
      </w:r>
      <w:r w:rsidRPr="004C2A59">
        <w:rPr>
          <w:sz w:val="22"/>
          <w:szCs w:val="22"/>
          <w:lang w:val="da-DK"/>
        </w:rPr>
        <w:t xml:space="preserve"> </w:t>
      </w:r>
      <w:r w:rsidRPr="004C2A59">
        <w:rPr>
          <w:noProof/>
          <w:sz w:val="22"/>
          <w:szCs w:val="22"/>
          <w:lang w:val="da-DK"/>
        </w:rPr>
        <w:t>Det muliggør løbende overvågning af benefit/risk-forholdet for lægemidlet.</w:t>
      </w:r>
      <w:r w:rsidRPr="004C2A59">
        <w:rPr>
          <w:sz w:val="22"/>
          <w:szCs w:val="22"/>
          <w:lang w:val="da-DK"/>
        </w:rPr>
        <w:t xml:space="preserve"> </w:t>
      </w:r>
      <w:r w:rsidRPr="004C2A59">
        <w:rPr>
          <w:noProof/>
          <w:sz w:val="22"/>
          <w:szCs w:val="22"/>
          <w:lang w:val="da-DK"/>
        </w:rPr>
        <w:t xml:space="preserve">Læger og sundhedspersonale anmodes om at indberette alle formodede bivirkninger </w:t>
      </w:r>
      <w:r w:rsidRPr="004C2A59">
        <w:rPr>
          <w:noProof/>
          <w:sz w:val="22"/>
          <w:szCs w:val="22"/>
          <w:shd w:val="clear" w:color="auto" w:fill="D9D9D9"/>
          <w:lang w:val="da-DK"/>
        </w:rPr>
        <w:t xml:space="preserve">via det nationale rapporteringssystem anført i </w:t>
      </w:r>
      <w:hyperlink r:id="rId12" w:history="1">
        <w:r w:rsidRPr="004C2A59">
          <w:rPr>
            <w:rStyle w:val="Hyperlink"/>
            <w:noProof/>
            <w:sz w:val="22"/>
            <w:szCs w:val="22"/>
            <w:shd w:val="clear" w:color="auto" w:fill="D9D9D9"/>
            <w:lang w:val="da-DK"/>
          </w:rPr>
          <w:t>Appendiks V</w:t>
        </w:r>
      </w:hyperlink>
      <w:r w:rsidRPr="004C2A59">
        <w:rPr>
          <w:rStyle w:val="Hyperlink"/>
          <w:noProof/>
          <w:sz w:val="22"/>
          <w:szCs w:val="22"/>
          <w:lang w:val="da-DK"/>
        </w:rPr>
        <w:t>.</w:t>
      </w:r>
    </w:p>
    <w:p w14:paraId="3887A9A0" w14:textId="77777777" w:rsidR="00E53600" w:rsidRPr="004C2A59" w:rsidRDefault="00E53600" w:rsidP="00421681">
      <w:pPr>
        <w:widowControl w:val="0"/>
        <w:suppressAutoHyphens/>
        <w:rPr>
          <w:color w:val="000000"/>
          <w:sz w:val="22"/>
          <w:szCs w:val="22"/>
          <w:lang w:val="da-DK"/>
        </w:rPr>
      </w:pPr>
    </w:p>
    <w:p w14:paraId="47832F13" w14:textId="77777777" w:rsidR="00270C5A" w:rsidRPr="004C2A59" w:rsidRDefault="00270C5A" w:rsidP="006C180B">
      <w:pPr>
        <w:keepNext/>
        <w:widowControl w:val="0"/>
        <w:suppressAutoHyphens/>
        <w:ind w:left="567" w:hanging="567"/>
        <w:rPr>
          <w:color w:val="000000"/>
          <w:sz w:val="22"/>
          <w:szCs w:val="22"/>
          <w:lang w:val="da-DK"/>
        </w:rPr>
      </w:pPr>
      <w:r w:rsidRPr="004C2A59">
        <w:rPr>
          <w:b/>
          <w:color w:val="000000"/>
          <w:sz w:val="22"/>
          <w:szCs w:val="22"/>
          <w:lang w:val="da-DK"/>
        </w:rPr>
        <w:t>4.9</w:t>
      </w:r>
      <w:r w:rsidRPr="004C2A59">
        <w:rPr>
          <w:b/>
          <w:color w:val="000000"/>
          <w:sz w:val="22"/>
          <w:szCs w:val="22"/>
          <w:lang w:val="da-DK"/>
        </w:rPr>
        <w:tab/>
        <w:t>Overdosering</w:t>
      </w:r>
    </w:p>
    <w:p w14:paraId="0EB1BE7A" w14:textId="77777777" w:rsidR="00270C5A" w:rsidRPr="004C2A59" w:rsidRDefault="00270C5A" w:rsidP="006C180B">
      <w:pPr>
        <w:pStyle w:val="EndnoteText"/>
        <w:keepNext/>
        <w:tabs>
          <w:tab w:val="clear" w:pos="567"/>
        </w:tabs>
        <w:rPr>
          <w:color w:val="000000"/>
          <w:szCs w:val="22"/>
        </w:rPr>
      </w:pPr>
    </w:p>
    <w:p w14:paraId="53E5083D" w14:textId="77777777" w:rsidR="0081613D" w:rsidRPr="004C2A59" w:rsidRDefault="00E813E5" w:rsidP="00421681">
      <w:pPr>
        <w:rPr>
          <w:color w:val="000000"/>
          <w:sz w:val="22"/>
          <w:szCs w:val="22"/>
          <w:lang w:val="da-DK"/>
        </w:rPr>
      </w:pPr>
      <w:r w:rsidRPr="004C2A59">
        <w:rPr>
          <w:color w:val="000000"/>
          <w:sz w:val="22"/>
          <w:szCs w:val="22"/>
          <w:lang w:val="da-DK"/>
        </w:rPr>
        <w:t xml:space="preserve">Der er begrænset erfaring med doser højere end den anbefalede terapeutiske dosis. Enkelte </w:t>
      </w:r>
      <w:r w:rsidR="00BC6C72" w:rsidRPr="004C2A59">
        <w:rPr>
          <w:color w:val="000000"/>
          <w:sz w:val="22"/>
          <w:szCs w:val="22"/>
          <w:lang w:val="da-DK"/>
        </w:rPr>
        <w:t>tilfælde af</w:t>
      </w:r>
      <w:r w:rsidRPr="004C2A59">
        <w:rPr>
          <w:color w:val="000000"/>
          <w:sz w:val="22"/>
          <w:szCs w:val="22"/>
          <w:lang w:val="da-DK"/>
        </w:rPr>
        <w:t xml:space="preserve"> overdosering </w:t>
      </w:r>
      <w:r w:rsidR="00BC6C72" w:rsidRPr="004C2A59">
        <w:rPr>
          <w:color w:val="000000"/>
          <w:sz w:val="22"/>
          <w:szCs w:val="22"/>
          <w:lang w:val="da-DK"/>
        </w:rPr>
        <w:t>med</w:t>
      </w:r>
      <w:r w:rsidRPr="004C2A59">
        <w:rPr>
          <w:color w:val="000000"/>
          <w:sz w:val="22"/>
          <w:szCs w:val="22"/>
          <w:lang w:val="da-DK"/>
        </w:rPr>
        <w:t xml:space="preserve"> Glivec er blevet spontant rapporteret</w:t>
      </w:r>
      <w:r w:rsidR="00E00F34" w:rsidRPr="004C2A59">
        <w:rPr>
          <w:color w:val="000000"/>
          <w:sz w:val="22"/>
          <w:szCs w:val="22"/>
          <w:lang w:val="da-DK"/>
        </w:rPr>
        <w:t xml:space="preserve"> i literaturen. I tilfælde af overdosis bør patienten </w:t>
      </w:r>
      <w:r w:rsidR="001E7948" w:rsidRPr="004C2A59">
        <w:rPr>
          <w:color w:val="000000"/>
          <w:sz w:val="22"/>
          <w:szCs w:val="22"/>
          <w:lang w:val="da-DK"/>
        </w:rPr>
        <w:t>observere</w:t>
      </w:r>
      <w:r w:rsidR="00F643E9" w:rsidRPr="004C2A59">
        <w:rPr>
          <w:color w:val="000000"/>
          <w:sz w:val="22"/>
          <w:szCs w:val="22"/>
          <w:lang w:val="da-DK"/>
        </w:rPr>
        <w:t>s</w:t>
      </w:r>
      <w:r w:rsidR="001E7948" w:rsidRPr="004C2A59">
        <w:rPr>
          <w:color w:val="000000"/>
          <w:sz w:val="22"/>
          <w:szCs w:val="22"/>
          <w:lang w:val="da-DK"/>
        </w:rPr>
        <w:t xml:space="preserve"> og passende symptomatisk behandling</w:t>
      </w:r>
      <w:r w:rsidR="00F643E9" w:rsidRPr="004C2A59">
        <w:rPr>
          <w:color w:val="000000"/>
          <w:sz w:val="22"/>
          <w:szCs w:val="22"/>
          <w:lang w:val="da-DK"/>
        </w:rPr>
        <w:t xml:space="preserve"> institueres</w:t>
      </w:r>
      <w:r w:rsidR="001E7948" w:rsidRPr="004C2A59">
        <w:rPr>
          <w:color w:val="000000"/>
          <w:sz w:val="22"/>
          <w:szCs w:val="22"/>
          <w:lang w:val="da-DK"/>
        </w:rPr>
        <w:t>. Generelt var de rapporterede udfald i disse sager ”forbedret” eller ”blevet rask”. Tilfælde</w:t>
      </w:r>
      <w:r w:rsidR="00100B58" w:rsidRPr="004C2A59">
        <w:rPr>
          <w:color w:val="000000"/>
          <w:sz w:val="22"/>
          <w:szCs w:val="22"/>
          <w:lang w:val="da-DK"/>
        </w:rPr>
        <w:t>,</w:t>
      </w:r>
      <w:r w:rsidR="001E7948" w:rsidRPr="004C2A59">
        <w:rPr>
          <w:color w:val="000000"/>
          <w:sz w:val="22"/>
          <w:szCs w:val="22"/>
          <w:lang w:val="da-DK"/>
        </w:rPr>
        <w:t xml:space="preserve"> der er </w:t>
      </w:r>
      <w:r w:rsidR="00100B58" w:rsidRPr="004C2A59">
        <w:rPr>
          <w:color w:val="000000"/>
          <w:sz w:val="22"/>
          <w:szCs w:val="22"/>
          <w:lang w:val="da-DK"/>
        </w:rPr>
        <w:t xml:space="preserve">blevet </w:t>
      </w:r>
      <w:r w:rsidR="001E7948" w:rsidRPr="004C2A59">
        <w:rPr>
          <w:color w:val="000000"/>
          <w:sz w:val="22"/>
          <w:szCs w:val="22"/>
          <w:lang w:val="da-DK"/>
        </w:rPr>
        <w:t>rapporteret i forskellige dosisintervaller</w:t>
      </w:r>
      <w:r w:rsidR="00100B58" w:rsidRPr="004C2A59">
        <w:rPr>
          <w:color w:val="000000"/>
          <w:sz w:val="22"/>
          <w:szCs w:val="22"/>
          <w:lang w:val="da-DK"/>
        </w:rPr>
        <w:t>,</w:t>
      </w:r>
      <w:r w:rsidR="001E7948" w:rsidRPr="004C2A59">
        <w:rPr>
          <w:color w:val="000000"/>
          <w:sz w:val="22"/>
          <w:szCs w:val="22"/>
          <w:lang w:val="da-DK"/>
        </w:rPr>
        <w:t xml:space="preserve"> er følgende:</w:t>
      </w:r>
    </w:p>
    <w:p w14:paraId="1479F5AA" w14:textId="77777777" w:rsidR="0081613D" w:rsidRPr="004C2A59" w:rsidRDefault="0081613D" w:rsidP="00421681">
      <w:pPr>
        <w:rPr>
          <w:color w:val="000000"/>
          <w:sz w:val="22"/>
          <w:szCs w:val="22"/>
          <w:lang w:val="da-DK"/>
        </w:rPr>
      </w:pPr>
    </w:p>
    <w:p w14:paraId="25D224A5" w14:textId="77777777" w:rsidR="003357E7" w:rsidRPr="004C2A59" w:rsidRDefault="005D4C9D" w:rsidP="006C180B">
      <w:pPr>
        <w:keepNext/>
        <w:rPr>
          <w:i/>
          <w:color w:val="000000"/>
          <w:sz w:val="22"/>
          <w:szCs w:val="22"/>
          <w:lang w:val="da-DK"/>
        </w:rPr>
      </w:pPr>
      <w:r w:rsidRPr="004C2A59">
        <w:rPr>
          <w:i/>
          <w:color w:val="000000"/>
          <w:sz w:val="22"/>
          <w:szCs w:val="22"/>
          <w:lang w:val="da-DK"/>
        </w:rPr>
        <w:t>Voksen population</w:t>
      </w:r>
    </w:p>
    <w:p w14:paraId="09D49607" w14:textId="77777777" w:rsidR="0081613D" w:rsidRPr="004C2A59" w:rsidRDefault="0081613D" w:rsidP="00421681">
      <w:pPr>
        <w:rPr>
          <w:color w:val="000000"/>
          <w:sz w:val="22"/>
          <w:szCs w:val="22"/>
          <w:lang w:val="da-DK"/>
        </w:rPr>
      </w:pPr>
      <w:r w:rsidRPr="004C2A59">
        <w:rPr>
          <w:color w:val="000000"/>
          <w:sz w:val="22"/>
          <w:szCs w:val="22"/>
          <w:lang w:val="da-DK"/>
        </w:rPr>
        <w:t>1200</w:t>
      </w:r>
      <w:r w:rsidR="00B7321C" w:rsidRPr="004C2A59">
        <w:rPr>
          <w:color w:val="000000"/>
          <w:sz w:val="22"/>
          <w:szCs w:val="22"/>
          <w:lang w:val="da-DK"/>
        </w:rPr>
        <w:t> </w:t>
      </w:r>
      <w:r w:rsidRPr="004C2A59">
        <w:rPr>
          <w:color w:val="000000"/>
          <w:sz w:val="22"/>
          <w:szCs w:val="22"/>
          <w:lang w:val="da-DK"/>
        </w:rPr>
        <w:t>til 1600</w:t>
      </w:r>
      <w:r w:rsidR="00B7321C" w:rsidRPr="004C2A59">
        <w:rPr>
          <w:color w:val="000000"/>
          <w:sz w:val="22"/>
          <w:szCs w:val="22"/>
          <w:lang w:val="da-DK"/>
        </w:rPr>
        <w:t> </w:t>
      </w:r>
      <w:r w:rsidRPr="004C2A59">
        <w:rPr>
          <w:color w:val="000000"/>
          <w:sz w:val="22"/>
          <w:szCs w:val="22"/>
          <w:lang w:val="da-DK"/>
        </w:rPr>
        <w:t xml:space="preserve">mg (varighed varierer mellem 1 </w:t>
      </w:r>
      <w:r w:rsidR="00F643E9" w:rsidRPr="004C2A59">
        <w:rPr>
          <w:color w:val="000000"/>
          <w:sz w:val="22"/>
          <w:szCs w:val="22"/>
          <w:lang w:val="da-DK"/>
        </w:rPr>
        <w:t>og</w:t>
      </w:r>
      <w:r w:rsidRPr="004C2A59">
        <w:rPr>
          <w:color w:val="000000"/>
          <w:sz w:val="22"/>
          <w:szCs w:val="22"/>
          <w:lang w:val="da-DK"/>
        </w:rPr>
        <w:t xml:space="preserve"> 10</w:t>
      </w:r>
      <w:r w:rsidR="00B7321C" w:rsidRPr="004C2A59">
        <w:rPr>
          <w:color w:val="000000"/>
          <w:sz w:val="22"/>
          <w:szCs w:val="22"/>
          <w:lang w:val="da-DK"/>
        </w:rPr>
        <w:t> </w:t>
      </w:r>
      <w:r w:rsidRPr="004C2A59">
        <w:rPr>
          <w:color w:val="000000"/>
          <w:sz w:val="22"/>
          <w:szCs w:val="22"/>
          <w:lang w:val="da-DK"/>
        </w:rPr>
        <w:t>dage): Kvalme, opkast</w:t>
      </w:r>
      <w:r w:rsidR="00F643E9" w:rsidRPr="004C2A59">
        <w:rPr>
          <w:color w:val="000000"/>
          <w:sz w:val="22"/>
          <w:szCs w:val="22"/>
          <w:lang w:val="da-DK"/>
        </w:rPr>
        <w:t>ning</w:t>
      </w:r>
      <w:r w:rsidRPr="004C2A59">
        <w:rPr>
          <w:color w:val="000000"/>
          <w:sz w:val="22"/>
          <w:szCs w:val="22"/>
          <w:lang w:val="da-DK"/>
        </w:rPr>
        <w:t>, diarré, rødme</w:t>
      </w:r>
      <w:r w:rsidR="00DC377C" w:rsidRPr="004C2A59">
        <w:rPr>
          <w:color w:val="000000"/>
          <w:sz w:val="22"/>
          <w:szCs w:val="22"/>
          <w:lang w:val="da-DK"/>
        </w:rPr>
        <w:t>, erytem, ødem, hævelse, træthed, muskelkramper, trombocytopeni, pancytopeni, abdominalsmerter, hovedpine, nedsat appetit.</w:t>
      </w:r>
    </w:p>
    <w:p w14:paraId="3B8C33FB" w14:textId="77777777" w:rsidR="007F24D8" w:rsidRPr="004C2A59" w:rsidRDefault="00B7321C" w:rsidP="00421681">
      <w:pPr>
        <w:rPr>
          <w:color w:val="000000"/>
          <w:sz w:val="22"/>
          <w:szCs w:val="22"/>
          <w:lang w:val="da-DK"/>
        </w:rPr>
      </w:pPr>
      <w:r w:rsidRPr="004C2A59">
        <w:rPr>
          <w:color w:val="000000"/>
          <w:sz w:val="22"/>
          <w:szCs w:val="22"/>
          <w:lang w:val="da-DK"/>
        </w:rPr>
        <w:t xml:space="preserve">1800 til 3200 mg </w:t>
      </w:r>
      <w:r w:rsidR="00B70991" w:rsidRPr="004C2A59">
        <w:rPr>
          <w:color w:val="000000"/>
          <w:sz w:val="22"/>
          <w:szCs w:val="22"/>
          <w:lang w:val="da-DK"/>
        </w:rPr>
        <w:t>(så høj som 3200</w:t>
      </w:r>
      <w:r w:rsidR="0071684D" w:rsidRPr="004C2A59">
        <w:rPr>
          <w:color w:val="000000"/>
          <w:sz w:val="22"/>
          <w:szCs w:val="22"/>
          <w:lang w:val="da-DK"/>
        </w:rPr>
        <w:t> </w:t>
      </w:r>
      <w:r w:rsidR="00B70991" w:rsidRPr="004C2A59">
        <w:rPr>
          <w:color w:val="000000"/>
          <w:sz w:val="22"/>
          <w:szCs w:val="22"/>
          <w:lang w:val="da-DK"/>
        </w:rPr>
        <w:t>mg daglig i 6 dage)</w:t>
      </w:r>
      <w:r w:rsidR="002478EF" w:rsidRPr="004C2A59">
        <w:rPr>
          <w:color w:val="000000"/>
          <w:sz w:val="22"/>
          <w:szCs w:val="22"/>
          <w:lang w:val="da-DK"/>
        </w:rPr>
        <w:t>: Svaghed, myalgi, øget kreatininfosfokinase, øget bilirubin, gastrointestinal</w:t>
      </w:r>
      <w:r w:rsidR="006B0607" w:rsidRPr="004C2A59">
        <w:rPr>
          <w:color w:val="000000"/>
          <w:sz w:val="22"/>
          <w:szCs w:val="22"/>
          <w:lang w:val="da-DK"/>
        </w:rPr>
        <w:t>e</w:t>
      </w:r>
      <w:r w:rsidR="002478EF" w:rsidRPr="004C2A59">
        <w:rPr>
          <w:color w:val="000000"/>
          <w:sz w:val="22"/>
          <w:szCs w:val="22"/>
          <w:lang w:val="da-DK"/>
        </w:rPr>
        <w:t xml:space="preserve"> smerte</w:t>
      </w:r>
      <w:r w:rsidR="006B0607" w:rsidRPr="004C2A59">
        <w:rPr>
          <w:color w:val="000000"/>
          <w:sz w:val="22"/>
          <w:szCs w:val="22"/>
          <w:lang w:val="da-DK"/>
        </w:rPr>
        <w:t>r</w:t>
      </w:r>
      <w:r w:rsidR="002478EF" w:rsidRPr="004C2A59">
        <w:rPr>
          <w:color w:val="000000"/>
          <w:sz w:val="22"/>
          <w:szCs w:val="22"/>
          <w:lang w:val="da-DK"/>
        </w:rPr>
        <w:t>.</w:t>
      </w:r>
    </w:p>
    <w:p w14:paraId="0CB2E8D2" w14:textId="77777777" w:rsidR="00C7228A" w:rsidRPr="004C2A59" w:rsidRDefault="007F24D8" w:rsidP="00421681">
      <w:pPr>
        <w:rPr>
          <w:color w:val="000000"/>
          <w:sz w:val="22"/>
          <w:szCs w:val="22"/>
          <w:lang w:val="da-DK"/>
        </w:rPr>
      </w:pPr>
      <w:r w:rsidRPr="004C2A59">
        <w:rPr>
          <w:color w:val="000000"/>
          <w:sz w:val="22"/>
          <w:szCs w:val="22"/>
          <w:lang w:val="da-DK"/>
        </w:rPr>
        <w:t>6400</w:t>
      </w:r>
      <w:r w:rsidR="0071684D" w:rsidRPr="004C2A59">
        <w:rPr>
          <w:color w:val="000000"/>
          <w:sz w:val="22"/>
          <w:szCs w:val="22"/>
          <w:lang w:val="da-DK"/>
        </w:rPr>
        <w:t> </w:t>
      </w:r>
      <w:r w:rsidRPr="004C2A59">
        <w:rPr>
          <w:color w:val="000000"/>
          <w:sz w:val="22"/>
          <w:szCs w:val="22"/>
          <w:lang w:val="da-DK"/>
        </w:rPr>
        <w:t xml:space="preserve">mg (enkeltdosis): </w:t>
      </w:r>
      <w:r w:rsidR="000D2972" w:rsidRPr="004C2A59">
        <w:rPr>
          <w:color w:val="000000"/>
          <w:sz w:val="22"/>
          <w:szCs w:val="22"/>
          <w:lang w:val="da-DK"/>
        </w:rPr>
        <w:t xml:space="preserve">Der er </w:t>
      </w:r>
      <w:r w:rsidR="006B0607" w:rsidRPr="004C2A59">
        <w:rPr>
          <w:color w:val="000000"/>
          <w:sz w:val="22"/>
          <w:szCs w:val="22"/>
          <w:lang w:val="da-DK"/>
        </w:rPr>
        <w:t>beskrevet</w:t>
      </w:r>
      <w:r w:rsidRPr="004C2A59">
        <w:rPr>
          <w:color w:val="000000"/>
          <w:sz w:val="22"/>
          <w:szCs w:val="22"/>
          <w:lang w:val="da-DK"/>
        </w:rPr>
        <w:t xml:space="preserve"> </w:t>
      </w:r>
      <w:r w:rsidR="00F643E9" w:rsidRPr="004C2A59">
        <w:rPr>
          <w:color w:val="000000"/>
          <w:sz w:val="22"/>
          <w:szCs w:val="22"/>
          <w:lang w:val="da-DK"/>
        </w:rPr>
        <w:t xml:space="preserve">et tilfælde </w:t>
      </w:r>
      <w:r w:rsidRPr="004C2A59">
        <w:rPr>
          <w:color w:val="000000"/>
          <w:sz w:val="22"/>
          <w:szCs w:val="22"/>
          <w:lang w:val="da-DK"/>
        </w:rPr>
        <w:t xml:space="preserve">i litteraturen </w:t>
      </w:r>
      <w:r w:rsidR="000D2972" w:rsidRPr="004C2A59">
        <w:rPr>
          <w:color w:val="000000"/>
          <w:sz w:val="22"/>
          <w:szCs w:val="22"/>
          <w:lang w:val="da-DK"/>
        </w:rPr>
        <w:t>om</w:t>
      </w:r>
      <w:r w:rsidRPr="004C2A59">
        <w:rPr>
          <w:color w:val="000000"/>
          <w:sz w:val="22"/>
          <w:szCs w:val="22"/>
          <w:lang w:val="da-DK"/>
        </w:rPr>
        <w:t xml:space="preserve"> en patient, der </w:t>
      </w:r>
      <w:r w:rsidR="00F643E9" w:rsidRPr="004C2A59">
        <w:rPr>
          <w:color w:val="000000"/>
          <w:sz w:val="22"/>
          <w:szCs w:val="22"/>
          <w:lang w:val="da-DK"/>
        </w:rPr>
        <w:t>fik</w:t>
      </w:r>
      <w:r w:rsidRPr="004C2A59">
        <w:rPr>
          <w:color w:val="000000"/>
          <w:sz w:val="22"/>
          <w:szCs w:val="22"/>
          <w:lang w:val="da-DK"/>
        </w:rPr>
        <w:t xml:space="preserve"> kvalme, opkast</w:t>
      </w:r>
      <w:r w:rsidR="00F643E9" w:rsidRPr="004C2A59">
        <w:rPr>
          <w:color w:val="000000"/>
          <w:sz w:val="22"/>
          <w:szCs w:val="22"/>
          <w:lang w:val="da-DK"/>
        </w:rPr>
        <w:t>ning</w:t>
      </w:r>
      <w:r w:rsidR="006B0607" w:rsidRPr="004C2A59">
        <w:rPr>
          <w:color w:val="000000"/>
          <w:sz w:val="22"/>
          <w:szCs w:val="22"/>
          <w:lang w:val="da-DK"/>
        </w:rPr>
        <w:t>, abdominal</w:t>
      </w:r>
      <w:r w:rsidRPr="004C2A59">
        <w:rPr>
          <w:color w:val="000000"/>
          <w:sz w:val="22"/>
          <w:szCs w:val="22"/>
          <w:lang w:val="da-DK"/>
        </w:rPr>
        <w:t>smerter, feber</w:t>
      </w:r>
      <w:r w:rsidR="00C7228A" w:rsidRPr="004C2A59">
        <w:rPr>
          <w:color w:val="000000"/>
          <w:sz w:val="22"/>
          <w:szCs w:val="22"/>
          <w:lang w:val="da-DK"/>
        </w:rPr>
        <w:t>,</w:t>
      </w:r>
      <w:r w:rsidR="000D2972" w:rsidRPr="004C2A59">
        <w:rPr>
          <w:color w:val="000000"/>
          <w:sz w:val="22"/>
          <w:szCs w:val="22"/>
          <w:lang w:val="da-DK"/>
        </w:rPr>
        <w:t xml:space="preserve"> hævelse af ansigt, nedsat</w:t>
      </w:r>
      <w:r w:rsidR="00C7228A" w:rsidRPr="004C2A59">
        <w:rPr>
          <w:color w:val="000000"/>
          <w:sz w:val="22"/>
          <w:szCs w:val="22"/>
          <w:lang w:val="da-DK"/>
        </w:rPr>
        <w:t xml:space="preserve"> neutrofil</w:t>
      </w:r>
      <w:r w:rsidR="000D2972" w:rsidRPr="004C2A59">
        <w:rPr>
          <w:color w:val="000000"/>
          <w:sz w:val="22"/>
          <w:szCs w:val="22"/>
          <w:lang w:val="da-DK"/>
        </w:rPr>
        <w:t>tal</w:t>
      </w:r>
      <w:r w:rsidR="00C7228A" w:rsidRPr="004C2A59">
        <w:rPr>
          <w:color w:val="000000"/>
          <w:sz w:val="22"/>
          <w:szCs w:val="22"/>
          <w:lang w:val="da-DK"/>
        </w:rPr>
        <w:t>, stigning i transaminaser.</w:t>
      </w:r>
    </w:p>
    <w:p w14:paraId="469A8273" w14:textId="77777777" w:rsidR="00B1783B" w:rsidRPr="004C2A59" w:rsidRDefault="00C7228A" w:rsidP="00421681">
      <w:pPr>
        <w:rPr>
          <w:color w:val="000000"/>
          <w:sz w:val="22"/>
          <w:szCs w:val="22"/>
          <w:lang w:val="da-DK"/>
        </w:rPr>
      </w:pPr>
      <w:r w:rsidRPr="004C2A59">
        <w:rPr>
          <w:color w:val="000000"/>
          <w:sz w:val="22"/>
          <w:szCs w:val="22"/>
          <w:lang w:val="da-DK"/>
        </w:rPr>
        <w:t>8 til 10</w:t>
      </w:r>
      <w:r w:rsidR="0071684D" w:rsidRPr="004C2A59">
        <w:rPr>
          <w:color w:val="000000"/>
          <w:sz w:val="22"/>
          <w:szCs w:val="22"/>
          <w:lang w:val="da-DK"/>
        </w:rPr>
        <w:t> </w:t>
      </w:r>
      <w:r w:rsidRPr="004C2A59">
        <w:rPr>
          <w:color w:val="000000"/>
          <w:sz w:val="22"/>
          <w:szCs w:val="22"/>
          <w:lang w:val="da-DK"/>
        </w:rPr>
        <w:t>g (enkeltdosis): Opkast</w:t>
      </w:r>
      <w:r w:rsidR="00F643E9" w:rsidRPr="004C2A59">
        <w:rPr>
          <w:color w:val="000000"/>
          <w:sz w:val="22"/>
          <w:szCs w:val="22"/>
          <w:lang w:val="da-DK"/>
        </w:rPr>
        <w:t>ning</w:t>
      </w:r>
      <w:r w:rsidRPr="004C2A59">
        <w:rPr>
          <w:color w:val="000000"/>
          <w:sz w:val="22"/>
          <w:szCs w:val="22"/>
          <w:lang w:val="da-DK"/>
        </w:rPr>
        <w:t xml:space="preserve"> og gastrointestinale smerter er blevet rapporteret.</w:t>
      </w:r>
    </w:p>
    <w:p w14:paraId="308B5E87" w14:textId="77777777" w:rsidR="00B1783B" w:rsidRPr="004C2A59" w:rsidRDefault="00B1783B" w:rsidP="00421681">
      <w:pPr>
        <w:rPr>
          <w:color w:val="000000"/>
          <w:sz w:val="22"/>
          <w:szCs w:val="22"/>
          <w:lang w:val="da-DK"/>
        </w:rPr>
      </w:pPr>
    </w:p>
    <w:p w14:paraId="6DB63855" w14:textId="77777777" w:rsidR="00B7321C" w:rsidRPr="004C2A59" w:rsidRDefault="002908AA" w:rsidP="006C180B">
      <w:pPr>
        <w:keepNext/>
        <w:rPr>
          <w:i/>
          <w:color w:val="000000"/>
          <w:sz w:val="22"/>
          <w:szCs w:val="22"/>
          <w:lang w:val="da-DK"/>
        </w:rPr>
      </w:pPr>
      <w:r w:rsidRPr="004C2A59">
        <w:rPr>
          <w:i/>
          <w:color w:val="000000"/>
          <w:sz w:val="22"/>
          <w:szCs w:val="22"/>
          <w:lang w:val="da-DK"/>
        </w:rPr>
        <w:t>Pædiatrisk population</w:t>
      </w:r>
    </w:p>
    <w:p w14:paraId="029C062D" w14:textId="77777777" w:rsidR="0081613D" w:rsidRPr="004C2A59" w:rsidRDefault="00905D36" w:rsidP="00421681">
      <w:pPr>
        <w:rPr>
          <w:color w:val="000000"/>
          <w:sz w:val="22"/>
          <w:szCs w:val="22"/>
          <w:lang w:val="da-DK"/>
        </w:rPr>
      </w:pPr>
      <w:r w:rsidRPr="004C2A59">
        <w:rPr>
          <w:color w:val="000000"/>
          <w:sz w:val="22"/>
          <w:szCs w:val="22"/>
          <w:lang w:val="da-DK"/>
        </w:rPr>
        <w:t>En 3</w:t>
      </w:r>
      <w:r w:rsidR="00D649C3" w:rsidRPr="004C2A59">
        <w:rPr>
          <w:color w:val="000000"/>
          <w:sz w:val="22"/>
          <w:szCs w:val="22"/>
          <w:lang w:val="da-DK"/>
        </w:rPr>
        <w:t>-</w:t>
      </w:r>
      <w:r w:rsidRPr="004C2A59">
        <w:rPr>
          <w:color w:val="000000"/>
          <w:sz w:val="22"/>
          <w:szCs w:val="22"/>
          <w:lang w:val="da-DK"/>
        </w:rPr>
        <w:t xml:space="preserve">årig dreng, der </w:t>
      </w:r>
      <w:r w:rsidR="00D649C3" w:rsidRPr="004C2A59">
        <w:rPr>
          <w:color w:val="000000"/>
          <w:sz w:val="22"/>
          <w:szCs w:val="22"/>
          <w:lang w:val="da-DK"/>
        </w:rPr>
        <w:t>fik</w:t>
      </w:r>
      <w:r w:rsidRPr="004C2A59">
        <w:rPr>
          <w:color w:val="000000"/>
          <w:sz w:val="22"/>
          <w:szCs w:val="22"/>
          <w:lang w:val="da-DK"/>
        </w:rPr>
        <w:t xml:space="preserve"> en enkelt dosis </w:t>
      </w:r>
      <w:r w:rsidR="00D649C3" w:rsidRPr="004C2A59">
        <w:rPr>
          <w:color w:val="000000"/>
          <w:sz w:val="22"/>
          <w:szCs w:val="22"/>
          <w:lang w:val="da-DK"/>
        </w:rPr>
        <w:t>på</w:t>
      </w:r>
      <w:r w:rsidRPr="004C2A59">
        <w:rPr>
          <w:color w:val="000000"/>
          <w:sz w:val="22"/>
          <w:szCs w:val="22"/>
          <w:lang w:val="da-DK"/>
        </w:rPr>
        <w:t xml:space="preserve"> 400 mg</w:t>
      </w:r>
      <w:r w:rsidR="00D649C3" w:rsidRPr="004C2A59">
        <w:rPr>
          <w:color w:val="000000"/>
          <w:sz w:val="22"/>
          <w:szCs w:val="22"/>
          <w:lang w:val="da-DK"/>
        </w:rPr>
        <w:t>,</w:t>
      </w:r>
      <w:r w:rsidRPr="004C2A59">
        <w:rPr>
          <w:color w:val="000000"/>
          <w:sz w:val="22"/>
          <w:szCs w:val="22"/>
          <w:lang w:val="da-DK"/>
        </w:rPr>
        <w:t xml:space="preserve"> oplevede opkast</w:t>
      </w:r>
      <w:r w:rsidR="00D649C3" w:rsidRPr="004C2A59">
        <w:rPr>
          <w:color w:val="000000"/>
          <w:sz w:val="22"/>
          <w:szCs w:val="22"/>
          <w:lang w:val="da-DK"/>
        </w:rPr>
        <w:t>ning</w:t>
      </w:r>
      <w:r w:rsidRPr="004C2A59">
        <w:rPr>
          <w:color w:val="000000"/>
          <w:sz w:val="22"/>
          <w:szCs w:val="22"/>
          <w:lang w:val="da-DK"/>
        </w:rPr>
        <w:t>, diarré og appetitløshed</w:t>
      </w:r>
      <w:r w:rsidR="00D649C3" w:rsidRPr="004C2A59">
        <w:rPr>
          <w:color w:val="000000"/>
          <w:sz w:val="22"/>
          <w:szCs w:val="22"/>
          <w:lang w:val="da-DK"/>
        </w:rPr>
        <w:t>,</w:t>
      </w:r>
      <w:r w:rsidRPr="004C2A59">
        <w:rPr>
          <w:color w:val="000000"/>
          <w:sz w:val="22"/>
          <w:szCs w:val="22"/>
          <w:lang w:val="da-DK"/>
        </w:rPr>
        <w:t xml:space="preserve"> og en anden 3</w:t>
      </w:r>
      <w:r w:rsidR="00D649C3" w:rsidRPr="004C2A59">
        <w:rPr>
          <w:color w:val="000000"/>
          <w:sz w:val="22"/>
          <w:szCs w:val="22"/>
          <w:lang w:val="da-DK"/>
        </w:rPr>
        <w:t>-</w:t>
      </w:r>
      <w:r w:rsidRPr="004C2A59">
        <w:rPr>
          <w:color w:val="000000"/>
          <w:sz w:val="22"/>
          <w:szCs w:val="22"/>
          <w:lang w:val="da-DK"/>
        </w:rPr>
        <w:t xml:space="preserve">årig dreng, der </w:t>
      </w:r>
      <w:r w:rsidR="00D649C3" w:rsidRPr="004C2A59">
        <w:rPr>
          <w:color w:val="000000"/>
          <w:sz w:val="22"/>
          <w:szCs w:val="22"/>
          <w:lang w:val="da-DK"/>
        </w:rPr>
        <w:t xml:space="preserve">fik </w:t>
      </w:r>
      <w:r w:rsidRPr="004C2A59">
        <w:rPr>
          <w:color w:val="000000"/>
          <w:sz w:val="22"/>
          <w:szCs w:val="22"/>
          <w:lang w:val="da-DK"/>
        </w:rPr>
        <w:t xml:space="preserve">en enkelt dosis </w:t>
      </w:r>
      <w:r w:rsidR="00D649C3" w:rsidRPr="004C2A59">
        <w:rPr>
          <w:color w:val="000000"/>
          <w:sz w:val="22"/>
          <w:szCs w:val="22"/>
          <w:lang w:val="da-DK"/>
        </w:rPr>
        <w:t>på</w:t>
      </w:r>
      <w:r w:rsidRPr="004C2A59">
        <w:rPr>
          <w:color w:val="000000"/>
          <w:sz w:val="22"/>
          <w:szCs w:val="22"/>
          <w:lang w:val="da-DK"/>
        </w:rPr>
        <w:t xml:space="preserve"> 980 mg</w:t>
      </w:r>
      <w:r w:rsidR="00D649C3" w:rsidRPr="004C2A59">
        <w:rPr>
          <w:color w:val="000000"/>
          <w:sz w:val="22"/>
          <w:szCs w:val="22"/>
          <w:lang w:val="da-DK"/>
        </w:rPr>
        <w:t>,</w:t>
      </w:r>
      <w:r w:rsidRPr="004C2A59">
        <w:rPr>
          <w:color w:val="000000"/>
          <w:sz w:val="22"/>
          <w:szCs w:val="22"/>
          <w:lang w:val="da-DK"/>
        </w:rPr>
        <w:t xml:space="preserve"> oplevede nedsat antal hvide blodlegemer og diarré.</w:t>
      </w:r>
    </w:p>
    <w:p w14:paraId="36A5920A" w14:textId="77777777" w:rsidR="00905D36" w:rsidRPr="004C2A59" w:rsidRDefault="00905D36" w:rsidP="00421681">
      <w:pPr>
        <w:rPr>
          <w:color w:val="000000"/>
          <w:sz w:val="22"/>
          <w:szCs w:val="22"/>
          <w:lang w:val="da-DK"/>
        </w:rPr>
      </w:pPr>
    </w:p>
    <w:p w14:paraId="08E04B20" w14:textId="77777777" w:rsidR="00612421" w:rsidRPr="004C2A59" w:rsidRDefault="00612421" w:rsidP="00421681">
      <w:pPr>
        <w:widowControl w:val="0"/>
        <w:rPr>
          <w:color w:val="000000"/>
          <w:sz w:val="22"/>
          <w:szCs w:val="22"/>
          <w:lang w:val="da-DK"/>
        </w:rPr>
      </w:pPr>
      <w:r w:rsidRPr="004C2A59">
        <w:rPr>
          <w:color w:val="000000"/>
          <w:sz w:val="22"/>
          <w:szCs w:val="22"/>
          <w:lang w:val="da-DK"/>
        </w:rPr>
        <w:t>I tilfælde af overdosering bør patienten observeres, og der bør gives relevant understøttende behandling.</w:t>
      </w:r>
    </w:p>
    <w:p w14:paraId="1FAECBAA" w14:textId="77777777" w:rsidR="00592DD7" w:rsidRPr="004C2A59" w:rsidRDefault="00592DD7" w:rsidP="00421681">
      <w:pPr>
        <w:widowControl w:val="0"/>
        <w:rPr>
          <w:color w:val="000000"/>
          <w:sz w:val="22"/>
          <w:szCs w:val="22"/>
          <w:lang w:val="da-DK"/>
        </w:rPr>
      </w:pPr>
    </w:p>
    <w:p w14:paraId="0FC805B6" w14:textId="77777777" w:rsidR="00592DD7" w:rsidRPr="004C2A59" w:rsidRDefault="00592DD7" w:rsidP="00421681">
      <w:pPr>
        <w:widowControl w:val="0"/>
        <w:rPr>
          <w:color w:val="000000"/>
          <w:sz w:val="22"/>
          <w:szCs w:val="22"/>
          <w:lang w:val="da-DK"/>
        </w:rPr>
      </w:pPr>
    </w:p>
    <w:p w14:paraId="078FDF80" w14:textId="77777777" w:rsidR="00270C5A" w:rsidRPr="004C2A59" w:rsidRDefault="00270C5A" w:rsidP="006C180B">
      <w:pPr>
        <w:keepNext/>
        <w:widowControl w:val="0"/>
        <w:suppressAutoHyphens/>
        <w:ind w:left="567" w:hanging="567"/>
        <w:rPr>
          <w:color w:val="000000"/>
          <w:sz w:val="22"/>
          <w:szCs w:val="22"/>
          <w:lang w:val="da-DK"/>
        </w:rPr>
      </w:pPr>
      <w:r w:rsidRPr="004C2A59">
        <w:rPr>
          <w:b/>
          <w:color w:val="000000"/>
          <w:sz w:val="22"/>
          <w:szCs w:val="22"/>
          <w:lang w:val="da-DK"/>
        </w:rPr>
        <w:t>5.</w:t>
      </w:r>
      <w:r w:rsidRPr="004C2A59">
        <w:rPr>
          <w:b/>
          <w:color w:val="000000"/>
          <w:sz w:val="22"/>
          <w:szCs w:val="22"/>
          <w:lang w:val="da-DK"/>
        </w:rPr>
        <w:tab/>
        <w:t>FARMAKOLOGISKE EGENSKABER</w:t>
      </w:r>
    </w:p>
    <w:p w14:paraId="357DF6CF" w14:textId="77777777" w:rsidR="00270C5A" w:rsidRPr="004C2A59" w:rsidRDefault="00270C5A" w:rsidP="006C180B">
      <w:pPr>
        <w:keepNext/>
        <w:widowControl w:val="0"/>
        <w:suppressAutoHyphens/>
        <w:ind w:left="567" w:hanging="567"/>
        <w:rPr>
          <w:color w:val="000000"/>
          <w:sz w:val="22"/>
          <w:szCs w:val="22"/>
          <w:lang w:val="da-DK"/>
        </w:rPr>
      </w:pPr>
    </w:p>
    <w:p w14:paraId="3C723DB7" w14:textId="77777777" w:rsidR="00270C5A" w:rsidRPr="004C2A59" w:rsidRDefault="00270C5A" w:rsidP="006C180B">
      <w:pPr>
        <w:keepNext/>
        <w:widowControl w:val="0"/>
        <w:suppressAutoHyphens/>
        <w:ind w:left="567" w:hanging="567"/>
        <w:rPr>
          <w:color w:val="000000"/>
          <w:sz w:val="22"/>
          <w:szCs w:val="22"/>
          <w:lang w:val="da-DK"/>
        </w:rPr>
      </w:pPr>
      <w:r w:rsidRPr="004C2A59">
        <w:rPr>
          <w:b/>
          <w:color w:val="000000"/>
          <w:sz w:val="22"/>
          <w:szCs w:val="22"/>
          <w:lang w:val="da-DK"/>
        </w:rPr>
        <w:t>5.1</w:t>
      </w:r>
      <w:r w:rsidRPr="004C2A59">
        <w:rPr>
          <w:b/>
          <w:color w:val="000000"/>
          <w:sz w:val="22"/>
          <w:szCs w:val="22"/>
          <w:lang w:val="da-DK"/>
        </w:rPr>
        <w:tab/>
        <w:t>Farmakodynamiske egenskaber</w:t>
      </w:r>
    </w:p>
    <w:p w14:paraId="05B65925" w14:textId="77777777" w:rsidR="00270C5A" w:rsidRPr="004C2A59" w:rsidRDefault="00270C5A" w:rsidP="006C180B">
      <w:pPr>
        <w:keepNext/>
        <w:widowControl w:val="0"/>
        <w:rPr>
          <w:color w:val="000000"/>
          <w:sz w:val="22"/>
          <w:szCs w:val="22"/>
          <w:lang w:val="da-DK"/>
        </w:rPr>
      </w:pPr>
    </w:p>
    <w:p w14:paraId="3F8694BE" w14:textId="77777777" w:rsidR="00270C5A" w:rsidRPr="004C2A59" w:rsidRDefault="00270C5A" w:rsidP="00421681">
      <w:pPr>
        <w:widowControl w:val="0"/>
        <w:suppressAutoHyphens/>
        <w:ind w:left="567" w:hanging="567"/>
        <w:rPr>
          <w:color w:val="000000"/>
          <w:sz w:val="22"/>
          <w:szCs w:val="22"/>
          <w:lang w:val="da-DK"/>
        </w:rPr>
      </w:pPr>
      <w:r w:rsidRPr="004C2A59">
        <w:rPr>
          <w:color w:val="000000"/>
          <w:sz w:val="22"/>
          <w:szCs w:val="22"/>
          <w:lang w:val="da-DK"/>
        </w:rPr>
        <w:t xml:space="preserve">Farmakoterapeutisk klassifikation: Protein-tyrosinkinasehæmmer, ATC-kode: </w:t>
      </w:r>
      <w:r w:rsidR="00E35FA3" w:rsidRPr="004C2A59">
        <w:rPr>
          <w:color w:val="000000"/>
          <w:sz w:val="22"/>
          <w:szCs w:val="22"/>
          <w:lang w:val="da-DK"/>
        </w:rPr>
        <w:t>L01XE01</w:t>
      </w:r>
    </w:p>
    <w:p w14:paraId="29050E9F" w14:textId="77777777" w:rsidR="00270C5A" w:rsidRPr="004C2A59" w:rsidRDefault="00270C5A" w:rsidP="00421681">
      <w:pPr>
        <w:widowControl w:val="0"/>
        <w:rPr>
          <w:color w:val="000000"/>
          <w:sz w:val="22"/>
          <w:szCs w:val="22"/>
          <w:lang w:val="da-DK"/>
        </w:rPr>
      </w:pPr>
    </w:p>
    <w:p w14:paraId="420EBC2F" w14:textId="77777777" w:rsidR="006051B0" w:rsidRPr="004C2A59" w:rsidRDefault="006051B0" w:rsidP="006C180B">
      <w:pPr>
        <w:keepNext/>
        <w:widowControl w:val="0"/>
        <w:rPr>
          <w:sz w:val="22"/>
          <w:szCs w:val="22"/>
          <w:u w:val="single"/>
          <w:lang w:val="da-DK"/>
        </w:rPr>
      </w:pPr>
      <w:r w:rsidRPr="004C2A59">
        <w:rPr>
          <w:sz w:val="22"/>
          <w:szCs w:val="22"/>
          <w:u w:val="single"/>
          <w:lang w:val="da-DK"/>
        </w:rPr>
        <w:lastRenderedPageBreak/>
        <w:t>Virkningsmekanisme</w:t>
      </w:r>
    </w:p>
    <w:p w14:paraId="4A56296C" w14:textId="77777777" w:rsidR="006051B0" w:rsidRPr="004C2A59" w:rsidRDefault="006051B0" w:rsidP="00421681">
      <w:pPr>
        <w:autoSpaceDE w:val="0"/>
        <w:autoSpaceDN w:val="0"/>
        <w:adjustRightInd w:val="0"/>
        <w:rPr>
          <w:sz w:val="22"/>
          <w:szCs w:val="22"/>
          <w:lang w:val="da-DK"/>
        </w:rPr>
      </w:pPr>
      <w:r w:rsidRPr="004C2A59">
        <w:rPr>
          <w:sz w:val="22"/>
          <w:szCs w:val="22"/>
          <w:lang w:val="da-DK"/>
        </w:rPr>
        <w:t>Imatinib er et lille molekyle</w:t>
      </w:r>
      <w:r w:rsidR="00FD172C" w:rsidRPr="004C2A59">
        <w:rPr>
          <w:sz w:val="22"/>
          <w:szCs w:val="22"/>
          <w:lang w:val="da-DK"/>
        </w:rPr>
        <w:t>. Det er en potent</w:t>
      </w:r>
      <w:r w:rsidRPr="004C2A59">
        <w:rPr>
          <w:sz w:val="22"/>
          <w:szCs w:val="22"/>
          <w:lang w:val="da-DK"/>
        </w:rPr>
        <w:t xml:space="preserve"> protein-tyrosinkinasehæmmer, der hæmmer aktiviteten af Bcr-Abl</w:t>
      </w:r>
      <w:r w:rsidR="00FD172C" w:rsidRPr="004C2A59">
        <w:rPr>
          <w:sz w:val="22"/>
          <w:szCs w:val="22"/>
          <w:lang w:val="da-DK"/>
        </w:rPr>
        <w:t>-</w:t>
      </w:r>
      <w:r w:rsidRPr="004C2A59">
        <w:rPr>
          <w:sz w:val="22"/>
          <w:szCs w:val="22"/>
          <w:lang w:val="da-DK"/>
        </w:rPr>
        <w:t>tyrosinkinase (TK) såvel som adskillige TK-receptorer: Kit, receptoren for stamcellefaktore</w:t>
      </w:r>
      <w:r w:rsidR="00DA1926" w:rsidRPr="004C2A59">
        <w:rPr>
          <w:sz w:val="22"/>
          <w:szCs w:val="22"/>
          <w:lang w:val="da-DK"/>
        </w:rPr>
        <w:t>n</w:t>
      </w:r>
      <w:r w:rsidRPr="004C2A59">
        <w:rPr>
          <w:sz w:val="22"/>
          <w:szCs w:val="22"/>
          <w:lang w:val="da-DK"/>
        </w:rPr>
        <w:t xml:space="preserve"> (SCF) kodet for af c-</w:t>
      </w:r>
      <w:r w:rsidR="00430D6C" w:rsidRPr="004C2A59">
        <w:rPr>
          <w:sz w:val="22"/>
          <w:szCs w:val="22"/>
          <w:lang w:val="da-DK"/>
        </w:rPr>
        <w:t>k</w:t>
      </w:r>
      <w:r w:rsidRPr="004C2A59">
        <w:rPr>
          <w:sz w:val="22"/>
          <w:szCs w:val="22"/>
          <w:lang w:val="da-DK"/>
        </w:rPr>
        <w:t>it proto-onkogenet, discoidin</w:t>
      </w:r>
      <w:r w:rsidR="00FD172C" w:rsidRPr="004C2A59">
        <w:rPr>
          <w:sz w:val="22"/>
          <w:szCs w:val="22"/>
          <w:lang w:val="da-DK"/>
        </w:rPr>
        <w:t>-</w:t>
      </w:r>
      <w:r w:rsidRPr="004C2A59">
        <w:rPr>
          <w:sz w:val="22"/>
          <w:szCs w:val="22"/>
          <w:lang w:val="da-DK"/>
        </w:rPr>
        <w:t xml:space="preserve">domænereceptorerne (DDR1 og DDR2), </w:t>
      </w:r>
      <w:r w:rsidR="00FD172C" w:rsidRPr="004C2A59">
        <w:rPr>
          <w:sz w:val="22"/>
          <w:szCs w:val="22"/>
          <w:lang w:val="da-DK"/>
        </w:rPr>
        <w:t>receptoren for</w:t>
      </w:r>
      <w:r w:rsidR="00DA1926" w:rsidRPr="004C2A59">
        <w:rPr>
          <w:sz w:val="22"/>
          <w:szCs w:val="22"/>
          <w:lang w:val="da-DK"/>
        </w:rPr>
        <w:t xml:space="preserve"> </w:t>
      </w:r>
      <w:r w:rsidRPr="004C2A59">
        <w:rPr>
          <w:sz w:val="22"/>
          <w:szCs w:val="22"/>
          <w:lang w:val="da-DK"/>
        </w:rPr>
        <w:t>den kolonis</w:t>
      </w:r>
      <w:r w:rsidR="00DA1926" w:rsidRPr="004C2A59">
        <w:rPr>
          <w:sz w:val="22"/>
          <w:szCs w:val="22"/>
          <w:lang w:val="da-DK"/>
        </w:rPr>
        <w:t>t</w:t>
      </w:r>
      <w:r w:rsidRPr="004C2A59">
        <w:rPr>
          <w:sz w:val="22"/>
          <w:szCs w:val="22"/>
          <w:lang w:val="da-DK"/>
        </w:rPr>
        <w:t>imulerende faktor (CSF-1R) og receptorerne for trombocytafledte vækstfaktorer alfa og beta (PDGFR-alfa og PDGFR-beta). Imatinib kan også hæmme cellulære signaler medieret ved aktivering af disse receptorkinaser.</w:t>
      </w:r>
    </w:p>
    <w:p w14:paraId="667FDF9C" w14:textId="77777777" w:rsidR="006051B0" w:rsidRPr="004C2A59" w:rsidRDefault="006051B0" w:rsidP="00421681">
      <w:pPr>
        <w:widowControl w:val="0"/>
        <w:rPr>
          <w:sz w:val="22"/>
          <w:szCs w:val="22"/>
          <w:lang w:val="da-DK"/>
        </w:rPr>
      </w:pPr>
    </w:p>
    <w:p w14:paraId="52B25989" w14:textId="77777777" w:rsidR="006051B0" w:rsidRPr="004C2A59" w:rsidRDefault="006051B0" w:rsidP="006C180B">
      <w:pPr>
        <w:keepNext/>
        <w:widowControl w:val="0"/>
        <w:rPr>
          <w:color w:val="000000"/>
          <w:sz w:val="22"/>
          <w:szCs w:val="22"/>
          <w:lang w:val="da-DK"/>
        </w:rPr>
      </w:pPr>
      <w:r w:rsidRPr="004C2A59">
        <w:rPr>
          <w:sz w:val="22"/>
          <w:szCs w:val="22"/>
          <w:u w:val="single"/>
          <w:lang w:val="da-DK"/>
        </w:rPr>
        <w:t>Farmakodynamisk virkning</w:t>
      </w:r>
    </w:p>
    <w:p w14:paraId="1F21ABE5" w14:textId="77777777" w:rsidR="00610A3A" w:rsidRPr="004C2A59" w:rsidRDefault="00270C5A" w:rsidP="00421681">
      <w:pPr>
        <w:widowControl w:val="0"/>
        <w:rPr>
          <w:color w:val="000000"/>
          <w:sz w:val="22"/>
          <w:szCs w:val="22"/>
          <w:lang w:val="da-DK"/>
        </w:rPr>
      </w:pPr>
      <w:r w:rsidRPr="004C2A59">
        <w:rPr>
          <w:color w:val="000000"/>
          <w:sz w:val="22"/>
          <w:szCs w:val="22"/>
          <w:lang w:val="da-DK"/>
        </w:rPr>
        <w:t xml:space="preserve">Imatinib er en protein-tyrosinkinasehæmmer, som potent hæmmer Bcr-Abl tyrosinkinasen </w:t>
      </w:r>
      <w:r w:rsidRPr="004C2A59">
        <w:rPr>
          <w:i/>
          <w:color w:val="000000"/>
          <w:sz w:val="22"/>
          <w:szCs w:val="22"/>
          <w:lang w:val="da-DK"/>
        </w:rPr>
        <w:t>in vitro</w:t>
      </w:r>
      <w:r w:rsidRPr="004C2A59">
        <w:rPr>
          <w:color w:val="000000"/>
          <w:sz w:val="22"/>
          <w:szCs w:val="22"/>
          <w:lang w:val="da-DK"/>
        </w:rPr>
        <w:t xml:space="preserve">, </w:t>
      </w:r>
      <w:r w:rsidRPr="004C2A59">
        <w:rPr>
          <w:i/>
          <w:color w:val="000000"/>
          <w:sz w:val="22"/>
          <w:szCs w:val="22"/>
          <w:lang w:val="da-DK"/>
        </w:rPr>
        <w:t>in vivo</w:t>
      </w:r>
      <w:r w:rsidRPr="004C2A59">
        <w:rPr>
          <w:color w:val="000000"/>
          <w:sz w:val="22"/>
          <w:szCs w:val="22"/>
          <w:lang w:val="da-DK"/>
        </w:rPr>
        <w:t xml:space="preserve"> og på cellulært niveau. Stoffet hæmmer selektivt proliferationen og inducerer apoptosis i Bcr-Abl-positive cellelinier såvel som i friske leukæmiceller fra Philadelphia</w:t>
      </w:r>
      <w:r w:rsidR="009C4BAD" w:rsidRPr="004C2A59">
        <w:rPr>
          <w:color w:val="000000"/>
          <w:sz w:val="22"/>
          <w:szCs w:val="22"/>
          <w:lang w:val="da-DK"/>
        </w:rPr>
        <w:t>-</w:t>
      </w:r>
      <w:r w:rsidRPr="004C2A59">
        <w:rPr>
          <w:color w:val="000000"/>
          <w:sz w:val="22"/>
          <w:szCs w:val="22"/>
          <w:lang w:val="da-DK"/>
        </w:rPr>
        <w:t>kromosom</w:t>
      </w:r>
      <w:r w:rsidR="007C671F" w:rsidRPr="004C2A59">
        <w:rPr>
          <w:color w:val="000000"/>
          <w:sz w:val="22"/>
          <w:szCs w:val="22"/>
          <w:lang w:val="da-DK"/>
        </w:rPr>
        <w:t>-</w:t>
      </w:r>
      <w:r w:rsidRPr="004C2A59">
        <w:rPr>
          <w:color w:val="000000"/>
          <w:sz w:val="22"/>
          <w:szCs w:val="22"/>
          <w:lang w:val="da-DK"/>
        </w:rPr>
        <w:t>positiv (Ph</w:t>
      </w:r>
      <w:r w:rsidRPr="004C2A59">
        <w:rPr>
          <w:color w:val="000000"/>
          <w:sz w:val="22"/>
          <w:szCs w:val="22"/>
          <w:vertAlign w:val="superscript"/>
          <w:lang w:val="da-DK"/>
        </w:rPr>
        <w:t>+</w:t>
      </w:r>
      <w:r w:rsidRPr="004C2A59">
        <w:rPr>
          <w:color w:val="000000"/>
          <w:sz w:val="22"/>
          <w:szCs w:val="22"/>
          <w:lang w:val="da-DK"/>
        </w:rPr>
        <w:t>) CML og hos patienter med akut lymfoblastisk leukæmi (</w:t>
      </w:r>
      <w:smartTag w:uri="urn:schemas-microsoft-com:office:smarttags" w:element="metricconverter">
        <w:r w:rsidRPr="004C2A59">
          <w:rPr>
            <w:color w:val="000000"/>
            <w:sz w:val="22"/>
            <w:szCs w:val="22"/>
            <w:lang w:val="da-DK"/>
          </w:rPr>
          <w:t>ALL</w:t>
        </w:r>
      </w:smartTag>
      <w:r w:rsidRPr="004C2A59">
        <w:rPr>
          <w:color w:val="000000"/>
          <w:sz w:val="22"/>
          <w:szCs w:val="22"/>
          <w:lang w:val="da-DK"/>
        </w:rPr>
        <w:t>).</w:t>
      </w:r>
    </w:p>
    <w:p w14:paraId="69CC42D6" w14:textId="77777777" w:rsidR="00270C5A" w:rsidRPr="004C2A59" w:rsidRDefault="00270C5A" w:rsidP="00421681">
      <w:pPr>
        <w:widowControl w:val="0"/>
        <w:rPr>
          <w:color w:val="000000"/>
          <w:sz w:val="22"/>
          <w:szCs w:val="22"/>
          <w:lang w:val="da-DK"/>
        </w:rPr>
      </w:pPr>
    </w:p>
    <w:p w14:paraId="5C2CF2FE" w14:textId="77777777" w:rsidR="00270C5A" w:rsidRPr="004C2A59" w:rsidRDefault="00270C5A" w:rsidP="00421681">
      <w:pPr>
        <w:widowControl w:val="0"/>
        <w:rPr>
          <w:color w:val="000000"/>
          <w:sz w:val="22"/>
          <w:szCs w:val="22"/>
          <w:lang w:val="da-DK"/>
        </w:rPr>
      </w:pPr>
      <w:r w:rsidRPr="004C2A59">
        <w:rPr>
          <w:color w:val="000000"/>
          <w:sz w:val="22"/>
          <w:szCs w:val="22"/>
          <w:lang w:val="da-DK"/>
        </w:rPr>
        <w:t>I dyremodeller, hvor der anvendes Bcr-Abl-positive tumorceller, har stoffet som enkeltstof</w:t>
      </w:r>
      <w:r w:rsidRPr="004C2A59">
        <w:rPr>
          <w:i/>
          <w:color w:val="000000"/>
          <w:sz w:val="22"/>
          <w:szCs w:val="22"/>
          <w:lang w:val="da-DK"/>
        </w:rPr>
        <w:t xml:space="preserve"> in vivo</w:t>
      </w:r>
      <w:r w:rsidRPr="004C2A59">
        <w:rPr>
          <w:color w:val="000000"/>
          <w:sz w:val="22"/>
          <w:szCs w:val="22"/>
          <w:lang w:val="da-DK"/>
        </w:rPr>
        <w:t xml:space="preserve"> antitumoraktivitet.</w:t>
      </w:r>
    </w:p>
    <w:p w14:paraId="4372DFA7" w14:textId="77777777" w:rsidR="00270C5A" w:rsidRPr="004C2A59" w:rsidRDefault="00270C5A" w:rsidP="00421681">
      <w:pPr>
        <w:widowControl w:val="0"/>
        <w:rPr>
          <w:color w:val="000000"/>
          <w:sz w:val="22"/>
          <w:szCs w:val="22"/>
          <w:lang w:val="da-DK"/>
        </w:rPr>
      </w:pPr>
    </w:p>
    <w:p w14:paraId="28FADA4B" w14:textId="77777777" w:rsidR="00270C5A" w:rsidRPr="004C2A59" w:rsidRDefault="00270C5A" w:rsidP="00421681">
      <w:pPr>
        <w:widowControl w:val="0"/>
        <w:rPr>
          <w:color w:val="000000"/>
          <w:sz w:val="22"/>
          <w:szCs w:val="22"/>
          <w:lang w:val="da-DK"/>
        </w:rPr>
      </w:pPr>
      <w:r w:rsidRPr="004C2A59">
        <w:rPr>
          <w:color w:val="000000"/>
          <w:sz w:val="22"/>
          <w:szCs w:val="22"/>
          <w:lang w:val="da-DK"/>
        </w:rPr>
        <w:t xml:space="preserve">Imatinib hæmmer også receptortyrosinkinaserne for trombocytafledte vækstfaktorer (PDGF), PDGF-R, og stamcellefaktorer (SCF), c-Kit, og hæmmer PDGF- og SCF-medierede cellulære signaler. </w:t>
      </w:r>
      <w:r w:rsidRPr="004C2A59">
        <w:rPr>
          <w:i/>
          <w:color w:val="000000"/>
          <w:sz w:val="22"/>
          <w:szCs w:val="22"/>
          <w:lang w:val="da-DK"/>
        </w:rPr>
        <w:t>In vitro</w:t>
      </w:r>
      <w:r w:rsidRPr="004C2A59">
        <w:rPr>
          <w:color w:val="000000"/>
          <w:sz w:val="22"/>
          <w:szCs w:val="22"/>
          <w:lang w:val="da-DK"/>
        </w:rPr>
        <w:t xml:space="preserve"> hæmmer imatinib proliferationen og inducerer apoptose i GIST-tumorcellerne, som udtrykker </w:t>
      </w:r>
      <w:r w:rsidRPr="004C2A59">
        <w:rPr>
          <w:i/>
          <w:color w:val="000000"/>
          <w:sz w:val="22"/>
          <w:szCs w:val="22"/>
          <w:lang w:val="da-DK"/>
        </w:rPr>
        <w:t>kit</w:t>
      </w:r>
      <w:r w:rsidRPr="004C2A59">
        <w:rPr>
          <w:color w:val="000000"/>
          <w:sz w:val="22"/>
          <w:szCs w:val="22"/>
          <w:lang w:val="da-DK"/>
        </w:rPr>
        <w:t>-mutationen.</w:t>
      </w:r>
      <w:r w:rsidR="005A263B" w:rsidRPr="004C2A59">
        <w:rPr>
          <w:color w:val="000000"/>
          <w:sz w:val="22"/>
          <w:szCs w:val="22"/>
          <w:lang w:val="da-DK"/>
        </w:rPr>
        <w:t xml:space="preserve"> Vedvarende aktivering af PDGF receptoren eller Abl protein tyrosinkinase, der opstår på grund af en fusion med andre proteiner eller konstitutiv produktion af PDGF er blevet impliceret i patogenesen af </w:t>
      </w:r>
      <w:smartTag w:uri="urn:schemas-microsoft-com:office:smarttags" w:element="metricconverter">
        <w:r w:rsidR="005E0B66" w:rsidRPr="004C2A59">
          <w:rPr>
            <w:color w:val="000000"/>
            <w:sz w:val="22"/>
            <w:szCs w:val="22"/>
            <w:lang w:val="da-DK"/>
          </w:rPr>
          <w:t>MDS</w:t>
        </w:r>
      </w:smartTag>
      <w:r w:rsidR="005E0B66" w:rsidRPr="004C2A59">
        <w:rPr>
          <w:color w:val="000000"/>
          <w:sz w:val="22"/>
          <w:szCs w:val="22"/>
          <w:lang w:val="da-DK"/>
        </w:rPr>
        <w:t>/MPD, HES/</w:t>
      </w:r>
      <w:smartTag w:uri="urn:schemas-microsoft-com:office:smarttags" w:element="metricconverter">
        <w:r w:rsidR="005E0B66" w:rsidRPr="004C2A59">
          <w:rPr>
            <w:color w:val="000000"/>
            <w:sz w:val="22"/>
            <w:szCs w:val="22"/>
            <w:lang w:val="da-DK"/>
          </w:rPr>
          <w:t>CEL</w:t>
        </w:r>
      </w:smartTag>
      <w:r w:rsidR="005E0B66" w:rsidRPr="004C2A59">
        <w:rPr>
          <w:color w:val="000000"/>
          <w:sz w:val="22"/>
          <w:szCs w:val="22"/>
          <w:lang w:val="da-DK"/>
        </w:rPr>
        <w:t xml:space="preserve"> og </w:t>
      </w:r>
      <w:r w:rsidR="005A263B" w:rsidRPr="004C2A59">
        <w:rPr>
          <w:color w:val="000000"/>
          <w:sz w:val="22"/>
          <w:szCs w:val="22"/>
          <w:lang w:val="da-DK"/>
        </w:rPr>
        <w:t>DFSP. Imatinib hæmmer signalleringen og vækst af celler, der drives af dysreguleret PDGFR og Abl kinaseaktivitet.</w:t>
      </w:r>
    </w:p>
    <w:p w14:paraId="3A9533CE" w14:textId="77777777" w:rsidR="00270C5A" w:rsidRPr="004C2A59" w:rsidRDefault="00270C5A" w:rsidP="00421681">
      <w:pPr>
        <w:pStyle w:val="EndnoteText"/>
        <w:tabs>
          <w:tab w:val="clear" w:pos="567"/>
        </w:tabs>
        <w:rPr>
          <w:color w:val="000000"/>
          <w:szCs w:val="22"/>
        </w:rPr>
      </w:pPr>
    </w:p>
    <w:p w14:paraId="08F14765" w14:textId="77777777" w:rsidR="00270C5A" w:rsidRPr="004C2A59" w:rsidRDefault="00270C5A" w:rsidP="006C180B">
      <w:pPr>
        <w:keepNext/>
        <w:widowControl w:val="0"/>
        <w:rPr>
          <w:color w:val="000000"/>
          <w:sz w:val="22"/>
          <w:szCs w:val="22"/>
          <w:u w:val="single"/>
          <w:lang w:val="da-DK"/>
        </w:rPr>
      </w:pPr>
      <w:r w:rsidRPr="004C2A59">
        <w:rPr>
          <w:color w:val="000000"/>
          <w:sz w:val="22"/>
          <w:szCs w:val="22"/>
          <w:u w:val="single"/>
          <w:lang w:val="da-DK"/>
        </w:rPr>
        <w:t>Kliniske undersøgelser vedrørende kronisk myeloid leukæmi</w:t>
      </w:r>
    </w:p>
    <w:p w14:paraId="2B4CB433" w14:textId="77777777" w:rsidR="00270C5A" w:rsidRPr="004C2A59" w:rsidRDefault="00270C5A" w:rsidP="00421681">
      <w:pPr>
        <w:rPr>
          <w:color w:val="000000"/>
          <w:sz w:val="22"/>
          <w:szCs w:val="22"/>
          <w:lang w:val="da-DK"/>
        </w:rPr>
      </w:pPr>
      <w:r w:rsidRPr="004C2A59">
        <w:rPr>
          <w:color w:val="000000"/>
          <w:sz w:val="22"/>
          <w:szCs w:val="22"/>
          <w:lang w:val="da-DK"/>
        </w:rPr>
        <w:t>Glivecs effekt er baseret på generelle hæmatologiske og cytogene responsrater</w:t>
      </w:r>
      <w:r w:rsidR="00DE7BB2" w:rsidRPr="004C2A59">
        <w:rPr>
          <w:color w:val="000000"/>
          <w:sz w:val="22"/>
          <w:szCs w:val="22"/>
          <w:lang w:val="da-DK"/>
        </w:rPr>
        <w:t xml:space="preserve"> og progressionsfri overlevelse</w:t>
      </w:r>
      <w:r w:rsidRPr="004C2A59">
        <w:rPr>
          <w:color w:val="000000"/>
          <w:sz w:val="22"/>
          <w:szCs w:val="22"/>
          <w:lang w:val="da-DK"/>
        </w:rPr>
        <w:t xml:space="preserve">. Der er ingen kontrollerede undersøgelser, </w:t>
      </w:r>
      <w:r w:rsidR="00DE7BB2" w:rsidRPr="004C2A59">
        <w:rPr>
          <w:color w:val="000000"/>
          <w:sz w:val="22"/>
          <w:szCs w:val="22"/>
          <w:lang w:val="da-DK"/>
        </w:rPr>
        <w:t>undtagen hos nyligt diagnosticerede kronisk fase CML</w:t>
      </w:r>
      <w:r w:rsidR="005F7668" w:rsidRPr="004C2A59">
        <w:rPr>
          <w:color w:val="000000"/>
          <w:sz w:val="22"/>
          <w:szCs w:val="22"/>
          <w:lang w:val="da-DK"/>
        </w:rPr>
        <w:t>-</w:t>
      </w:r>
      <w:r w:rsidR="00DE7BB2" w:rsidRPr="004C2A59">
        <w:rPr>
          <w:color w:val="000000"/>
          <w:sz w:val="22"/>
          <w:szCs w:val="22"/>
          <w:lang w:val="da-DK"/>
        </w:rPr>
        <w:t xml:space="preserve">patienter, </w:t>
      </w:r>
      <w:r w:rsidRPr="004C2A59">
        <w:rPr>
          <w:color w:val="000000"/>
          <w:sz w:val="22"/>
          <w:szCs w:val="22"/>
          <w:lang w:val="da-DK"/>
        </w:rPr>
        <w:t>der har vist klinisk bedring såsom forbedring af sygdomsrelaterede symptomer eller øget overlevelse.</w:t>
      </w:r>
    </w:p>
    <w:p w14:paraId="38A9DF72" w14:textId="77777777" w:rsidR="00270C5A" w:rsidRPr="004C2A59" w:rsidRDefault="00270C5A" w:rsidP="00421681">
      <w:pPr>
        <w:widowControl w:val="0"/>
        <w:rPr>
          <w:color w:val="000000"/>
          <w:sz w:val="22"/>
          <w:szCs w:val="22"/>
          <w:lang w:val="da-DK"/>
        </w:rPr>
      </w:pPr>
    </w:p>
    <w:p w14:paraId="67EDE6DD" w14:textId="77777777" w:rsidR="00270C5A" w:rsidRPr="004C2A59" w:rsidRDefault="00270C5A" w:rsidP="00421681">
      <w:pPr>
        <w:widowControl w:val="0"/>
        <w:rPr>
          <w:color w:val="000000"/>
          <w:sz w:val="22"/>
          <w:szCs w:val="22"/>
          <w:lang w:val="da-DK"/>
        </w:rPr>
      </w:pPr>
      <w:r w:rsidRPr="004C2A59">
        <w:rPr>
          <w:color w:val="000000"/>
          <w:sz w:val="22"/>
          <w:szCs w:val="22"/>
          <w:lang w:val="da-DK"/>
        </w:rPr>
        <w:t>Der er udført 3</w:t>
      </w:r>
      <w:r w:rsidR="00C02CD8" w:rsidRPr="004C2A59">
        <w:rPr>
          <w:color w:val="000000"/>
          <w:sz w:val="22"/>
          <w:szCs w:val="22"/>
          <w:lang w:val="da-DK"/>
        </w:rPr>
        <w:t> </w:t>
      </w:r>
      <w:r w:rsidRPr="004C2A59">
        <w:rPr>
          <w:color w:val="000000"/>
          <w:sz w:val="22"/>
          <w:szCs w:val="22"/>
          <w:lang w:val="da-DK"/>
        </w:rPr>
        <w:t>store, internationale, åbne, ikke-kontrollerede fase</w:t>
      </w:r>
      <w:r w:rsidR="00B27D9A" w:rsidRPr="004C2A59">
        <w:rPr>
          <w:color w:val="000000"/>
          <w:sz w:val="22"/>
          <w:szCs w:val="22"/>
          <w:lang w:val="da-DK"/>
        </w:rPr>
        <w:t> </w:t>
      </w:r>
      <w:r w:rsidRPr="004C2A59">
        <w:rPr>
          <w:color w:val="000000"/>
          <w:sz w:val="22"/>
          <w:szCs w:val="22"/>
          <w:lang w:val="da-DK"/>
        </w:rPr>
        <w:t>II undersøgelser med patienter med Philadelphia</w:t>
      </w:r>
      <w:r w:rsidR="009C4BAD" w:rsidRPr="004C2A59">
        <w:rPr>
          <w:color w:val="000000"/>
          <w:sz w:val="22"/>
          <w:szCs w:val="22"/>
          <w:lang w:val="da-DK"/>
        </w:rPr>
        <w:t>-</w:t>
      </w:r>
      <w:r w:rsidRPr="004C2A59">
        <w:rPr>
          <w:color w:val="000000"/>
          <w:sz w:val="22"/>
          <w:szCs w:val="22"/>
          <w:lang w:val="da-DK"/>
        </w:rPr>
        <w:t>kromosom</w:t>
      </w:r>
      <w:r w:rsidR="007C671F" w:rsidRPr="004C2A59">
        <w:rPr>
          <w:color w:val="000000"/>
          <w:sz w:val="22"/>
          <w:szCs w:val="22"/>
          <w:lang w:val="da-DK"/>
        </w:rPr>
        <w:t>-</w:t>
      </w:r>
      <w:r w:rsidRPr="004C2A59">
        <w:rPr>
          <w:color w:val="000000"/>
          <w:sz w:val="22"/>
          <w:szCs w:val="22"/>
          <w:lang w:val="da-DK"/>
        </w:rPr>
        <w:t>positiv (Ph</w:t>
      </w:r>
      <w:r w:rsidRPr="004C2A59">
        <w:rPr>
          <w:color w:val="000000"/>
          <w:sz w:val="22"/>
          <w:szCs w:val="22"/>
          <w:vertAlign w:val="superscript"/>
          <w:lang w:val="da-DK"/>
        </w:rPr>
        <w:t>+</w:t>
      </w:r>
      <w:r w:rsidRPr="004C2A59">
        <w:rPr>
          <w:color w:val="000000"/>
          <w:sz w:val="22"/>
          <w:szCs w:val="22"/>
          <w:lang w:val="da-DK"/>
        </w:rPr>
        <w:t>) CML i fremskreden blastkrise eller accelereret fase, andre Ph</w:t>
      </w:r>
      <w:r w:rsidRPr="004C2A59">
        <w:rPr>
          <w:color w:val="000000"/>
          <w:sz w:val="22"/>
          <w:szCs w:val="22"/>
          <w:vertAlign w:val="superscript"/>
          <w:lang w:val="da-DK"/>
        </w:rPr>
        <w:t>+</w:t>
      </w:r>
      <w:r w:rsidRPr="004C2A59">
        <w:rPr>
          <w:color w:val="000000"/>
          <w:sz w:val="22"/>
          <w:szCs w:val="22"/>
          <w:lang w:val="da-DK"/>
        </w:rPr>
        <w:t>-leukæmier eller med CML i kronisk fase men tidligere behandlet med alfa-interferonbehandling (IFN) uden effekt.</w:t>
      </w:r>
      <w:r w:rsidR="008674D0" w:rsidRPr="004C2A59">
        <w:rPr>
          <w:color w:val="000000"/>
          <w:sz w:val="22"/>
          <w:szCs w:val="22"/>
          <w:lang w:val="da-DK"/>
        </w:rPr>
        <w:t xml:space="preserve"> </w:t>
      </w:r>
      <w:r w:rsidRPr="004C2A59">
        <w:rPr>
          <w:color w:val="000000"/>
          <w:sz w:val="22"/>
          <w:szCs w:val="22"/>
          <w:lang w:val="da-DK"/>
        </w:rPr>
        <w:t>Der er gennemført en større, åben, international, randomiseret, fase</w:t>
      </w:r>
      <w:r w:rsidR="00B27D9A" w:rsidRPr="004C2A59">
        <w:rPr>
          <w:color w:val="000000"/>
          <w:sz w:val="22"/>
          <w:szCs w:val="22"/>
          <w:lang w:val="da-DK"/>
        </w:rPr>
        <w:t> </w:t>
      </w:r>
      <w:smartTag w:uri="urn:schemas-microsoft-com:office:smarttags" w:element="metricconverter">
        <w:r w:rsidRPr="004C2A59">
          <w:rPr>
            <w:color w:val="000000"/>
            <w:sz w:val="22"/>
            <w:szCs w:val="22"/>
            <w:lang w:val="da-DK"/>
          </w:rPr>
          <w:t>III</w:t>
        </w:r>
      </w:smartTag>
      <w:r w:rsidRPr="004C2A59">
        <w:rPr>
          <w:color w:val="000000"/>
          <w:sz w:val="22"/>
          <w:szCs w:val="22"/>
          <w:lang w:val="da-DK"/>
        </w:rPr>
        <w:t xml:space="preserve"> multicenterundersøgelse med patienter med nydiagnosticeret Ph+ CML. Derudover er der behandlet børn i 2</w:t>
      </w:r>
      <w:r w:rsidR="00B27D9A" w:rsidRPr="004C2A59">
        <w:rPr>
          <w:color w:val="000000"/>
          <w:sz w:val="22"/>
          <w:szCs w:val="22"/>
          <w:lang w:val="da-DK"/>
        </w:rPr>
        <w:t> </w:t>
      </w:r>
      <w:r w:rsidRPr="004C2A59">
        <w:rPr>
          <w:color w:val="000000"/>
          <w:sz w:val="22"/>
          <w:szCs w:val="22"/>
          <w:lang w:val="da-DK"/>
        </w:rPr>
        <w:t>fase</w:t>
      </w:r>
      <w:r w:rsidR="00B27D9A" w:rsidRPr="004C2A59">
        <w:rPr>
          <w:color w:val="000000"/>
          <w:sz w:val="22"/>
          <w:szCs w:val="22"/>
          <w:lang w:val="da-DK"/>
        </w:rPr>
        <w:t> </w:t>
      </w:r>
      <w:r w:rsidRPr="004C2A59">
        <w:rPr>
          <w:color w:val="000000"/>
          <w:sz w:val="22"/>
          <w:szCs w:val="22"/>
          <w:lang w:val="da-DK"/>
        </w:rPr>
        <w:t>I undersøgelser</w:t>
      </w:r>
      <w:r w:rsidR="006E4618" w:rsidRPr="004C2A59">
        <w:rPr>
          <w:color w:val="000000"/>
          <w:sz w:val="22"/>
          <w:szCs w:val="22"/>
          <w:lang w:val="da-DK"/>
        </w:rPr>
        <w:t xml:space="preserve"> og et fase II studie</w:t>
      </w:r>
      <w:r w:rsidRPr="004C2A59">
        <w:rPr>
          <w:color w:val="000000"/>
          <w:sz w:val="22"/>
          <w:szCs w:val="22"/>
          <w:lang w:val="da-DK"/>
        </w:rPr>
        <w:t>.</w:t>
      </w:r>
    </w:p>
    <w:p w14:paraId="2CBE8CF2" w14:textId="77777777" w:rsidR="00270C5A" w:rsidRPr="004C2A59" w:rsidRDefault="00270C5A" w:rsidP="00421681">
      <w:pPr>
        <w:widowControl w:val="0"/>
        <w:rPr>
          <w:color w:val="000000"/>
          <w:sz w:val="22"/>
          <w:szCs w:val="22"/>
          <w:lang w:val="da-DK"/>
        </w:rPr>
      </w:pPr>
    </w:p>
    <w:p w14:paraId="2531DF88" w14:textId="77777777" w:rsidR="00270C5A" w:rsidRPr="004C2A59" w:rsidRDefault="00270C5A" w:rsidP="00421681">
      <w:pPr>
        <w:widowControl w:val="0"/>
        <w:rPr>
          <w:color w:val="000000"/>
          <w:sz w:val="22"/>
          <w:szCs w:val="22"/>
          <w:lang w:val="da-DK"/>
        </w:rPr>
      </w:pPr>
      <w:r w:rsidRPr="004C2A59">
        <w:rPr>
          <w:color w:val="000000"/>
          <w:sz w:val="22"/>
          <w:szCs w:val="22"/>
          <w:lang w:val="da-DK"/>
        </w:rPr>
        <w:t>I de kliniske undersøgelser var 38</w:t>
      </w:r>
      <w:r w:rsidR="00ED38CD" w:rsidRPr="004C2A59">
        <w:rPr>
          <w:color w:val="000000"/>
          <w:sz w:val="22"/>
          <w:szCs w:val="22"/>
          <w:lang w:val="da-DK"/>
        </w:rPr>
        <w:t>–</w:t>
      </w:r>
      <w:r w:rsidRPr="004C2A59">
        <w:rPr>
          <w:color w:val="000000"/>
          <w:sz w:val="22"/>
          <w:szCs w:val="22"/>
          <w:lang w:val="da-DK"/>
        </w:rPr>
        <w:t xml:space="preserve">40% af patienterne </w:t>
      </w:r>
      <w:r w:rsidRPr="004C2A59">
        <w:rPr>
          <w:color w:val="000000"/>
          <w:sz w:val="22"/>
          <w:szCs w:val="22"/>
          <w:lang w:val="da-DK"/>
        </w:rPr>
        <w:sym w:font="Symbol" w:char="F0B3"/>
      </w:r>
      <w:r w:rsidRPr="004C2A59">
        <w:rPr>
          <w:color w:val="000000"/>
          <w:sz w:val="22"/>
          <w:szCs w:val="22"/>
          <w:lang w:val="da-DK"/>
        </w:rPr>
        <w:t>60</w:t>
      </w:r>
      <w:r w:rsidR="00C02CD8" w:rsidRPr="004C2A59">
        <w:rPr>
          <w:color w:val="000000"/>
          <w:sz w:val="22"/>
          <w:szCs w:val="22"/>
          <w:lang w:val="da-DK"/>
        </w:rPr>
        <w:t> </w:t>
      </w:r>
      <w:r w:rsidRPr="004C2A59">
        <w:rPr>
          <w:color w:val="000000"/>
          <w:sz w:val="22"/>
          <w:szCs w:val="22"/>
          <w:lang w:val="da-DK"/>
        </w:rPr>
        <w:t>år, og 10</w:t>
      </w:r>
      <w:r w:rsidR="00ED38CD" w:rsidRPr="004C2A59">
        <w:rPr>
          <w:color w:val="000000"/>
          <w:sz w:val="22"/>
          <w:szCs w:val="22"/>
          <w:lang w:val="da-DK"/>
        </w:rPr>
        <w:t>–</w:t>
      </w:r>
      <w:r w:rsidRPr="004C2A59">
        <w:rPr>
          <w:color w:val="000000"/>
          <w:sz w:val="22"/>
          <w:szCs w:val="22"/>
          <w:lang w:val="da-DK"/>
        </w:rPr>
        <w:t xml:space="preserve">12% af patienterne var </w:t>
      </w:r>
      <w:r w:rsidRPr="004C2A59">
        <w:rPr>
          <w:color w:val="000000"/>
          <w:sz w:val="22"/>
          <w:szCs w:val="22"/>
          <w:lang w:val="da-DK"/>
        </w:rPr>
        <w:sym w:font="Symbol" w:char="F0B3"/>
      </w:r>
      <w:r w:rsidRPr="004C2A59">
        <w:rPr>
          <w:color w:val="000000"/>
          <w:sz w:val="22"/>
          <w:szCs w:val="22"/>
          <w:lang w:val="da-DK"/>
        </w:rPr>
        <w:t>70</w:t>
      </w:r>
      <w:r w:rsidR="00C02CD8" w:rsidRPr="004C2A59">
        <w:rPr>
          <w:color w:val="000000"/>
          <w:sz w:val="22"/>
          <w:szCs w:val="22"/>
          <w:lang w:val="da-DK"/>
        </w:rPr>
        <w:t> </w:t>
      </w:r>
      <w:r w:rsidRPr="004C2A59">
        <w:rPr>
          <w:color w:val="000000"/>
          <w:sz w:val="22"/>
          <w:szCs w:val="22"/>
          <w:lang w:val="da-DK"/>
        </w:rPr>
        <w:t>år.</w:t>
      </w:r>
    </w:p>
    <w:p w14:paraId="0559200E" w14:textId="77777777" w:rsidR="00270C5A" w:rsidRPr="004C2A59" w:rsidRDefault="00270C5A" w:rsidP="00421681">
      <w:pPr>
        <w:widowControl w:val="0"/>
        <w:rPr>
          <w:color w:val="000000"/>
          <w:sz w:val="22"/>
          <w:szCs w:val="22"/>
          <w:lang w:val="da-DK"/>
        </w:rPr>
      </w:pPr>
    </w:p>
    <w:p w14:paraId="472F5CAD" w14:textId="77777777" w:rsidR="00270C5A" w:rsidRPr="004C2A59" w:rsidRDefault="00270C5A" w:rsidP="00421681">
      <w:pPr>
        <w:pStyle w:val="EndnoteText"/>
        <w:rPr>
          <w:color w:val="000000"/>
          <w:szCs w:val="22"/>
        </w:rPr>
      </w:pPr>
      <w:r w:rsidRPr="004C2A59">
        <w:rPr>
          <w:i/>
          <w:color w:val="000000"/>
          <w:szCs w:val="22"/>
        </w:rPr>
        <w:t>Kronisk fase, nydiagnosticeret:</w:t>
      </w:r>
      <w:r w:rsidRPr="004C2A59">
        <w:rPr>
          <w:color w:val="000000"/>
          <w:szCs w:val="22"/>
        </w:rPr>
        <w:t xml:space="preserve"> Denne fase</w:t>
      </w:r>
      <w:r w:rsidR="00B27D9A" w:rsidRPr="004C2A59">
        <w:rPr>
          <w:color w:val="000000"/>
          <w:szCs w:val="22"/>
        </w:rPr>
        <w:t> </w:t>
      </w:r>
      <w:smartTag w:uri="urn:schemas-microsoft-com:office:smarttags" w:element="metricconverter">
        <w:r w:rsidRPr="004C2A59">
          <w:rPr>
            <w:color w:val="000000"/>
            <w:szCs w:val="22"/>
          </w:rPr>
          <w:t>III</w:t>
        </w:r>
      </w:smartTag>
      <w:r w:rsidRPr="004C2A59">
        <w:rPr>
          <w:color w:val="000000"/>
          <w:szCs w:val="22"/>
        </w:rPr>
        <w:t xml:space="preserve"> undersøgelse </w:t>
      </w:r>
      <w:r w:rsidR="006E4618" w:rsidRPr="004C2A59">
        <w:rPr>
          <w:color w:val="000000"/>
          <w:szCs w:val="22"/>
        </w:rPr>
        <w:t xml:space="preserve">hos voksne patienter </w:t>
      </w:r>
      <w:r w:rsidRPr="004C2A59">
        <w:rPr>
          <w:color w:val="000000"/>
          <w:szCs w:val="22"/>
        </w:rPr>
        <w:t>sammenlignede enkeltstof-behandling med Glivec med behandling med en kombination af interferon-alfa (IFN) og cytarabin (Ara-C). Patienter</w:t>
      </w:r>
      <w:r w:rsidR="00FB1D11" w:rsidRPr="004C2A59">
        <w:rPr>
          <w:color w:val="000000"/>
          <w:szCs w:val="22"/>
        </w:rPr>
        <w:t>,</w:t>
      </w:r>
      <w:r w:rsidRPr="004C2A59">
        <w:rPr>
          <w:color w:val="000000"/>
          <w:szCs w:val="22"/>
        </w:rPr>
        <w:t xml:space="preserve"> der ikke viste respons (manglende fuldstændig hæmatologisk respons (</w:t>
      </w:r>
      <w:smartTag w:uri="urn:schemas-microsoft-com:office:smarttags" w:element="metricconverter">
        <w:r w:rsidRPr="004C2A59">
          <w:rPr>
            <w:color w:val="000000"/>
            <w:szCs w:val="22"/>
          </w:rPr>
          <w:t>CHR</w:t>
        </w:r>
      </w:smartTag>
      <w:r w:rsidRPr="004C2A59">
        <w:rPr>
          <w:color w:val="000000"/>
          <w:szCs w:val="22"/>
        </w:rPr>
        <w:t>) efter 6</w:t>
      </w:r>
      <w:r w:rsidR="00C02CD8" w:rsidRPr="004C2A59">
        <w:rPr>
          <w:color w:val="000000"/>
          <w:szCs w:val="22"/>
        </w:rPr>
        <w:t> </w:t>
      </w:r>
      <w:r w:rsidRPr="004C2A59">
        <w:rPr>
          <w:color w:val="000000"/>
          <w:szCs w:val="22"/>
        </w:rPr>
        <w:t xml:space="preserve">måneder, øget leukocyttal, intet større cytogenetisk respons (MCyR) efter 24 måneder), tab af respons (tab af </w:t>
      </w:r>
      <w:smartTag w:uri="urn:schemas-microsoft-com:office:smarttags" w:element="metricconverter">
        <w:r w:rsidRPr="004C2A59">
          <w:rPr>
            <w:color w:val="000000"/>
            <w:szCs w:val="22"/>
          </w:rPr>
          <w:t>CHR</w:t>
        </w:r>
      </w:smartTag>
      <w:r w:rsidRPr="004C2A59">
        <w:rPr>
          <w:color w:val="000000"/>
          <w:szCs w:val="22"/>
        </w:rPr>
        <w:t xml:space="preserve"> eller MCyR) eller svær intolerance over for behandling, fik lov at krydse over til den anden behandlingsarm. I Glivec-armen blev patienterne behandlet med 400 mg daglig. I IFN-armen blev patienterne behandlet med en måldosis IFN på 5 MIE/m</w:t>
      </w:r>
      <w:r w:rsidRPr="004C2A59">
        <w:rPr>
          <w:color w:val="000000"/>
          <w:szCs w:val="22"/>
          <w:vertAlign w:val="superscript"/>
        </w:rPr>
        <w:t>2</w:t>
      </w:r>
      <w:r w:rsidRPr="004C2A59">
        <w:rPr>
          <w:color w:val="000000"/>
          <w:szCs w:val="22"/>
        </w:rPr>
        <w:t>/dag subkutant i kombination med subkutant Ara-C 20 mg/m</w:t>
      </w:r>
      <w:r w:rsidRPr="004C2A59">
        <w:rPr>
          <w:color w:val="000000"/>
          <w:szCs w:val="22"/>
          <w:vertAlign w:val="superscript"/>
        </w:rPr>
        <w:t>2</w:t>
      </w:r>
      <w:r w:rsidRPr="004C2A59">
        <w:rPr>
          <w:color w:val="000000"/>
          <w:szCs w:val="22"/>
        </w:rPr>
        <w:t>/dag i 10 dage/måned.</w:t>
      </w:r>
    </w:p>
    <w:p w14:paraId="7F033D66" w14:textId="77777777" w:rsidR="00610A3A" w:rsidRPr="004C2A59" w:rsidRDefault="00610A3A" w:rsidP="00421681">
      <w:pPr>
        <w:pStyle w:val="EndnoteText"/>
        <w:rPr>
          <w:color w:val="000000"/>
          <w:szCs w:val="22"/>
        </w:rPr>
      </w:pPr>
    </w:p>
    <w:p w14:paraId="3A57691E" w14:textId="77777777" w:rsidR="006C068A" w:rsidRPr="004C2A59" w:rsidRDefault="00270C5A" w:rsidP="00421681">
      <w:pPr>
        <w:pStyle w:val="EndnoteText"/>
        <w:rPr>
          <w:color w:val="000000"/>
          <w:szCs w:val="22"/>
        </w:rPr>
      </w:pPr>
      <w:r w:rsidRPr="004C2A59">
        <w:rPr>
          <w:color w:val="000000"/>
          <w:szCs w:val="22"/>
        </w:rPr>
        <w:t>I</w:t>
      </w:r>
      <w:r w:rsidR="00BD34CE" w:rsidRPr="004C2A59">
        <w:rPr>
          <w:color w:val="000000"/>
          <w:szCs w:val="22"/>
        </w:rPr>
        <w:t xml:space="preserve"> </w:t>
      </w:r>
      <w:r w:rsidRPr="004C2A59">
        <w:rPr>
          <w:color w:val="000000"/>
          <w:szCs w:val="22"/>
        </w:rPr>
        <w:t>alt randomiseredes 1</w:t>
      </w:r>
      <w:r w:rsidR="00EE3B34" w:rsidRPr="004C2A59">
        <w:rPr>
          <w:color w:val="000000"/>
          <w:szCs w:val="22"/>
        </w:rPr>
        <w:t>.</w:t>
      </w:r>
      <w:r w:rsidRPr="004C2A59">
        <w:rPr>
          <w:color w:val="000000"/>
          <w:szCs w:val="22"/>
        </w:rPr>
        <w:t xml:space="preserve">106 patienter, 553 til hver arm. </w:t>
      </w:r>
      <w:r w:rsidRPr="00ED22AB">
        <w:rPr>
          <w:i/>
          <w:color w:val="000000"/>
          <w:szCs w:val="22"/>
        </w:rPr>
        <w:t>Baseline</w:t>
      </w:r>
      <w:r w:rsidRPr="004C2A59">
        <w:rPr>
          <w:color w:val="000000"/>
          <w:szCs w:val="22"/>
        </w:rPr>
        <w:t>karakteristika var velafbalancerede mellem de to arme. Gennemsnitsalderen var 51 år (range 18</w:t>
      </w:r>
      <w:r w:rsidR="00ED38CD" w:rsidRPr="004C2A59">
        <w:rPr>
          <w:color w:val="000000"/>
          <w:szCs w:val="22"/>
        </w:rPr>
        <w:t>–</w:t>
      </w:r>
      <w:r w:rsidRPr="004C2A59">
        <w:rPr>
          <w:color w:val="000000"/>
          <w:szCs w:val="22"/>
        </w:rPr>
        <w:t>70 år), med 21,9% patienter ≥60</w:t>
      </w:r>
      <w:r w:rsidR="00C02CD8" w:rsidRPr="004C2A59">
        <w:rPr>
          <w:color w:val="000000"/>
          <w:szCs w:val="22"/>
        </w:rPr>
        <w:t> </w:t>
      </w:r>
      <w:r w:rsidRPr="004C2A59">
        <w:rPr>
          <w:color w:val="000000"/>
          <w:szCs w:val="22"/>
        </w:rPr>
        <w:t xml:space="preserve">år. 59% var mænd, 41% kvinder; 89,9% var af kaukatisk afstamning og 4,7% af negroid afstamning. </w:t>
      </w:r>
      <w:r w:rsidR="00115B46" w:rsidRPr="004C2A59">
        <w:rPr>
          <w:color w:val="000000"/>
          <w:szCs w:val="22"/>
        </w:rPr>
        <w:t xml:space="preserve">Medianvarigheden af førstevalgsbehandling var henholdsvis </w:t>
      </w:r>
      <w:r w:rsidR="003839CE" w:rsidRPr="004C2A59">
        <w:rPr>
          <w:color w:val="000000"/>
          <w:szCs w:val="22"/>
        </w:rPr>
        <w:t>82</w:t>
      </w:r>
      <w:r w:rsidR="00115B46" w:rsidRPr="004C2A59">
        <w:rPr>
          <w:color w:val="000000"/>
          <w:szCs w:val="22"/>
        </w:rPr>
        <w:t xml:space="preserve"> og 8 måneder i Glivec</w:t>
      </w:r>
      <w:r w:rsidR="005F7668" w:rsidRPr="004C2A59">
        <w:rPr>
          <w:color w:val="000000"/>
          <w:szCs w:val="22"/>
        </w:rPr>
        <w:t>-</w:t>
      </w:r>
      <w:r w:rsidR="00115B46" w:rsidRPr="004C2A59">
        <w:rPr>
          <w:color w:val="000000"/>
          <w:szCs w:val="22"/>
        </w:rPr>
        <w:t xml:space="preserve"> og </w:t>
      </w:r>
      <w:smartTag w:uri="urn:schemas-microsoft-com:office:smarttags" w:element="metricconverter">
        <w:r w:rsidR="00115B46" w:rsidRPr="004C2A59">
          <w:rPr>
            <w:color w:val="000000"/>
            <w:szCs w:val="22"/>
          </w:rPr>
          <w:t>INF</w:t>
        </w:r>
      </w:smartTag>
      <w:r w:rsidR="005F7668" w:rsidRPr="004C2A59">
        <w:rPr>
          <w:color w:val="000000"/>
          <w:szCs w:val="22"/>
        </w:rPr>
        <w:t>-</w:t>
      </w:r>
      <w:r w:rsidR="00115B46" w:rsidRPr="004C2A59">
        <w:rPr>
          <w:color w:val="000000"/>
          <w:szCs w:val="22"/>
        </w:rPr>
        <w:t xml:space="preserve">armene </w:t>
      </w:r>
      <w:r w:rsidR="003839CE" w:rsidRPr="004C2A59">
        <w:rPr>
          <w:color w:val="000000"/>
          <w:szCs w:val="22"/>
        </w:rPr>
        <w:t>syv</w:t>
      </w:r>
      <w:r w:rsidR="00115B46" w:rsidRPr="004C2A59">
        <w:rPr>
          <w:color w:val="000000"/>
          <w:szCs w:val="22"/>
        </w:rPr>
        <w:t xml:space="preserve"> år efter</w:t>
      </w:r>
      <w:r w:rsidR="00D649C3" w:rsidRPr="004C2A59">
        <w:rPr>
          <w:color w:val="000000"/>
          <w:szCs w:val="22"/>
        </w:rPr>
        <w:t>,</w:t>
      </w:r>
      <w:r w:rsidR="00E576AF" w:rsidRPr="004C2A59">
        <w:rPr>
          <w:color w:val="000000"/>
          <w:szCs w:val="22"/>
        </w:rPr>
        <w:t xml:space="preserve"> at</w:t>
      </w:r>
      <w:r w:rsidR="00115B46" w:rsidRPr="004C2A59">
        <w:rPr>
          <w:color w:val="000000"/>
          <w:szCs w:val="22"/>
        </w:rPr>
        <w:t xml:space="preserve"> den sidste patient var rekrutteret. </w:t>
      </w:r>
      <w:r w:rsidR="005F7668" w:rsidRPr="004C2A59">
        <w:rPr>
          <w:color w:val="000000"/>
          <w:szCs w:val="22"/>
        </w:rPr>
        <w:t>Medianvarighed</w:t>
      </w:r>
      <w:r w:rsidR="00115B46" w:rsidRPr="004C2A59">
        <w:rPr>
          <w:color w:val="000000"/>
          <w:szCs w:val="22"/>
        </w:rPr>
        <w:t xml:space="preserve">en af </w:t>
      </w:r>
      <w:r w:rsidR="005F7668" w:rsidRPr="004C2A59">
        <w:rPr>
          <w:color w:val="000000"/>
          <w:szCs w:val="22"/>
        </w:rPr>
        <w:t xml:space="preserve">andenlinjebehandling </w:t>
      </w:r>
      <w:r w:rsidR="00115B46" w:rsidRPr="004C2A59">
        <w:rPr>
          <w:color w:val="000000"/>
          <w:szCs w:val="22"/>
        </w:rPr>
        <w:t xml:space="preserve">med Glivec var </w:t>
      </w:r>
      <w:r w:rsidR="003839CE" w:rsidRPr="004C2A59">
        <w:rPr>
          <w:color w:val="000000"/>
          <w:szCs w:val="22"/>
        </w:rPr>
        <w:t>64</w:t>
      </w:r>
      <w:r w:rsidR="00BA2B60" w:rsidRPr="004C2A59">
        <w:rPr>
          <w:color w:val="000000"/>
          <w:szCs w:val="22"/>
        </w:rPr>
        <w:t> </w:t>
      </w:r>
      <w:r w:rsidR="00115B46" w:rsidRPr="004C2A59">
        <w:rPr>
          <w:color w:val="000000"/>
          <w:szCs w:val="22"/>
        </w:rPr>
        <w:t xml:space="preserve">måneder. Overordnet var den gennemsnitlige daglige dosis </w:t>
      </w:r>
      <w:r w:rsidR="003839CE" w:rsidRPr="004C2A59">
        <w:rPr>
          <w:color w:val="000000"/>
          <w:szCs w:val="22"/>
        </w:rPr>
        <w:t>406</w:t>
      </w:r>
      <w:r w:rsidR="00115B46" w:rsidRPr="004C2A59">
        <w:rPr>
          <w:color w:val="000000"/>
          <w:szCs w:val="22"/>
        </w:rPr>
        <w:t> </w:t>
      </w:r>
      <w:r w:rsidR="00115B46" w:rsidRPr="004C2A59">
        <w:rPr>
          <w:color w:val="000000"/>
        </w:rPr>
        <w:t>± </w:t>
      </w:r>
      <w:r w:rsidR="005E14A4" w:rsidRPr="004C2A59">
        <w:rPr>
          <w:color w:val="000000"/>
        </w:rPr>
        <w:t>76</w:t>
      </w:r>
      <w:r w:rsidR="00115B46" w:rsidRPr="004C2A59">
        <w:rPr>
          <w:color w:val="000000"/>
        </w:rPr>
        <w:t> mg hos patienter som fik Glivec som førstevalg.</w:t>
      </w:r>
      <w:r w:rsidRPr="004C2A59">
        <w:rPr>
          <w:color w:val="000000"/>
          <w:szCs w:val="22"/>
        </w:rPr>
        <w:t xml:space="preserve"> Undersøgelsens primære effektmål er progressionsfri overlevelse. Progression blev defineret som enhver af følgende hændelser: progression til accellereret </w:t>
      </w:r>
      <w:r w:rsidRPr="004C2A59">
        <w:rPr>
          <w:color w:val="000000"/>
          <w:szCs w:val="22"/>
        </w:rPr>
        <w:lastRenderedPageBreak/>
        <w:t xml:space="preserve">fase eller blastkrise, død, tab af </w:t>
      </w:r>
      <w:smartTag w:uri="urn:schemas-microsoft-com:office:smarttags" w:element="metricconverter">
        <w:r w:rsidRPr="004C2A59">
          <w:rPr>
            <w:color w:val="000000"/>
            <w:szCs w:val="22"/>
          </w:rPr>
          <w:t>CHR</w:t>
        </w:r>
      </w:smartTag>
      <w:r w:rsidRPr="004C2A59">
        <w:rPr>
          <w:color w:val="000000"/>
          <w:szCs w:val="22"/>
        </w:rPr>
        <w:t xml:space="preserve"> eller MCyR, eller patienter der ikke opnår </w:t>
      </w:r>
      <w:smartTag w:uri="urn:schemas-microsoft-com:office:smarttags" w:element="metricconverter">
        <w:r w:rsidRPr="004C2A59">
          <w:rPr>
            <w:color w:val="000000"/>
            <w:szCs w:val="22"/>
          </w:rPr>
          <w:t>CHR</w:t>
        </w:r>
      </w:smartTag>
      <w:r w:rsidRPr="004C2A59">
        <w:rPr>
          <w:color w:val="000000"/>
          <w:szCs w:val="22"/>
        </w:rPr>
        <w:t xml:space="preserve"> eller øget leukocyttal på trods af relevant terapeutisk behandling. Større cytogenetisk respons, hæmatologisk respons,</w:t>
      </w:r>
      <w:r w:rsidR="0021429D" w:rsidRPr="004C2A59">
        <w:rPr>
          <w:color w:val="000000"/>
          <w:szCs w:val="22"/>
        </w:rPr>
        <w:t xml:space="preserve"> </w:t>
      </w:r>
      <w:r w:rsidR="00794121" w:rsidRPr="004C2A59">
        <w:rPr>
          <w:color w:val="000000"/>
          <w:szCs w:val="22"/>
        </w:rPr>
        <w:t>molekulær respons (evaluering af minimal tilbageværende sygdom)</w:t>
      </w:r>
      <w:r w:rsidR="0021429D" w:rsidRPr="004C2A59">
        <w:rPr>
          <w:color w:val="000000"/>
          <w:szCs w:val="22"/>
        </w:rPr>
        <w:t>,</w:t>
      </w:r>
      <w:r w:rsidRPr="004C2A59">
        <w:rPr>
          <w:color w:val="000000"/>
          <w:szCs w:val="22"/>
        </w:rPr>
        <w:t xml:space="preserve"> tid til accellereret fase eller blastkrise samt overlevelse er de sekundære hovedeffektmål. Responsdata fremgår af Tabel </w:t>
      </w:r>
      <w:r w:rsidR="00353FC4" w:rsidRPr="004C2A59">
        <w:rPr>
          <w:color w:val="000000"/>
          <w:szCs w:val="22"/>
        </w:rPr>
        <w:t>2</w:t>
      </w:r>
      <w:r w:rsidRPr="004C2A59">
        <w:rPr>
          <w:color w:val="000000"/>
          <w:szCs w:val="22"/>
        </w:rPr>
        <w:t>.</w:t>
      </w:r>
    </w:p>
    <w:p w14:paraId="46686F80" w14:textId="77777777" w:rsidR="006C068A" w:rsidRPr="004C2A59" w:rsidRDefault="006C068A" w:rsidP="00421681">
      <w:pPr>
        <w:pStyle w:val="EndnoteText"/>
        <w:rPr>
          <w:color w:val="000000"/>
          <w:szCs w:val="22"/>
        </w:rPr>
      </w:pPr>
    </w:p>
    <w:p w14:paraId="2F8A65E8" w14:textId="77777777" w:rsidR="006C068A" w:rsidRPr="004C2A59" w:rsidRDefault="006C068A" w:rsidP="006C180B">
      <w:pPr>
        <w:pStyle w:val="EndnoteText"/>
        <w:keepNext/>
        <w:tabs>
          <w:tab w:val="clear" w:pos="567"/>
          <w:tab w:val="left" w:pos="1134"/>
        </w:tabs>
        <w:rPr>
          <w:b/>
          <w:color w:val="000000"/>
          <w:szCs w:val="22"/>
        </w:rPr>
      </w:pPr>
      <w:r w:rsidRPr="004C2A59">
        <w:rPr>
          <w:b/>
          <w:color w:val="000000"/>
          <w:szCs w:val="22"/>
        </w:rPr>
        <w:t>Tabel </w:t>
      </w:r>
      <w:r w:rsidR="00353FC4" w:rsidRPr="004C2A59">
        <w:rPr>
          <w:b/>
          <w:color w:val="000000"/>
          <w:szCs w:val="22"/>
        </w:rPr>
        <w:t>2</w:t>
      </w:r>
      <w:r w:rsidRPr="004C2A59">
        <w:rPr>
          <w:b/>
          <w:color w:val="000000"/>
          <w:szCs w:val="22"/>
        </w:rPr>
        <w:tab/>
        <w:t>Respons i undersøgelsen vedrørende nydiagnosticeret CML (</w:t>
      </w:r>
      <w:r w:rsidR="0057228A" w:rsidRPr="004C2A59">
        <w:rPr>
          <w:b/>
          <w:color w:val="000000"/>
          <w:szCs w:val="22"/>
        </w:rPr>
        <w:t>84</w:t>
      </w:r>
      <w:r w:rsidRPr="004C2A59">
        <w:rPr>
          <w:b/>
          <w:color w:val="000000"/>
          <w:szCs w:val="22"/>
        </w:rPr>
        <w:t> måneders data)</w:t>
      </w:r>
    </w:p>
    <w:p w14:paraId="6B74380A" w14:textId="77777777" w:rsidR="006C068A" w:rsidRPr="004C2A59" w:rsidRDefault="006C068A" w:rsidP="006C180B">
      <w:pPr>
        <w:pStyle w:val="EndnoteText"/>
        <w:keepNext/>
        <w:rPr>
          <w:color w:val="000000"/>
          <w:szCs w:val="22"/>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6C068A" w:rsidRPr="004C2A59" w14:paraId="64881623" w14:textId="77777777" w:rsidTr="006C180B">
        <w:trPr>
          <w:cantSplit/>
        </w:trPr>
        <w:tc>
          <w:tcPr>
            <w:tcW w:w="3794" w:type="dxa"/>
            <w:tcBorders>
              <w:top w:val="single" w:sz="4" w:space="0" w:color="auto"/>
              <w:left w:val="single" w:sz="4" w:space="0" w:color="auto"/>
              <w:bottom w:val="nil"/>
            </w:tcBorders>
          </w:tcPr>
          <w:p w14:paraId="6496D1C4" w14:textId="77777777" w:rsidR="006C068A" w:rsidRPr="004C2A59" w:rsidRDefault="006C068A" w:rsidP="006C180B">
            <w:pPr>
              <w:pStyle w:val="Table"/>
              <w:keepLines w:val="0"/>
              <w:widowControl w:val="0"/>
              <w:spacing w:before="0" w:after="0"/>
              <w:rPr>
                <w:rFonts w:ascii="Times New Roman" w:hAnsi="Times New Roman"/>
                <w:color w:val="000000"/>
                <w:sz w:val="22"/>
                <w:szCs w:val="22"/>
                <w:lang w:val="da-DK"/>
              </w:rPr>
            </w:pPr>
          </w:p>
        </w:tc>
        <w:tc>
          <w:tcPr>
            <w:tcW w:w="2693" w:type="dxa"/>
            <w:tcBorders>
              <w:top w:val="single" w:sz="4" w:space="0" w:color="auto"/>
              <w:bottom w:val="nil"/>
            </w:tcBorders>
          </w:tcPr>
          <w:p w14:paraId="08FA290B" w14:textId="77777777" w:rsidR="006C068A" w:rsidRPr="004C2A59" w:rsidRDefault="006C068A" w:rsidP="006C180B">
            <w:pPr>
              <w:pStyle w:val="Table"/>
              <w:keepLines w:val="0"/>
              <w:widowControl w:val="0"/>
              <w:spacing w:before="0" w:after="0"/>
              <w:jc w:val="center"/>
              <w:rPr>
                <w:rFonts w:ascii="Times New Roman" w:hAnsi="Times New Roman"/>
                <w:b/>
                <w:color w:val="000000"/>
                <w:sz w:val="22"/>
                <w:szCs w:val="22"/>
                <w:lang w:val="da-DK"/>
              </w:rPr>
            </w:pPr>
            <w:r w:rsidRPr="004C2A59">
              <w:rPr>
                <w:rFonts w:ascii="Times New Roman" w:hAnsi="Times New Roman"/>
                <w:b/>
                <w:color w:val="000000"/>
                <w:sz w:val="22"/>
                <w:szCs w:val="22"/>
                <w:lang w:val="da-DK"/>
              </w:rPr>
              <w:t>Glivec</w:t>
            </w:r>
          </w:p>
        </w:tc>
        <w:tc>
          <w:tcPr>
            <w:tcW w:w="2718" w:type="dxa"/>
            <w:tcBorders>
              <w:top w:val="single" w:sz="4" w:space="0" w:color="auto"/>
              <w:bottom w:val="nil"/>
              <w:right w:val="single" w:sz="4" w:space="0" w:color="auto"/>
            </w:tcBorders>
          </w:tcPr>
          <w:p w14:paraId="00054080" w14:textId="77777777" w:rsidR="006C068A" w:rsidRPr="004C2A59" w:rsidRDefault="006C068A" w:rsidP="006C180B">
            <w:pPr>
              <w:pStyle w:val="Table"/>
              <w:keepLines w:val="0"/>
              <w:widowControl w:val="0"/>
              <w:spacing w:before="0" w:after="0"/>
              <w:jc w:val="center"/>
              <w:rPr>
                <w:rFonts w:ascii="Times New Roman" w:hAnsi="Times New Roman"/>
                <w:b/>
                <w:color w:val="000000"/>
                <w:sz w:val="22"/>
                <w:szCs w:val="22"/>
                <w:lang w:val="da-DK"/>
              </w:rPr>
            </w:pPr>
            <w:r w:rsidRPr="004C2A59">
              <w:rPr>
                <w:rFonts w:ascii="Times New Roman" w:hAnsi="Times New Roman"/>
                <w:b/>
                <w:color w:val="000000"/>
                <w:sz w:val="22"/>
                <w:szCs w:val="22"/>
                <w:lang w:val="da-DK"/>
              </w:rPr>
              <w:t>IFN+Ara-C</w:t>
            </w:r>
          </w:p>
        </w:tc>
      </w:tr>
      <w:tr w:rsidR="006C068A" w:rsidRPr="004C2A59" w14:paraId="3F013B59" w14:textId="77777777" w:rsidTr="006C180B">
        <w:trPr>
          <w:cantSplit/>
        </w:trPr>
        <w:tc>
          <w:tcPr>
            <w:tcW w:w="3794" w:type="dxa"/>
            <w:tcBorders>
              <w:top w:val="nil"/>
              <w:left w:val="single" w:sz="4" w:space="0" w:color="auto"/>
              <w:bottom w:val="single" w:sz="4" w:space="0" w:color="auto"/>
            </w:tcBorders>
          </w:tcPr>
          <w:p w14:paraId="53C619ED" w14:textId="77777777" w:rsidR="006C068A" w:rsidRPr="004C2A59" w:rsidRDefault="006C068A" w:rsidP="006C180B">
            <w:pPr>
              <w:pStyle w:val="Table"/>
              <w:keepLines w:val="0"/>
              <w:widowControl w:val="0"/>
              <w:spacing w:before="0" w:after="0"/>
              <w:rPr>
                <w:rFonts w:ascii="Times New Roman" w:hAnsi="Times New Roman"/>
                <w:b/>
                <w:color w:val="000000"/>
                <w:sz w:val="22"/>
                <w:szCs w:val="22"/>
                <w:lang w:val="da-DK"/>
              </w:rPr>
            </w:pPr>
            <w:r w:rsidRPr="004C2A59">
              <w:rPr>
                <w:rFonts w:ascii="Times New Roman" w:hAnsi="Times New Roman"/>
                <w:b/>
                <w:color w:val="000000"/>
                <w:sz w:val="22"/>
                <w:szCs w:val="22"/>
                <w:lang w:val="da-DK"/>
              </w:rPr>
              <w:t>(Bedste respons</w:t>
            </w:r>
            <w:r w:rsidR="00243D6B" w:rsidRPr="004C2A59">
              <w:rPr>
                <w:rFonts w:ascii="Times New Roman" w:hAnsi="Times New Roman"/>
                <w:b/>
                <w:color w:val="000000"/>
                <w:sz w:val="22"/>
                <w:szCs w:val="22"/>
                <w:lang w:val="da-DK"/>
              </w:rPr>
              <w:t>)</w:t>
            </w:r>
          </w:p>
        </w:tc>
        <w:tc>
          <w:tcPr>
            <w:tcW w:w="2693" w:type="dxa"/>
            <w:tcBorders>
              <w:top w:val="nil"/>
              <w:bottom w:val="single" w:sz="4" w:space="0" w:color="auto"/>
            </w:tcBorders>
          </w:tcPr>
          <w:p w14:paraId="71DD7F4C" w14:textId="77777777" w:rsidR="006C068A" w:rsidRPr="004C2A59" w:rsidRDefault="006C068A" w:rsidP="006C180B">
            <w:pPr>
              <w:pStyle w:val="Table"/>
              <w:keepLines w:val="0"/>
              <w:widowControl w:val="0"/>
              <w:spacing w:before="0" w:after="0"/>
              <w:jc w:val="center"/>
              <w:rPr>
                <w:rFonts w:ascii="Times New Roman" w:hAnsi="Times New Roman"/>
                <w:color w:val="000000"/>
                <w:sz w:val="22"/>
                <w:szCs w:val="22"/>
                <w:lang w:val="da-DK"/>
              </w:rPr>
            </w:pPr>
            <w:r w:rsidRPr="004C2A59">
              <w:rPr>
                <w:rFonts w:ascii="Times New Roman" w:hAnsi="Times New Roman"/>
                <w:color w:val="000000"/>
                <w:sz w:val="22"/>
                <w:szCs w:val="22"/>
                <w:lang w:val="da-DK"/>
              </w:rPr>
              <w:t>n=553</w:t>
            </w:r>
          </w:p>
        </w:tc>
        <w:tc>
          <w:tcPr>
            <w:tcW w:w="2718" w:type="dxa"/>
            <w:tcBorders>
              <w:top w:val="nil"/>
              <w:bottom w:val="single" w:sz="4" w:space="0" w:color="auto"/>
              <w:right w:val="single" w:sz="4" w:space="0" w:color="auto"/>
            </w:tcBorders>
          </w:tcPr>
          <w:p w14:paraId="59697D85" w14:textId="77777777" w:rsidR="006C068A" w:rsidRPr="004C2A59" w:rsidRDefault="006C068A" w:rsidP="006C180B">
            <w:pPr>
              <w:pStyle w:val="Table"/>
              <w:keepLines w:val="0"/>
              <w:widowControl w:val="0"/>
              <w:spacing w:before="0" w:after="0"/>
              <w:jc w:val="center"/>
              <w:rPr>
                <w:rFonts w:ascii="Times New Roman" w:hAnsi="Times New Roman"/>
                <w:color w:val="000000"/>
                <w:sz w:val="22"/>
                <w:szCs w:val="22"/>
                <w:lang w:val="da-DK"/>
              </w:rPr>
            </w:pPr>
            <w:r w:rsidRPr="004C2A59">
              <w:rPr>
                <w:rFonts w:ascii="Times New Roman" w:hAnsi="Times New Roman"/>
                <w:color w:val="000000"/>
                <w:sz w:val="22"/>
                <w:szCs w:val="22"/>
                <w:lang w:val="da-DK"/>
              </w:rPr>
              <w:t>n=553</w:t>
            </w:r>
          </w:p>
        </w:tc>
      </w:tr>
      <w:tr w:rsidR="006C068A" w:rsidRPr="004C2A59" w14:paraId="0986F28B" w14:textId="77777777" w:rsidTr="006C180B">
        <w:trPr>
          <w:cantSplit/>
        </w:trPr>
        <w:tc>
          <w:tcPr>
            <w:tcW w:w="3794" w:type="dxa"/>
            <w:tcBorders>
              <w:top w:val="nil"/>
              <w:left w:val="single" w:sz="4" w:space="0" w:color="auto"/>
            </w:tcBorders>
          </w:tcPr>
          <w:p w14:paraId="2D4E8B9E" w14:textId="77777777" w:rsidR="006C068A" w:rsidRPr="004C2A59" w:rsidRDefault="006C068A" w:rsidP="006C180B">
            <w:pPr>
              <w:pStyle w:val="Table"/>
              <w:keepLines w:val="0"/>
              <w:widowControl w:val="0"/>
              <w:spacing w:before="0" w:after="0"/>
              <w:rPr>
                <w:rFonts w:ascii="Times New Roman" w:hAnsi="Times New Roman"/>
                <w:b/>
                <w:color w:val="000000"/>
                <w:sz w:val="22"/>
                <w:szCs w:val="22"/>
                <w:lang w:val="da-DK"/>
              </w:rPr>
            </w:pPr>
            <w:r w:rsidRPr="004C2A59">
              <w:rPr>
                <w:rFonts w:ascii="Times New Roman" w:hAnsi="Times New Roman"/>
                <w:b/>
                <w:color w:val="000000"/>
                <w:sz w:val="22"/>
                <w:szCs w:val="22"/>
                <w:lang w:val="da-DK"/>
              </w:rPr>
              <w:t>Hæmatologisk respons</w:t>
            </w:r>
          </w:p>
        </w:tc>
        <w:tc>
          <w:tcPr>
            <w:tcW w:w="2693" w:type="dxa"/>
            <w:tcBorders>
              <w:top w:val="nil"/>
            </w:tcBorders>
          </w:tcPr>
          <w:p w14:paraId="394EEE69" w14:textId="77777777" w:rsidR="006C068A" w:rsidRPr="004C2A59" w:rsidRDefault="006C068A" w:rsidP="006C180B">
            <w:pPr>
              <w:pStyle w:val="Table"/>
              <w:keepLines w:val="0"/>
              <w:widowControl w:val="0"/>
              <w:spacing w:before="0" w:after="0"/>
              <w:jc w:val="center"/>
              <w:rPr>
                <w:rFonts w:ascii="Times New Roman" w:hAnsi="Times New Roman"/>
                <w:b/>
                <w:color w:val="000000"/>
                <w:sz w:val="22"/>
                <w:szCs w:val="22"/>
                <w:lang w:val="da-DK"/>
              </w:rPr>
            </w:pPr>
          </w:p>
        </w:tc>
        <w:tc>
          <w:tcPr>
            <w:tcW w:w="2718" w:type="dxa"/>
            <w:tcBorders>
              <w:top w:val="nil"/>
              <w:right w:val="single" w:sz="4" w:space="0" w:color="auto"/>
            </w:tcBorders>
          </w:tcPr>
          <w:p w14:paraId="241D0CF6" w14:textId="77777777" w:rsidR="006C068A" w:rsidRPr="004C2A59" w:rsidRDefault="006C068A" w:rsidP="006C180B">
            <w:pPr>
              <w:pStyle w:val="Table"/>
              <w:keepLines w:val="0"/>
              <w:widowControl w:val="0"/>
              <w:spacing w:before="0" w:after="0"/>
              <w:jc w:val="center"/>
              <w:rPr>
                <w:rFonts w:ascii="Times New Roman" w:hAnsi="Times New Roman"/>
                <w:b/>
                <w:color w:val="000000"/>
                <w:sz w:val="22"/>
                <w:szCs w:val="22"/>
                <w:lang w:val="da-DK"/>
              </w:rPr>
            </w:pPr>
          </w:p>
        </w:tc>
      </w:tr>
      <w:tr w:rsidR="006C068A" w:rsidRPr="004C2A59" w14:paraId="6F868315" w14:textId="77777777" w:rsidTr="006C180B">
        <w:trPr>
          <w:cantSplit/>
        </w:trPr>
        <w:tc>
          <w:tcPr>
            <w:tcW w:w="3794" w:type="dxa"/>
            <w:tcBorders>
              <w:top w:val="nil"/>
              <w:left w:val="single" w:sz="4" w:space="0" w:color="auto"/>
            </w:tcBorders>
          </w:tcPr>
          <w:p w14:paraId="19136251" w14:textId="77777777" w:rsidR="006C068A" w:rsidRPr="004C2A59" w:rsidRDefault="006C068A" w:rsidP="006C180B">
            <w:pPr>
              <w:pStyle w:val="Table"/>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CHR</w:t>
              </w:r>
            </w:smartTag>
            <w:r w:rsidRPr="004C2A59">
              <w:rPr>
                <w:rFonts w:ascii="Times New Roman" w:hAnsi="Times New Roman"/>
                <w:color w:val="000000"/>
                <w:sz w:val="22"/>
                <w:szCs w:val="22"/>
                <w:lang w:val="da-DK"/>
              </w:rPr>
              <w:t xml:space="preserve"> rate n (%)</w:t>
            </w:r>
          </w:p>
        </w:tc>
        <w:tc>
          <w:tcPr>
            <w:tcW w:w="2693" w:type="dxa"/>
            <w:tcBorders>
              <w:top w:val="nil"/>
            </w:tcBorders>
          </w:tcPr>
          <w:p w14:paraId="17AF6A29" w14:textId="77777777" w:rsidR="006C068A" w:rsidRPr="004C2A59" w:rsidRDefault="006C068A" w:rsidP="006C180B">
            <w:pPr>
              <w:pStyle w:val="Table"/>
              <w:keepLines w:val="0"/>
              <w:widowControl w:val="0"/>
              <w:spacing w:before="0" w:after="0"/>
              <w:jc w:val="center"/>
              <w:rPr>
                <w:rFonts w:ascii="Times New Roman" w:hAnsi="Times New Roman"/>
                <w:color w:val="000000"/>
                <w:sz w:val="22"/>
                <w:szCs w:val="22"/>
                <w:lang w:val="da-DK"/>
              </w:rPr>
            </w:pPr>
            <w:r w:rsidRPr="004C2A59">
              <w:rPr>
                <w:rFonts w:ascii="Times New Roman" w:hAnsi="Times New Roman"/>
                <w:color w:val="000000"/>
                <w:sz w:val="22"/>
                <w:szCs w:val="22"/>
                <w:lang w:val="da-DK"/>
              </w:rPr>
              <w:t>534 (96,6%)*</w:t>
            </w:r>
          </w:p>
        </w:tc>
        <w:tc>
          <w:tcPr>
            <w:tcW w:w="2718" w:type="dxa"/>
            <w:tcBorders>
              <w:top w:val="nil"/>
              <w:right w:val="single" w:sz="4" w:space="0" w:color="auto"/>
            </w:tcBorders>
          </w:tcPr>
          <w:p w14:paraId="3F886B3B" w14:textId="77777777" w:rsidR="006C068A" w:rsidRPr="004C2A59" w:rsidRDefault="006C068A" w:rsidP="006C180B">
            <w:pPr>
              <w:pStyle w:val="Table"/>
              <w:keepLines w:val="0"/>
              <w:widowControl w:val="0"/>
              <w:spacing w:before="0" w:after="0"/>
              <w:jc w:val="center"/>
              <w:rPr>
                <w:rFonts w:ascii="Times New Roman" w:hAnsi="Times New Roman"/>
                <w:color w:val="000000"/>
                <w:sz w:val="22"/>
                <w:szCs w:val="22"/>
                <w:lang w:val="da-DK"/>
              </w:rPr>
            </w:pPr>
            <w:r w:rsidRPr="004C2A59">
              <w:rPr>
                <w:rFonts w:ascii="Times New Roman" w:hAnsi="Times New Roman"/>
                <w:color w:val="000000"/>
                <w:sz w:val="22"/>
                <w:szCs w:val="22"/>
                <w:lang w:val="da-DK"/>
              </w:rPr>
              <w:t>313 (56,6%)*</w:t>
            </w:r>
          </w:p>
        </w:tc>
      </w:tr>
      <w:tr w:rsidR="006C068A" w:rsidRPr="004C2A59" w14:paraId="5AF504D5" w14:textId="77777777" w:rsidTr="006C180B">
        <w:trPr>
          <w:cantSplit/>
        </w:trPr>
        <w:tc>
          <w:tcPr>
            <w:tcW w:w="3794" w:type="dxa"/>
            <w:tcBorders>
              <w:left w:val="single" w:sz="4" w:space="0" w:color="auto"/>
            </w:tcBorders>
          </w:tcPr>
          <w:p w14:paraId="165FB5DE" w14:textId="77777777" w:rsidR="006C068A" w:rsidRPr="004C2A59" w:rsidRDefault="006C068A" w:rsidP="006C180B">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ab/>
              <w:t>[95% CI]</w:t>
            </w:r>
          </w:p>
        </w:tc>
        <w:tc>
          <w:tcPr>
            <w:tcW w:w="2693" w:type="dxa"/>
          </w:tcPr>
          <w:p w14:paraId="70D0B53A" w14:textId="77777777" w:rsidR="006C068A" w:rsidRPr="004C2A59" w:rsidRDefault="006C068A" w:rsidP="006C180B">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[94,7%, 97,9%]</w:t>
            </w:r>
          </w:p>
        </w:tc>
        <w:tc>
          <w:tcPr>
            <w:tcW w:w="2718" w:type="dxa"/>
            <w:tcBorders>
              <w:right w:val="single" w:sz="4" w:space="0" w:color="auto"/>
            </w:tcBorders>
          </w:tcPr>
          <w:p w14:paraId="11C55906" w14:textId="77777777" w:rsidR="006C068A" w:rsidRPr="004C2A59" w:rsidRDefault="006C068A" w:rsidP="006C180B">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[52,4%, 60,8%]</w:t>
            </w:r>
          </w:p>
        </w:tc>
      </w:tr>
      <w:tr w:rsidR="006C068A" w:rsidRPr="004C2A59" w14:paraId="0149C315" w14:textId="77777777" w:rsidTr="006C180B">
        <w:trPr>
          <w:cantSplit/>
        </w:trPr>
        <w:tc>
          <w:tcPr>
            <w:tcW w:w="3794" w:type="dxa"/>
            <w:tcBorders>
              <w:left w:val="single" w:sz="4" w:space="0" w:color="auto"/>
            </w:tcBorders>
          </w:tcPr>
          <w:p w14:paraId="04C74E6D" w14:textId="77777777" w:rsidR="006C068A" w:rsidRPr="004C2A59" w:rsidRDefault="006C068A" w:rsidP="006C180B">
            <w:pPr>
              <w:pStyle w:val="Table"/>
              <w:keepLines w:val="0"/>
              <w:widowControl w:val="0"/>
              <w:spacing w:before="0" w:after="0"/>
              <w:rPr>
                <w:rFonts w:ascii="Times New Roman" w:hAnsi="Times New Roman"/>
                <w:color w:val="000000"/>
                <w:sz w:val="22"/>
                <w:szCs w:val="22"/>
              </w:rPr>
            </w:pPr>
          </w:p>
        </w:tc>
        <w:tc>
          <w:tcPr>
            <w:tcW w:w="2693" w:type="dxa"/>
          </w:tcPr>
          <w:p w14:paraId="6D18666A" w14:textId="77777777" w:rsidR="006C068A" w:rsidRPr="004C2A59" w:rsidRDefault="006C068A" w:rsidP="006C180B">
            <w:pPr>
              <w:pStyle w:val="Table"/>
              <w:keepLines w:val="0"/>
              <w:widowControl w:val="0"/>
              <w:spacing w:before="0" w:after="0"/>
              <w:rPr>
                <w:rFonts w:ascii="Times New Roman" w:hAnsi="Times New Roman"/>
                <w:color w:val="000000"/>
                <w:sz w:val="22"/>
                <w:szCs w:val="22"/>
              </w:rPr>
            </w:pPr>
          </w:p>
        </w:tc>
        <w:tc>
          <w:tcPr>
            <w:tcW w:w="2718" w:type="dxa"/>
            <w:tcBorders>
              <w:right w:val="single" w:sz="4" w:space="0" w:color="auto"/>
            </w:tcBorders>
          </w:tcPr>
          <w:p w14:paraId="5C1DE0E6" w14:textId="77777777" w:rsidR="006C068A" w:rsidRPr="004C2A59" w:rsidRDefault="006C068A" w:rsidP="006C180B">
            <w:pPr>
              <w:pStyle w:val="Table"/>
              <w:keepLines w:val="0"/>
              <w:widowControl w:val="0"/>
              <w:spacing w:before="0" w:after="0"/>
              <w:rPr>
                <w:rFonts w:ascii="Times New Roman" w:hAnsi="Times New Roman"/>
                <w:color w:val="000000"/>
                <w:sz w:val="22"/>
                <w:szCs w:val="22"/>
              </w:rPr>
            </w:pPr>
          </w:p>
        </w:tc>
      </w:tr>
      <w:tr w:rsidR="006C068A" w:rsidRPr="004C2A59" w14:paraId="48FD5E6B" w14:textId="77777777" w:rsidTr="006C180B">
        <w:trPr>
          <w:cantSplit/>
        </w:trPr>
        <w:tc>
          <w:tcPr>
            <w:tcW w:w="3794" w:type="dxa"/>
            <w:tcBorders>
              <w:left w:val="single" w:sz="4" w:space="0" w:color="auto"/>
            </w:tcBorders>
          </w:tcPr>
          <w:p w14:paraId="05CDA2D9" w14:textId="77777777" w:rsidR="006C068A" w:rsidRPr="004C2A59" w:rsidRDefault="006C068A" w:rsidP="006C180B">
            <w:pPr>
              <w:pStyle w:val="Table"/>
              <w:keepLines w:val="0"/>
              <w:widowControl w:val="0"/>
              <w:spacing w:before="0" w:after="0"/>
              <w:rPr>
                <w:rFonts w:ascii="Times New Roman" w:hAnsi="Times New Roman"/>
                <w:b/>
                <w:color w:val="000000"/>
                <w:sz w:val="22"/>
                <w:szCs w:val="22"/>
              </w:rPr>
            </w:pPr>
            <w:r w:rsidRPr="004C2A59">
              <w:rPr>
                <w:rFonts w:ascii="Times New Roman" w:hAnsi="Times New Roman"/>
                <w:b/>
                <w:color w:val="000000"/>
                <w:sz w:val="22"/>
                <w:szCs w:val="22"/>
              </w:rPr>
              <w:t>Cytogenetisk respons</w:t>
            </w:r>
          </w:p>
        </w:tc>
        <w:tc>
          <w:tcPr>
            <w:tcW w:w="2693" w:type="dxa"/>
          </w:tcPr>
          <w:p w14:paraId="3CED045F" w14:textId="77777777" w:rsidR="006C068A" w:rsidRPr="004C2A59" w:rsidRDefault="006C068A" w:rsidP="006C180B">
            <w:pPr>
              <w:pStyle w:val="Table"/>
              <w:keepLines w:val="0"/>
              <w:widowControl w:val="0"/>
              <w:spacing w:before="0" w:after="0"/>
              <w:rPr>
                <w:rFonts w:ascii="Times New Roman" w:hAnsi="Times New Roman"/>
                <w:b/>
                <w:color w:val="000000"/>
                <w:sz w:val="22"/>
                <w:szCs w:val="22"/>
              </w:rPr>
            </w:pPr>
          </w:p>
        </w:tc>
        <w:tc>
          <w:tcPr>
            <w:tcW w:w="2718" w:type="dxa"/>
            <w:tcBorders>
              <w:right w:val="single" w:sz="4" w:space="0" w:color="auto"/>
            </w:tcBorders>
          </w:tcPr>
          <w:p w14:paraId="6BCD95EC" w14:textId="77777777" w:rsidR="006C068A" w:rsidRPr="004C2A59" w:rsidRDefault="006C068A" w:rsidP="006C180B">
            <w:pPr>
              <w:pStyle w:val="Table"/>
              <w:keepLines w:val="0"/>
              <w:widowControl w:val="0"/>
              <w:spacing w:before="0" w:after="0"/>
              <w:rPr>
                <w:rFonts w:ascii="Times New Roman" w:hAnsi="Times New Roman"/>
                <w:b/>
                <w:color w:val="000000"/>
                <w:sz w:val="22"/>
                <w:szCs w:val="22"/>
              </w:rPr>
            </w:pPr>
          </w:p>
        </w:tc>
      </w:tr>
      <w:tr w:rsidR="006C068A" w:rsidRPr="004C2A59" w14:paraId="51FAB2B1" w14:textId="77777777" w:rsidTr="006C180B">
        <w:trPr>
          <w:cantSplit/>
        </w:trPr>
        <w:tc>
          <w:tcPr>
            <w:tcW w:w="3794" w:type="dxa"/>
            <w:tcBorders>
              <w:left w:val="single" w:sz="4" w:space="0" w:color="auto"/>
            </w:tcBorders>
          </w:tcPr>
          <w:p w14:paraId="3B1C0710" w14:textId="77777777" w:rsidR="006C068A" w:rsidRPr="004C2A59" w:rsidRDefault="00243D6B" w:rsidP="006C180B">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Major</w:t>
            </w:r>
            <w:r w:rsidR="006C068A" w:rsidRPr="004C2A59">
              <w:rPr>
                <w:rFonts w:ascii="Times New Roman" w:hAnsi="Times New Roman"/>
                <w:color w:val="000000"/>
                <w:sz w:val="22"/>
                <w:szCs w:val="22"/>
              </w:rPr>
              <w:t xml:space="preserve"> respons n (%)</w:t>
            </w:r>
          </w:p>
        </w:tc>
        <w:tc>
          <w:tcPr>
            <w:tcW w:w="2693" w:type="dxa"/>
          </w:tcPr>
          <w:p w14:paraId="3D47C2A2" w14:textId="77777777" w:rsidR="006C068A" w:rsidRPr="004C2A59" w:rsidRDefault="006C068A" w:rsidP="006C180B">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490 (88,6%)*</w:t>
            </w:r>
          </w:p>
        </w:tc>
        <w:tc>
          <w:tcPr>
            <w:tcW w:w="2718" w:type="dxa"/>
            <w:tcBorders>
              <w:right w:val="single" w:sz="4" w:space="0" w:color="auto"/>
            </w:tcBorders>
          </w:tcPr>
          <w:p w14:paraId="0502A82E" w14:textId="77777777" w:rsidR="006C068A" w:rsidRPr="004C2A59" w:rsidRDefault="006C068A" w:rsidP="006C180B">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129 (23,3%)*</w:t>
            </w:r>
          </w:p>
        </w:tc>
      </w:tr>
      <w:tr w:rsidR="006C068A" w:rsidRPr="004C2A59" w14:paraId="67943206" w14:textId="77777777" w:rsidTr="006C180B">
        <w:trPr>
          <w:cantSplit/>
        </w:trPr>
        <w:tc>
          <w:tcPr>
            <w:tcW w:w="3794" w:type="dxa"/>
            <w:tcBorders>
              <w:left w:val="single" w:sz="4" w:space="0" w:color="auto"/>
            </w:tcBorders>
          </w:tcPr>
          <w:p w14:paraId="19A6232B" w14:textId="77777777" w:rsidR="006C068A" w:rsidRPr="004C2A59" w:rsidRDefault="006C068A" w:rsidP="006C180B">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ab/>
              <w:t>[95% CI]</w:t>
            </w:r>
          </w:p>
        </w:tc>
        <w:tc>
          <w:tcPr>
            <w:tcW w:w="2693" w:type="dxa"/>
          </w:tcPr>
          <w:p w14:paraId="159FED8F" w14:textId="77777777" w:rsidR="006C068A" w:rsidRPr="004C2A59" w:rsidRDefault="006C068A" w:rsidP="006C180B">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[85,7%, 91,1%]</w:t>
            </w:r>
          </w:p>
        </w:tc>
        <w:tc>
          <w:tcPr>
            <w:tcW w:w="2718" w:type="dxa"/>
            <w:tcBorders>
              <w:right w:val="single" w:sz="4" w:space="0" w:color="auto"/>
            </w:tcBorders>
          </w:tcPr>
          <w:p w14:paraId="33693E9F" w14:textId="77777777" w:rsidR="006C068A" w:rsidRPr="004C2A59" w:rsidRDefault="006C068A" w:rsidP="006C180B">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[19,9%, 27,1%]</w:t>
            </w:r>
          </w:p>
        </w:tc>
      </w:tr>
      <w:tr w:rsidR="006C068A" w:rsidRPr="004C2A59" w14:paraId="7623BAAC" w14:textId="77777777" w:rsidTr="006C180B">
        <w:trPr>
          <w:cantSplit/>
        </w:trPr>
        <w:tc>
          <w:tcPr>
            <w:tcW w:w="3794" w:type="dxa"/>
            <w:tcBorders>
              <w:left w:val="single" w:sz="4" w:space="0" w:color="auto"/>
            </w:tcBorders>
          </w:tcPr>
          <w:p w14:paraId="3B500F55" w14:textId="77777777" w:rsidR="006C068A" w:rsidRPr="004C2A59" w:rsidRDefault="006C068A" w:rsidP="006C180B">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ab/>
              <w:t>Komplet CyR n (%)</w:t>
            </w:r>
          </w:p>
        </w:tc>
        <w:tc>
          <w:tcPr>
            <w:tcW w:w="2693" w:type="dxa"/>
          </w:tcPr>
          <w:p w14:paraId="09691316" w14:textId="77777777" w:rsidR="006C068A" w:rsidRPr="004C2A59" w:rsidRDefault="00213445" w:rsidP="006C180B">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456 (82,5%)*</w:t>
            </w:r>
          </w:p>
        </w:tc>
        <w:tc>
          <w:tcPr>
            <w:tcW w:w="2718" w:type="dxa"/>
            <w:tcBorders>
              <w:right w:val="single" w:sz="4" w:space="0" w:color="auto"/>
            </w:tcBorders>
          </w:tcPr>
          <w:p w14:paraId="1F0DF95A" w14:textId="77777777" w:rsidR="006C068A" w:rsidRPr="004C2A59" w:rsidRDefault="006C068A" w:rsidP="006C180B">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64 (11,6%)*</w:t>
            </w:r>
          </w:p>
        </w:tc>
      </w:tr>
      <w:tr w:rsidR="006C068A" w:rsidRPr="004C2A59" w14:paraId="22FAB86A" w14:textId="77777777" w:rsidTr="006C180B">
        <w:trPr>
          <w:cantSplit/>
        </w:trPr>
        <w:tc>
          <w:tcPr>
            <w:tcW w:w="3794" w:type="dxa"/>
            <w:tcBorders>
              <w:left w:val="single" w:sz="4" w:space="0" w:color="auto"/>
            </w:tcBorders>
          </w:tcPr>
          <w:p w14:paraId="53BD558A" w14:textId="77777777" w:rsidR="006C068A" w:rsidRPr="004C2A59" w:rsidRDefault="006C068A" w:rsidP="006C180B">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ab/>
              <w:t>Delvis CyR n (%)</w:t>
            </w:r>
          </w:p>
        </w:tc>
        <w:tc>
          <w:tcPr>
            <w:tcW w:w="2693" w:type="dxa"/>
          </w:tcPr>
          <w:p w14:paraId="21876F1E" w14:textId="77777777" w:rsidR="006C068A" w:rsidRPr="004C2A59" w:rsidRDefault="00213445" w:rsidP="006C180B">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34 (6,1)</w:t>
            </w:r>
          </w:p>
        </w:tc>
        <w:tc>
          <w:tcPr>
            <w:tcW w:w="2718" w:type="dxa"/>
            <w:tcBorders>
              <w:right w:val="single" w:sz="4" w:space="0" w:color="auto"/>
            </w:tcBorders>
          </w:tcPr>
          <w:p w14:paraId="63BE9F86" w14:textId="77777777" w:rsidR="006C068A" w:rsidRPr="004C2A59" w:rsidRDefault="006C068A" w:rsidP="006C180B">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65 (11,8%)</w:t>
            </w:r>
          </w:p>
        </w:tc>
      </w:tr>
      <w:tr w:rsidR="006C068A" w:rsidRPr="004C2A59" w14:paraId="5959253A" w14:textId="77777777" w:rsidTr="006C180B">
        <w:trPr>
          <w:cantSplit/>
        </w:trPr>
        <w:tc>
          <w:tcPr>
            <w:tcW w:w="3794" w:type="dxa"/>
            <w:tcBorders>
              <w:left w:val="single" w:sz="4" w:space="0" w:color="auto"/>
              <w:bottom w:val="nil"/>
            </w:tcBorders>
          </w:tcPr>
          <w:p w14:paraId="07818118" w14:textId="77777777" w:rsidR="006C068A" w:rsidRPr="004C2A59" w:rsidRDefault="006C068A" w:rsidP="006C180B">
            <w:pPr>
              <w:pStyle w:val="Table"/>
              <w:keepLines w:val="0"/>
              <w:widowControl w:val="0"/>
              <w:spacing w:before="0" w:after="0"/>
              <w:rPr>
                <w:rFonts w:ascii="Times New Roman" w:hAnsi="Times New Roman"/>
                <w:color w:val="000000"/>
                <w:sz w:val="22"/>
                <w:szCs w:val="22"/>
              </w:rPr>
            </w:pPr>
          </w:p>
        </w:tc>
        <w:tc>
          <w:tcPr>
            <w:tcW w:w="2693" w:type="dxa"/>
            <w:tcBorders>
              <w:bottom w:val="nil"/>
            </w:tcBorders>
          </w:tcPr>
          <w:p w14:paraId="0E422D3E" w14:textId="77777777" w:rsidR="006C068A" w:rsidRPr="004C2A59" w:rsidRDefault="006C068A" w:rsidP="006C180B">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1BCE6DDB" w14:textId="77777777" w:rsidR="006C068A" w:rsidRPr="004C2A59" w:rsidRDefault="006C068A" w:rsidP="006C180B">
            <w:pPr>
              <w:pStyle w:val="Table"/>
              <w:keepLines w:val="0"/>
              <w:widowControl w:val="0"/>
              <w:spacing w:before="0" w:after="0"/>
              <w:rPr>
                <w:rFonts w:ascii="Times New Roman" w:hAnsi="Times New Roman"/>
                <w:color w:val="000000"/>
                <w:sz w:val="22"/>
                <w:szCs w:val="22"/>
              </w:rPr>
            </w:pPr>
          </w:p>
        </w:tc>
      </w:tr>
      <w:tr w:rsidR="006C068A" w:rsidRPr="004C2A59" w14:paraId="071C3679" w14:textId="77777777" w:rsidTr="006C180B">
        <w:trPr>
          <w:cantSplit/>
        </w:trPr>
        <w:tc>
          <w:tcPr>
            <w:tcW w:w="3794" w:type="dxa"/>
            <w:tcBorders>
              <w:left w:val="single" w:sz="4" w:space="0" w:color="auto"/>
              <w:bottom w:val="nil"/>
            </w:tcBorders>
          </w:tcPr>
          <w:p w14:paraId="4BF60487" w14:textId="77777777" w:rsidR="006C068A" w:rsidRPr="004C2A59" w:rsidRDefault="006C068A" w:rsidP="006C180B">
            <w:pPr>
              <w:pStyle w:val="Table"/>
              <w:keepLines w:val="0"/>
              <w:widowControl w:val="0"/>
              <w:spacing w:before="0" w:after="0"/>
              <w:rPr>
                <w:rFonts w:ascii="Times New Roman" w:hAnsi="Times New Roman"/>
                <w:b/>
                <w:color w:val="000000"/>
                <w:sz w:val="22"/>
                <w:szCs w:val="22"/>
              </w:rPr>
            </w:pPr>
            <w:r w:rsidRPr="004C2A59">
              <w:rPr>
                <w:rFonts w:ascii="Times New Roman" w:hAnsi="Times New Roman"/>
                <w:b/>
                <w:color w:val="000000"/>
                <w:sz w:val="22"/>
                <w:szCs w:val="22"/>
              </w:rPr>
              <w:t>Molekulær respons</w:t>
            </w:r>
            <w:r w:rsidR="00B27D3D" w:rsidRPr="004C2A59">
              <w:rPr>
                <w:rFonts w:ascii="Times New Roman" w:hAnsi="Times New Roman"/>
                <w:color w:val="000000"/>
                <w:sz w:val="22"/>
                <w:szCs w:val="22"/>
                <w:lang w:val="da-DK"/>
              </w:rPr>
              <w:t>**</w:t>
            </w:r>
          </w:p>
        </w:tc>
        <w:tc>
          <w:tcPr>
            <w:tcW w:w="2693" w:type="dxa"/>
            <w:tcBorders>
              <w:bottom w:val="nil"/>
            </w:tcBorders>
          </w:tcPr>
          <w:p w14:paraId="38187C72" w14:textId="77777777" w:rsidR="006C068A" w:rsidRPr="004C2A59" w:rsidRDefault="006C068A" w:rsidP="006C180B">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1E6AED3E" w14:textId="77777777" w:rsidR="006C068A" w:rsidRPr="004C2A59" w:rsidRDefault="006C068A" w:rsidP="006C180B">
            <w:pPr>
              <w:pStyle w:val="Table"/>
              <w:keepLines w:val="0"/>
              <w:widowControl w:val="0"/>
              <w:spacing w:before="0" w:after="0"/>
              <w:rPr>
                <w:rFonts w:ascii="Times New Roman" w:hAnsi="Times New Roman"/>
                <w:color w:val="000000"/>
                <w:sz w:val="22"/>
                <w:szCs w:val="22"/>
              </w:rPr>
            </w:pPr>
          </w:p>
        </w:tc>
      </w:tr>
      <w:tr w:rsidR="006C068A" w:rsidRPr="004C2A59" w14:paraId="7B656CAC" w14:textId="77777777" w:rsidTr="006C180B">
        <w:trPr>
          <w:cantSplit/>
        </w:trPr>
        <w:tc>
          <w:tcPr>
            <w:tcW w:w="3794" w:type="dxa"/>
            <w:tcBorders>
              <w:left w:val="single" w:sz="4" w:space="0" w:color="auto"/>
              <w:bottom w:val="nil"/>
            </w:tcBorders>
          </w:tcPr>
          <w:p w14:paraId="6062765A" w14:textId="77777777" w:rsidR="006C068A" w:rsidRPr="004C2A59" w:rsidRDefault="00243D6B" w:rsidP="006C180B">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 xml:space="preserve">Major </w:t>
            </w:r>
            <w:r w:rsidR="006C068A" w:rsidRPr="004C2A59">
              <w:rPr>
                <w:rFonts w:ascii="Times New Roman" w:hAnsi="Times New Roman"/>
                <w:color w:val="000000"/>
                <w:sz w:val="22"/>
                <w:szCs w:val="22"/>
              </w:rPr>
              <w:t>respons ved 12 måneder (%)</w:t>
            </w:r>
          </w:p>
        </w:tc>
        <w:tc>
          <w:tcPr>
            <w:tcW w:w="2693" w:type="dxa"/>
            <w:tcBorders>
              <w:bottom w:val="nil"/>
            </w:tcBorders>
          </w:tcPr>
          <w:p w14:paraId="3C6355F4" w14:textId="77777777" w:rsidR="006C068A" w:rsidRPr="004C2A59" w:rsidRDefault="00213445" w:rsidP="006C180B">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153/305=50,2%</w:t>
            </w:r>
          </w:p>
        </w:tc>
        <w:tc>
          <w:tcPr>
            <w:tcW w:w="2718" w:type="dxa"/>
            <w:tcBorders>
              <w:bottom w:val="nil"/>
              <w:right w:val="single" w:sz="4" w:space="0" w:color="auto"/>
            </w:tcBorders>
          </w:tcPr>
          <w:p w14:paraId="49E543C3" w14:textId="77777777" w:rsidR="006C068A" w:rsidRPr="004C2A59" w:rsidRDefault="00213445" w:rsidP="006C180B">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8/83=9,6%</w:t>
            </w:r>
          </w:p>
        </w:tc>
      </w:tr>
      <w:tr w:rsidR="006C068A" w:rsidRPr="004C2A59" w14:paraId="6E15F229" w14:textId="77777777" w:rsidTr="006C180B">
        <w:trPr>
          <w:cantSplit/>
        </w:trPr>
        <w:tc>
          <w:tcPr>
            <w:tcW w:w="3794" w:type="dxa"/>
            <w:tcBorders>
              <w:left w:val="single" w:sz="4" w:space="0" w:color="auto"/>
              <w:bottom w:val="nil"/>
            </w:tcBorders>
          </w:tcPr>
          <w:p w14:paraId="7D0704B5" w14:textId="77777777" w:rsidR="006C068A" w:rsidRPr="004C2A59" w:rsidRDefault="00243D6B" w:rsidP="006C180B">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 xml:space="preserve">Major </w:t>
            </w:r>
            <w:r w:rsidR="006C068A" w:rsidRPr="004C2A59">
              <w:rPr>
                <w:rFonts w:ascii="Times New Roman" w:hAnsi="Times New Roman"/>
                <w:color w:val="000000"/>
                <w:sz w:val="22"/>
                <w:szCs w:val="22"/>
              </w:rPr>
              <w:t>respons ved 24 måneder (%)</w:t>
            </w:r>
          </w:p>
        </w:tc>
        <w:tc>
          <w:tcPr>
            <w:tcW w:w="2693" w:type="dxa"/>
            <w:tcBorders>
              <w:bottom w:val="nil"/>
            </w:tcBorders>
          </w:tcPr>
          <w:p w14:paraId="114C8845" w14:textId="77777777" w:rsidR="006C068A" w:rsidRPr="004C2A59" w:rsidRDefault="00213445" w:rsidP="006C180B">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73/104=70,2%</w:t>
            </w:r>
          </w:p>
        </w:tc>
        <w:tc>
          <w:tcPr>
            <w:tcW w:w="2718" w:type="dxa"/>
            <w:tcBorders>
              <w:bottom w:val="nil"/>
              <w:right w:val="single" w:sz="4" w:space="0" w:color="auto"/>
            </w:tcBorders>
          </w:tcPr>
          <w:p w14:paraId="401483ED" w14:textId="77777777" w:rsidR="006C068A" w:rsidRPr="004C2A59" w:rsidRDefault="00213445" w:rsidP="006C180B">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3/12=25%</w:t>
            </w:r>
          </w:p>
        </w:tc>
      </w:tr>
      <w:tr w:rsidR="00213445" w:rsidRPr="004C2A59" w14:paraId="64D51FDF" w14:textId="77777777" w:rsidTr="006C180B">
        <w:trPr>
          <w:cantSplit/>
        </w:trPr>
        <w:tc>
          <w:tcPr>
            <w:tcW w:w="3794" w:type="dxa"/>
            <w:tcBorders>
              <w:left w:val="single" w:sz="4" w:space="0" w:color="auto"/>
              <w:bottom w:val="nil"/>
            </w:tcBorders>
          </w:tcPr>
          <w:p w14:paraId="5AF811A5" w14:textId="77777777" w:rsidR="00213445" w:rsidRPr="004C2A59" w:rsidRDefault="00213445" w:rsidP="006C180B">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Major respons ved 84</w:t>
            </w:r>
            <w:r w:rsidR="00BB5BB3" w:rsidRPr="004C2A59">
              <w:rPr>
                <w:rFonts w:ascii="Times New Roman" w:hAnsi="Times New Roman"/>
                <w:color w:val="000000"/>
                <w:sz w:val="22"/>
                <w:szCs w:val="22"/>
              </w:rPr>
              <w:t> </w:t>
            </w:r>
            <w:r w:rsidRPr="004C2A59">
              <w:rPr>
                <w:rFonts w:ascii="Times New Roman" w:hAnsi="Times New Roman"/>
                <w:color w:val="000000"/>
                <w:sz w:val="22"/>
                <w:szCs w:val="22"/>
              </w:rPr>
              <w:t>måneder (%)</w:t>
            </w:r>
          </w:p>
        </w:tc>
        <w:tc>
          <w:tcPr>
            <w:tcW w:w="2693" w:type="dxa"/>
            <w:tcBorders>
              <w:bottom w:val="nil"/>
            </w:tcBorders>
          </w:tcPr>
          <w:p w14:paraId="79C9BF6E" w14:textId="77777777" w:rsidR="00213445" w:rsidRPr="004C2A59" w:rsidRDefault="00213445" w:rsidP="006C180B">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102/116=87,9%</w:t>
            </w:r>
          </w:p>
        </w:tc>
        <w:tc>
          <w:tcPr>
            <w:tcW w:w="2718" w:type="dxa"/>
            <w:tcBorders>
              <w:bottom w:val="nil"/>
              <w:right w:val="single" w:sz="4" w:space="0" w:color="auto"/>
            </w:tcBorders>
          </w:tcPr>
          <w:p w14:paraId="4BC1CCA8" w14:textId="77777777" w:rsidR="00213445" w:rsidRPr="004C2A59" w:rsidRDefault="00213445" w:rsidP="006C180B">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3/4=75%</w:t>
            </w:r>
          </w:p>
        </w:tc>
      </w:tr>
      <w:tr w:rsidR="006C068A" w:rsidRPr="00F852D1" w14:paraId="7451AAAB" w14:textId="77777777" w:rsidTr="006C180B">
        <w:trPr>
          <w:cantSplit/>
        </w:trPr>
        <w:tc>
          <w:tcPr>
            <w:tcW w:w="9205" w:type="dxa"/>
            <w:gridSpan w:val="3"/>
            <w:tcBorders>
              <w:top w:val="single" w:sz="4" w:space="0" w:color="auto"/>
              <w:left w:val="single" w:sz="4" w:space="0" w:color="auto"/>
              <w:bottom w:val="single" w:sz="4" w:space="0" w:color="auto"/>
              <w:right w:val="single" w:sz="4" w:space="0" w:color="auto"/>
            </w:tcBorders>
          </w:tcPr>
          <w:p w14:paraId="5F349BDB" w14:textId="77777777" w:rsidR="006C068A" w:rsidRPr="004C2A59" w:rsidRDefault="006C068A" w:rsidP="00421681">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 p&lt;0,001, Fischers exact test</w:t>
            </w:r>
          </w:p>
          <w:p w14:paraId="004C0557" w14:textId="77777777" w:rsidR="006C068A" w:rsidRPr="004C2A59" w:rsidRDefault="006C068A" w:rsidP="00421681">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 xml:space="preserve">** </w:t>
            </w:r>
            <w:r w:rsidR="00085DA0" w:rsidRPr="004C2A59">
              <w:rPr>
                <w:rFonts w:ascii="Times New Roman" w:hAnsi="Times New Roman"/>
                <w:color w:val="000000"/>
                <w:sz w:val="22"/>
                <w:szCs w:val="22"/>
                <w:lang w:val="da-DK"/>
              </w:rPr>
              <w:t>P</w:t>
            </w:r>
            <w:r w:rsidR="00D23D9F" w:rsidRPr="004C2A59">
              <w:rPr>
                <w:rFonts w:ascii="Times New Roman" w:hAnsi="Times New Roman"/>
                <w:color w:val="000000"/>
                <w:sz w:val="22"/>
                <w:szCs w:val="22"/>
                <w:lang w:val="da-DK"/>
              </w:rPr>
              <w:t>rocentvise molekylære respons er baseret på tilgængelige prøver.</w:t>
            </w:r>
          </w:p>
          <w:p w14:paraId="7F7599D7" w14:textId="77777777" w:rsidR="006C068A" w:rsidRPr="004C2A59" w:rsidRDefault="006C068A" w:rsidP="00421681">
            <w:pPr>
              <w:pStyle w:val="Table"/>
              <w:keepNext w:val="0"/>
              <w:keepLines w:val="0"/>
              <w:widowControl w:val="0"/>
              <w:spacing w:before="0" w:after="0"/>
              <w:rPr>
                <w:rFonts w:ascii="Times New Roman" w:hAnsi="Times New Roman"/>
                <w:b/>
                <w:color w:val="000000"/>
                <w:sz w:val="22"/>
                <w:szCs w:val="22"/>
                <w:lang w:val="da-DK"/>
              </w:rPr>
            </w:pPr>
            <w:r w:rsidRPr="004C2A59">
              <w:rPr>
                <w:rFonts w:ascii="Times New Roman" w:hAnsi="Times New Roman"/>
                <w:b/>
                <w:color w:val="000000"/>
                <w:sz w:val="22"/>
                <w:szCs w:val="22"/>
                <w:lang w:val="da-DK"/>
              </w:rPr>
              <w:t xml:space="preserve">Hæmatologiske responskriterier (alle respons skal bekræftes efter </w:t>
            </w:r>
            <w:r w:rsidRPr="004C2A59">
              <w:rPr>
                <w:rFonts w:ascii="Times New Roman" w:hAnsi="Times New Roman"/>
                <w:b/>
                <w:color w:val="000000"/>
                <w:sz w:val="22"/>
                <w:szCs w:val="22"/>
              </w:rPr>
              <w:sym w:font="Symbol" w:char="F0B3"/>
            </w:r>
            <w:r w:rsidRPr="004C2A59">
              <w:rPr>
                <w:rFonts w:ascii="Times New Roman" w:hAnsi="Times New Roman"/>
                <w:b/>
                <w:color w:val="000000"/>
                <w:sz w:val="22"/>
                <w:szCs w:val="22"/>
                <w:lang w:val="da-DK"/>
              </w:rPr>
              <w:t>4 uger):</w:t>
            </w:r>
          </w:p>
          <w:p w14:paraId="5D9BD8FF" w14:textId="77777777" w:rsidR="006C068A" w:rsidRPr="004C2A59" w:rsidRDefault="006C068A" w:rsidP="00421681">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Leukocytter&lt;10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trombocytter &lt;450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myelocytter+metamyelocytter &lt;5% i blod, ingen blaster og promyelocytter i blod, basofile &lt;20%, ingen ekstramedullær påvirkning</w:t>
            </w:r>
          </w:p>
          <w:p w14:paraId="3EE09BA8" w14:textId="77777777" w:rsidR="006C068A" w:rsidRPr="004C2A59" w:rsidRDefault="006C068A" w:rsidP="00421681">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b/>
                <w:color w:val="000000"/>
                <w:sz w:val="22"/>
                <w:szCs w:val="22"/>
                <w:lang w:val="da-DK"/>
              </w:rPr>
              <w:t xml:space="preserve">Cytogenetiske responskriterier: </w:t>
            </w:r>
            <w:r w:rsidRPr="004C2A59">
              <w:rPr>
                <w:rFonts w:ascii="Times New Roman" w:hAnsi="Times New Roman"/>
                <w:color w:val="000000"/>
                <w:sz w:val="22"/>
                <w:szCs w:val="22"/>
                <w:lang w:val="da-DK"/>
              </w:rPr>
              <w:t>fuldstændig (0% Ph+ metafaser), delvis (1–35%), mindre (36–65%) eller minimal (66–95%). Et større respons (0–35%) omfatter både fuldstændig og delvis respons.</w:t>
            </w:r>
          </w:p>
          <w:p w14:paraId="49C060E2" w14:textId="77777777" w:rsidR="006C068A" w:rsidRPr="004C2A59" w:rsidRDefault="006C068A" w:rsidP="00421681">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b/>
                <w:color w:val="000000"/>
                <w:sz w:val="22"/>
                <w:szCs w:val="22"/>
                <w:lang w:val="da-DK"/>
              </w:rPr>
              <w:t xml:space="preserve">Molekulær </w:t>
            </w:r>
            <w:r w:rsidR="00243D6B" w:rsidRPr="004C2A59">
              <w:rPr>
                <w:rFonts w:ascii="Times New Roman" w:hAnsi="Times New Roman"/>
                <w:b/>
                <w:color w:val="000000"/>
                <w:sz w:val="22"/>
                <w:szCs w:val="22"/>
                <w:lang w:val="da-DK"/>
              </w:rPr>
              <w:t xml:space="preserve">major </w:t>
            </w:r>
            <w:r w:rsidRPr="004C2A59">
              <w:rPr>
                <w:rFonts w:ascii="Times New Roman" w:hAnsi="Times New Roman"/>
                <w:b/>
                <w:color w:val="000000"/>
                <w:sz w:val="22"/>
                <w:szCs w:val="22"/>
                <w:lang w:val="da-DK"/>
              </w:rPr>
              <w:t>responskriterier:</w:t>
            </w:r>
            <w:r w:rsidRPr="004C2A59">
              <w:rPr>
                <w:rFonts w:ascii="Times New Roman" w:hAnsi="Times New Roman"/>
                <w:color w:val="000000"/>
                <w:sz w:val="22"/>
                <w:szCs w:val="22"/>
                <w:lang w:val="da-DK"/>
              </w:rPr>
              <w:t xml:space="preserve"> I den perifere blodreduktion på ≥3 logaritmer i antallet af Bcr-</w:t>
            </w:r>
            <w:smartTag w:uri="urn:schemas-microsoft-com:office:smarttags" w:element="metricconverter">
              <w:r w:rsidRPr="004C2A59">
                <w:rPr>
                  <w:rFonts w:ascii="Times New Roman" w:hAnsi="Times New Roman"/>
                  <w:color w:val="000000"/>
                  <w:sz w:val="22"/>
                  <w:szCs w:val="22"/>
                  <w:lang w:val="da-DK"/>
                </w:rPr>
                <w:t>ABL</w:t>
              </w:r>
            </w:smartTag>
            <w:r w:rsidR="005F7668" w:rsidRPr="004C2A59">
              <w:rPr>
                <w:rFonts w:ascii="Times New Roman" w:hAnsi="Times New Roman"/>
                <w:color w:val="000000"/>
                <w:sz w:val="22"/>
                <w:szCs w:val="22"/>
                <w:lang w:val="da-DK"/>
              </w:rPr>
              <w:t>-</w:t>
            </w:r>
            <w:r w:rsidRPr="004C2A59">
              <w:rPr>
                <w:rFonts w:ascii="Times New Roman" w:hAnsi="Times New Roman"/>
                <w:color w:val="000000"/>
                <w:sz w:val="22"/>
                <w:szCs w:val="22"/>
                <w:lang w:val="da-DK"/>
              </w:rPr>
              <w:t xml:space="preserve">transkriptioner (målt ved real-time kvantitativ reverse transkriptase </w:t>
            </w:r>
            <w:smartTag w:uri="urn:schemas-microsoft-com:office:smarttags" w:element="metricconverter">
              <w:r w:rsidRPr="004C2A59">
                <w:rPr>
                  <w:rFonts w:ascii="Times New Roman" w:hAnsi="Times New Roman"/>
                  <w:color w:val="000000"/>
                  <w:sz w:val="22"/>
                  <w:szCs w:val="22"/>
                  <w:lang w:val="da-DK"/>
                </w:rPr>
                <w:t>PCR</w:t>
              </w:r>
            </w:smartTag>
            <w:r w:rsidRPr="004C2A59">
              <w:rPr>
                <w:rFonts w:ascii="Times New Roman" w:hAnsi="Times New Roman"/>
                <w:color w:val="000000"/>
                <w:sz w:val="22"/>
                <w:szCs w:val="22"/>
                <w:lang w:val="da-DK"/>
              </w:rPr>
              <w:t xml:space="preserve"> assay) over</w:t>
            </w:r>
            <w:r w:rsidR="005F7668" w:rsidRPr="004C2A59">
              <w:rPr>
                <w:rFonts w:ascii="Times New Roman" w:hAnsi="Times New Roman"/>
                <w:color w:val="000000"/>
                <w:sz w:val="22"/>
                <w:szCs w:val="22"/>
                <w:lang w:val="da-DK"/>
              </w:rPr>
              <w:t xml:space="preserve"> </w:t>
            </w:r>
            <w:r w:rsidRPr="004C2A59">
              <w:rPr>
                <w:rFonts w:ascii="Times New Roman" w:hAnsi="Times New Roman"/>
                <w:color w:val="000000"/>
                <w:sz w:val="22"/>
                <w:szCs w:val="22"/>
                <w:lang w:val="da-DK"/>
              </w:rPr>
              <w:t xml:space="preserve">for en standardiserede </w:t>
            </w:r>
            <w:r w:rsidRPr="00ED22AB">
              <w:rPr>
                <w:rFonts w:ascii="Times New Roman" w:hAnsi="Times New Roman"/>
                <w:i/>
                <w:color w:val="000000"/>
                <w:sz w:val="22"/>
                <w:szCs w:val="22"/>
                <w:lang w:val="da-DK"/>
              </w:rPr>
              <w:t>baseline</w:t>
            </w:r>
            <w:r w:rsidRPr="004C2A59">
              <w:rPr>
                <w:rFonts w:ascii="Times New Roman" w:hAnsi="Times New Roman"/>
                <w:color w:val="000000"/>
                <w:sz w:val="22"/>
                <w:szCs w:val="22"/>
                <w:lang w:val="da-DK"/>
              </w:rPr>
              <w:t>.</w:t>
            </w:r>
          </w:p>
        </w:tc>
      </w:tr>
    </w:tbl>
    <w:p w14:paraId="7C0D69E3" w14:textId="77777777" w:rsidR="006C068A" w:rsidRPr="004C2A59" w:rsidRDefault="006C068A" w:rsidP="00421681">
      <w:pPr>
        <w:widowControl w:val="0"/>
        <w:rPr>
          <w:i/>
          <w:color w:val="000000"/>
          <w:sz w:val="22"/>
          <w:szCs w:val="22"/>
          <w:lang w:val="da-DK"/>
        </w:rPr>
      </w:pPr>
    </w:p>
    <w:p w14:paraId="29A42EC4" w14:textId="77777777" w:rsidR="00BA2B60" w:rsidRPr="004C2A59" w:rsidRDefault="00717254" w:rsidP="00421681">
      <w:pPr>
        <w:pStyle w:val="EndnoteText"/>
        <w:rPr>
          <w:color w:val="000000"/>
          <w:szCs w:val="22"/>
        </w:rPr>
      </w:pPr>
      <w:r w:rsidRPr="004C2A59">
        <w:rPr>
          <w:color w:val="000000"/>
          <w:szCs w:val="22"/>
        </w:rPr>
        <w:t>Frekvensen for fuldstændig hæmatologisk respons, cytogenetisk respons og fuldstændig cytogenetisk respons for førstevalgsbehandling blev estimeret ved brug af Kaplan-Meier</w:t>
      </w:r>
      <w:r w:rsidR="005F7668" w:rsidRPr="004C2A59">
        <w:rPr>
          <w:color w:val="000000"/>
          <w:szCs w:val="22"/>
        </w:rPr>
        <w:t>-</w:t>
      </w:r>
      <w:r w:rsidRPr="004C2A59">
        <w:rPr>
          <w:color w:val="000000"/>
          <w:szCs w:val="22"/>
        </w:rPr>
        <w:t>metoden</w:t>
      </w:r>
      <w:r w:rsidR="004B0224" w:rsidRPr="004C2A59">
        <w:rPr>
          <w:color w:val="000000"/>
          <w:szCs w:val="22"/>
        </w:rPr>
        <w:t>,</w:t>
      </w:r>
      <w:r w:rsidRPr="004C2A59">
        <w:rPr>
          <w:color w:val="000000"/>
          <w:szCs w:val="22"/>
        </w:rPr>
        <w:t xml:space="preserve"> hvor patienter</w:t>
      </w:r>
      <w:r w:rsidR="004B0224" w:rsidRPr="004C2A59">
        <w:rPr>
          <w:color w:val="000000"/>
          <w:szCs w:val="22"/>
        </w:rPr>
        <w:t>,</w:t>
      </w:r>
      <w:r w:rsidRPr="004C2A59">
        <w:rPr>
          <w:color w:val="000000"/>
          <w:szCs w:val="22"/>
        </w:rPr>
        <w:t xml:space="preserve"> der ikke responderede</w:t>
      </w:r>
      <w:r w:rsidR="004B0224" w:rsidRPr="004C2A59">
        <w:rPr>
          <w:color w:val="000000"/>
          <w:szCs w:val="22"/>
        </w:rPr>
        <w:t>,</w:t>
      </w:r>
      <w:r w:rsidRPr="004C2A59">
        <w:rPr>
          <w:color w:val="000000"/>
          <w:szCs w:val="22"/>
        </w:rPr>
        <w:t xml:space="preserve"> blev sorteret fra ved datoen for sidste undersøgelse. Ved brug</w:t>
      </w:r>
      <w:r w:rsidR="00F46E85" w:rsidRPr="004C2A59">
        <w:rPr>
          <w:color w:val="000000"/>
          <w:szCs w:val="22"/>
        </w:rPr>
        <w:t xml:space="preserve"> af</w:t>
      </w:r>
      <w:r w:rsidRPr="004C2A59">
        <w:rPr>
          <w:color w:val="000000"/>
          <w:szCs w:val="22"/>
        </w:rPr>
        <w:t xml:space="preserve"> denne metode </w:t>
      </w:r>
      <w:r w:rsidR="00F46E85" w:rsidRPr="004C2A59">
        <w:rPr>
          <w:color w:val="000000"/>
          <w:szCs w:val="22"/>
        </w:rPr>
        <w:t xml:space="preserve">øgedes den </w:t>
      </w:r>
      <w:r w:rsidRPr="004C2A59">
        <w:rPr>
          <w:color w:val="000000"/>
          <w:szCs w:val="22"/>
        </w:rPr>
        <w:t xml:space="preserve">estimerede kumulative responsfrekvens for førstevalgsbehandling med Glivec </w:t>
      </w:r>
      <w:r w:rsidR="00F46E85" w:rsidRPr="004C2A59">
        <w:rPr>
          <w:color w:val="000000"/>
          <w:szCs w:val="22"/>
        </w:rPr>
        <w:t xml:space="preserve">fra 12 måneders behandling til </w:t>
      </w:r>
      <w:r w:rsidR="007330F4" w:rsidRPr="004C2A59">
        <w:rPr>
          <w:color w:val="000000"/>
          <w:szCs w:val="22"/>
        </w:rPr>
        <w:t>84 </w:t>
      </w:r>
      <w:r w:rsidR="00F46E85" w:rsidRPr="004C2A59">
        <w:rPr>
          <w:color w:val="000000"/>
          <w:szCs w:val="22"/>
        </w:rPr>
        <w:t xml:space="preserve">måneders behandling som følgende: </w:t>
      </w:r>
      <w:smartTag w:uri="urn:schemas-microsoft-com:office:smarttags" w:element="metricconverter">
        <w:r w:rsidR="00F46E85" w:rsidRPr="004C2A59">
          <w:rPr>
            <w:color w:val="000000"/>
            <w:szCs w:val="22"/>
          </w:rPr>
          <w:t>CHR</w:t>
        </w:r>
      </w:smartTag>
      <w:r w:rsidR="00F46E85" w:rsidRPr="004C2A59">
        <w:rPr>
          <w:color w:val="000000"/>
          <w:szCs w:val="22"/>
        </w:rPr>
        <w:t xml:space="preserve"> fra 96,4% til 98,4% og CC</w:t>
      </w:r>
      <w:r w:rsidR="00EA35AD" w:rsidRPr="004C2A59">
        <w:rPr>
          <w:color w:val="000000"/>
          <w:szCs w:val="22"/>
        </w:rPr>
        <w:t>y</w:t>
      </w:r>
      <w:r w:rsidR="00F46E85" w:rsidRPr="004C2A59">
        <w:rPr>
          <w:color w:val="000000"/>
          <w:szCs w:val="22"/>
        </w:rPr>
        <w:t>R fra 69,5% til </w:t>
      </w:r>
      <w:r w:rsidR="007330F4" w:rsidRPr="004C2A59">
        <w:rPr>
          <w:color w:val="000000"/>
          <w:szCs w:val="22"/>
        </w:rPr>
        <w:t>87,2</w:t>
      </w:r>
      <w:r w:rsidR="00F46E85" w:rsidRPr="004C2A59">
        <w:rPr>
          <w:color w:val="000000"/>
          <w:szCs w:val="22"/>
        </w:rPr>
        <w:t>%)</w:t>
      </w:r>
      <w:r w:rsidR="00BA2B60" w:rsidRPr="004C2A59">
        <w:rPr>
          <w:color w:val="000000"/>
          <w:szCs w:val="22"/>
        </w:rPr>
        <w:t>.</w:t>
      </w:r>
    </w:p>
    <w:p w14:paraId="1AA2CE14" w14:textId="77777777" w:rsidR="00794121" w:rsidRPr="004C2A59" w:rsidRDefault="00794121" w:rsidP="00421681">
      <w:pPr>
        <w:pStyle w:val="EndnoteText"/>
        <w:rPr>
          <w:color w:val="000000"/>
          <w:szCs w:val="22"/>
        </w:rPr>
      </w:pPr>
    </w:p>
    <w:p w14:paraId="72C88392" w14:textId="77777777" w:rsidR="00717254" w:rsidRPr="004C2A59" w:rsidRDefault="00717254" w:rsidP="00421681">
      <w:pPr>
        <w:pStyle w:val="EndnoteText"/>
        <w:rPr>
          <w:color w:val="000000"/>
          <w:szCs w:val="22"/>
        </w:rPr>
      </w:pPr>
      <w:r w:rsidRPr="004C2A59">
        <w:rPr>
          <w:color w:val="000000"/>
          <w:szCs w:val="22"/>
        </w:rPr>
        <w:t xml:space="preserve">Ved </w:t>
      </w:r>
      <w:r w:rsidR="007330F4" w:rsidRPr="004C2A59">
        <w:rPr>
          <w:color w:val="000000"/>
          <w:szCs w:val="22"/>
        </w:rPr>
        <w:t>7</w:t>
      </w:r>
      <w:r w:rsidRPr="004C2A59">
        <w:rPr>
          <w:color w:val="000000"/>
          <w:szCs w:val="22"/>
        </w:rPr>
        <w:noBreakHyphen/>
        <w:t xml:space="preserve">års opfølgning var der </w:t>
      </w:r>
      <w:r w:rsidR="007330F4" w:rsidRPr="004C2A59">
        <w:rPr>
          <w:color w:val="000000"/>
          <w:szCs w:val="22"/>
        </w:rPr>
        <w:t>93</w:t>
      </w:r>
      <w:r w:rsidRPr="004C2A59">
        <w:rPr>
          <w:color w:val="000000"/>
          <w:szCs w:val="22"/>
        </w:rPr>
        <w:t xml:space="preserve"> (</w:t>
      </w:r>
      <w:r w:rsidR="007330F4" w:rsidRPr="004C2A59">
        <w:rPr>
          <w:color w:val="000000"/>
          <w:szCs w:val="22"/>
        </w:rPr>
        <w:t>16,8</w:t>
      </w:r>
      <w:r w:rsidRPr="004C2A59">
        <w:rPr>
          <w:color w:val="000000"/>
          <w:szCs w:val="22"/>
        </w:rPr>
        <w:t>%) progressionshændelser i Glivec</w:t>
      </w:r>
      <w:r w:rsidR="005F7668" w:rsidRPr="004C2A59">
        <w:rPr>
          <w:color w:val="000000"/>
          <w:szCs w:val="22"/>
        </w:rPr>
        <w:t>-</w:t>
      </w:r>
      <w:r w:rsidRPr="004C2A59">
        <w:rPr>
          <w:color w:val="000000"/>
          <w:szCs w:val="22"/>
        </w:rPr>
        <w:t xml:space="preserve">armen: </w:t>
      </w:r>
      <w:r w:rsidR="007330F4" w:rsidRPr="004C2A59">
        <w:rPr>
          <w:color w:val="000000"/>
          <w:szCs w:val="22"/>
        </w:rPr>
        <w:t>37</w:t>
      </w:r>
      <w:r w:rsidRPr="004C2A59">
        <w:rPr>
          <w:color w:val="000000"/>
          <w:szCs w:val="22"/>
        </w:rPr>
        <w:t xml:space="preserve"> (</w:t>
      </w:r>
      <w:r w:rsidR="007330F4" w:rsidRPr="004C2A59">
        <w:rPr>
          <w:color w:val="000000"/>
          <w:szCs w:val="22"/>
        </w:rPr>
        <w:t>6,7</w:t>
      </w:r>
      <w:r w:rsidRPr="004C2A59">
        <w:rPr>
          <w:color w:val="000000"/>
          <w:szCs w:val="22"/>
        </w:rPr>
        <w:t xml:space="preserve">%) omhandlede progression til accelereret fase/blastkrise, </w:t>
      </w:r>
      <w:r w:rsidR="007330F4" w:rsidRPr="004C2A59">
        <w:rPr>
          <w:color w:val="000000"/>
          <w:szCs w:val="22"/>
        </w:rPr>
        <w:t>31</w:t>
      </w:r>
      <w:r w:rsidRPr="004C2A59">
        <w:rPr>
          <w:color w:val="000000"/>
          <w:szCs w:val="22"/>
        </w:rPr>
        <w:t xml:space="preserve"> (</w:t>
      </w:r>
      <w:r w:rsidR="007330F4" w:rsidRPr="004C2A59">
        <w:rPr>
          <w:color w:val="000000"/>
          <w:szCs w:val="22"/>
        </w:rPr>
        <w:t>5,6</w:t>
      </w:r>
      <w:r w:rsidRPr="004C2A59">
        <w:rPr>
          <w:color w:val="000000"/>
          <w:szCs w:val="22"/>
        </w:rPr>
        <w:t xml:space="preserve">%) tab af MCyR, </w:t>
      </w:r>
      <w:r w:rsidR="007330F4" w:rsidRPr="004C2A59">
        <w:rPr>
          <w:color w:val="000000"/>
          <w:szCs w:val="22"/>
        </w:rPr>
        <w:t xml:space="preserve">15 </w:t>
      </w:r>
      <w:r w:rsidRPr="004C2A59">
        <w:rPr>
          <w:color w:val="000000"/>
          <w:szCs w:val="22"/>
        </w:rPr>
        <w:t>(</w:t>
      </w:r>
      <w:r w:rsidR="007330F4" w:rsidRPr="004C2A59">
        <w:rPr>
          <w:color w:val="000000"/>
          <w:szCs w:val="22"/>
        </w:rPr>
        <w:t>2,7</w:t>
      </w:r>
      <w:r w:rsidRPr="004C2A59">
        <w:rPr>
          <w:color w:val="000000"/>
          <w:szCs w:val="22"/>
        </w:rPr>
        <w:t xml:space="preserve">%) tab af </w:t>
      </w:r>
      <w:smartTag w:uri="urn:schemas-microsoft-com:office:smarttags" w:element="metricconverter">
        <w:r w:rsidRPr="004C2A59">
          <w:rPr>
            <w:color w:val="000000"/>
            <w:szCs w:val="22"/>
          </w:rPr>
          <w:t>CHR</w:t>
        </w:r>
      </w:smartTag>
      <w:r w:rsidRPr="004C2A59">
        <w:rPr>
          <w:color w:val="000000"/>
          <w:szCs w:val="22"/>
        </w:rPr>
        <w:t xml:space="preserve"> eller stigning i WBC, og </w:t>
      </w:r>
      <w:r w:rsidR="0051064B" w:rsidRPr="004C2A59">
        <w:rPr>
          <w:color w:val="000000"/>
          <w:szCs w:val="22"/>
        </w:rPr>
        <w:t>10</w:t>
      </w:r>
      <w:r w:rsidRPr="004C2A59">
        <w:rPr>
          <w:color w:val="000000"/>
          <w:szCs w:val="22"/>
        </w:rPr>
        <w:t xml:space="preserve"> (</w:t>
      </w:r>
      <w:r w:rsidR="0051064B" w:rsidRPr="004C2A59">
        <w:rPr>
          <w:color w:val="000000"/>
          <w:szCs w:val="22"/>
        </w:rPr>
        <w:t>1,8</w:t>
      </w:r>
      <w:r w:rsidRPr="004C2A59">
        <w:rPr>
          <w:color w:val="000000"/>
          <w:szCs w:val="22"/>
        </w:rPr>
        <w:t>%) dødsfald ikke relateret til CML. Til sammenligning v</w:t>
      </w:r>
      <w:r w:rsidR="00E972CE" w:rsidRPr="004C2A59">
        <w:rPr>
          <w:color w:val="000000"/>
          <w:szCs w:val="22"/>
        </w:rPr>
        <w:t>a</w:t>
      </w:r>
      <w:r w:rsidRPr="004C2A59">
        <w:rPr>
          <w:color w:val="000000"/>
          <w:szCs w:val="22"/>
        </w:rPr>
        <w:t xml:space="preserve">r der </w:t>
      </w:r>
      <w:r w:rsidR="0051064B" w:rsidRPr="004C2A59">
        <w:rPr>
          <w:color w:val="000000"/>
          <w:szCs w:val="22"/>
        </w:rPr>
        <w:t>165</w:t>
      </w:r>
      <w:r w:rsidRPr="004C2A59">
        <w:rPr>
          <w:color w:val="000000"/>
          <w:szCs w:val="22"/>
        </w:rPr>
        <w:t xml:space="preserve"> (</w:t>
      </w:r>
      <w:r w:rsidR="0051064B" w:rsidRPr="004C2A59">
        <w:rPr>
          <w:color w:val="000000"/>
          <w:szCs w:val="22"/>
        </w:rPr>
        <w:t>29,8</w:t>
      </w:r>
      <w:r w:rsidRPr="004C2A59">
        <w:rPr>
          <w:color w:val="000000"/>
          <w:szCs w:val="22"/>
        </w:rPr>
        <w:t>%) hændelser i IFN+Ara</w:t>
      </w:r>
      <w:r w:rsidRPr="004C2A59">
        <w:rPr>
          <w:color w:val="000000"/>
          <w:szCs w:val="22"/>
        </w:rPr>
        <w:noBreakHyphen/>
        <w:t>C</w:t>
      </w:r>
      <w:r w:rsidR="005F7668" w:rsidRPr="004C2A59">
        <w:rPr>
          <w:color w:val="000000"/>
          <w:szCs w:val="22"/>
        </w:rPr>
        <w:t>-</w:t>
      </w:r>
      <w:r w:rsidRPr="004C2A59">
        <w:rPr>
          <w:color w:val="000000"/>
          <w:szCs w:val="22"/>
        </w:rPr>
        <w:t>armen</w:t>
      </w:r>
      <w:r w:rsidR="00E972CE" w:rsidRPr="004C2A59">
        <w:rPr>
          <w:color w:val="000000"/>
          <w:szCs w:val="22"/>
        </w:rPr>
        <w:t>,</w:t>
      </w:r>
      <w:r w:rsidRPr="004C2A59">
        <w:rPr>
          <w:color w:val="000000"/>
          <w:szCs w:val="22"/>
        </w:rPr>
        <w:t xml:space="preserve"> af hvilke </w:t>
      </w:r>
      <w:r w:rsidR="0051064B" w:rsidRPr="004C2A59">
        <w:rPr>
          <w:color w:val="000000"/>
          <w:szCs w:val="22"/>
        </w:rPr>
        <w:t>130</w:t>
      </w:r>
      <w:r w:rsidRPr="004C2A59">
        <w:rPr>
          <w:color w:val="000000"/>
          <w:szCs w:val="22"/>
        </w:rPr>
        <w:t xml:space="preserve"> opstod under førstevalgsbehandling med IFN+Ara-C.</w:t>
      </w:r>
    </w:p>
    <w:p w14:paraId="116C5B9F" w14:textId="77777777" w:rsidR="00717254" w:rsidRPr="004C2A59" w:rsidRDefault="00717254" w:rsidP="00421681">
      <w:pPr>
        <w:pStyle w:val="EndnoteText"/>
        <w:rPr>
          <w:color w:val="000000"/>
          <w:szCs w:val="22"/>
        </w:rPr>
      </w:pPr>
    </w:p>
    <w:p w14:paraId="0503A5AD" w14:textId="77777777" w:rsidR="0036624D" w:rsidRPr="004C2A59" w:rsidRDefault="00D32BB9" w:rsidP="00421681">
      <w:pPr>
        <w:pStyle w:val="EndnoteText"/>
        <w:rPr>
          <w:color w:val="000000"/>
          <w:szCs w:val="22"/>
        </w:rPr>
      </w:pPr>
      <w:r w:rsidRPr="004C2A59">
        <w:rPr>
          <w:color w:val="000000"/>
          <w:szCs w:val="22"/>
        </w:rPr>
        <w:t xml:space="preserve">Den estimerede frekvens af patienter fri for progressions til fremskreden fase eller blastkrise efter </w:t>
      </w:r>
      <w:r w:rsidR="00665765" w:rsidRPr="004C2A59">
        <w:rPr>
          <w:color w:val="000000"/>
          <w:szCs w:val="22"/>
        </w:rPr>
        <w:t>84 </w:t>
      </w:r>
      <w:r w:rsidRPr="004C2A59">
        <w:rPr>
          <w:color w:val="000000"/>
          <w:szCs w:val="22"/>
        </w:rPr>
        <w:t>måneder var signifikant højere i Glivec-armen end i IFN-armen (</w:t>
      </w:r>
      <w:r w:rsidR="00665765" w:rsidRPr="004C2A59">
        <w:rPr>
          <w:color w:val="000000"/>
          <w:szCs w:val="22"/>
        </w:rPr>
        <w:t>92,5</w:t>
      </w:r>
      <w:r w:rsidRPr="004C2A59">
        <w:rPr>
          <w:color w:val="000000"/>
          <w:szCs w:val="22"/>
        </w:rPr>
        <w:t xml:space="preserve">% </w:t>
      </w:r>
      <w:r w:rsidR="000772C0" w:rsidRPr="004C2A59">
        <w:rPr>
          <w:i/>
          <w:color w:val="000000"/>
          <w:szCs w:val="22"/>
        </w:rPr>
        <w:t>vs.</w:t>
      </w:r>
      <w:r w:rsidRPr="004C2A59">
        <w:rPr>
          <w:color w:val="000000"/>
          <w:szCs w:val="22"/>
        </w:rPr>
        <w:t xml:space="preserve"> </w:t>
      </w:r>
      <w:r w:rsidR="00665765" w:rsidRPr="004C2A59">
        <w:rPr>
          <w:color w:val="000000"/>
          <w:szCs w:val="22"/>
        </w:rPr>
        <w:t>85,1</w:t>
      </w:r>
      <w:r w:rsidRPr="004C2A59">
        <w:rPr>
          <w:color w:val="000000"/>
          <w:szCs w:val="22"/>
        </w:rPr>
        <w:t xml:space="preserve">%, p&lt;0,001). Den årlige frekvens for progression </w:t>
      </w:r>
      <w:r w:rsidR="00A87121" w:rsidRPr="004C2A59">
        <w:rPr>
          <w:color w:val="000000"/>
          <w:szCs w:val="22"/>
        </w:rPr>
        <w:t xml:space="preserve">til fremskreden fase eller blastkrise </w:t>
      </w:r>
      <w:r w:rsidRPr="004C2A59">
        <w:rPr>
          <w:color w:val="000000"/>
          <w:szCs w:val="22"/>
        </w:rPr>
        <w:t>aftog</w:t>
      </w:r>
      <w:r w:rsidR="00E972CE" w:rsidRPr="004C2A59">
        <w:rPr>
          <w:color w:val="000000"/>
          <w:szCs w:val="22"/>
        </w:rPr>
        <w:t>,</w:t>
      </w:r>
      <w:r w:rsidRPr="004C2A59">
        <w:rPr>
          <w:color w:val="000000"/>
          <w:szCs w:val="22"/>
        </w:rPr>
        <w:t xml:space="preserve"> jo længere behandlingen stod på</w:t>
      </w:r>
      <w:r w:rsidR="00E972CE" w:rsidRPr="004C2A59">
        <w:rPr>
          <w:color w:val="000000"/>
          <w:szCs w:val="22"/>
        </w:rPr>
        <w:t>,</w:t>
      </w:r>
      <w:r w:rsidR="00A87121" w:rsidRPr="004C2A59">
        <w:rPr>
          <w:color w:val="000000"/>
          <w:szCs w:val="22"/>
        </w:rPr>
        <w:t xml:space="preserve"> og var mindre end 1%</w:t>
      </w:r>
      <w:r w:rsidR="003C4C18" w:rsidRPr="004C2A59">
        <w:rPr>
          <w:color w:val="000000"/>
          <w:szCs w:val="22"/>
        </w:rPr>
        <w:t xml:space="preserve"> </w:t>
      </w:r>
      <w:r w:rsidR="00A87121" w:rsidRPr="004C2A59">
        <w:rPr>
          <w:color w:val="000000"/>
          <w:szCs w:val="22"/>
        </w:rPr>
        <w:t xml:space="preserve">årlig i fjerde og femte år. </w:t>
      </w:r>
      <w:r w:rsidRPr="004C2A59">
        <w:rPr>
          <w:color w:val="000000"/>
          <w:szCs w:val="22"/>
        </w:rPr>
        <w:t xml:space="preserve">Den estimerede progressionsfri overlevelse efter </w:t>
      </w:r>
      <w:r w:rsidR="002021E5" w:rsidRPr="004C2A59">
        <w:rPr>
          <w:color w:val="000000"/>
          <w:szCs w:val="22"/>
        </w:rPr>
        <w:t>84 </w:t>
      </w:r>
      <w:r w:rsidRPr="004C2A59">
        <w:rPr>
          <w:color w:val="000000"/>
          <w:szCs w:val="22"/>
        </w:rPr>
        <w:t xml:space="preserve">måneder var </w:t>
      </w:r>
      <w:r w:rsidR="002021E5" w:rsidRPr="004C2A59">
        <w:rPr>
          <w:color w:val="000000"/>
          <w:szCs w:val="22"/>
        </w:rPr>
        <w:t>81,2</w:t>
      </w:r>
      <w:r w:rsidRPr="004C2A59">
        <w:rPr>
          <w:color w:val="000000"/>
          <w:szCs w:val="22"/>
        </w:rPr>
        <w:t xml:space="preserve">% i Glivec-armen og </w:t>
      </w:r>
      <w:r w:rsidR="002021E5" w:rsidRPr="004C2A59">
        <w:rPr>
          <w:color w:val="000000"/>
          <w:szCs w:val="22"/>
        </w:rPr>
        <w:t>60,6</w:t>
      </w:r>
      <w:r w:rsidRPr="004C2A59">
        <w:rPr>
          <w:color w:val="000000"/>
          <w:szCs w:val="22"/>
        </w:rPr>
        <w:t xml:space="preserve">% i kontrolarmen (p&lt;0,001). Årlige frekvenser </w:t>
      </w:r>
      <w:r w:rsidR="003B2526" w:rsidRPr="004C2A59">
        <w:rPr>
          <w:color w:val="000000"/>
          <w:szCs w:val="22"/>
        </w:rPr>
        <w:t>af enhver type progression blev reduceret</w:t>
      </w:r>
      <w:r w:rsidR="00A87121" w:rsidRPr="004C2A59">
        <w:rPr>
          <w:color w:val="000000"/>
          <w:szCs w:val="22"/>
        </w:rPr>
        <w:t xml:space="preserve"> over tid</w:t>
      </w:r>
      <w:r w:rsidR="00317936" w:rsidRPr="004C2A59">
        <w:rPr>
          <w:color w:val="000000"/>
          <w:szCs w:val="22"/>
        </w:rPr>
        <w:t xml:space="preserve"> med </w:t>
      </w:r>
      <w:r w:rsidRPr="004C2A59">
        <w:rPr>
          <w:color w:val="000000"/>
          <w:szCs w:val="22"/>
        </w:rPr>
        <w:t>Glivec</w:t>
      </w:r>
      <w:r w:rsidR="00A87121" w:rsidRPr="004C2A59">
        <w:rPr>
          <w:color w:val="000000"/>
          <w:szCs w:val="22"/>
        </w:rPr>
        <w:t>.</w:t>
      </w:r>
    </w:p>
    <w:p w14:paraId="77F79930" w14:textId="77777777" w:rsidR="00270C5A" w:rsidRPr="004C2A59" w:rsidRDefault="00270C5A" w:rsidP="00421681">
      <w:pPr>
        <w:pStyle w:val="EndnoteText"/>
        <w:rPr>
          <w:color w:val="000000"/>
          <w:szCs w:val="22"/>
        </w:rPr>
      </w:pPr>
    </w:p>
    <w:p w14:paraId="70BCC13E" w14:textId="77777777" w:rsidR="00B62CEF" w:rsidRPr="004C2A59" w:rsidRDefault="005F7668" w:rsidP="00421681">
      <w:pPr>
        <w:pStyle w:val="EndnoteText"/>
        <w:rPr>
          <w:color w:val="000000"/>
          <w:szCs w:val="22"/>
        </w:rPr>
      </w:pPr>
      <w:r w:rsidRPr="004C2A59">
        <w:rPr>
          <w:color w:val="000000"/>
          <w:szCs w:val="22"/>
        </w:rPr>
        <w:t>I alt døde</w:t>
      </w:r>
      <w:r w:rsidR="00455737" w:rsidRPr="004C2A59">
        <w:rPr>
          <w:color w:val="000000"/>
          <w:szCs w:val="22"/>
        </w:rPr>
        <w:t xml:space="preserve"> 71</w:t>
      </w:r>
      <w:r w:rsidR="00B62CEF" w:rsidRPr="004C2A59">
        <w:rPr>
          <w:color w:val="000000"/>
          <w:szCs w:val="22"/>
        </w:rPr>
        <w:t xml:space="preserve"> (</w:t>
      </w:r>
      <w:r w:rsidR="00455737" w:rsidRPr="004C2A59">
        <w:rPr>
          <w:color w:val="000000"/>
          <w:szCs w:val="22"/>
        </w:rPr>
        <w:t>12,8</w:t>
      </w:r>
      <w:r w:rsidR="00B62CEF" w:rsidRPr="004C2A59">
        <w:rPr>
          <w:color w:val="000000"/>
          <w:szCs w:val="22"/>
        </w:rPr>
        <w:t xml:space="preserve">%) og </w:t>
      </w:r>
      <w:r w:rsidR="00455737" w:rsidRPr="004C2A59">
        <w:rPr>
          <w:color w:val="000000"/>
          <w:szCs w:val="22"/>
        </w:rPr>
        <w:t xml:space="preserve">85 </w:t>
      </w:r>
      <w:r w:rsidR="00B62CEF" w:rsidRPr="004C2A59">
        <w:rPr>
          <w:color w:val="000000"/>
          <w:szCs w:val="22"/>
        </w:rPr>
        <w:t>(</w:t>
      </w:r>
      <w:r w:rsidR="00455737" w:rsidRPr="004C2A59">
        <w:rPr>
          <w:color w:val="000000"/>
          <w:szCs w:val="22"/>
        </w:rPr>
        <w:t>15,4%</w:t>
      </w:r>
      <w:r w:rsidR="00B62CEF" w:rsidRPr="004C2A59">
        <w:rPr>
          <w:color w:val="000000"/>
          <w:szCs w:val="22"/>
        </w:rPr>
        <w:t>) patienter i henholdsvis Glivec</w:t>
      </w:r>
      <w:r w:rsidRPr="004C2A59">
        <w:rPr>
          <w:color w:val="000000"/>
          <w:szCs w:val="22"/>
        </w:rPr>
        <w:t xml:space="preserve">- </w:t>
      </w:r>
      <w:r w:rsidR="00B62CEF" w:rsidRPr="004C2A59">
        <w:rPr>
          <w:color w:val="000000"/>
          <w:szCs w:val="22"/>
        </w:rPr>
        <w:t>og IFN+Ara-C</w:t>
      </w:r>
      <w:r w:rsidRPr="004C2A59">
        <w:rPr>
          <w:color w:val="000000"/>
          <w:szCs w:val="22"/>
        </w:rPr>
        <w:t>-</w:t>
      </w:r>
      <w:r w:rsidR="00B62CEF" w:rsidRPr="004C2A59">
        <w:rPr>
          <w:color w:val="000000"/>
          <w:szCs w:val="22"/>
        </w:rPr>
        <w:t xml:space="preserve">grupperne. Ved </w:t>
      </w:r>
      <w:r w:rsidR="00455737" w:rsidRPr="004C2A59">
        <w:rPr>
          <w:color w:val="000000"/>
          <w:szCs w:val="22"/>
        </w:rPr>
        <w:t>84 </w:t>
      </w:r>
      <w:r w:rsidR="00B62CEF" w:rsidRPr="004C2A59">
        <w:rPr>
          <w:color w:val="000000"/>
          <w:szCs w:val="22"/>
        </w:rPr>
        <w:t xml:space="preserve">måneder var den estimerede samlede overlevelse </w:t>
      </w:r>
      <w:r w:rsidR="00292A02" w:rsidRPr="004C2A59">
        <w:rPr>
          <w:color w:val="000000"/>
          <w:szCs w:val="22"/>
        </w:rPr>
        <w:t>86,4</w:t>
      </w:r>
      <w:r w:rsidR="00B62CEF" w:rsidRPr="004C2A59">
        <w:rPr>
          <w:color w:val="000000"/>
          <w:szCs w:val="22"/>
        </w:rPr>
        <w:t>% (</w:t>
      </w:r>
      <w:r w:rsidR="00292A02" w:rsidRPr="004C2A59">
        <w:rPr>
          <w:color w:val="000000"/>
          <w:szCs w:val="22"/>
        </w:rPr>
        <w:t>83</w:t>
      </w:r>
      <w:r w:rsidR="00B62CEF" w:rsidRPr="004C2A59">
        <w:rPr>
          <w:color w:val="000000"/>
          <w:szCs w:val="22"/>
        </w:rPr>
        <w:t xml:space="preserve">, </w:t>
      </w:r>
      <w:r w:rsidR="00292A02" w:rsidRPr="004C2A59">
        <w:rPr>
          <w:color w:val="000000"/>
          <w:szCs w:val="22"/>
        </w:rPr>
        <w:t>90</w:t>
      </w:r>
      <w:r w:rsidR="00B62CEF" w:rsidRPr="004C2A59">
        <w:rPr>
          <w:color w:val="000000"/>
          <w:szCs w:val="22"/>
        </w:rPr>
        <w:t xml:space="preserve">) </w:t>
      </w:r>
      <w:r w:rsidR="00AA7270" w:rsidRPr="004C2A59">
        <w:rPr>
          <w:i/>
          <w:color w:val="000000"/>
          <w:szCs w:val="22"/>
        </w:rPr>
        <w:t>vs.</w:t>
      </w:r>
      <w:r w:rsidR="00B62CEF" w:rsidRPr="004C2A59">
        <w:rPr>
          <w:color w:val="000000"/>
          <w:szCs w:val="22"/>
        </w:rPr>
        <w:t xml:space="preserve"> </w:t>
      </w:r>
      <w:r w:rsidR="00292A02" w:rsidRPr="004C2A59">
        <w:rPr>
          <w:color w:val="000000"/>
          <w:szCs w:val="22"/>
        </w:rPr>
        <w:t>83,3</w:t>
      </w:r>
      <w:r w:rsidR="00B62CEF" w:rsidRPr="004C2A59">
        <w:rPr>
          <w:color w:val="000000"/>
          <w:szCs w:val="22"/>
        </w:rPr>
        <w:t>% (</w:t>
      </w:r>
      <w:r w:rsidR="00292A02" w:rsidRPr="004C2A59">
        <w:rPr>
          <w:color w:val="000000"/>
          <w:szCs w:val="22"/>
        </w:rPr>
        <w:t>80</w:t>
      </w:r>
      <w:r w:rsidR="00B62CEF" w:rsidRPr="004C2A59">
        <w:rPr>
          <w:color w:val="000000"/>
          <w:szCs w:val="22"/>
        </w:rPr>
        <w:t xml:space="preserve">, </w:t>
      </w:r>
      <w:r w:rsidR="00292A02" w:rsidRPr="004C2A59">
        <w:rPr>
          <w:color w:val="000000"/>
          <w:szCs w:val="22"/>
        </w:rPr>
        <w:t>87</w:t>
      </w:r>
      <w:r w:rsidR="00B62CEF" w:rsidRPr="004C2A59">
        <w:rPr>
          <w:color w:val="000000"/>
          <w:szCs w:val="22"/>
        </w:rPr>
        <w:t xml:space="preserve">) i henholdsvis </w:t>
      </w:r>
      <w:r w:rsidR="00B62CEF" w:rsidRPr="004C2A59">
        <w:rPr>
          <w:color w:val="000000"/>
          <w:szCs w:val="22"/>
        </w:rPr>
        <w:lastRenderedPageBreak/>
        <w:t>de randomiserede Glivec</w:t>
      </w:r>
      <w:r w:rsidRPr="004C2A59">
        <w:rPr>
          <w:color w:val="000000"/>
          <w:szCs w:val="22"/>
        </w:rPr>
        <w:t>-</w:t>
      </w:r>
      <w:r w:rsidR="00B62CEF" w:rsidRPr="004C2A59">
        <w:rPr>
          <w:color w:val="000000"/>
          <w:szCs w:val="22"/>
        </w:rPr>
        <w:t xml:space="preserve"> og IFN+Ara</w:t>
      </w:r>
      <w:r w:rsidR="00B62CEF" w:rsidRPr="004C2A59">
        <w:rPr>
          <w:color w:val="000000"/>
          <w:szCs w:val="22"/>
        </w:rPr>
        <w:noBreakHyphen/>
        <w:t>C</w:t>
      </w:r>
      <w:r w:rsidRPr="004C2A59">
        <w:rPr>
          <w:color w:val="000000"/>
          <w:szCs w:val="22"/>
        </w:rPr>
        <w:t>-</w:t>
      </w:r>
      <w:r w:rsidR="00B62CEF" w:rsidRPr="004C2A59">
        <w:rPr>
          <w:color w:val="000000"/>
          <w:szCs w:val="22"/>
        </w:rPr>
        <w:t>grupper (</w:t>
      </w:r>
      <w:r w:rsidR="0036624D" w:rsidRPr="004C2A59">
        <w:rPr>
          <w:color w:val="000000"/>
          <w:szCs w:val="22"/>
        </w:rPr>
        <w:t>p</w:t>
      </w:r>
      <w:r w:rsidR="00B62CEF" w:rsidRPr="004C2A59">
        <w:rPr>
          <w:color w:val="000000"/>
          <w:szCs w:val="22"/>
        </w:rPr>
        <w:t>=0,0</w:t>
      </w:r>
      <w:r w:rsidR="00B72611" w:rsidRPr="004C2A59">
        <w:rPr>
          <w:color w:val="000000"/>
          <w:szCs w:val="22"/>
        </w:rPr>
        <w:t>73</w:t>
      </w:r>
      <w:r w:rsidR="00B62CEF" w:rsidRPr="004C2A59">
        <w:rPr>
          <w:color w:val="000000"/>
          <w:szCs w:val="22"/>
        </w:rPr>
        <w:t>, log-rank test). Dette tid-til-hændelse effektmål er stærkt påvirket af det høje antal skift fra IFN+Ara-C-armen til Glivec-armen. Effekten af Glivec-behandling på overlevelse i kronisk fase, nyligt diagnostiseret CML er blevet yderligere undersøgt i en retrospektiv analyse af ovenstående rapporterede Glivec</w:t>
      </w:r>
      <w:r w:rsidRPr="004C2A59">
        <w:rPr>
          <w:color w:val="000000"/>
          <w:szCs w:val="22"/>
        </w:rPr>
        <w:t>-</w:t>
      </w:r>
      <w:r w:rsidR="00B62CEF" w:rsidRPr="004C2A59">
        <w:rPr>
          <w:color w:val="000000"/>
          <w:szCs w:val="22"/>
        </w:rPr>
        <w:t>data med primærdata fra et andet fase</w:t>
      </w:r>
      <w:r w:rsidR="002B7271" w:rsidRPr="004C2A59">
        <w:rPr>
          <w:color w:val="000000"/>
          <w:szCs w:val="22"/>
        </w:rPr>
        <w:t xml:space="preserve"> </w:t>
      </w:r>
      <w:smartTag w:uri="urn:schemas-microsoft-com:office:smarttags" w:element="metricconverter">
        <w:r w:rsidR="00B62CEF" w:rsidRPr="004C2A59">
          <w:rPr>
            <w:color w:val="000000"/>
            <w:szCs w:val="22"/>
          </w:rPr>
          <w:t>III</w:t>
        </w:r>
      </w:smartTag>
      <w:r w:rsidR="00471A72" w:rsidRPr="004C2A59">
        <w:rPr>
          <w:color w:val="000000"/>
          <w:szCs w:val="22"/>
        </w:rPr>
        <w:t>-</w:t>
      </w:r>
      <w:r w:rsidR="00B62CEF" w:rsidRPr="004C2A59">
        <w:rPr>
          <w:color w:val="000000"/>
          <w:szCs w:val="22"/>
        </w:rPr>
        <w:t>studie hvor IFN+Ara-C (n=325) blev anvendt i et tilsvarende behandlingsregime. I denne retrospektive analyse af total overlevelse blev Glivecs overlegenhed vist i forhold til IFN+Ara-C (p&lt;0,001); inden</w:t>
      </w:r>
      <w:r w:rsidR="00471A72" w:rsidRPr="004C2A59">
        <w:rPr>
          <w:color w:val="000000"/>
          <w:szCs w:val="22"/>
        </w:rPr>
        <w:t xml:space="preserve"> </w:t>
      </w:r>
      <w:r w:rsidR="00B62CEF" w:rsidRPr="004C2A59">
        <w:rPr>
          <w:color w:val="000000"/>
          <w:szCs w:val="22"/>
        </w:rPr>
        <w:t>for 42 måneder var 47</w:t>
      </w:r>
      <w:r w:rsidR="003C4C18" w:rsidRPr="004C2A59">
        <w:rPr>
          <w:color w:val="000000"/>
          <w:szCs w:val="22"/>
        </w:rPr>
        <w:t xml:space="preserve"> </w:t>
      </w:r>
      <w:r w:rsidR="00B62CEF" w:rsidRPr="004C2A59">
        <w:rPr>
          <w:color w:val="000000"/>
          <w:szCs w:val="22"/>
        </w:rPr>
        <w:t>(8,5%) Glivec</w:t>
      </w:r>
      <w:r w:rsidR="00471A72" w:rsidRPr="004C2A59">
        <w:rPr>
          <w:color w:val="000000"/>
          <w:szCs w:val="22"/>
        </w:rPr>
        <w:t>-</w:t>
      </w:r>
      <w:r w:rsidR="00B62CEF" w:rsidRPr="004C2A59">
        <w:rPr>
          <w:color w:val="000000"/>
          <w:szCs w:val="22"/>
        </w:rPr>
        <w:t>patienter og 63</w:t>
      </w:r>
      <w:r w:rsidR="003C4C18" w:rsidRPr="004C2A59">
        <w:rPr>
          <w:color w:val="000000"/>
          <w:szCs w:val="22"/>
        </w:rPr>
        <w:t xml:space="preserve"> </w:t>
      </w:r>
      <w:r w:rsidR="00B62CEF" w:rsidRPr="004C2A59">
        <w:rPr>
          <w:color w:val="000000"/>
          <w:szCs w:val="22"/>
        </w:rPr>
        <w:t>(19,4%) IFN+Ara-C</w:t>
      </w:r>
      <w:r w:rsidR="00471A72" w:rsidRPr="004C2A59">
        <w:rPr>
          <w:color w:val="000000"/>
          <w:szCs w:val="22"/>
        </w:rPr>
        <w:t>-</w:t>
      </w:r>
      <w:r w:rsidR="00B62CEF" w:rsidRPr="004C2A59">
        <w:rPr>
          <w:color w:val="000000"/>
          <w:szCs w:val="22"/>
        </w:rPr>
        <w:t>patienter døde.</w:t>
      </w:r>
    </w:p>
    <w:p w14:paraId="144E5CA4" w14:textId="77777777" w:rsidR="00B62CEF" w:rsidRPr="004C2A59" w:rsidRDefault="00B62CEF" w:rsidP="00421681">
      <w:pPr>
        <w:pStyle w:val="EndnoteText"/>
        <w:rPr>
          <w:color w:val="000000"/>
          <w:szCs w:val="22"/>
        </w:rPr>
      </w:pPr>
    </w:p>
    <w:p w14:paraId="1D44AF76" w14:textId="77777777" w:rsidR="00FE3AC9" w:rsidRPr="004C2A59" w:rsidRDefault="00FE3AC9" w:rsidP="00421681">
      <w:pPr>
        <w:pStyle w:val="EndnoteText"/>
        <w:rPr>
          <w:color w:val="000000"/>
          <w:szCs w:val="22"/>
        </w:rPr>
      </w:pPr>
      <w:r w:rsidRPr="004C2A59">
        <w:rPr>
          <w:color w:val="000000"/>
          <w:szCs w:val="22"/>
        </w:rPr>
        <w:t xml:space="preserve">Graden af cytogenisk respons </w:t>
      </w:r>
      <w:r w:rsidR="00A87121" w:rsidRPr="004C2A59">
        <w:rPr>
          <w:color w:val="000000"/>
          <w:szCs w:val="22"/>
        </w:rPr>
        <w:t xml:space="preserve">og molekylært respons </w:t>
      </w:r>
      <w:r w:rsidRPr="004C2A59">
        <w:rPr>
          <w:color w:val="000000"/>
          <w:szCs w:val="22"/>
        </w:rPr>
        <w:t>havde en klar effekt på langtidsudfaldet for patienter i Glivec</w:t>
      </w:r>
      <w:r w:rsidR="00471A72" w:rsidRPr="004C2A59">
        <w:rPr>
          <w:color w:val="000000"/>
          <w:szCs w:val="22"/>
        </w:rPr>
        <w:t>-</w:t>
      </w:r>
      <w:r w:rsidRPr="004C2A59">
        <w:rPr>
          <w:color w:val="000000"/>
          <w:szCs w:val="22"/>
        </w:rPr>
        <w:t xml:space="preserve">behandling. Hvor estimeret </w:t>
      </w:r>
      <w:r w:rsidR="00664C7A" w:rsidRPr="004C2A59">
        <w:rPr>
          <w:color w:val="000000"/>
          <w:szCs w:val="22"/>
        </w:rPr>
        <w:t>96</w:t>
      </w:r>
      <w:r w:rsidRPr="004C2A59">
        <w:rPr>
          <w:color w:val="000000"/>
          <w:szCs w:val="22"/>
        </w:rPr>
        <w:t xml:space="preserve">% (93%) af patienterne med CCyR (PCyR) ved 12 måneder var fri for progression til accelereret fase/blastkrise ved </w:t>
      </w:r>
      <w:r w:rsidR="00664C7A" w:rsidRPr="004C2A59">
        <w:rPr>
          <w:color w:val="000000"/>
          <w:szCs w:val="22"/>
        </w:rPr>
        <w:t>84</w:t>
      </w:r>
      <w:r w:rsidRPr="004C2A59">
        <w:rPr>
          <w:color w:val="000000"/>
          <w:szCs w:val="22"/>
        </w:rPr>
        <w:t xml:space="preserve"> måneder, var kun 81% af patienterne uden CCyR ved 12 måneder fri for progression til fremskreden CML ved </w:t>
      </w:r>
      <w:r w:rsidR="006A0DF2" w:rsidRPr="004C2A59">
        <w:rPr>
          <w:color w:val="000000"/>
          <w:szCs w:val="22"/>
        </w:rPr>
        <w:t>84</w:t>
      </w:r>
      <w:r w:rsidRPr="004C2A59">
        <w:rPr>
          <w:color w:val="000000"/>
          <w:szCs w:val="22"/>
        </w:rPr>
        <w:t> måneder (p&lt;0,001 samlet, p=0,2</w:t>
      </w:r>
      <w:r w:rsidR="006A0DF2" w:rsidRPr="004C2A59">
        <w:rPr>
          <w:color w:val="000000"/>
          <w:szCs w:val="22"/>
        </w:rPr>
        <w:t>5</w:t>
      </w:r>
      <w:r w:rsidRPr="004C2A59">
        <w:rPr>
          <w:color w:val="000000"/>
          <w:szCs w:val="22"/>
        </w:rPr>
        <w:t xml:space="preserve"> mellem CCyR og PCyR). For patienter med reduktion i Bcr-Abl transkripter på mindst 3</w:t>
      </w:r>
      <w:r w:rsidR="0036624D" w:rsidRPr="004C2A59">
        <w:rPr>
          <w:color w:val="000000"/>
          <w:szCs w:val="22"/>
        </w:rPr>
        <w:t> </w:t>
      </w:r>
      <w:r w:rsidRPr="004C2A59">
        <w:rPr>
          <w:color w:val="000000"/>
          <w:szCs w:val="22"/>
        </w:rPr>
        <w:t xml:space="preserve">logaritmer ved 12 måneder, var sandsynligheden for at forblive fri </w:t>
      </w:r>
      <w:r w:rsidR="00060A4F" w:rsidRPr="004C2A59">
        <w:rPr>
          <w:color w:val="000000"/>
          <w:szCs w:val="22"/>
        </w:rPr>
        <w:t xml:space="preserve">for progression til accelereret fase/blastkrise </w:t>
      </w:r>
      <w:r w:rsidR="006A0DF2" w:rsidRPr="004C2A59">
        <w:rPr>
          <w:color w:val="000000"/>
          <w:szCs w:val="22"/>
        </w:rPr>
        <w:t>99</w:t>
      </w:r>
      <w:r w:rsidR="00060A4F" w:rsidRPr="004C2A59">
        <w:rPr>
          <w:color w:val="000000"/>
          <w:szCs w:val="22"/>
        </w:rPr>
        <w:t>% efter</w:t>
      </w:r>
      <w:r w:rsidRPr="004C2A59">
        <w:rPr>
          <w:color w:val="000000"/>
          <w:szCs w:val="22"/>
        </w:rPr>
        <w:t xml:space="preserve"> </w:t>
      </w:r>
      <w:r w:rsidR="006A0DF2" w:rsidRPr="004C2A59">
        <w:rPr>
          <w:color w:val="000000"/>
          <w:szCs w:val="22"/>
        </w:rPr>
        <w:t>84</w:t>
      </w:r>
      <w:r w:rsidRPr="004C2A59">
        <w:rPr>
          <w:color w:val="000000"/>
          <w:szCs w:val="22"/>
        </w:rPr>
        <w:t> måneder</w:t>
      </w:r>
      <w:r w:rsidR="00060A4F" w:rsidRPr="004C2A59">
        <w:rPr>
          <w:color w:val="000000"/>
          <w:szCs w:val="22"/>
        </w:rPr>
        <w:t>.</w:t>
      </w:r>
      <w:r w:rsidRPr="004C2A59">
        <w:rPr>
          <w:color w:val="000000"/>
          <w:szCs w:val="22"/>
        </w:rPr>
        <w:t xml:space="preserve"> </w:t>
      </w:r>
      <w:r w:rsidR="00060A4F" w:rsidRPr="004C2A59">
        <w:rPr>
          <w:color w:val="000000"/>
          <w:szCs w:val="22"/>
        </w:rPr>
        <w:t>Lignende</w:t>
      </w:r>
      <w:r w:rsidR="00234E95" w:rsidRPr="004C2A59">
        <w:rPr>
          <w:color w:val="000000"/>
          <w:szCs w:val="22"/>
        </w:rPr>
        <w:t xml:space="preserve"> resultater fandtes baseret på analysen efter 18 måneder</w:t>
      </w:r>
      <w:r w:rsidR="00060A4F" w:rsidRPr="004C2A59">
        <w:rPr>
          <w:color w:val="000000"/>
          <w:szCs w:val="22"/>
        </w:rPr>
        <w:t>.</w:t>
      </w:r>
    </w:p>
    <w:p w14:paraId="6F0BF7F6" w14:textId="77777777" w:rsidR="002611A7" w:rsidRPr="004C2A59" w:rsidRDefault="002611A7" w:rsidP="00421681">
      <w:pPr>
        <w:pStyle w:val="EndnoteText"/>
        <w:rPr>
          <w:color w:val="000000"/>
          <w:szCs w:val="22"/>
        </w:rPr>
      </w:pPr>
    </w:p>
    <w:p w14:paraId="39349E1D" w14:textId="77777777" w:rsidR="00C055ED" w:rsidRPr="004C2A59" w:rsidRDefault="00C055ED" w:rsidP="00421681">
      <w:pPr>
        <w:pStyle w:val="EndnoteText"/>
        <w:rPr>
          <w:color w:val="000000"/>
          <w:szCs w:val="22"/>
        </w:rPr>
      </w:pPr>
      <w:r w:rsidRPr="004C2A59">
        <w:rPr>
          <w:color w:val="000000"/>
          <w:szCs w:val="22"/>
        </w:rPr>
        <w:t>I dette studie var dosis</w:t>
      </w:r>
      <w:r w:rsidR="000419FB" w:rsidRPr="004C2A59">
        <w:rPr>
          <w:color w:val="000000"/>
          <w:szCs w:val="22"/>
        </w:rPr>
        <w:t>optrapning</w:t>
      </w:r>
      <w:r w:rsidRPr="004C2A59">
        <w:rPr>
          <w:color w:val="000000"/>
          <w:szCs w:val="22"/>
        </w:rPr>
        <w:t xml:space="preserve"> tilladt fra 400 mg daglig til 600 mg daglig og derefter fra 600 mg daglig til 800 mg daglig.</w:t>
      </w:r>
      <w:r w:rsidR="000419FB" w:rsidRPr="004C2A59">
        <w:rPr>
          <w:color w:val="000000"/>
          <w:szCs w:val="22"/>
        </w:rPr>
        <w:t xml:space="preserve"> </w:t>
      </w:r>
      <w:r w:rsidRPr="004C2A59">
        <w:rPr>
          <w:color w:val="000000"/>
          <w:szCs w:val="22"/>
        </w:rPr>
        <w:t xml:space="preserve">Efter 42 måneders opfølgning fik 11 patienter bekræftet tab </w:t>
      </w:r>
      <w:r w:rsidR="000419FB" w:rsidRPr="004C2A59">
        <w:rPr>
          <w:color w:val="000000"/>
          <w:szCs w:val="22"/>
        </w:rPr>
        <w:t xml:space="preserve">(inden for 4 uger) </w:t>
      </w:r>
      <w:r w:rsidRPr="004C2A59">
        <w:rPr>
          <w:color w:val="000000"/>
          <w:szCs w:val="22"/>
        </w:rPr>
        <w:t>af cytogenetiske respons</w:t>
      </w:r>
      <w:r w:rsidR="00E97E34" w:rsidRPr="004C2A59">
        <w:rPr>
          <w:color w:val="000000"/>
          <w:szCs w:val="22"/>
        </w:rPr>
        <w:t xml:space="preserve"> (indenfor 4 uger). Af disse 11 patienter, blev 4 patienter </w:t>
      </w:r>
      <w:r w:rsidR="000419FB" w:rsidRPr="004C2A59">
        <w:rPr>
          <w:color w:val="000000"/>
          <w:szCs w:val="22"/>
        </w:rPr>
        <w:t xml:space="preserve">optrappet </w:t>
      </w:r>
      <w:r w:rsidR="00E97E34" w:rsidRPr="004C2A59">
        <w:rPr>
          <w:color w:val="000000"/>
          <w:szCs w:val="22"/>
        </w:rPr>
        <w:t>til 800 mg daglig, hvoraf 2 af dem genopnåede cytogenetisk respons (1</w:t>
      </w:r>
      <w:r w:rsidR="00552DC6" w:rsidRPr="004C2A59">
        <w:rPr>
          <w:color w:val="000000"/>
          <w:szCs w:val="22"/>
        </w:rPr>
        <w:t> </w:t>
      </w:r>
      <w:r w:rsidR="00E97E34" w:rsidRPr="004C2A59">
        <w:rPr>
          <w:color w:val="000000"/>
          <w:szCs w:val="22"/>
        </w:rPr>
        <w:t>delvis</w:t>
      </w:r>
      <w:r w:rsidR="000419FB" w:rsidRPr="004C2A59">
        <w:rPr>
          <w:color w:val="000000"/>
          <w:szCs w:val="22"/>
        </w:rPr>
        <w:t>t</w:t>
      </w:r>
      <w:r w:rsidR="00E97E34" w:rsidRPr="004C2A59">
        <w:rPr>
          <w:color w:val="000000"/>
          <w:szCs w:val="22"/>
        </w:rPr>
        <w:t xml:space="preserve"> og 1</w:t>
      </w:r>
      <w:r w:rsidR="00552DC6" w:rsidRPr="004C2A59">
        <w:rPr>
          <w:color w:val="000000"/>
          <w:szCs w:val="22"/>
        </w:rPr>
        <w:t> </w:t>
      </w:r>
      <w:r w:rsidR="00E97E34" w:rsidRPr="004C2A59">
        <w:rPr>
          <w:color w:val="000000"/>
          <w:szCs w:val="22"/>
        </w:rPr>
        <w:t xml:space="preserve">fuldstændigt, og den sidst nævnte opnåede også et molekulær respons), mens kun 1 af de 7 patienter, som ikke fik større dosis genopnåede et fuldstændigt cytogenetisk respons. Procentdelen af nogle bivirkninger var højere hos de 40 patienter, hvor dosis blev øget til 800 mg daglig sammenlignet med patientpopulationen inden dosisstigning (n=551). De mere hyppige bivirkninger </w:t>
      </w:r>
      <w:r w:rsidR="009C33DF" w:rsidRPr="004C2A59">
        <w:rPr>
          <w:color w:val="000000"/>
          <w:szCs w:val="22"/>
        </w:rPr>
        <w:t>var gastrointestinalblødning, konjunktivitis og stigning i transaminase eller bilirubin. Andre bivirkninger blev indberettet med lavere eller den samme hyppighed.</w:t>
      </w:r>
    </w:p>
    <w:p w14:paraId="32A2A138" w14:textId="77777777" w:rsidR="009C33DF" w:rsidRPr="004C2A59" w:rsidRDefault="009C33DF" w:rsidP="00421681">
      <w:pPr>
        <w:pStyle w:val="EndnoteText"/>
        <w:rPr>
          <w:color w:val="000000"/>
          <w:szCs w:val="22"/>
        </w:rPr>
      </w:pPr>
    </w:p>
    <w:p w14:paraId="240F9D4A" w14:textId="77777777" w:rsidR="00270C5A" w:rsidRPr="004C2A59" w:rsidRDefault="00270C5A" w:rsidP="00421681">
      <w:pPr>
        <w:widowControl w:val="0"/>
        <w:rPr>
          <w:color w:val="000000"/>
          <w:sz w:val="22"/>
          <w:szCs w:val="22"/>
          <w:lang w:val="da-DK"/>
        </w:rPr>
      </w:pPr>
      <w:r w:rsidRPr="004C2A59">
        <w:rPr>
          <w:i/>
          <w:color w:val="000000"/>
          <w:sz w:val="22"/>
          <w:szCs w:val="22"/>
          <w:lang w:val="da-DK"/>
        </w:rPr>
        <w:t xml:space="preserve">Kronisk fase; manglende effekt med Interferon: </w:t>
      </w:r>
      <w:r w:rsidRPr="004C2A59">
        <w:rPr>
          <w:color w:val="000000"/>
          <w:sz w:val="22"/>
          <w:szCs w:val="22"/>
          <w:lang w:val="da-DK"/>
        </w:rPr>
        <w:t>532</w:t>
      </w:r>
      <w:r w:rsidR="00C02CD8" w:rsidRPr="004C2A59">
        <w:rPr>
          <w:color w:val="000000"/>
          <w:sz w:val="22"/>
          <w:szCs w:val="22"/>
          <w:lang w:val="da-DK"/>
        </w:rPr>
        <w:t> </w:t>
      </w:r>
      <w:r w:rsidR="006E4618" w:rsidRPr="004C2A59">
        <w:rPr>
          <w:color w:val="000000"/>
          <w:sz w:val="22"/>
          <w:szCs w:val="22"/>
          <w:lang w:val="da-DK"/>
        </w:rPr>
        <w:t xml:space="preserve">voksne </w:t>
      </w:r>
      <w:r w:rsidRPr="004C2A59">
        <w:rPr>
          <w:color w:val="000000"/>
          <w:sz w:val="22"/>
          <w:szCs w:val="22"/>
          <w:lang w:val="da-DK"/>
        </w:rPr>
        <w:t>patienter blev behandlet med en startdosis på 400 mg. Patienterne blev fordelt i 3</w:t>
      </w:r>
      <w:r w:rsidR="00C02CD8" w:rsidRPr="004C2A59">
        <w:rPr>
          <w:color w:val="000000"/>
          <w:sz w:val="22"/>
          <w:szCs w:val="22"/>
          <w:lang w:val="da-DK"/>
        </w:rPr>
        <w:t> </w:t>
      </w:r>
      <w:r w:rsidRPr="004C2A59">
        <w:rPr>
          <w:color w:val="000000"/>
          <w:sz w:val="22"/>
          <w:szCs w:val="22"/>
          <w:lang w:val="da-DK"/>
        </w:rPr>
        <w:t>hovedkategorier: Manglende hæmatologisk effekt (29%), manglende cytogenetisk effekt (35%) eller interferonintolerans (36%). Patienterne havde i gennemsnit tidligere modtaget 14</w:t>
      </w:r>
      <w:r w:rsidR="00C02CD8" w:rsidRPr="004C2A59">
        <w:rPr>
          <w:color w:val="000000"/>
          <w:sz w:val="22"/>
          <w:szCs w:val="22"/>
          <w:lang w:val="da-DK"/>
        </w:rPr>
        <w:t> </w:t>
      </w:r>
      <w:r w:rsidRPr="004C2A59">
        <w:rPr>
          <w:color w:val="000000"/>
          <w:sz w:val="22"/>
          <w:szCs w:val="22"/>
          <w:lang w:val="da-DK"/>
        </w:rPr>
        <w:t xml:space="preserve">måneders IFN-behandling med doser </w:t>
      </w:r>
      <w:r w:rsidRPr="004C2A59">
        <w:rPr>
          <w:color w:val="000000"/>
          <w:sz w:val="22"/>
          <w:szCs w:val="22"/>
          <w:lang w:val="da-DK"/>
        </w:rPr>
        <w:sym w:font="Symbol" w:char="F0B3"/>
      </w:r>
      <w:r w:rsidRPr="004C2A59">
        <w:rPr>
          <w:color w:val="000000"/>
          <w:sz w:val="22"/>
          <w:szCs w:val="22"/>
          <w:lang w:val="da-DK"/>
        </w:rPr>
        <w:t>25</w:t>
      </w:r>
      <w:r w:rsidR="0078334D" w:rsidRPr="004C2A59">
        <w:rPr>
          <w:color w:val="000000"/>
          <w:sz w:val="22"/>
          <w:szCs w:val="22"/>
          <w:lang w:val="da-DK"/>
        </w:rPr>
        <w:t> </w:t>
      </w:r>
      <w:r w:rsidRPr="004C2A59">
        <w:rPr>
          <w:color w:val="000000"/>
          <w:sz w:val="22"/>
          <w:szCs w:val="22"/>
          <w:lang w:val="da-DK"/>
        </w:rPr>
        <w:t>x</w:t>
      </w:r>
      <w:r w:rsidR="0078334D" w:rsidRPr="004C2A59">
        <w:rPr>
          <w:color w:val="000000"/>
          <w:sz w:val="22"/>
          <w:szCs w:val="22"/>
          <w:lang w:val="da-DK"/>
        </w:rPr>
        <w:t> </w:t>
      </w:r>
      <w:r w:rsidRPr="004C2A59">
        <w:rPr>
          <w:color w:val="000000"/>
          <w:sz w:val="22"/>
          <w:szCs w:val="22"/>
          <w:lang w:val="da-DK"/>
        </w:rPr>
        <w:t>10</w:t>
      </w:r>
      <w:r w:rsidRPr="004C2A59">
        <w:rPr>
          <w:color w:val="000000"/>
          <w:sz w:val="22"/>
          <w:szCs w:val="22"/>
          <w:vertAlign w:val="superscript"/>
          <w:lang w:val="da-DK"/>
        </w:rPr>
        <w:t>6</w:t>
      </w:r>
      <w:r w:rsidRPr="004C2A59">
        <w:rPr>
          <w:color w:val="000000"/>
          <w:sz w:val="22"/>
          <w:szCs w:val="22"/>
          <w:lang w:val="da-DK"/>
        </w:rPr>
        <w:t xml:space="preserve"> IU/uge og var alle i sen kronisk fase med en gennemsnitlig tid siden diagnose på 32</w:t>
      </w:r>
      <w:r w:rsidR="00C02CD8" w:rsidRPr="004C2A59">
        <w:rPr>
          <w:color w:val="000000"/>
          <w:sz w:val="22"/>
          <w:szCs w:val="22"/>
          <w:lang w:val="da-DK"/>
        </w:rPr>
        <w:t> </w:t>
      </w:r>
      <w:r w:rsidRPr="004C2A59">
        <w:rPr>
          <w:color w:val="000000"/>
          <w:sz w:val="22"/>
          <w:szCs w:val="22"/>
          <w:lang w:val="da-DK"/>
        </w:rPr>
        <w:t>måneder. Undersøgelsens primære effektvariable var graden af det cytogenetiske hovedrespons (fuldstændigt plus partielt respons, 0</w:t>
      </w:r>
      <w:r w:rsidR="00ED38CD" w:rsidRPr="004C2A59">
        <w:rPr>
          <w:color w:val="000000"/>
          <w:sz w:val="22"/>
          <w:szCs w:val="22"/>
          <w:lang w:val="da-DK"/>
        </w:rPr>
        <w:t>–</w:t>
      </w:r>
      <w:r w:rsidRPr="004C2A59">
        <w:rPr>
          <w:color w:val="000000"/>
          <w:sz w:val="22"/>
          <w:szCs w:val="22"/>
          <w:lang w:val="da-DK"/>
        </w:rPr>
        <w:t>35% Ph</w:t>
      </w:r>
      <w:r w:rsidRPr="004C2A59">
        <w:rPr>
          <w:color w:val="000000"/>
          <w:sz w:val="22"/>
          <w:szCs w:val="22"/>
          <w:vertAlign w:val="superscript"/>
          <w:lang w:val="da-DK"/>
        </w:rPr>
        <w:t>+</w:t>
      </w:r>
      <w:r w:rsidRPr="004C2A59">
        <w:rPr>
          <w:color w:val="000000"/>
          <w:sz w:val="22"/>
          <w:szCs w:val="22"/>
          <w:lang w:val="da-DK"/>
        </w:rPr>
        <w:t>-metafaser i knoglemarven).</w:t>
      </w:r>
    </w:p>
    <w:p w14:paraId="0611DF5A" w14:textId="77777777" w:rsidR="00270C5A" w:rsidRPr="004C2A59" w:rsidRDefault="00270C5A" w:rsidP="00421681">
      <w:pPr>
        <w:pStyle w:val="EndnoteText"/>
        <w:tabs>
          <w:tab w:val="clear" w:pos="567"/>
        </w:tabs>
        <w:rPr>
          <w:color w:val="000000"/>
          <w:szCs w:val="22"/>
        </w:rPr>
      </w:pPr>
    </w:p>
    <w:p w14:paraId="76B22D66" w14:textId="77777777" w:rsidR="00270C5A" w:rsidRPr="004C2A59" w:rsidRDefault="00270C5A" w:rsidP="00421681">
      <w:pPr>
        <w:widowControl w:val="0"/>
        <w:rPr>
          <w:color w:val="000000"/>
          <w:sz w:val="22"/>
          <w:szCs w:val="22"/>
          <w:lang w:val="da-DK"/>
        </w:rPr>
      </w:pPr>
      <w:r w:rsidRPr="004C2A59">
        <w:rPr>
          <w:color w:val="000000"/>
          <w:sz w:val="22"/>
          <w:szCs w:val="22"/>
          <w:lang w:val="da-DK"/>
        </w:rPr>
        <w:t>I denne undersøgelse opnåede 6</w:t>
      </w:r>
      <w:r w:rsidR="00C84760" w:rsidRPr="004C2A59">
        <w:rPr>
          <w:color w:val="000000"/>
          <w:sz w:val="22"/>
          <w:szCs w:val="22"/>
          <w:lang w:val="da-DK"/>
        </w:rPr>
        <w:t>5</w:t>
      </w:r>
      <w:r w:rsidRPr="004C2A59">
        <w:rPr>
          <w:color w:val="000000"/>
          <w:sz w:val="22"/>
          <w:szCs w:val="22"/>
          <w:lang w:val="da-DK"/>
        </w:rPr>
        <w:t xml:space="preserve">% af patienterne et cytogenetisk hovedrespons, som var fuldstændigt hos </w:t>
      </w:r>
      <w:r w:rsidR="00FE79A0" w:rsidRPr="004C2A59">
        <w:rPr>
          <w:color w:val="000000"/>
          <w:sz w:val="22"/>
          <w:szCs w:val="22"/>
          <w:lang w:val="da-DK"/>
        </w:rPr>
        <w:t>53</w:t>
      </w:r>
      <w:r w:rsidRPr="004C2A59">
        <w:rPr>
          <w:color w:val="000000"/>
          <w:sz w:val="22"/>
          <w:szCs w:val="22"/>
          <w:lang w:val="da-DK"/>
        </w:rPr>
        <w:t xml:space="preserve">% (bekræftet </w:t>
      </w:r>
      <w:r w:rsidR="00552DC6" w:rsidRPr="004C2A59">
        <w:rPr>
          <w:color w:val="000000"/>
          <w:sz w:val="22"/>
          <w:szCs w:val="22"/>
          <w:lang w:val="da-DK"/>
        </w:rPr>
        <w:t>43</w:t>
      </w:r>
      <w:r w:rsidRPr="004C2A59">
        <w:rPr>
          <w:color w:val="000000"/>
          <w:sz w:val="22"/>
          <w:szCs w:val="22"/>
          <w:lang w:val="da-DK"/>
        </w:rPr>
        <w:t>%) af patienterne (Tabel</w:t>
      </w:r>
      <w:r w:rsidR="000F2BB3" w:rsidRPr="004C2A59">
        <w:rPr>
          <w:color w:val="000000"/>
          <w:sz w:val="22"/>
          <w:szCs w:val="22"/>
          <w:lang w:val="da-DK"/>
        </w:rPr>
        <w:t> </w:t>
      </w:r>
      <w:r w:rsidR="00353FC4" w:rsidRPr="004C2A59">
        <w:rPr>
          <w:color w:val="000000"/>
          <w:sz w:val="22"/>
          <w:szCs w:val="22"/>
          <w:lang w:val="da-DK"/>
        </w:rPr>
        <w:t>3</w:t>
      </w:r>
      <w:r w:rsidRPr="004C2A59">
        <w:rPr>
          <w:color w:val="000000"/>
          <w:sz w:val="22"/>
          <w:szCs w:val="22"/>
          <w:lang w:val="da-DK"/>
        </w:rPr>
        <w:t>). Fuldstændigt hæmatologisk respons opnåedes hos 9</w:t>
      </w:r>
      <w:r w:rsidR="00FE79A0" w:rsidRPr="004C2A59">
        <w:rPr>
          <w:color w:val="000000"/>
          <w:sz w:val="22"/>
          <w:szCs w:val="22"/>
          <w:lang w:val="da-DK"/>
        </w:rPr>
        <w:t>5</w:t>
      </w:r>
      <w:r w:rsidRPr="004C2A59">
        <w:rPr>
          <w:color w:val="000000"/>
          <w:sz w:val="22"/>
          <w:szCs w:val="22"/>
          <w:lang w:val="da-DK"/>
        </w:rPr>
        <w:t>% af patienterne.</w:t>
      </w:r>
    </w:p>
    <w:p w14:paraId="2C849A9E" w14:textId="77777777" w:rsidR="00270C5A" w:rsidRPr="004C2A59" w:rsidRDefault="00270C5A" w:rsidP="00421681">
      <w:pPr>
        <w:widowControl w:val="0"/>
        <w:rPr>
          <w:color w:val="000000"/>
          <w:sz w:val="22"/>
          <w:szCs w:val="22"/>
          <w:lang w:val="da-DK"/>
        </w:rPr>
      </w:pPr>
    </w:p>
    <w:p w14:paraId="762C5CE9" w14:textId="77777777" w:rsidR="00270C5A" w:rsidRPr="004C2A59" w:rsidRDefault="00270C5A" w:rsidP="00421681">
      <w:pPr>
        <w:widowControl w:val="0"/>
        <w:rPr>
          <w:color w:val="000000"/>
          <w:sz w:val="22"/>
          <w:szCs w:val="22"/>
          <w:lang w:val="da-DK"/>
        </w:rPr>
      </w:pPr>
      <w:r w:rsidRPr="004C2A59">
        <w:rPr>
          <w:i/>
          <w:color w:val="000000"/>
          <w:sz w:val="22"/>
          <w:szCs w:val="22"/>
          <w:lang w:val="da-DK"/>
        </w:rPr>
        <w:t>Accelereret fase:</w:t>
      </w:r>
      <w:r w:rsidRPr="004C2A59">
        <w:rPr>
          <w:color w:val="000000"/>
          <w:sz w:val="22"/>
          <w:szCs w:val="22"/>
          <w:lang w:val="da-DK"/>
        </w:rPr>
        <w:t xml:space="preserve"> Der inkluderedes 235</w:t>
      </w:r>
      <w:r w:rsidR="00C02CD8" w:rsidRPr="004C2A59">
        <w:rPr>
          <w:color w:val="000000"/>
          <w:sz w:val="22"/>
          <w:szCs w:val="22"/>
          <w:lang w:val="da-DK"/>
        </w:rPr>
        <w:t> </w:t>
      </w:r>
      <w:r w:rsidR="006E4618" w:rsidRPr="004C2A59">
        <w:rPr>
          <w:color w:val="000000"/>
          <w:sz w:val="22"/>
          <w:szCs w:val="22"/>
          <w:lang w:val="da-DK"/>
        </w:rPr>
        <w:t xml:space="preserve">voksne </w:t>
      </w:r>
      <w:r w:rsidRPr="004C2A59">
        <w:rPr>
          <w:color w:val="000000"/>
          <w:sz w:val="22"/>
          <w:szCs w:val="22"/>
          <w:lang w:val="da-DK"/>
        </w:rPr>
        <w:t>patienter med accelereret sygdomsfase. De første 77</w:t>
      </w:r>
      <w:r w:rsidR="00C02CD8" w:rsidRPr="004C2A59">
        <w:rPr>
          <w:color w:val="000000"/>
          <w:sz w:val="22"/>
          <w:szCs w:val="22"/>
          <w:lang w:val="da-DK"/>
        </w:rPr>
        <w:t> </w:t>
      </w:r>
      <w:r w:rsidRPr="004C2A59">
        <w:rPr>
          <w:color w:val="000000"/>
          <w:sz w:val="22"/>
          <w:szCs w:val="22"/>
          <w:lang w:val="da-DK"/>
        </w:rPr>
        <w:t>patienter startede med en dosis på 400</w:t>
      </w:r>
      <w:r w:rsidR="00C17108" w:rsidRPr="004C2A59">
        <w:rPr>
          <w:color w:val="000000"/>
          <w:sz w:val="22"/>
          <w:szCs w:val="22"/>
          <w:lang w:val="da-DK"/>
        </w:rPr>
        <w:t> mg</w:t>
      </w:r>
      <w:r w:rsidRPr="004C2A59">
        <w:rPr>
          <w:color w:val="000000"/>
          <w:sz w:val="22"/>
          <w:szCs w:val="22"/>
          <w:lang w:val="da-DK"/>
        </w:rPr>
        <w:t>, protokollen blev efterfølgende ændret og tillod højere doser, hvorefter de resterende 158</w:t>
      </w:r>
      <w:r w:rsidR="00C02CD8" w:rsidRPr="004C2A59">
        <w:rPr>
          <w:color w:val="000000"/>
          <w:sz w:val="22"/>
          <w:szCs w:val="22"/>
          <w:lang w:val="da-DK"/>
        </w:rPr>
        <w:t> </w:t>
      </w:r>
      <w:r w:rsidRPr="004C2A59">
        <w:rPr>
          <w:color w:val="000000"/>
          <w:sz w:val="22"/>
          <w:szCs w:val="22"/>
          <w:lang w:val="da-DK"/>
        </w:rPr>
        <w:t>patienter startede med en dosis på 600</w:t>
      </w:r>
      <w:r w:rsidR="00C17108" w:rsidRPr="004C2A59">
        <w:rPr>
          <w:color w:val="000000"/>
          <w:sz w:val="22"/>
          <w:szCs w:val="22"/>
          <w:lang w:val="da-DK"/>
        </w:rPr>
        <w:t> mg</w:t>
      </w:r>
      <w:r w:rsidRPr="004C2A59">
        <w:rPr>
          <w:color w:val="000000"/>
          <w:sz w:val="22"/>
          <w:szCs w:val="22"/>
          <w:lang w:val="da-DK"/>
        </w:rPr>
        <w:t>.</w:t>
      </w:r>
    </w:p>
    <w:p w14:paraId="1EF55BB8" w14:textId="77777777" w:rsidR="00270C5A" w:rsidRPr="004C2A59" w:rsidRDefault="00270C5A" w:rsidP="00421681">
      <w:pPr>
        <w:widowControl w:val="0"/>
        <w:rPr>
          <w:color w:val="000000"/>
          <w:sz w:val="22"/>
          <w:szCs w:val="22"/>
          <w:lang w:val="da-DK"/>
        </w:rPr>
      </w:pPr>
    </w:p>
    <w:p w14:paraId="45CC6C19" w14:textId="77777777" w:rsidR="00610A3A" w:rsidRPr="004C2A59" w:rsidRDefault="00270C5A" w:rsidP="00421681">
      <w:pPr>
        <w:widowControl w:val="0"/>
        <w:rPr>
          <w:color w:val="000000"/>
          <w:sz w:val="22"/>
          <w:szCs w:val="22"/>
          <w:lang w:val="da-DK"/>
        </w:rPr>
      </w:pPr>
      <w:r w:rsidRPr="004C2A59">
        <w:rPr>
          <w:color w:val="000000"/>
          <w:sz w:val="22"/>
          <w:szCs w:val="22"/>
          <w:lang w:val="da-DK"/>
        </w:rPr>
        <w:t>Den primære effektvariable var graden af hæmatologisk hovedrespons, rapporteret enten som fuldstændigt hæmatologisk respons, intet tegn på leukæmi (f.eks. clearance af blaster fra knoglemarv og blod, men uden fuldstændig restitution i perifert blod som ved fuldstændigt respons) eller remission til CML i kronisk fase. Der opnåedes konfirmeret hæmatologisk respons hos 7</w:t>
      </w:r>
      <w:r w:rsidR="00FE79A0" w:rsidRPr="004C2A59">
        <w:rPr>
          <w:color w:val="000000"/>
          <w:sz w:val="22"/>
          <w:szCs w:val="22"/>
          <w:lang w:val="da-DK"/>
        </w:rPr>
        <w:t>1,5</w:t>
      </w:r>
      <w:r w:rsidRPr="004C2A59">
        <w:rPr>
          <w:color w:val="000000"/>
          <w:sz w:val="22"/>
          <w:szCs w:val="22"/>
          <w:lang w:val="da-DK"/>
        </w:rPr>
        <w:t>% af patienterne (</w:t>
      </w:r>
      <w:r w:rsidR="0036624D" w:rsidRPr="004C2A59">
        <w:rPr>
          <w:color w:val="000000"/>
          <w:sz w:val="22"/>
          <w:szCs w:val="22"/>
          <w:lang w:val="da-DK"/>
        </w:rPr>
        <w:t>T</w:t>
      </w:r>
      <w:r w:rsidRPr="004C2A59">
        <w:rPr>
          <w:color w:val="000000"/>
          <w:sz w:val="22"/>
          <w:szCs w:val="22"/>
          <w:lang w:val="da-DK"/>
        </w:rPr>
        <w:t>abel</w:t>
      </w:r>
      <w:r w:rsidR="000F2BB3" w:rsidRPr="004C2A59">
        <w:rPr>
          <w:color w:val="000000"/>
          <w:sz w:val="22"/>
          <w:szCs w:val="22"/>
          <w:lang w:val="da-DK"/>
        </w:rPr>
        <w:t> </w:t>
      </w:r>
      <w:r w:rsidR="00353FC4" w:rsidRPr="004C2A59">
        <w:rPr>
          <w:color w:val="000000"/>
          <w:sz w:val="22"/>
          <w:szCs w:val="22"/>
          <w:lang w:val="da-DK"/>
        </w:rPr>
        <w:t>3</w:t>
      </w:r>
      <w:r w:rsidRPr="004C2A59">
        <w:rPr>
          <w:color w:val="000000"/>
          <w:sz w:val="22"/>
          <w:szCs w:val="22"/>
          <w:lang w:val="da-DK"/>
        </w:rPr>
        <w:t>). Væsentligt er det, at 2</w:t>
      </w:r>
      <w:r w:rsidR="00FE79A0" w:rsidRPr="004C2A59">
        <w:rPr>
          <w:color w:val="000000"/>
          <w:sz w:val="22"/>
          <w:szCs w:val="22"/>
          <w:lang w:val="da-DK"/>
        </w:rPr>
        <w:t>7,7</w:t>
      </w:r>
      <w:r w:rsidRPr="004C2A59">
        <w:rPr>
          <w:color w:val="000000"/>
          <w:sz w:val="22"/>
          <w:szCs w:val="22"/>
          <w:lang w:val="da-DK"/>
        </w:rPr>
        <w:t xml:space="preserve">% af patienterne også opnåede et cytogenetisk hovedrespons, hvilket var fuldstændigt hos </w:t>
      </w:r>
      <w:r w:rsidR="00FE79A0" w:rsidRPr="004C2A59">
        <w:rPr>
          <w:color w:val="000000"/>
          <w:sz w:val="22"/>
          <w:szCs w:val="22"/>
          <w:lang w:val="da-DK"/>
        </w:rPr>
        <w:t>20,4</w:t>
      </w:r>
      <w:r w:rsidRPr="004C2A59">
        <w:rPr>
          <w:color w:val="000000"/>
          <w:sz w:val="22"/>
          <w:szCs w:val="22"/>
          <w:lang w:val="da-DK"/>
        </w:rPr>
        <w:t>% (bekræftet 1</w:t>
      </w:r>
      <w:r w:rsidR="00FE79A0" w:rsidRPr="004C2A59">
        <w:rPr>
          <w:color w:val="000000"/>
          <w:sz w:val="22"/>
          <w:szCs w:val="22"/>
          <w:lang w:val="da-DK"/>
        </w:rPr>
        <w:t>6</w:t>
      </w:r>
      <w:r w:rsidRPr="004C2A59">
        <w:rPr>
          <w:color w:val="000000"/>
          <w:sz w:val="22"/>
          <w:szCs w:val="22"/>
          <w:lang w:val="da-DK"/>
        </w:rPr>
        <w:t>%) af patienterne. For patienter behandlet med 600</w:t>
      </w:r>
      <w:r w:rsidR="00C17108" w:rsidRPr="004C2A59">
        <w:rPr>
          <w:color w:val="000000"/>
          <w:sz w:val="22"/>
          <w:szCs w:val="22"/>
          <w:lang w:val="da-DK"/>
        </w:rPr>
        <w:t> mg</w:t>
      </w:r>
      <w:r w:rsidRPr="004C2A59">
        <w:rPr>
          <w:color w:val="000000"/>
          <w:sz w:val="22"/>
          <w:szCs w:val="22"/>
          <w:lang w:val="da-DK"/>
        </w:rPr>
        <w:t xml:space="preserve">, var de </w:t>
      </w:r>
      <w:r w:rsidR="00FE79A0" w:rsidRPr="004C2A59">
        <w:rPr>
          <w:color w:val="000000"/>
          <w:sz w:val="22"/>
          <w:szCs w:val="22"/>
          <w:lang w:val="da-DK"/>
        </w:rPr>
        <w:t xml:space="preserve">nuværende </w:t>
      </w:r>
      <w:r w:rsidRPr="004C2A59">
        <w:rPr>
          <w:color w:val="000000"/>
          <w:sz w:val="22"/>
          <w:szCs w:val="22"/>
          <w:lang w:val="da-DK"/>
        </w:rPr>
        <w:t>estim</w:t>
      </w:r>
      <w:r w:rsidR="00FE79A0" w:rsidRPr="004C2A59">
        <w:rPr>
          <w:color w:val="000000"/>
          <w:sz w:val="22"/>
          <w:szCs w:val="22"/>
          <w:lang w:val="da-DK"/>
        </w:rPr>
        <w:t>at</w:t>
      </w:r>
      <w:r w:rsidR="000419FB" w:rsidRPr="004C2A59">
        <w:rPr>
          <w:color w:val="000000"/>
          <w:sz w:val="22"/>
          <w:szCs w:val="22"/>
          <w:lang w:val="da-DK"/>
        </w:rPr>
        <w:t>er</w:t>
      </w:r>
      <w:r w:rsidR="00FE79A0" w:rsidRPr="004C2A59">
        <w:rPr>
          <w:color w:val="000000"/>
          <w:sz w:val="22"/>
          <w:szCs w:val="22"/>
          <w:lang w:val="da-DK"/>
        </w:rPr>
        <w:t xml:space="preserve"> for</w:t>
      </w:r>
      <w:r w:rsidRPr="004C2A59">
        <w:rPr>
          <w:color w:val="000000"/>
          <w:sz w:val="22"/>
          <w:szCs w:val="22"/>
          <w:lang w:val="da-DK"/>
        </w:rPr>
        <w:t xml:space="preserve"> </w:t>
      </w:r>
      <w:r w:rsidR="00FE79A0" w:rsidRPr="004C2A59">
        <w:rPr>
          <w:color w:val="000000"/>
          <w:sz w:val="22"/>
          <w:szCs w:val="22"/>
          <w:lang w:val="da-DK"/>
        </w:rPr>
        <w:t xml:space="preserve">median </w:t>
      </w:r>
      <w:r w:rsidRPr="004C2A59">
        <w:rPr>
          <w:color w:val="000000"/>
          <w:sz w:val="22"/>
          <w:szCs w:val="22"/>
          <w:lang w:val="da-DK"/>
        </w:rPr>
        <w:t xml:space="preserve">progressionsfri overlevelse og overlevelse i det hele taget henholdsvis </w:t>
      </w:r>
      <w:r w:rsidR="00FE79A0" w:rsidRPr="004C2A59">
        <w:rPr>
          <w:color w:val="000000"/>
          <w:sz w:val="22"/>
          <w:szCs w:val="22"/>
          <w:lang w:val="da-DK"/>
        </w:rPr>
        <w:t>22,9 og 42,5 måneder</w:t>
      </w:r>
      <w:r w:rsidRPr="004C2A59">
        <w:rPr>
          <w:color w:val="000000"/>
          <w:sz w:val="22"/>
          <w:szCs w:val="22"/>
          <w:lang w:val="da-DK"/>
        </w:rPr>
        <w:t>.</w:t>
      </w:r>
    </w:p>
    <w:p w14:paraId="4E5BD525" w14:textId="77777777" w:rsidR="00270C5A" w:rsidRPr="004C2A59" w:rsidRDefault="00270C5A" w:rsidP="00421681">
      <w:pPr>
        <w:widowControl w:val="0"/>
        <w:rPr>
          <w:color w:val="000000"/>
          <w:sz w:val="22"/>
          <w:szCs w:val="22"/>
          <w:lang w:val="da-DK"/>
        </w:rPr>
      </w:pPr>
    </w:p>
    <w:p w14:paraId="340CD305" w14:textId="77777777" w:rsidR="00270C5A" w:rsidRPr="004C2A59" w:rsidRDefault="00270C5A" w:rsidP="00421681">
      <w:pPr>
        <w:widowControl w:val="0"/>
        <w:rPr>
          <w:color w:val="000000"/>
          <w:sz w:val="22"/>
          <w:szCs w:val="22"/>
          <w:lang w:val="da-DK"/>
        </w:rPr>
      </w:pPr>
      <w:r w:rsidRPr="004C2A59">
        <w:rPr>
          <w:i/>
          <w:color w:val="000000"/>
          <w:sz w:val="22"/>
          <w:szCs w:val="22"/>
          <w:lang w:val="da-DK"/>
        </w:rPr>
        <w:t xml:space="preserve">Myeloid blastkrise: </w:t>
      </w:r>
      <w:r w:rsidRPr="004C2A59">
        <w:rPr>
          <w:color w:val="000000"/>
          <w:sz w:val="22"/>
          <w:szCs w:val="22"/>
          <w:lang w:val="da-DK"/>
        </w:rPr>
        <w:t>Der inkluderedes 260</w:t>
      </w:r>
      <w:r w:rsidR="00C02CD8" w:rsidRPr="004C2A59">
        <w:rPr>
          <w:color w:val="000000"/>
          <w:sz w:val="22"/>
          <w:szCs w:val="22"/>
          <w:lang w:val="da-DK"/>
        </w:rPr>
        <w:t> </w:t>
      </w:r>
      <w:r w:rsidRPr="004C2A59">
        <w:rPr>
          <w:color w:val="000000"/>
          <w:sz w:val="22"/>
          <w:szCs w:val="22"/>
          <w:lang w:val="da-DK"/>
        </w:rPr>
        <w:t>patienter med myeloid blastkrise. 95 (37%) havde tidligere modtaget kemoterapi til behandling af enten accelereret fase eller blastkrise (</w:t>
      </w:r>
      <w:r w:rsidR="00931855" w:rsidRPr="004C2A59">
        <w:rPr>
          <w:color w:val="000000"/>
          <w:sz w:val="22"/>
          <w:szCs w:val="22"/>
          <w:lang w:val="da-DK"/>
        </w:rPr>
        <w:t>”</w:t>
      </w:r>
      <w:r w:rsidRPr="004C2A59">
        <w:rPr>
          <w:color w:val="000000"/>
          <w:sz w:val="22"/>
          <w:szCs w:val="22"/>
          <w:lang w:val="da-DK"/>
        </w:rPr>
        <w:t>tidligere behandlede patienter”), hvorimod 165 (63%) ikke havde (</w:t>
      </w:r>
      <w:r w:rsidR="00931855" w:rsidRPr="004C2A59">
        <w:rPr>
          <w:color w:val="000000"/>
          <w:sz w:val="22"/>
          <w:szCs w:val="22"/>
          <w:lang w:val="da-DK"/>
        </w:rPr>
        <w:t>”</w:t>
      </w:r>
      <w:r w:rsidRPr="004C2A59">
        <w:rPr>
          <w:color w:val="000000"/>
          <w:sz w:val="22"/>
          <w:szCs w:val="22"/>
          <w:lang w:val="da-DK"/>
        </w:rPr>
        <w:t>ubehandlede patienter”). De første 37</w:t>
      </w:r>
      <w:r w:rsidR="00C02CD8" w:rsidRPr="004C2A59">
        <w:rPr>
          <w:color w:val="000000"/>
          <w:sz w:val="22"/>
          <w:szCs w:val="22"/>
          <w:lang w:val="da-DK"/>
        </w:rPr>
        <w:t> </w:t>
      </w:r>
      <w:r w:rsidRPr="004C2A59">
        <w:rPr>
          <w:color w:val="000000"/>
          <w:sz w:val="22"/>
          <w:szCs w:val="22"/>
          <w:lang w:val="da-DK"/>
        </w:rPr>
        <w:t xml:space="preserve">patienter startede </w:t>
      </w:r>
      <w:r w:rsidRPr="004C2A59">
        <w:rPr>
          <w:color w:val="000000"/>
          <w:sz w:val="22"/>
          <w:szCs w:val="22"/>
          <w:lang w:val="da-DK"/>
        </w:rPr>
        <w:lastRenderedPageBreak/>
        <w:t>med 400</w:t>
      </w:r>
      <w:r w:rsidR="00C17108" w:rsidRPr="004C2A59">
        <w:rPr>
          <w:color w:val="000000"/>
          <w:sz w:val="22"/>
          <w:szCs w:val="22"/>
          <w:lang w:val="da-DK"/>
        </w:rPr>
        <w:t> mg</w:t>
      </w:r>
      <w:r w:rsidRPr="004C2A59">
        <w:rPr>
          <w:color w:val="000000"/>
          <w:sz w:val="22"/>
          <w:szCs w:val="22"/>
          <w:lang w:val="da-DK"/>
        </w:rPr>
        <w:t>, protokollen blev efterfølgende ændret og tillod højere doser, hvorefter de resterende 223 patienter startede med 600</w:t>
      </w:r>
      <w:r w:rsidR="00C17108" w:rsidRPr="004C2A59">
        <w:rPr>
          <w:color w:val="000000"/>
          <w:sz w:val="22"/>
          <w:szCs w:val="22"/>
          <w:lang w:val="da-DK"/>
        </w:rPr>
        <w:t> mg</w:t>
      </w:r>
      <w:r w:rsidRPr="004C2A59">
        <w:rPr>
          <w:color w:val="000000"/>
          <w:sz w:val="22"/>
          <w:szCs w:val="22"/>
          <w:lang w:val="da-DK"/>
        </w:rPr>
        <w:t>.</w:t>
      </w:r>
    </w:p>
    <w:p w14:paraId="6B0833D7" w14:textId="77777777" w:rsidR="00270C5A" w:rsidRPr="004C2A59" w:rsidRDefault="00270C5A" w:rsidP="00421681">
      <w:pPr>
        <w:widowControl w:val="0"/>
        <w:rPr>
          <w:color w:val="000000"/>
          <w:sz w:val="22"/>
          <w:szCs w:val="22"/>
          <w:lang w:val="da-DK"/>
        </w:rPr>
      </w:pPr>
    </w:p>
    <w:p w14:paraId="34B9B4D2" w14:textId="77777777" w:rsidR="00270C5A" w:rsidRPr="004C2A59" w:rsidRDefault="00270C5A" w:rsidP="00421681">
      <w:pPr>
        <w:widowControl w:val="0"/>
        <w:rPr>
          <w:color w:val="000000"/>
          <w:sz w:val="22"/>
          <w:szCs w:val="22"/>
          <w:lang w:val="da-DK"/>
        </w:rPr>
      </w:pPr>
      <w:r w:rsidRPr="004C2A59">
        <w:rPr>
          <w:color w:val="000000"/>
          <w:sz w:val="22"/>
          <w:szCs w:val="22"/>
          <w:lang w:val="da-DK"/>
        </w:rPr>
        <w:t xml:space="preserve">Den primære effektvariable var graden af hæmatologisk hovedrespons, rapporteret enten som fuldstændigt hæmatologisk respons, intet tegn på leukæmi, eller remission til CML i kronisk fase, med anvendelse af samme kriterier som i undersøgelsen med patienter i accelereret fase. I denne undersøgelse opnåede 31% af patienterne et hæmatologisk respons (36% af de tidligere </w:t>
      </w:r>
      <w:r w:rsidR="00931855" w:rsidRPr="004C2A59">
        <w:rPr>
          <w:color w:val="000000"/>
          <w:sz w:val="22"/>
          <w:szCs w:val="22"/>
          <w:lang w:val="da-DK"/>
        </w:rPr>
        <w:t>”</w:t>
      </w:r>
      <w:r w:rsidRPr="004C2A59">
        <w:rPr>
          <w:color w:val="000000"/>
          <w:sz w:val="22"/>
          <w:szCs w:val="22"/>
          <w:lang w:val="da-DK"/>
        </w:rPr>
        <w:t xml:space="preserve">ubehandlede patienter” og 22% af de </w:t>
      </w:r>
      <w:r w:rsidR="00931855" w:rsidRPr="004C2A59">
        <w:rPr>
          <w:color w:val="000000"/>
          <w:sz w:val="22"/>
          <w:szCs w:val="22"/>
          <w:lang w:val="da-DK"/>
        </w:rPr>
        <w:t>”</w:t>
      </w:r>
      <w:r w:rsidRPr="004C2A59">
        <w:rPr>
          <w:color w:val="000000"/>
          <w:sz w:val="22"/>
          <w:szCs w:val="22"/>
          <w:lang w:val="da-DK"/>
        </w:rPr>
        <w:t>tidligere behandlede patienter”). Hovedresponsniveauet var også større hos patienter behandlet med 600</w:t>
      </w:r>
      <w:r w:rsidR="00C17108" w:rsidRPr="004C2A59">
        <w:rPr>
          <w:color w:val="000000"/>
          <w:sz w:val="22"/>
          <w:szCs w:val="22"/>
          <w:lang w:val="da-DK"/>
        </w:rPr>
        <w:t> mg</w:t>
      </w:r>
      <w:r w:rsidRPr="004C2A59">
        <w:rPr>
          <w:color w:val="000000"/>
          <w:sz w:val="22"/>
          <w:szCs w:val="22"/>
          <w:lang w:val="da-DK"/>
        </w:rPr>
        <w:t xml:space="preserve"> (33%) sammenlignet med patienter behandlet med 400</w:t>
      </w:r>
      <w:r w:rsidR="00C17108" w:rsidRPr="004C2A59">
        <w:rPr>
          <w:color w:val="000000"/>
          <w:sz w:val="22"/>
          <w:szCs w:val="22"/>
          <w:lang w:val="da-DK"/>
        </w:rPr>
        <w:t> mg</w:t>
      </w:r>
      <w:r w:rsidRPr="004C2A59">
        <w:rPr>
          <w:color w:val="000000"/>
          <w:sz w:val="22"/>
          <w:szCs w:val="22"/>
          <w:lang w:val="da-DK"/>
        </w:rPr>
        <w:t xml:space="preserve"> (16%, p=0,0220). Den aktuelle estimerede gennemsnitlige overlevelse hos tidligere </w:t>
      </w:r>
      <w:r w:rsidR="00931855" w:rsidRPr="004C2A59">
        <w:rPr>
          <w:color w:val="000000"/>
          <w:sz w:val="22"/>
          <w:szCs w:val="22"/>
          <w:lang w:val="da-DK"/>
        </w:rPr>
        <w:t>”</w:t>
      </w:r>
      <w:r w:rsidRPr="004C2A59">
        <w:rPr>
          <w:color w:val="000000"/>
          <w:sz w:val="22"/>
          <w:szCs w:val="22"/>
          <w:lang w:val="da-DK"/>
        </w:rPr>
        <w:t xml:space="preserve">ubehandlede” og </w:t>
      </w:r>
      <w:r w:rsidR="00931855" w:rsidRPr="004C2A59">
        <w:rPr>
          <w:color w:val="000000"/>
          <w:sz w:val="22"/>
          <w:szCs w:val="22"/>
          <w:lang w:val="da-DK"/>
        </w:rPr>
        <w:t>”</w:t>
      </w:r>
      <w:r w:rsidRPr="004C2A59">
        <w:rPr>
          <w:color w:val="000000"/>
          <w:sz w:val="22"/>
          <w:szCs w:val="22"/>
          <w:lang w:val="da-DK"/>
        </w:rPr>
        <w:t>behandlede patienter” var henholdsvis 7,7 og 4,7</w:t>
      </w:r>
      <w:r w:rsidR="00C02CD8" w:rsidRPr="004C2A59">
        <w:rPr>
          <w:color w:val="000000"/>
          <w:sz w:val="22"/>
          <w:szCs w:val="22"/>
          <w:lang w:val="da-DK"/>
        </w:rPr>
        <w:t> </w:t>
      </w:r>
      <w:r w:rsidRPr="004C2A59">
        <w:rPr>
          <w:color w:val="000000"/>
          <w:sz w:val="22"/>
          <w:szCs w:val="22"/>
          <w:lang w:val="da-DK"/>
        </w:rPr>
        <w:t>måneder.</w:t>
      </w:r>
    </w:p>
    <w:p w14:paraId="535A9D8D" w14:textId="77777777" w:rsidR="00270C5A" w:rsidRPr="004C2A59" w:rsidRDefault="00270C5A" w:rsidP="00421681">
      <w:pPr>
        <w:rPr>
          <w:color w:val="000000"/>
          <w:sz w:val="22"/>
          <w:szCs w:val="22"/>
          <w:lang w:val="da-DK"/>
        </w:rPr>
      </w:pPr>
    </w:p>
    <w:p w14:paraId="565B0C14" w14:textId="77777777" w:rsidR="00610A3A" w:rsidRPr="004C2A59" w:rsidRDefault="00270C5A" w:rsidP="00421681">
      <w:pPr>
        <w:pStyle w:val="BodyText"/>
        <w:jc w:val="left"/>
        <w:rPr>
          <w:b w:val="0"/>
          <w:noProof w:val="0"/>
          <w:color w:val="000000"/>
          <w:szCs w:val="22"/>
          <w:lang w:val="da-DK"/>
        </w:rPr>
      </w:pPr>
      <w:r w:rsidRPr="004C2A59">
        <w:rPr>
          <w:b w:val="0"/>
          <w:i/>
          <w:noProof w:val="0"/>
          <w:color w:val="000000"/>
          <w:szCs w:val="22"/>
          <w:lang w:val="da-DK"/>
        </w:rPr>
        <w:t>Lymfoid blastkrise</w:t>
      </w:r>
      <w:r w:rsidRPr="004C2A59">
        <w:rPr>
          <w:b w:val="0"/>
          <w:noProof w:val="0"/>
          <w:color w:val="000000"/>
          <w:szCs w:val="22"/>
          <w:lang w:val="da-DK"/>
        </w:rPr>
        <w:t>: der inkluderedes et begrænset antal patienter i fase</w:t>
      </w:r>
      <w:r w:rsidR="00B27D9A" w:rsidRPr="004C2A59">
        <w:rPr>
          <w:b w:val="0"/>
          <w:noProof w:val="0"/>
          <w:color w:val="000000"/>
          <w:szCs w:val="22"/>
          <w:lang w:val="da-DK"/>
        </w:rPr>
        <w:t> </w:t>
      </w:r>
      <w:r w:rsidRPr="004C2A59">
        <w:rPr>
          <w:b w:val="0"/>
          <w:noProof w:val="0"/>
          <w:color w:val="000000"/>
          <w:szCs w:val="22"/>
          <w:lang w:val="da-DK"/>
        </w:rPr>
        <w:t>I undersøgelser (n=10). Incidensen af hæmatologisk respons var 70% med en varighed på 2</w:t>
      </w:r>
      <w:r w:rsidR="00ED38CD" w:rsidRPr="004C2A59">
        <w:rPr>
          <w:color w:val="000000"/>
          <w:szCs w:val="22"/>
          <w:lang w:val="da-DK"/>
        </w:rPr>
        <w:t>–</w:t>
      </w:r>
      <w:r w:rsidRPr="004C2A59">
        <w:rPr>
          <w:b w:val="0"/>
          <w:noProof w:val="0"/>
          <w:color w:val="000000"/>
          <w:szCs w:val="22"/>
          <w:lang w:val="da-DK"/>
        </w:rPr>
        <w:t>3</w:t>
      </w:r>
      <w:r w:rsidR="00C02CD8" w:rsidRPr="004C2A59">
        <w:rPr>
          <w:b w:val="0"/>
          <w:noProof w:val="0"/>
          <w:color w:val="000000"/>
          <w:szCs w:val="22"/>
          <w:lang w:val="da-DK"/>
        </w:rPr>
        <w:t> </w:t>
      </w:r>
      <w:r w:rsidRPr="004C2A59">
        <w:rPr>
          <w:b w:val="0"/>
          <w:noProof w:val="0"/>
          <w:color w:val="000000"/>
          <w:szCs w:val="22"/>
          <w:lang w:val="da-DK"/>
        </w:rPr>
        <w:t>måneder.</w:t>
      </w:r>
    </w:p>
    <w:p w14:paraId="7DEB3DA5" w14:textId="77777777" w:rsidR="00270C5A" w:rsidRPr="004C2A59" w:rsidRDefault="00270C5A" w:rsidP="00421681">
      <w:pPr>
        <w:widowControl w:val="0"/>
        <w:rPr>
          <w:color w:val="000000"/>
          <w:sz w:val="22"/>
          <w:szCs w:val="22"/>
          <w:lang w:val="da-DK"/>
        </w:rPr>
      </w:pPr>
    </w:p>
    <w:p w14:paraId="44A8CFBD" w14:textId="77777777" w:rsidR="00270C5A" w:rsidRPr="004C2A59" w:rsidRDefault="00270C5A" w:rsidP="006C180B">
      <w:pPr>
        <w:pStyle w:val="Heading9"/>
        <w:widowControl w:val="0"/>
        <w:numPr>
          <w:ilvl w:val="0"/>
          <w:numId w:val="0"/>
        </w:numPr>
        <w:tabs>
          <w:tab w:val="left" w:pos="1134"/>
        </w:tabs>
        <w:suppressAutoHyphens w:val="0"/>
        <w:rPr>
          <w:color w:val="000000"/>
          <w:szCs w:val="22"/>
        </w:rPr>
      </w:pPr>
      <w:r w:rsidRPr="004C2A59">
        <w:rPr>
          <w:color w:val="000000"/>
          <w:szCs w:val="22"/>
        </w:rPr>
        <w:t>Tabel</w:t>
      </w:r>
      <w:r w:rsidR="000F2BB3" w:rsidRPr="004C2A59">
        <w:rPr>
          <w:color w:val="000000"/>
          <w:szCs w:val="22"/>
        </w:rPr>
        <w:t> </w:t>
      </w:r>
      <w:r w:rsidR="00353FC4" w:rsidRPr="004C2A59">
        <w:rPr>
          <w:color w:val="000000"/>
          <w:szCs w:val="22"/>
        </w:rPr>
        <w:t>3</w:t>
      </w:r>
      <w:r w:rsidRPr="004C2A59">
        <w:rPr>
          <w:color w:val="000000"/>
          <w:szCs w:val="22"/>
        </w:rPr>
        <w:tab/>
        <w:t xml:space="preserve">Respons hos </w:t>
      </w:r>
      <w:r w:rsidR="006E4618" w:rsidRPr="004C2A59">
        <w:rPr>
          <w:color w:val="000000"/>
          <w:szCs w:val="22"/>
        </w:rPr>
        <w:t xml:space="preserve">voksne </w:t>
      </w:r>
      <w:r w:rsidR="000E2F8A" w:rsidRPr="004C2A59">
        <w:rPr>
          <w:color w:val="000000"/>
          <w:szCs w:val="22"/>
        </w:rPr>
        <w:t>CML-patienter</w:t>
      </w:r>
    </w:p>
    <w:p w14:paraId="1B36559C" w14:textId="77777777" w:rsidR="00270C5A" w:rsidRPr="004C2A59" w:rsidRDefault="00270C5A" w:rsidP="006C180B">
      <w:pPr>
        <w:keepNext/>
        <w:widowControl w:val="0"/>
        <w:rPr>
          <w:color w:val="000000"/>
          <w:sz w:val="22"/>
          <w:szCs w:val="22"/>
          <w:lang w:val="da-DK"/>
        </w:rPr>
      </w:pPr>
    </w:p>
    <w:tbl>
      <w:tblPr>
        <w:tblW w:w="9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8"/>
        <w:gridCol w:w="1969"/>
        <w:gridCol w:w="2031"/>
        <w:gridCol w:w="2084"/>
      </w:tblGrid>
      <w:tr w:rsidR="00270C5A" w:rsidRPr="00DA2798" w14:paraId="2E628843" w14:textId="77777777" w:rsidTr="006C180B">
        <w:trPr>
          <w:cantSplit/>
          <w:jc w:val="center"/>
        </w:trPr>
        <w:tc>
          <w:tcPr>
            <w:tcW w:w="3388" w:type="dxa"/>
            <w:tcBorders>
              <w:bottom w:val="nil"/>
            </w:tcBorders>
          </w:tcPr>
          <w:p w14:paraId="0E7F143F" w14:textId="77777777" w:rsidR="00270C5A" w:rsidRPr="004C2A59" w:rsidRDefault="00270C5A" w:rsidP="006C180B">
            <w:pPr>
              <w:pStyle w:val="EndnoteText"/>
              <w:keepNext/>
              <w:tabs>
                <w:tab w:val="clear" w:pos="567"/>
              </w:tabs>
              <w:rPr>
                <w:color w:val="000000"/>
                <w:szCs w:val="22"/>
              </w:rPr>
            </w:pPr>
          </w:p>
        </w:tc>
        <w:tc>
          <w:tcPr>
            <w:tcW w:w="1969" w:type="dxa"/>
            <w:tcBorders>
              <w:bottom w:val="nil"/>
            </w:tcBorders>
          </w:tcPr>
          <w:p w14:paraId="3C386ECF"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Undersøgelse 0110</w:t>
            </w:r>
          </w:p>
          <w:p w14:paraId="5BFFBE55" w14:textId="77777777" w:rsidR="00D3218B" w:rsidRPr="004C2A59" w:rsidRDefault="00D3218B" w:rsidP="006C180B">
            <w:pPr>
              <w:pStyle w:val="EndnoteText"/>
              <w:keepNext/>
              <w:tabs>
                <w:tab w:val="clear" w:pos="567"/>
              </w:tabs>
              <w:jc w:val="center"/>
              <w:rPr>
                <w:color w:val="000000"/>
                <w:szCs w:val="22"/>
              </w:rPr>
            </w:pPr>
            <w:r w:rsidRPr="004C2A59">
              <w:rPr>
                <w:color w:val="000000"/>
                <w:szCs w:val="22"/>
              </w:rPr>
              <w:t>37 måneders data</w:t>
            </w:r>
          </w:p>
          <w:p w14:paraId="7D35B97D"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Kronisk fase, IFN-svigt</w:t>
            </w:r>
          </w:p>
          <w:p w14:paraId="1119DEDC"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(n=532)</w:t>
            </w:r>
          </w:p>
        </w:tc>
        <w:tc>
          <w:tcPr>
            <w:tcW w:w="2031" w:type="dxa"/>
            <w:tcBorders>
              <w:bottom w:val="nil"/>
            </w:tcBorders>
          </w:tcPr>
          <w:p w14:paraId="28874782"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Undersøgelse 0109</w:t>
            </w:r>
          </w:p>
          <w:p w14:paraId="68CF18CC" w14:textId="77777777" w:rsidR="00D3218B" w:rsidRPr="004C2A59" w:rsidRDefault="00D3218B" w:rsidP="006C180B">
            <w:pPr>
              <w:pStyle w:val="EndnoteText"/>
              <w:keepNext/>
              <w:tabs>
                <w:tab w:val="clear" w:pos="567"/>
              </w:tabs>
              <w:jc w:val="center"/>
              <w:rPr>
                <w:color w:val="000000"/>
                <w:szCs w:val="22"/>
              </w:rPr>
            </w:pPr>
            <w:r w:rsidRPr="004C2A59">
              <w:rPr>
                <w:color w:val="000000"/>
                <w:szCs w:val="22"/>
              </w:rPr>
              <w:t>40,5 måneders data</w:t>
            </w:r>
          </w:p>
          <w:p w14:paraId="6BF72A64"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Accelereret fase</w:t>
            </w:r>
          </w:p>
          <w:p w14:paraId="042227D5"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(n=235)</w:t>
            </w:r>
          </w:p>
        </w:tc>
        <w:tc>
          <w:tcPr>
            <w:tcW w:w="2084" w:type="dxa"/>
            <w:tcBorders>
              <w:bottom w:val="nil"/>
            </w:tcBorders>
          </w:tcPr>
          <w:p w14:paraId="2D5EC044"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Undersøgelse 0102</w:t>
            </w:r>
          </w:p>
          <w:p w14:paraId="2702B8C9" w14:textId="77777777" w:rsidR="00D3218B" w:rsidRPr="004C2A59" w:rsidRDefault="00D3218B" w:rsidP="006C180B">
            <w:pPr>
              <w:pStyle w:val="EndnoteText"/>
              <w:keepNext/>
              <w:tabs>
                <w:tab w:val="clear" w:pos="567"/>
              </w:tabs>
              <w:jc w:val="center"/>
              <w:rPr>
                <w:color w:val="000000"/>
                <w:szCs w:val="22"/>
              </w:rPr>
            </w:pPr>
            <w:r w:rsidRPr="004C2A59">
              <w:rPr>
                <w:color w:val="000000"/>
                <w:szCs w:val="22"/>
              </w:rPr>
              <w:t>38 måneders data</w:t>
            </w:r>
          </w:p>
          <w:p w14:paraId="2E77C6D2"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Myeloid blastkrise</w:t>
            </w:r>
          </w:p>
          <w:p w14:paraId="44132AEC"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(n=260)</w:t>
            </w:r>
          </w:p>
        </w:tc>
      </w:tr>
      <w:tr w:rsidR="00270C5A" w:rsidRPr="004C2A59" w14:paraId="4BAADB37" w14:textId="77777777" w:rsidTr="006C180B">
        <w:trPr>
          <w:cantSplit/>
          <w:jc w:val="center"/>
        </w:trPr>
        <w:tc>
          <w:tcPr>
            <w:tcW w:w="3388" w:type="dxa"/>
            <w:tcBorders>
              <w:bottom w:val="nil"/>
              <w:right w:val="nil"/>
            </w:tcBorders>
          </w:tcPr>
          <w:p w14:paraId="151234BB" w14:textId="77777777" w:rsidR="00270C5A" w:rsidRPr="004C2A59" w:rsidRDefault="00270C5A" w:rsidP="006C180B">
            <w:pPr>
              <w:pStyle w:val="EndnoteText"/>
              <w:keepNext/>
              <w:tabs>
                <w:tab w:val="clear" w:pos="567"/>
              </w:tabs>
              <w:rPr>
                <w:color w:val="000000"/>
                <w:szCs w:val="22"/>
              </w:rPr>
            </w:pPr>
          </w:p>
        </w:tc>
        <w:tc>
          <w:tcPr>
            <w:tcW w:w="6084" w:type="dxa"/>
            <w:gridSpan w:val="3"/>
            <w:tcBorders>
              <w:left w:val="nil"/>
              <w:bottom w:val="nil"/>
            </w:tcBorders>
          </w:tcPr>
          <w:p w14:paraId="767D9ADC"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 patienter (CI</w:t>
            </w:r>
            <w:r w:rsidRPr="004C2A59">
              <w:rPr>
                <w:color w:val="000000"/>
                <w:szCs w:val="22"/>
                <w:vertAlign w:val="subscript"/>
              </w:rPr>
              <w:t>95%</w:t>
            </w:r>
            <w:r w:rsidRPr="004C2A59">
              <w:rPr>
                <w:color w:val="000000"/>
                <w:szCs w:val="22"/>
              </w:rPr>
              <w:t>)</w:t>
            </w:r>
          </w:p>
        </w:tc>
      </w:tr>
      <w:tr w:rsidR="00270C5A" w:rsidRPr="004C2A59" w14:paraId="45551D08" w14:textId="77777777" w:rsidTr="006C180B">
        <w:trPr>
          <w:cantSplit/>
          <w:jc w:val="center"/>
        </w:trPr>
        <w:tc>
          <w:tcPr>
            <w:tcW w:w="3388" w:type="dxa"/>
            <w:tcBorders>
              <w:bottom w:val="nil"/>
              <w:right w:val="single" w:sz="4" w:space="0" w:color="auto"/>
            </w:tcBorders>
          </w:tcPr>
          <w:p w14:paraId="74A89908" w14:textId="77777777" w:rsidR="00270C5A" w:rsidRPr="004C2A59" w:rsidRDefault="00270C5A" w:rsidP="006C180B">
            <w:pPr>
              <w:pStyle w:val="EndnoteText"/>
              <w:keepNext/>
              <w:tabs>
                <w:tab w:val="clear" w:pos="567"/>
              </w:tabs>
              <w:rPr>
                <w:color w:val="000000"/>
                <w:szCs w:val="22"/>
                <w:vertAlign w:val="superscript"/>
              </w:rPr>
            </w:pPr>
            <w:r w:rsidRPr="004C2A59">
              <w:rPr>
                <w:color w:val="000000"/>
                <w:szCs w:val="22"/>
              </w:rPr>
              <w:t>Hæmatologisk respons</w:t>
            </w:r>
            <w:r w:rsidRPr="004C2A59">
              <w:rPr>
                <w:color w:val="000000"/>
                <w:szCs w:val="22"/>
                <w:vertAlign w:val="superscript"/>
              </w:rPr>
              <w:t>1</w:t>
            </w:r>
          </w:p>
        </w:tc>
        <w:tc>
          <w:tcPr>
            <w:tcW w:w="1969" w:type="dxa"/>
            <w:tcBorders>
              <w:left w:val="single" w:sz="4" w:space="0" w:color="auto"/>
              <w:bottom w:val="nil"/>
              <w:right w:val="single" w:sz="4" w:space="0" w:color="auto"/>
            </w:tcBorders>
          </w:tcPr>
          <w:p w14:paraId="0303AFC3"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9</w:t>
            </w:r>
            <w:r w:rsidR="00D3218B" w:rsidRPr="004C2A59">
              <w:rPr>
                <w:color w:val="000000"/>
                <w:szCs w:val="22"/>
              </w:rPr>
              <w:t>5% (92,3</w:t>
            </w:r>
            <w:r w:rsidR="00D3218B" w:rsidRPr="004C2A59">
              <w:rPr>
                <w:color w:val="000000"/>
                <w:szCs w:val="22"/>
              </w:rPr>
              <w:noBreakHyphen/>
              <w:t>96,3)</w:t>
            </w:r>
          </w:p>
        </w:tc>
        <w:tc>
          <w:tcPr>
            <w:tcW w:w="2031" w:type="dxa"/>
            <w:tcBorders>
              <w:left w:val="single" w:sz="4" w:space="0" w:color="auto"/>
              <w:bottom w:val="nil"/>
              <w:right w:val="single" w:sz="4" w:space="0" w:color="auto"/>
            </w:tcBorders>
          </w:tcPr>
          <w:p w14:paraId="3F7A7606"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7</w:t>
            </w:r>
            <w:r w:rsidR="00D3218B" w:rsidRPr="004C2A59">
              <w:rPr>
                <w:color w:val="000000"/>
                <w:szCs w:val="22"/>
              </w:rPr>
              <w:t>1% (65,3</w:t>
            </w:r>
            <w:r w:rsidR="00D3218B" w:rsidRPr="004C2A59">
              <w:rPr>
                <w:color w:val="000000"/>
                <w:szCs w:val="22"/>
              </w:rPr>
              <w:noBreakHyphen/>
              <w:t>77,2</w:t>
            </w:r>
            <w:r w:rsidR="00291E73" w:rsidRPr="004C2A59">
              <w:rPr>
                <w:color w:val="000000"/>
                <w:szCs w:val="22"/>
              </w:rPr>
              <w:t>)</w:t>
            </w:r>
          </w:p>
        </w:tc>
        <w:tc>
          <w:tcPr>
            <w:tcW w:w="2084" w:type="dxa"/>
            <w:tcBorders>
              <w:left w:val="single" w:sz="4" w:space="0" w:color="auto"/>
              <w:bottom w:val="nil"/>
            </w:tcBorders>
          </w:tcPr>
          <w:p w14:paraId="580EA823"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31% (25,2</w:t>
            </w:r>
            <w:r w:rsidR="00ED38CD" w:rsidRPr="004C2A59">
              <w:rPr>
                <w:color w:val="000000"/>
                <w:szCs w:val="22"/>
              </w:rPr>
              <w:t>–</w:t>
            </w:r>
            <w:r w:rsidRPr="004C2A59">
              <w:rPr>
                <w:color w:val="000000"/>
                <w:szCs w:val="22"/>
              </w:rPr>
              <w:t>36,8)</w:t>
            </w:r>
          </w:p>
        </w:tc>
      </w:tr>
      <w:tr w:rsidR="00270C5A" w:rsidRPr="004C2A59" w14:paraId="5160CB84" w14:textId="77777777" w:rsidTr="006C180B">
        <w:trPr>
          <w:cantSplit/>
          <w:jc w:val="center"/>
        </w:trPr>
        <w:tc>
          <w:tcPr>
            <w:tcW w:w="3388" w:type="dxa"/>
            <w:tcBorders>
              <w:top w:val="nil"/>
              <w:bottom w:val="nil"/>
              <w:right w:val="single" w:sz="4" w:space="0" w:color="auto"/>
            </w:tcBorders>
          </w:tcPr>
          <w:p w14:paraId="6D479F55" w14:textId="77777777" w:rsidR="00270C5A" w:rsidRPr="004C2A59" w:rsidRDefault="00270C5A" w:rsidP="006C180B">
            <w:pPr>
              <w:pStyle w:val="EndnoteText"/>
              <w:keepNext/>
              <w:tabs>
                <w:tab w:val="clear" w:pos="567"/>
              </w:tabs>
              <w:ind w:left="163"/>
              <w:rPr>
                <w:color w:val="000000"/>
                <w:szCs w:val="22"/>
              </w:rPr>
            </w:pPr>
            <w:r w:rsidRPr="004C2A59">
              <w:rPr>
                <w:color w:val="000000"/>
                <w:szCs w:val="22"/>
              </w:rPr>
              <w:t>Fuldstændigt hæmatologisk respons (</w:t>
            </w:r>
            <w:smartTag w:uri="urn:schemas-microsoft-com:office:smarttags" w:element="metricconverter">
              <w:r w:rsidRPr="004C2A59">
                <w:rPr>
                  <w:color w:val="000000"/>
                  <w:szCs w:val="22"/>
                </w:rPr>
                <w:t>CHR</w:t>
              </w:r>
            </w:smartTag>
            <w:r w:rsidRPr="004C2A59">
              <w:rPr>
                <w:color w:val="000000"/>
                <w:szCs w:val="22"/>
              </w:rPr>
              <w:t>)</w:t>
            </w:r>
          </w:p>
        </w:tc>
        <w:tc>
          <w:tcPr>
            <w:tcW w:w="1969" w:type="dxa"/>
            <w:tcBorders>
              <w:top w:val="nil"/>
              <w:left w:val="single" w:sz="4" w:space="0" w:color="auto"/>
              <w:bottom w:val="nil"/>
              <w:right w:val="single" w:sz="4" w:space="0" w:color="auto"/>
            </w:tcBorders>
          </w:tcPr>
          <w:p w14:paraId="6FB88181"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9</w:t>
            </w:r>
            <w:r w:rsidR="00D3218B" w:rsidRPr="004C2A59">
              <w:rPr>
                <w:color w:val="000000"/>
                <w:szCs w:val="22"/>
              </w:rPr>
              <w:t>5</w:t>
            </w:r>
            <w:r w:rsidRPr="004C2A59">
              <w:rPr>
                <w:color w:val="000000"/>
                <w:szCs w:val="22"/>
              </w:rPr>
              <w:t>%</w:t>
            </w:r>
          </w:p>
        </w:tc>
        <w:tc>
          <w:tcPr>
            <w:tcW w:w="2031" w:type="dxa"/>
            <w:tcBorders>
              <w:top w:val="nil"/>
              <w:left w:val="single" w:sz="4" w:space="0" w:color="auto"/>
              <w:bottom w:val="nil"/>
              <w:right w:val="single" w:sz="4" w:space="0" w:color="auto"/>
            </w:tcBorders>
          </w:tcPr>
          <w:p w14:paraId="144D14FF" w14:textId="77777777" w:rsidR="00270C5A" w:rsidRPr="004C2A59" w:rsidRDefault="00D3218B" w:rsidP="006C180B">
            <w:pPr>
              <w:pStyle w:val="EndnoteText"/>
              <w:keepNext/>
              <w:tabs>
                <w:tab w:val="clear" w:pos="567"/>
              </w:tabs>
              <w:jc w:val="center"/>
              <w:rPr>
                <w:color w:val="000000"/>
                <w:szCs w:val="22"/>
              </w:rPr>
            </w:pPr>
            <w:r w:rsidRPr="004C2A59">
              <w:rPr>
                <w:color w:val="000000"/>
                <w:szCs w:val="22"/>
              </w:rPr>
              <w:t>42</w:t>
            </w:r>
            <w:r w:rsidR="00270C5A" w:rsidRPr="004C2A59">
              <w:rPr>
                <w:color w:val="000000"/>
                <w:szCs w:val="22"/>
              </w:rPr>
              <w:t>%</w:t>
            </w:r>
          </w:p>
        </w:tc>
        <w:tc>
          <w:tcPr>
            <w:tcW w:w="2084" w:type="dxa"/>
            <w:tcBorders>
              <w:top w:val="nil"/>
              <w:left w:val="single" w:sz="4" w:space="0" w:color="auto"/>
              <w:bottom w:val="nil"/>
            </w:tcBorders>
          </w:tcPr>
          <w:p w14:paraId="6C2B3A19" w14:textId="77777777" w:rsidR="00270C5A" w:rsidRPr="004C2A59" w:rsidRDefault="00D3218B" w:rsidP="006C180B">
            <w:pPr>
              <w:pStyle w:val="EndnoteText"/>
              <w:keepNext/>
              <w:tabs>
                <w:tab w:val="clear" w:pos="567"/>
              </w:tabs>
              <w:jc w:val="center"/>
              <w:rPr>
                <w:color w:val="000000"/>
                <w:szCs w:val="22"/>
              </w:rPr>
            </w:pPr>
            <w:r w:rsidRPr="004C2A59">
              <w:rPr>
                <w:color w:val="000000"/>
                <w:szCs w:val="22"/>
              </w:rPr>
              <w:t>8</w:t>
            </w:r>
            <w:r w:rsidR="00270C5A" w:rsidRPr="004C2A59">
              <w:rPr>
                <w:color w:val="000000"/>
                <w:szCs w:val="22"/>
              </w:rPr>
              <w:t>%</w:t>
            </w:r>
          </w:p>
        </w:tc>
      </w:tr>
      <w:tr w:rsidR="00270C5A" w:rsidRPr="004C2A59" w14:paraId="5CCCE087" w14:textId="77777777" w:rsidTr="006C180B">
        <w:trPr>
          <w:cantSplit/>
          <w:jc w:val="center"/>
        </w:trPr>
        <w:tc>
          <w:tcPr>
            <w:tcW w:w="3388" w:type="dxa"/>
            <w:tcBorders>
              <w:top w:val="nil"/>
              <w:bottom w:val="nil"/>
              <w:right w:val="single" w:sz="4" w:space="0" w:color="auto"/>
            </w:tcBorders>
          </w:tcPr>
          <w:p w14:paraId="096C594E" w14:textId="77777777" w:rsidR="00270C5A" w:rsidRPr="004C2A59" w:rsidRDefault="00270C5A" w:rsidP="006C180B">
            <w:pPr>
              <w:pStyle w:val="EndnoteText"/>
              <w:keepNext/>
              <w:tabs>
                <w:tab w:val="clear" w:pos="567"/>
              </w:tabs>
              <w:ind w:left="163"/>
              <w:rPr>
                <w:color w:val="000000"/>
                <w:szCs w:val="22"/>
              </w:rPr>
            </w:pPr>
            <w:r w:rsidRPr="004C2A59">
              <w:rPr>
                <w:color w:val="000000"/>
                <w:szCs w:val="22"/>
              </w:rPr>
              <w:t>Intet tegn på leukæmi (NEL)</w:t>
            </w:r>
          </w:p>
        </w:tc>
        <w:tc>
          <w:tcPr>
            <w:tcW w:w="1969" w:type="dxa"/>
            <w:tcBorders>
              <w:top w:val="nil"/>
              <w:left w:val="single" w:sz="4" w:space="0" w:color="auto"/>
              <w:bottom w:val="nil"/>
              <w:right w:val="single" w:sz="4" w:space="0" w:color="auto"/>
            </w:tcBorders>
          </w:tcPr>
          <w:p w14:paraId="1CAAAA5A"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Ikke relevant</w:t>
            </w:r>
          </w:p>
        </w:tc>
        <w:tc>
          <w:tcPr>
            <w:tcW w:w="2031" w:type="dxa"/>
            <w:tcBorders>
              <w:top w:val="nil"/>
              <w:left w:val="single" w:sz="4" w:space="0" w:color="auto"/>
              <w:bottom w:val="nil"/>
              <w:right w:val="single" w:sz="4" w:space="0" w:color="auto"/>
            </w:tcBorders>
          </w:tcPr>
          <w:p w14:paraId="5A560E31"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12%</w:t>
            </w:r>
          </w:p>
        </w:tc>
        <w:tc>
          <w:tcPr>
            <w:tcW w:w="2084" w:type="dxa"/>
            <w:tcBorders>
              <w:top w:val="nil"/>
              <w:left w:val="single" w:sz="4" w:space="0" w:color="auto"/>
              <w:bottom w:val="nil"/>
            </w:tcBorders>
          </w:tcPr>
          <w:p w14:paraId="326B634A"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5%</w:t>
            </w:r>
          </w:p>
        </w:tc>
      </w:tr>
      <w:tr w:rsidR="00270C5A" w:rsidRPr="004C2A59" w14:paraId="139F4042" w14:textId="77777777" w:rsidTr="006C180B">
        <w:trPr>
          <w:cantSplit/>
          <w:jc w:val="center"/>
        </w:trPr>
        <w:tc>
          <w:tcPr>
            <w:tcW w:w="3388" w:type="dxa"/>
            <w:tcBorders>
              <w:top w:val="nil"/>
              <w:bottom w:val="single" w:sz="4" w:space="0" w:color="auto"/>
              <w:right w:val="single" w:sz="4" w:space="0" w:color="auto"/>
            </w:tcBorders>
          </w:tcPr>
          <w:p w14:paraId="3ACE824B" w14:textId="77777777" w:rsidR="00270C5A" w:rsidRPr="004C2A59" w:rsidRDefault="00270C5A" w:rsidP="006C180B">
            <w:pPr>
              <w:pStyle w:val="EndnoteText"/>
              <w:keepNext/>
              <w:tabs>
                <w:tab w:val="clear" w:pos="567"/>
              </w:tabs>
              <w:ind w:left="163"/>
              <w:rPr>
                <w:color w:val="000000"/>
                <w:szCs w:val="22"/>
              </w:rPr>
            </w:pPr>
            <w:r w:rsidRPr="004C2A59">
              <w:rPr>
                <w:color w:val="000000"/>
                <w:szCs w:val="22"/>
              </w:rPr>
              <w:t>Remission til kronisk fase (</w:t>
            </w:r>
            <w:smartTag w:uri="urn:schemas-microsoft-com:office:smarttags" w:element="metricconverter">
              <w:r w:rsidRPr="004C2A59">
                <w:rPr>
                  <w:color w:val="000000"/>
                  <w:szCs w:val="22"/>
                </w:rPr>
                <w:t>RTC</w:t>
              </w:r>
            </w:smartTag>
            <w:r w:rsidRPr="004C2A59">
              <w:rPr>
                <w:color w:val="000000"/>
                <w:szCs w:val="22"/>
              </w:rPr>
              <w:t>)</w:t>
            </w:r>
          </w:p>
        </w:tc>
        <w:tc>
          <w:tcPr>
            <w:tcW w:w="1969" w:type="dxa"/>
            <w:tcBorders>
              <w:top w:val="nil"/>
              <w:left w:val="single" w:sz="4" w:space="0" w:color="auto"/>
              <w:bottom w:val="single" w:sz="4" w:space="0" w:color="auto"/>
              <w:right w:val="single" w:sz="4" w:space="0" w:color="auto"/>
            </w:tcBorders>
          </w:tcPr>
          <w:p w14:paraId="1F695CA0"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Ikke relevant</w:t>
            </w:r>
          </w:p>
        </w:tc>
        <w:tc>
          <w:tcPr>
            <w:tcW w:w="2031" w:type="dxa"/>
            <w:tcBorders>
              <w:top w:val="nil"/>
              <w:left w:val="single" w:sz="4" w:space="0" w:color="auto"/>
              <w:bottom w:val="single" w:sz="4" w:space="0" w:color="auto"/>
              <w:right w:val="single" w:sz="4" w:space="0" w:color="auto"/>
            </w:tcBorders>
          </w:tcPr>
          <w:p w14:paraId="281336C0" w14:textId="77777777" w:rsidR="00270C5A" w:rsidRPr="004C2A59" w:rsidRDefault="00D3218B" w:rsidP="006C180B">
            <w:pPr>
              <w:pStyle w:val="EndnoteText"/>
              <w:keepNext/>
              <w:tabs>
                <w:tab w:val="clear" w:pos="567"/>
              </w:tabs>
              <w:jc w:val="center"/>
              <w:rPr>
                <w:color w:val="000000"/>
                <w:szCs w:val="22"/>
              </w:rPr>
            </w:pPr>
            <w:r w:rsidRPr="004C2A59">
              <w:rPr>
                <w:color w:val="000000"/>
                <w:szCs w:val="22"/>
              </w:rPr>
              <w:t>17</w:t>
            </w:r>
            <w:r w:rsidR="00270C5A" w:rsidRPr="004C2A59">
              <w:rPr>
                <w:color w:val="000000"/>
                <w:szCs w:val="22"/>
              </w:rPr>
              <w:t>%</w:t>
            </w:r>
          </w:p>
        </w:tc>
        <w:tc>
          <w:tcPr>
            <w:tcW w:w="2084" w:type="dxa"/>
            <w:tcBorders>
              <w:top w:val="nil"/>
              <w:left w:val="single" w:sz="4" w:space="0" w:color="auto"/>
              <w:bottom w:val="single" w:sz="4" w:space="0" w:color="auto"/>
            </w:tcBorders>
          </w:tcPr>
          <w:p w14:paraId="04282850"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18%</w:t>
            </w:r>
          </w:p>
        </w:tc>
      </w:tr>
      <w:tr w:rsidR="00270C5A" w:rsidRPr="004C2A59" w14:paraId="0E399022" w14:textId="77777777" w:rsidTr="006C180B">
        <w:trPr>
          <w:cantSplit/>
          <w:jc w:val="center"/>
        </w:trPr>
        <w:tc>
          <w:tcPr>
            <w:tcW w:w="3388" w:type="dxa"/>
            <w:tcBorders>
              <w:top w:val="nil"/>
              <w:bottom w:val="nil"/>
              <w:right w:val="single" w:sz="4" w:space="0" w:color="auto"/>
            </w:tcBorders>
          </w:tcPr>
          <w:p w14:paraId="5F70EA7C" w14:textId="77777777" w:rsidR="00270C5A" w:rsidRPr="004C2A59" w:rsidRDefault="00270C5A" w:rsidP="006C180B">
            <w:pPr>
              <w:pStyle w:val="EndnoteText"/>
              <w:keepNext/>
              <w:tabs>
                <w:tab w:val="clear" w:pos="567"/>
              </w:tabs>
              <w:rPr>
                <w:color w:val="000000"/>
                <w:szCs w:val="22"/>
                <w:vertAlign w:val="superscript"/>
              </w:rPr>
            </w:pPr>
            <w:r w:rsidRPr="004C2A59">
              <w:rPr>
                <w:color w:val="000000"/>
                <w:szCs w:val="22"/>
              </w:rPr>
              <w:t>Cytogenetisk hovedrespons</w:t>
            </w:r>
            <w:r w:rsidRPr="004C2A59">
              <w:rPr>
                <w:color w:val="000000"/>
                <w:szCs w:val="22"/>
                <w:vertAlign w:val="superscript"/>
              </w:rPr>
              <w:t>2</w:t>
            </w:r>
          </w:p>
        </w:tc>
        <w:tc>
          <w:tcPr>
            <w:tcW w:w="1969" w:type="dxa"/>
            <w:tcBorders>
              <w:top w:val="nil"/>
              <w:left w:val="single" w:sz="4" w:space="0" w:color="auto"/>
              <w:bottom w:val="nil"/>
              <w:right w:val="single" w:sz="4" w:space="0" w:color="auto"/>
            </w:tcBorders>
          </w:tcPr>
          <w:p w14:paraId="09E06DF8"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6</w:t>
            </w:r>
            <w:r w:rsidR="00D3218B" w:rsidRPr="004C2A59">
              <w:rPr>
                <w:color w:val="000000"/>
                <w:szCs w:val="22"/>
              </w:rPr>
              <w:t>5% (61,2</w:t>
            </w:r>
            <w:r w:rsidR="00D3218B" w:rsidRPr="004C2A59">
              <w:rPr>
                <w:color w:val="000000"/>
                <w:szCs w:val="22"/>
              </w:rPr>
              <w:noBreakHyphen/>
              <w:t>69,5)</w:t>
            </w:r>
          </w:p>
        </w:tc>
        <w:tc>
          <w:tcPr>
            <w:tcW w:w="2031" w:type="dxa"/>
            <w:tcBorders>
              <w:top w:val="nil"/>
              <w:left w:val="single" w:sz="4" w:space="0" w:color="auto"/>
              <w:bottom w:val="nil"/>
              <w:right w:val="single" w:sz="4" w:space="0" w:color="auto"/>
            </w:tcBorders>
          </w:tcPr>
          <w:p w14:paraId="01E76B2F"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2</w:t>
            </w:r>
            <w:r w:rsidR="00D3218B" w:rsidRPr="004C2A59">
              <w:rPr>
                <w:color w:val="000000"/>
                <w:szCs w:val="22"/>
              </w:rPr>
              <w:t>8% (22,0</w:t>
            </w:r>
            <w:r w:rsidR="00D3218B" w:rsidRPr="004C2A59">
              <w:rPr>
                <w:color w:val="000000"/>
                <w:szCs w:val="22"/>
              </w:rPr>
              <w:noBreakHyphen/>
              <w:t>33,9)</w:t>
            </w:r>
          </w:p>
        </w:tc>
        <w:tc>
          <w:tcPr>
            <w:tcW w:w="2084" w:type="dxa"/>
            <w:tcBorders>
              <w:top w:val="nil"/>
              <w:left w:val="single" w:sz="4" w:space="0" w:color="auto"/>
              <w:bottom w:val="nil"/>
            </w:tcBorders>
          </w:tcPr>
          <w:p w14:paraId="2607A45F"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15% (11,2</w:t>
            </w:r>
            <w:r w:rsidR="00ED38CD" w:rsidRPr="004C2A59">
              <w:rPr>
                <w:color w:val="000000"/>
                <w:szCs w:val="22"/>
              </w:rPr>
              <w:t>–</w:t>
            </w:r>
            <w:r w:rsidRPr="004C2A59">
              <w:rPr>
                <w:color w:val="000000"/>
                <w:szCs w:val="22"/>
              </w:rPr>
              <w:t>20,4)</w:t>
            </w:r>
          </w:p>
        </w:tc>
      </w:tr>
      <w:tr w:rsidR="00270C5A" w:rsidRPr="004C2A59" w14:paraId="7C178F59" w14:textId="77777777" w:rsidTr="006C180B">
        <w:trPr>
          <w:cantSplit/>
          <w:jc w:val="center"/>
        </w:trPr>
        <w:tc>
          <w:tcPr>
            <w:tcW w:w="3388" w:type="dxa"/>
            <w:tcBorders>
              <w:top w:val="nil"/>
              <w:bottom w:val="nil"/>
              <w:right w:val="single" w:sz="4" w:space="0" w:color="auto"/>
            </w:tcBorders>
          </w:tcPr>
          <w:p w14:paraId="515B14A2" w14:textId="77777777" w:rsidR="00270C5A" w:rsidRPr="004C2A59" w:rsidRDefault="00270C5A" w:rsidP="006C180B">
            <w:pPr>
              <w:pStyle w:val="EndnoteText"/>
              <w:keepNext/>
              <w:tabs>
                <w:tab w:val="clear" w:pos="567"/>
              </w:tabs>
              <w:ind w:left="163"/>
              <w:rPr>
                <w:color w:val="000000"/>
                <w:szCs w:val="22"/>
              </w:rPr>
            </w:pPr>
            <w:r w:rsidRPr="004C2A59">
              <w:rPr>
                <w:color w:val="000000"/>
                <w:szCs w:val="22"/>
              </w:rPr>
              <w:t>Fuldstændigt</w:t>
            </w:r>
          </w:p>
        </w:tc>
        <w:tc>
          <w:tcPr>
            <w:tcW w:w="1969" w:type="dxa"/>
            <w:tcBorders>
              <w:top w:val="nil"/>
              <w:left w:val="single" w:sz="4" w:space="0" w:color="auto"/>
              <w:bottom w:val="nil"/>
              <w:right w:val="single" w:sz="4" w:space="0" w:color="auto"/>
            </w:tcBorders>
          </w:tcPr>
          <w:p w14:paraId="2E33721B" w14:textId="77777777" w:rsidR="00270C5A" w:rsidRPr="004C2A59" w:rsidRDefault="005753A4" w:rsidP="006C180B">
            <w:pPr>
              <w:pStyle w:val="EndnoteText"/>
              <w:keepNext/>
              <w:tabs>
                <w:tab w:val="clear" w:pos="567"/>
              </w:tabs>
              <w:jc w:val="center"/>
              <w:rPr>
                <w:color w:val="000000"/>
                <w:szCs w:val="22"/>
              </w:rPr>
            </w:pPr>
            <w:r w:rsidRPr="004C2A59">
              <w:rPr>
                <w:color w:val="000000"/>
                <w:szCs w:val="22"/>
              </w:rPr>
              <w:t>53</w:t>
            </w:r>
            <w:r w:rsidR="00270C5A" w:rsidRPr="004C2A59">
              <w:rPr>
                <w:color w:val="000000"/>
                <w:szCs w:val="22"/>
              </w:rPr>
              <w:t>%</w:t>
            </w:r>
          </w:p>
        </w:tc>
        <w:tc>
          <w:tcPr>
            <w:tcW w:w="2031" w:type="dxa"/>
            <w:tcBorders>
              <w:top w:val="nil"/>
              <w:left w:val="single" w:sz="4" w:space="0" w:color="auto"/>
              <w:bottom w:val="nil"/>
              <w:right w:val="single" w:sz="4" w:space="0" w:color="auto"/>
            </w:tcBorders>
          </w:tcPr>
          <w:p w14:paraId="06AD34D4" w14:textId="77777777" w:rsidR="00270C5A" w:rsidRPr="004C2A59" w:rsidRDefault="005753A4" w:rsidP="006C180B">
            <w:pPr>
              <w:pStyle w:val="EndnoteText"/>
              <w:keepNext/>
              <w:tabs>
                <w:tab w:val="clear" w:pos="567"/>
              </w:tabs>
              <w:jc w:val="center"/>
              <w:rPr>
                <w:color w:val="000000"/>
                <w:szCs w:val="22"/>
              </w:rPr>
            </w:pPr>
            <w:r w:rsidRPr="004C2A59">
              <w:rPr>
                <w:color w:val="000000"/>
                <w:szCs w:val="22"/>
              </w:rPr>
              <w:t>20</w:t>
            </w:r>
            <w:r w:rsidR="00270C5A" w:rsidRPr="004C2A59">
              <w:rPr>
                <w:color w:val="000000"/>
                <w:szCs w:val="22"/>
              </w:rPr>
              <w:t>%</w:t>
            </w:r>
          </w:p>
        </w:tc>
        <w:tc>
          <w:tcPr>
            <w:tcW w:w="2084" w:type="dxa"/>
            <w:tcBorders>
              <w:top w:val="nil"/>
              <w:left w:val="single" w:sz="4" w:space="0" w:color="auto"/>
              <w:bottom w:val="nil"/>
            </w:tcBorders>
          </w:tcPr>
          <w:p w14:paraId="3DD05347"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7%</w:t>
            </w:r>
          </w:p>
        </w:tc>
      </w:tr>
      <w:tr w:rsidR="00270C5A" w:rsidRPr="004C2A59" w14:paraId="5968BDF5" w14:textId="77777777" w:rsidTr="006C180B">
        <w:trPr>
          <w:cantSplit/>
          <w:jc w:val="center"/>
        </w:trPr>
        <w:tc>
          <w:tcPr>
            <w:tcW w:w="3388" w:type="dxa"/>
            <w:tcBorders>
              <w:top w:val="nil"/>
              <w:bottom w:val="nil"/>
              <w:right w:val="single" w:sz="4" w:space="0" w:color="auto"/>
            </w:tcBorders>
          </w:tcPr>
          <w:p w14:paraId="2EE35141" w14:textId="77777777" w:rsidR="00270C5A" w:rsidRPr="004C2A59" w:rsidRDefault="00270C5A" w:rsidP="006C180B">
            <w:pPr>
              <w:pStyle w:val="EndnoteText"/>
              <w:keepNext/>
              <w:tabs>
                <w:tab w:val="clear" w:pos="567"/>
              </w:tabs>
              <w:ind w:left="163"/>
              <w:rPr>
                <w:color w:val="000000"/>
                <w:szCs w:val="22"/>
              </w:rPr>
            </w:pPr>
            <w:r w:rsidRPr="004C2A59">
              <w:rPr>
                <w:color w:val="000000"/>
                <w:szCs w:val="22"/>
              </w:rPr>
              <w:t>(Bekræftet</w:t>
            </w:r>
            <w:r w:rsidRPr="004C2A59">
              <w:rPr>
                <w:color w:val="000000"/>
                <w:szCs w:val="22"/>
                <w:vertAlign w:val="superscript"/>
              </w:rPr>
              <w:t>3</w:t>
            </w:r>
            <w:r w:rsidRPr="004C2A59">
              <w:rPr>
                <w:color w:val="000000"/>
                <w:szCs w:val="22"/>
              </w:rPr>
              <w:t>) [95% CI]</w:t>
            </w:r>
          </w:p>
        </w:tc>
        <w:tc>
          <w:tcPr>
            <w:tcW w:w="1969" w:type="dxa"/>
            <w:tcBorders>
              <w:top w:val="nil"/>
              <w:left w:val="single" w:sz="4" w:space="0" w:color="auto"/>
              <w:bottom w:val="nil"/>
              <w:right w:val="single" w:sz="4" w:space="0" w:color="auto"/>
            </w:tcBorders>
          </w:tcPr>
          <w:p w14:paraId="61B0F145"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w:t>
            </w:r>
            <w:r w:rsidR="005753A4" w:rsidRPr="004C2A59">
              <w:rPr>
                <w:color w:val="000000"/>
                <w:szCs w:val="22"/>
              </w:rPr>
              <w:t>4</w:t>
            </w:r>
            <w:r w:rsidRPr="004C2A59">
              <w:rPr>
                <w:color w:val="000000"/>
                <w:szCs w:val="22"/>
              </w:rPr>
              <w:t>3%) [</w:t>
            </w:r>
            <w:r w:rsidR="005753A4" w:rsidRPr="004C2A59">
              <w:rPr>
                <w:color w:val="000000"/>
                <w:szCs w:val="22"/>
              </w:rPr>
              <w:t>38,6</w:t>
            </w:r>
            <w:r w:rsidR="005753A4" w:rsidRPr="004C2A59">
              <w:rPr>
                <w:color w:val="000000"/>
                <w:szCs w:val="22"/>
              </w:rPr>
              <w:noBreakHyphen/>
              <w:t>47,2</w:t>
            </w:r>
            <w:r w:rsidRPr="004C2A59">
              <w:rPr>
                <w:color w:val="000000"/>
                <w:szCs w:val="22"/>
              </w:rPr>
              <w:t>]</w:t>
            </w:r>
          </w:p>
        </w:tc>
        <w:tc>
          <w:tcPr>
            <w:tcW w:w="2031" w:type="dxa"/>
            <w:tcBorders>
              <w:top w:val="nil"/>
              <w:left w:val="single" w:sz="4" w:space="0" w:color="auto"/>
              <w:bottom w:val="nil"/>
              <w:right w:val="single" w:sz="4" w:space="0" w:color="auto"/>
            </w:tcBorders>
          </w:tcPr>
          <w:p w14:paraId="5C24C8EB"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w:t>
            </w:r>
            <w:r w:rsidR="005753A4" w:rsidRPr="004C2A59">
              <w:rPr>
                <w:color w:val="000000"/>
                <w:szCs w:val="22"/>
              </w:rPr>
              <w:t>16</w:t>
            </w:r>
            <w:r w:rsidRPr="004C2A59">
              <w:rPr>
                <w:color w:val="000000"/>
                <w:szCs w:val="22"/>
              </w:rPr>
              <w:t>%) [</w:t>
            </w:r>
            <w:r w:rsidR="005753A4" w:rsidRPr="004C2A59">
              <w:rPr>
                <w:color w:val="000000"/>
                <w:szCs w:val="22"/>
              </w:rPr>
              <w:t>11,3</w:t>
            </w:r>
            <w:r w:rsidR="005753A4" w:rsidRPr="004C2A59">
              <w:rPr>
                <w:color w:val="000000"/>
                <w:szCs w:val="22"/>
              </w:rPr>
              <w:noBreakHyphen/>
              <w:t>21,0</w:t>
            </w:r>
            <w:r w:rsidRPr="004C2A59">
              <w:rPr>
                <w:color w:val="000000"/>
                <w:szCs w:val="22"/>
              </w:rPr>
              <w:t>]</w:t>
            </w:r>
          </w:p>
        </w:tc>
        <w:tc>
          <w:tcPr>
            <w:tcW w:w="2084" w:type="dxa"/>
            <w:tcBorders>
              <w:top w:val="nil"/>
              <w:left w:val="single" w:sz="4" w:space="0" w:color="auto"/>
              <w:bottom w:val="nil"/>
            </w:tcBorders>
          </w:tcPr>
          <w:p w14:paraId="0A3CCBF2"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w:t>
            </w:r>
            <w:r w:rsidR="005753A4" w:rsidRPr="004C2A59">
              <w:rPr>
                <w:color w:val="000000"/>
                <w:szCs w:val="22"/>
              </w:rPr>
              <w:t>2</w:t>
            </w:r>
            <w:r w:rsidRPr="004C2A59">
              <w:rPr>
                <w:color w:val="000000"/>
                <w:szCs w:val="22"/>
              </w:rPr>
              <w:t>%) [0,</w:t>
            </w:r>
            <w:r w:rsidR="005753A4" w:rsidRPr="004C2A59">
              <w:rPr>
                <w:color w:val="000000"/>
                <w:szCs w:val="22"/>
              </w:rPr>
              <w:t>6</w:t>
            </w:r>
            <w:r w:rsidR="005753A4" w:rsidRPr="004C2A59">
              <w:rPr>
                <w:color w:val="000000"/>
                <w:szCs w:val="22"/>
              </w:rPr>
              <w:noBreakHyphen/>
            </w:r>
            <w:r w:rsidRPr="004C2A59">
              <w:rPr>
                <w:color w:val="000000"/>
                <w:szCs w:val="22"/>
              </w:rPr>
              <w:t>4</w:t>
            </w:r>
            <w:r w:rsidR="005753A4" w:rsidRPr="004C2A59">
              <w:rPr>
                <w:color w:val="000000"/>
                <w:szCs w:val="22"/>
              </w:rPr>
              <w:t>,4</w:t>
            </w:r>
            <w:r w:rsidRPr="004C2A59">
              <w:rPr>
                <w:color w:val="000000"/>
                <w:szCs w:val="22"/>
              </w:rPr>
              <w:t>]</w:t>
            </w:r>
          </w:p>
        </w:tc>
      </w:tr>
      <w:tr w:rsidR="00270C5A" w:rsidRPr="004C2A59" w14:paraId="758EA521" w14:textId="77777777" w:rsidTr="006C180B">
        <w:trPr>
          <w:cantSplit/>
          <w:jc w:val="center"/>
        </w:trPr>
        <w:tc>
          <w:tcPr>
            <w:tcW w:w="3388" w:type="dxa"/>
            <w:tcBorders>
              <w:top w:val="nil"/>
              <w:bottom w:val="nil"/>
              <w:right w:val="single" w:sz="4" w:space="0" w:color="auto"/>
            </w:tcBorders>
          </w:tcPr>
          <w:p w14:paraId="224C3EF1" w14:textId="77777777" w:rsidR="00270C5A" w:rsidRPr="004C2A59" w:rsidRDefault="00270C5A" w:rsidP="006C180B">
            <w:pPr>
              <w:pStyle w:val="EndnoteText"/>
              <w:keepNext/>
              <w:tabs>
                <w:tab w:val="clear" w:pos="567"/>
              </w:tabs>
              <w:ind w:left="163"/>
              <w:rPr>
                <w:color w:val="000000"/>
                <w:szCs w:val="22"/>
              </w:rPr>
            </w:pPr>
            <w:r w:rsidRPr="004C2A59">
              <w:rPr>
                <w:color w:val="000000"/>
                <w:szCs w:val="22"/>
              </w:rPr>
              <w:t>Delvist</w:t>
            </w:r>
          </w:p>
        </w:tc>
        <w:tc>
          <w:tcPr>
            <w:tcW w:w="1969" w:type="dxa"/>
            <w:tcBorders>
              <w:top w:val="nil"/>
              <w:left w:val="single" w:sz="4" w:space="0" w:color="auto"/>
              <w:bottom w:val="nil"/>
              <w:right w:val="single" w:sz="4" w:space="0" w:color="auto"/>
            </w:tcBorders>
          </w:tcPr>
          <w:p w14:paraId="62175C58" w14:textId="77777777" w:rsidR="00270C5A" w:rsidRPr="004C2A59" w:rsidRDefault="005753A4" w:rsidP="006C180B">
            <w:pPr>
              <w:pStyle w:val="EndnoteText"/>
              <w:keepNext/>
              <w:tabs>
                <w:tab w:val="clear" w:pos="567"/>
              </w:tabs>
              <w:jc w:val="center"/>
              <w:rPr>
                <w:color w:val="000000"/>
                <w:szCs w:val="22"/>
              </w:rPr>
            </w:pPr>
            <w:r w:rsidRPr="004C2A59">
              <w:rPr>
                <w:color w:val="000000"/>
                <w:szCs w:val="22"/>
              </w:rPr>
              <w:t>12</w:t>
            </w:r>
            <w:r w:rsidR="00270C5A" w:rsidRPr="004C2A59">
              <w:rPr>
                <w:color w:val="000000"/>
                <w:szCs w:val="22"/>
              </w:rPr>
              <w:t>%</w:t>
            </w:r>
          </w:p>
        </w:tc>
        <w:tc>
          <w:tcPr>
            <w:tcW w:w="2031" w:type="dxa"/>
            <w:tcBorders>
              <w:top w:val="nil"/>
              <w:left w:val="single" w:sz="4" w:space="0" w:color="auto"/>
              <w:bottom w:val="nil"/>
              <w:right w:val="single" w:sz="4" w:space="0" w:color="auto"/>
            </w:tcBorders>
          </w:tcPr>
          <w:p w14:paraId="353E9009"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7%</w:t>
            </w:r>
          </w:p>
        </w:tc>
        <w:tc>
          <w:tcPr>
            <w:tcW w:w="2084" w:type="dxa"/>
            <w:tcBorders>
              <w:top w:val="nil"/>
              <w:left w:val="single" w:sz="4" w:space="0" w:color="auto"/>
              <w:bottom w:val="nil"/>
            </w:tcBorders>
          </w:tcPr>
          <w:p w14:paraId="3C286A9C" w14:textId="77777777" w:rsidR="00270C5A" w:rsidRPr="004C2A59" w:rsidRDefault="00270C5A" w:rsidP="006C180B">
            <w:pPr>
              <w:pStyle w:val="EndnoteText"/>
              <w:keepNext/>
              <w:tabs>
                <w:tab w:val="clear" w:pos="567"/>
              </w:tabs>
              <w:jc w:val="center"/>
              <w:rPr>
                <w:color w:val="000000"/>
                <w:szCs w:val="22"/>
              </w:rPr>
            </w:pPr>
            <w:r w:rsidRPr="004C2A59">
              <w:rPr>
                <w:color w:val="000000"/>
                <w:szCs w:val="22"/>
              </w:rPr>
              <w:t>8%</w:t>
            </w:r>
          </w:p>
        </w:tc>
      </w:tr>
      <w:tr w:rsidR="00270C5A" w:rsidRPr="00F852D1" w14:paraId="58F22551" w14:textId="77777777" w:rsidTr="006C180B">
        <w:trPr>
          <w:cantSplit/>
          <w:jc w:val="center"/>
        </w:trPr>
        <w:tc>
          <w:tcPr>
            <w:tcW w:w="9472" w:type="dxa"/>
            <w:gridSpan w:val="4"/>
            <w:tcBorders>
              <w:top w:val="single" w:sz="4" w:space="0" w:color="auto"/>
            </w:tcBorders>
          </w:tcPr>
          <w:p w14:paraId="7C61E79C" w14:textId="77777777" w:rsidR="00270C5A" w:rsidRPr="004C2A59" w:rsidRDefault="00270C5A" w:rsidP="00421681">
            <w:pPr>
              <w:pStyle w:val="Table"/>
              <w:keepNext w:val="0"/>
              <w:keepLines w:val="0"/>
              <w:widowControl w:val="0"/>
              <w:tabs>
                <w:tab w:val="clear" w:pos="284"/>
              </w:tabs>
              <w:spacing w:before="0" w:after="0"/>
              <w:rPr>
                <w:rFonts w:ascii="Times New Roman" w:hAnsi="Times New Roman"/>
                <w:b/>
                <w:color w:val="000000"/>
                <w:sz w:val="22"/>
                <w:szCs w:val="22"/>
                <w:lang w:val="da-DK"/>
              </w:rPr>
            </w:pPr>
            <w:r w:rsidRPr="004C2A59">
              <w:rPr>
                <w:rFonts w:ascii="Times New Roman" w:hAnsi="Times New Roman"/>
                <w:color w:val="000000"/>
                <w:sz w:val="22"/>
                <w:szCs w:val="22"/>
                <w:vertAlign w:val="superscript"/>
                <w:lang w:val="da-DK"/>
              </w:rPr>
              <w:t>1</w:t>
            </w:r>
            <w:r w:rsidRPr="004C2A59">
              <w:rPr>
                <w:rFonts w:ascii="Times New Roman" w:hAnsi="Times New Roman"/>
                <w:b/>
                <w:color w:val="000000"/>
                <w:sz w:val="22"/>
                <w:szCs w:val="22"/>
                <w:lang w:val="da-DK"/>
              </w:rPr>
              <w:t>Hæmatologiske responskriterier (hvert respons skal bekræftes ≥4</w:t>
            </w:r>
            <w:r w:rsidR="00C02CD8" w:rsidRPr="004C2A59">
              <w:rPr>
                <w:rFonts w:ascii="Times New Roman" w:hAnsi="Times New Roman"/>
                <w:b/>
                <w:color w:val="000000"/>
                <w:sz w:val="22"/>
                <w:szCs w:val="22"/>
                <w:lang w:val="da-DK"/>
              </w:rPr>
              <w:t> </w:t>
            </w:r>
            <w:r w:rsidRPr="004C2A59">
              <w:rPr>
                <w:rFonts w:ascii="Times New Roman" w:hAnsi="Times New Roman"/>
                <w:b/>
                <w:color w:val="000000"/>
                <w:sz w:val="22"/>
                <w:szCs w:val="22"/>
                <w:lang w:val="da-DK"/>
              </w:rPr>
              <w:t>uger):</w:t>
            </w:r>
          </w:p>
          <w:p w14:paraId="52FF38FE" w14:textId="77777777" w:rsidR="00270C5A" w:rsidRPr="004C2A59" w:rsidRDefault="00270C5A" w:rsidP="00421681">
            <w:pPr>
              <w:pStyle w:val="Table"/>
              <w:keepNext w:val="0"/>
              <w:keepLines w:val="0"/>
              <w:widowControl w:val="0"/>
              <w:tabs>
                <w:tab w:val="clear" w:pos="284"/>
              </w:tabs>
              <w:spacing w:before="0" w:after="0"/>
              <w:ind w:left="567" w:hanging="567"/>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CHR</w:t>
              </w:r>
            </w:smartTag>
            <w:r w:rsidRPr="004C2A59">
              <w:rPr>
                <w:rFonts w:ascii="Times New Roman" w:hAnsi="Times New Roman"/>
                <w:color w:val="000000"/>
                <w:sz w:val="22"/>
                <w:szCs w:val="22"/>
                <w:lang w:val="da-DK"/>
              </w:rPr>
              <w:t>:</w:t>
            </w:r>
            <w:r w:rsidRPr="004C2A59">
              <w:rPr>
                <w:rFonts w:ascii="Times New Roman" w:hAnsi="Times New Roman"/>
                <w:color w:val="000000"/>
                <w:sz w:val="22"/>
                <w:szCs w:val="22"/>
                <w:lang w:val="da-DK"/>
              </w:rPr>
              <w:tab/>
              <w:t>Undersøgelse 0110 [leukocytter &lt;10</w:t>
            </w:r>
            <w:r w:rsidR="0078334D" w:rsidRPr="004C2A59">
              <w:rPr>
                <w:rFonts w:ascii="Times New Roman" w:hAnsi="Times New Roman"/>
                <w:color w:val="000000"/>
                <w:sz w:val="22"/>
                <w:szCs w:val="22"/>
                <w:lang w:val="da-DK"/>
              </w:rPr>
              <w:t> </w:t>
            </w:r>
            <w:r w:rsidRPr="004C2A59">
              <w:rPr>
                <w:rFonts w:ascii="Times New Roman" w:hAnsi="Times New Roman"/>
                <w:color w:val="000000"/>
                <w:sz w:val="22"/>
                <w:szCs w:val="22"/>
                <w:lang w:val="da-DK"/>
              </w:rPr>
              <w:t>x</w:t>
            </w:r>
            <w:r w:rsidR="0078334D" w:rsidRPr="004C2A59">
              <w:rPr>
                <w:rFonts w:ascii="Times New Roman" w:hAnsi="Times New Roman"/>
                <w:color w:val="000000"/>
                <w:sz w:val="22"/>
                <w:szCs w:val="22"/>
                <w:lang w:val="da-DK"/>
              </w:rPr>
              <w:t> </w:t>
            </w:r>
            <w:r w:rsidRPr="004C2A59">
              <w:rPr>
                <w:rFonts w:ascii="Times New Roman" w:hAnsi="Times New Roman"/>
                <w:color w:val="000000"/>
                <w:sz w:val="22"/>
                <w:szCs w:val="22"/>
                <w:lang w:val="da-DK"/>
              </w:rPr>
              <w:t>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trombocytter &lt;450</w:t>
            </w:r>
            <w:r w:rsidR="0078334D" w:rsidRPr="004C2A59">
              <w:rPr>
                <w:rFonts w:ascii="Times New Roman" w:hAnsi="Times New Roman"/>
                <w:color w:val="000000"/>
                <w:sz w:val="22"/>
                <w:szCs w:val="22"/>
                <w:lang w:val="da-DK"/>
              </w:rPr>
              <w:t> </w:t>
            </w:r>
            <w:r w:rsidRPr="004C2A59">
              <w:rPr>
                <w:rFonts w:ascii="Times New Roman" w:hAnsi="Times New Roman"/>
                <w:color w:val="000000"/>
                <w:sz w:val="22"/>
                <w:szCs w:val="22"/>
                <w:lang w:val="da-DK"/>
              </w:rPr>
              <w:t>x</w:t>
            </w:r>
            <w:r w:rsidR="0078334D" w:rsidRPr="004C2A59">
              <w:rPr>
                <w:rFonts w:ascii="Times New Roman" w:hAnsi="Times New Roman"/>
                <w:color w:val="000000"/>
                <w:sz w:val="22"/>
                <w:szCs w:val="22"/>
                <w:lang w:val="da-DK"/>
              </w:rPr>
              <w:t> </w:t>
            </w:r>
            <w:r w:rsidRPr="004C2A59">
              <w:rPr>
                <w:rFonts w:ascii="Times New Roman" w:hAnsi="Times New Roman"/>
                <w:color w:val="000000"/>
                <w:sz w:val="22"/>
                <w:szCs w:val="22"/>
                <w:lang w:val="da-DK"/>
              </w:rPr>
              <w:t>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 xml:space="preserve">/l, myelocyt + metamyelocyt &lt;5% i blodet, ingen blaster eller promyelocytter i blodet, basophiler &lt;20%, ingen ekstramedullær involvering] og i undersøgelse 0102 and 0109 [ANC </w:t>
            </w:r>
            <w:r w:rsidRPr="004C2A59">
              <w:rPr>
                <w:rFonts w:ascii="Times New Roman" w:hAnsi="Times New Roman"/>
                <w:color w:val="000000"/>
                <w:sz w:val="22"/>
                <w:szCs w:val="22"/>
                <w:lang w:val="da-DK"/>
              </w:rPr>
              <w:sym w:font="Symbol" w:char="F0B3"/>
            </w:r>
            <w:r w:rsidRPr="004C2A59">
              <w:rPr>
                <w:rFonts w:ascii="Times New Roman" w:hAnsi="Times New Roman"/>
                <w:color w:val="000000"/>
                <w:sz w:val="22"/>
                <w:szCs w:val="22"/>
                <w:lang w:val="da-DK"/>
              </w:rPr>
              <w:t>1,5</w:t>
            </w:r>
            <w:r w:rsidR="0078334D" w:rsidRPr="004C2A59">
              <w:rPr>
                <w:rFonts w:ascii="Times New Roman" w:hAnsi="Times New Roman"/>
                <w:color w:val="000000"/>
                <w:sz w:val="22"/>
                <w:szCs w:val="22"/>
                <w:lang w:val="da-DK"/>
              </w:rPr>
              <w:t> </w:t>
            </w:r>
            <w:r w:rsidRPr="004C2A59">
              <w:rPr>
                <w:rFonts w:ascii="Times New Roman" w:hAnsi="Times New Roman"/>
                <w:color w:val="000000"/>
                <w:sz w:val="22"/>
                <w:szCs w:val="22"/>
                <w:lang w:val="da-DK"/>
              </w:rPr>
              <w:t>x</w:t>
            </w:r>
            <w:r w:rsidR="0078334D" w:rsidRPr="004C2A59">
              <w:rPr>
                <w:rFonts w:ascii="Times New Roman" w:hAnsi="Times New Roman"/>
                <w:color w:val="000000"/>
                <w:sz w:val="22"/>
                <w:szCs w:val="22"/>
                <w:lang w:val="da-DK"/>
              </w:rPr>
              <w:t> </w:t>
            </w:r>
            <w:r w:rsidRPr="004C2A59">
              <w:rPr>
                <w:rFonts w:ascii="Times New Roman" w:hAnsi="Times New Roman"/>
                <w:color w:val="000000"/>
                <w:sz w:val="22"/>
                <w:szCs w:val="22"/>
                <w:lang w:val="da-DK"/>
              </w:rPr>
              <w:t>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 xml:space="preserve">/l, trombocytter </w:t>
            </w:r>
            <w:r w:rsidRPr="004C2A59">
              <w:rPr>
                <w:rFonts w:ascii="Times New Roman" w:hAnsi="Times New Roman"/>
                <w:color w:val="000000"/>
                <w:sz w:val="22"/>
                <w:szCs w:val="22"/>
                <w:lang w:val="da-DK"/>
              </w:rPr>
              <w:sym w:font="Symbol" w:char="F0B3"/>
            </w:r>
            <w:r w:rsidRPr="004C2A59">
              <w:rPr>
                <w:rFonts w:ascii="Times New Roman" w:hAnsi="Times New Roman"/>
                <w:color w:val="000000"/>
                <w:sz w:val="22"/>
                <w:szCs w:val="22"/>
                <w:lang w:val="da-DK"/>
              </w:rPr>
              <w:t>100</w:t>
            </w:r>
            <w:r w:rsidR="0078334D" w:rsidRPr="004C2A59">
              <w:rPr>
                <w:rFonts w:ascii="Times New Roman" w:hAnsi="Times New Roman"/>
                <w:color w:val="000000"/>
                <w:sz w:val="22"/>
                <w:szCs w:val="22"/>
                <w:lang w:val="da-DK"/>
              </w:rPr>
              <w:t> </w:t>
            </w:r>
            <w:r w:rsidRPr="004C2A59">
              <w:rPr>
                <w:rFonts w:ascii="Times New Roman" w:hAnsi="Times New Roman"/>
                <w:color w:val="000000"/>
                <w:sz w:val="22"/>
                <w:szCs w:val="22"/>
                <w:lang w:val="da-DK"/>
              </w:rPr>
              <w:t>x</w:t>
            </w:r>
            <w:r w:rsidR="0078334D" w:rsidRPr="004C2A59">
              <w:rPr>
                <w:rFonts w:ascii="Times New Roman" w:hAnsi="Times New Roman"/>
                <w:color w:val="000000"/>
                <w:sz w:val="22"/>
                <w:szCs w:val="22"/>
                <w:lang w:val="da-DK"/>
              </w:rPr>
              <w:t> </w:t>
            </w:r>
            <w:r w:rsidRPr="004C2A59">
              <w:rPr>
                <w:rFonts w:ascii="Times New Roman" w:hAnsi="Times New Roman"/>
                <w:color w:val="000000"/>
                <w:sz w:val="22"/>
                <w:szCs w:val="22"/>
                <w:lang w:val="da-DK"/>
              </w:rPr>
              <w:t>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ingen blaster i blodet, BM-blaster &lt;5% og ingen ekstramedullær sygdom].</w:t>
            </w:r>
          </w:p>
          <w:p w14:paraId="243A42B7" w14:textId="77777777" w:rsidR="00270C5A" w:rsidRPr="004C2A59" w:rsidRDefault="00270C5A" w:rsidP="00421681">
            <w:pPr>
              <w:pStyle w:val="Table"/>
              <w:keepNext w:val="0"/>
              <w:keepLines w:val="0"/>
              <w:widowControl w:val="0"/>
              <w:tabs>
                <w:tab w:val="clear" w:pos="284"/>
              </w:tabs>
              <w:spacing w:before="0" w:after="0"/>
              <w:ind w:left="567" w:hanging="567"/>
              <w:rPr>
                <w:rFonts w:ascii="Times New Roman" w:hAnsi="Times New Roman"/>
                <w:color w:val="000000"/>
                <w:sz w:val="22"/>
                <w:szCs w:val="22"/>
                <w:lang w:val="da-DK"/>
              </w:rPr>
            </w:pPr>
            <w:r w:rsidRPr="004C2A59">
              <w:rPr>
                <w:rFonts w:ascii="Times New Roman" w:hAnsi="Times New Roman"/>
                <w:color w:val="000000"/>
                <w:sz w:val="22"/>
                <w:szCs w:val="22"/>
                <w:lang w:val="da-DK"/>
              </w:rPr>
              <w:t xml:space="preserve">NEL: Samme kriterier som for </w:t>
            </w:r>
            <w:smartTag w:uri="urn:schemas-microsoft-com:office:smarttags" w:element="metricconverter">
              <w:r w:rsidRPr="004C2A59">
                <w:rPr>
                  <w:rFonts w:ascii="Times New Roman" w:hAnsi="Times New Roman"/>
                  <w:color w:val="000000"/>
                  <w:sz w:val="22"/>
                  <w:szCs w:val="22"/>
                  <w:lang w:val="da-DK"/>
                </w:rPr>
                <w:t>CHR</w:t>
              </w:r>
            </w:smartTag>
            <w:r w:rsidRPr="004C2A59">
              <w:rPr>
                <w:rFonts w:ascii="Times New Roman" w:hAnsi="Times New Roman"/>
                <w:color w:val="000000"/>
                <w:sz w:val="22"/>
                <w:szCs w:val="22"/>
                <w:lang w:val="da-DK"/>
              </w:rPr>
              <w:t xml:space="preserve">, men ANC </w:t>
            </w:r>
            <w:r w:rsidRPr="004C2A59">
              <w:rPr>
                <w:rFonts w:ascii="Times New Roman" w:hAnsi="Times New Roman"/>
                <w:color w:val="000000"/>
                <w:sz w:val="22"/>
                <w:szCs w:val="22"/>
                <w:lang w:val="da-DK"/>
              </w:rPr>
              <w:sym w:font="Symbol" w:char="F0B3"/>
            </w:r>
            <w:r w:rsidRPr="004C2A59">
              <w:rPr>
                <w:rFonts w:ascii="Times New Roman" w:hAnsi="Times New Roman"/>
                <w:color w:val="000000"/>
                <w:sz w:val="22"/>
                <w:szCs w:val="22"/>
                <w:lang w:val="da-DK"/>
              </w:rPr>
              <w:t>1</w:t>
            </w:r>
            <w:r w:rsidR="0078334D" w:rsidRPr="004C2A59">
              <w:rPr>
                <w:rFonts w:ascii="Times New Roman" w:hAnsi="Times New Roman"/>
                <w:color w:val="000000"/>
                <w:sz w:val="22"/>
                <w:szCs w:val="22"/>
                <w:lang w:val="da-DK"/>
              </w:rPr>
              <w:t> </w:t>
            </w:r>
            <w:r w:rsidRPr="004C2A59">
              <w:rPr>
                <w:rFonts w:ascii="Times New Roman" w:hAnsi="Times New Roman"/>
                <w:color w:val="000000"/>
                <w:sz w:val="22"/>
                <w:szCs w:val="22"/>
                <w:lang w:val="da-DK"/>
              </w:rPr>
              <w:t>x</w:t>
            </w:r>
            <w:r w:rsidR="0078334D" w:rsidRPr="004C2A59">
              <w:rPr>
                <w:rFonts w:ascii="Times New Roman" w:hAnsi="Times New Roman"/>
                <w:color w:val="000000"/>
                <w:sz w:val="22"/>
                <w:szCs w:val="22"/>
                <w:lang w:val="da-DK"/>
              </w:rPr>
              <w:t> </w:t>
            </w:r>
            <w:r w:rsidRPr="004C2A59">
              <w:rPr>
                <w:rFonts w:ascii="Times New Roman" w:hAnsi="Times New Roman"/>
                <w:color w:val="000000"/>
                <w:sz w:val="22"/>
                <w:szCs w:val="22"/>
                <w:lang w:val="da-DK"/>
              </w:rPr>
              <w:t>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 xml:space="preserve">/l og trombocytter </w:t>
            </w:r>
            <w:r w:rsidRPr="004C2A59">
              <w:rPr>
                <w:rFonts w:ascii="Times New Roman" w:hAnsi="Times New Roman"/>
                <w:color w:val="000000"/>
                <w:sz w:val="22"/>
                <w:szCs w:val="22"/>
                <w:lang w:val="da-DK"/>
              </w:rPr>
              <w:sym w:font="Symbol" w:char="F0B3"/>
            </w:r>
            <w:r w:rsidRPr="004C2A59">
              <w:rPr>
                <w:rFonts w:ascii="Times New Roman" w:hAnsi="Times New Roman"/>
                <w:color w:val="000000"/>
                <w:sz w:val="22"/>
                <w:szCs w:val="22"/>
                <w:lang w:val="da-DK"/>
              </w:rPr>
              <w:t>20</w:t>
            </w:r>
            <w:r w:rsidR="0078334D" w:rsidRPr="004C2A59">
              <w:rPr>
                <w:rFonts w:ascii="Times New Roman" w:hAnsi="Times New Roman"/>
                <w:color w:val="000000"/>
                <w:sz w:val="22"/>
                <w:szCs w:val="22"/>
                <w:lang w:val="da-DK"/>
              </w:rPr>
              <w:t> </w:t>
            </w:r>
            <w:r w:rsidRPr="004C2A59">
              <w:rPr>
                <w:rFonts w:ascii="Times New Roman" w:hAnsi="Times New Roman"/>
                <w:color w:val="000000"/>
                <w:sz w:val="22"/>
                <w:szCs w:val="22"/>
                <w:lang w:val="da-DK"/>
              </w:rPr>
              <w:t>x</w:t>
            </w:r>
            <w:r w:rsidR="0078334D" w:rsidRPr="004C2A59">
              <w:rPr>
                <w:rFonts w:ascii="Times New Roman" w:hAnsi="Times New Roman"/>
                <w:color w:val="000000"/>
                <w:sz w:val="22"/>
                <w:szCs w:val="22"/>
                <w:lang w:val="da-DK"/>
              </w:rPr>
              <w:t> </w:t>
            </w:r>
            <w:r w:rsidRPr="004C2A59">
              <w:rPr>
                <w:rFonts w:ascii="Times New Roman" w:hAnsi="Times New Roman"/>
                <w:color w:val="000000"/>
                <w:sz w:val="22"/>
                <w:szCs w:val="22"/>
                <w:lang w:val="da-DK"/>
              </w:rPr>
              <w:t>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(kun 0102 og 0109).</w:t>
            </w:r>
          </w:p>
          <w:p w14:paraId="6A1E232C" w14:textId="77777777" w:rsidR="00270C5A" w:rsidRPr="004C2A59" w:rsidRDefault="00270C5A" w:rsidP="00421681">
            <w:pPr>
              <w:pStyle w:val="Table"/>
              <w:keepNext w:val="0"/>
              <w:keepLines w:val="0"/>
              <w:widowControl w:val="0"/>
              <w:tabs>
                <w:tab w:val="clear" w:pos="284"/>
              </w:tabs>
              <w:spacing w:before="0" w:after="0"/>
              <w:ind w:left="567" w:hanging="567"/>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RTC</w:t>
              </w:r>
            </w:smartTag>
            <w:r w:rsidRPr="004C2A59">
              <w:rPr>
                <w:rFonts w:ascii="Times New Roman" w:hAnsi="Times New Roman"/>
                <w:color w:val="000000"/>
                <w:sz w:val="22"/>
                <w:szCs w:val="22"/>
                <w:lang w:val="da-DK"/>
              </w:rPr>
              <w:t>:</w:t>
            </w:r>
            <w:r w:rsidRPr="004C2A59">
              <w:rPr>
                <w:rFonts w:ascii="Times New Roman" w:hAnsi="Times New Roman"/>
                <w:color w:val="000000"/>
                <w:sz w:val="22"/>
                <w:szCs w:val="22"/>
                <w:lang w:val="da-DK"/>
              </w:rPr>
              <w:tab/>
              <w:t>&lt;15% blaster I BM og PB, &lt;30% blaster + promyelocytter in BM og PB, &lt;20% basofilocytter i PB, ingen ekstramedullær sygdom andet end milt og lever (kun 0102 og 0109).</w:t>
            </w:r>
          </w:p>
          <w:p w14:paraId="21382DC5" w14:textId="77777777" w:rsidR="00270C5A" w:rsidRPr="004C2A59" w:rsidRDefault="00270C5A" w:rsidP="00421681">
            <w:pPr>
              <w:pStyle w:val="Table"/>
              <w:keepNext w:val="0"/>
              <w:keepLines w:val="0"/>
              <w:widowControl w:val="0"/>
              <w:tabs>
                <w:tab w:val="clear" w:pos="284"/>
              </w:tabs>
              <w:spacing w:before="0" w:after="0"/>
              <w:ind w:left="567" w:hanging="567"/>
              <w:rPr>
                <w:rFonts w:ascii="Times New Roman" w:hAnsi="Times New Roman"/>
                <w:color w:val="000000"/>
                <w:sz w:val="22"/>
                <w:szCs w:val="22"/>
                <w:lang w:val="da-DK"/>
              </w:rPr>
            </w:pPr>
            <w:r w:rsidRPr="004C2A59">
              <w:rPr>
                <w:rFonts w:ascii="Times New Roman" w:hAnsi="Times New Roman"/>
                <w:color w:val="000000"/>
                <w:sz w:val="22"/>
                <w:szCs w:val="22"/>
                <w:lang w:val="da-DK"/>
              </w:rPr>
              <w:t>BM = Knoglemarv; PB = Perifert blod.</w:t>
            </w:r>
          </w:p>
          <w:p w14:paraId="0340AFCB" w14:textId="77777777" w:rsidR="00270C5A" w:rsidRPr="004C2A59" w:rsidRDefault="00270C5A" w:rsidP="00421681">
            <w:pPr>
              <w:pStyle w:val="Table"/>
              <w:keepNext w:val="0"/>
              <w:keepLines w:val="0"/>
              <w:widowControl w:val="0"/>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vertAlign w:val="superscript"/>
                <w:lang w:val="da-DK"/>
              </w:rPr>
              <w:t>2</w:t>
            </w:r>
            <w:r w:rsidRPr="004C2A59">
              <w:rPr>
                <w:rFonts w:ascii="Times New Roman" w:hAnsi="Times New Roman"/>
                <w:b/>
                <w:color w:val="000000"/>
                <w:sz w:val="22"/>
                <w:szCs w:val="22"/>
                <w:lang w:val="da-DK"/>
              </w:rPr>
              <w:t>Cytogenetiske responskriterier:</w:t>
            </w:r>
          </w:p>
          <w:p w14:paraId="63A4AE53" w14:textId="77777777" w:rsidR="00270C5A" w:rsidRPr="004C2A59" w:rsidRDefault="00270C5A" w:rsidP="00421681">
            <w:pPr>
              <w:pStyle w:val="EndnoteText"/>
              <w:tabs>
                <w:tab w:val="clear" w:pos="567"/>
              </w:tabs>
              <w:rPr>
                <w:color w:val="000000"/>
                <w:szCs w:val="22"/>
              </w:rPr>
            </w:pPr>
            <w:r w:rsidRPr="004C2A59">
              <w:rPr>
                <w:color w:val="000000"/>
                <w:szCs w:val="22"/>
              </w:rPr>
              <w:t>Et hovedrespons kombinerer både fuldstændig og partiel respons: Fuldstændig (0% Ph</w:t>
            </w:r>
            <w:r w:rsidRPr="004C2A59">
              <w:rPr>
                <w:color w:val="000000"/>
                <w:szCs w:val="22"/>
                <w:vertAlign w:val="superscript"/>
              </w:rPr>
              <w:t>+</w:t>
            </w:r>
            <w:r w:rsidRPr="004C2A59">
              <w:rPr>
                <w:color w:val="000000"/>
                <w:szCs w:val="22"/>
              </w:rPr>
              <w:t xml:space="preserve"> metafaser), delvis (1–35%).</w:t>
            </w:r>
          </w:p>
          <w:p w14:paraId="3FC08D1B" w14:textId="77777777" w:rsidR="00270C5A" w:rsidRPr="004C2A59" w:rsidRDefault="00270C5A" w:rsidP="00421681">
            <w:pPr>
              <w:pStyle w:val="EndnoteText"/>
              <w:tabs>
                <w:tab w:val="clear" w:pos="567"/>
              </w:tabs>
              <w:rPr>
                <w:color w:val="000000"/>
                <w:szCs w:val="22"/>
              </w:rPr>
            </w:pPr>
            <w:r w:rsidRPr="004C2A59">
              <w:rPr>
                <w:color w:val="000000"/>
                <w:szCs w:val="22"/>
                <w:vertAlign w:val="superscript"/>
              </w:rPr>
              <w:t>3</w:t>
            </w:r>
            <w:r w:rsidRPr="004C2A59">
              <w:rPr>
                <w:color w:val="000000"/>
                <w:szCs w:val="22"/>
              </w:rPr>
              <w:t>Fuldstændigt cytogenetisk respons bekræftet ved endnu en cytogenetisk knoglemarvsundersøgelse udført mindst 1</w:t>
            </w:r>
            <w:r w:rsidR="00C02CD8" w:rsidRPr="004C2A59">
              <w:rPr>
                <w:color w:val="000000"/>
                <w:szCs w:val="22"/>
              </w:rPr>
              <w:t> </w:t>
            </w:r>
            <w:r w:rsidRPr="004C2A59">
              <w:rPr>
                <w:color w:val="000000"/>
                <w:szCs w:val="22"/>
              </w:rPr>
              <w:t>måned efter den initial</w:t>
            </w:r>
            <w:r w:rsidR="0028247E" w:rsidRPr="004C2A59">
              <w:rPr>
                <w:color w:val="000000"/>
                <w:szCs w:val="22"/>
              </w:rPr>
              <w:t>e</w:t>
            </w:r>
            <w:r w:rsidRPr="004C2A59">
              <w:rPr>
                <w:color w:val="000000"/>
                <w:szCs w:val="22"/>
              </w:rPr>
              <w:t xml:space="preserve"> knoglemarvsundersøgelse.</w:t>
            </w:r>
          </w:p>
        </w:tc>
      </w:tr>
    </w:tbl>
    <w:p w14:paraId="5C8E6C77" w14:textId="77777777" w:rsidR="00270C5A" w:rsidRPr="004C2A59" w:rsidRDefault="00270C5A" w:rsidP="00421681">
      <w:pPr>
        <w:widowControl w:val="0"/>
        <w:rPr>
          <w:color w:val="000000"/>
          <w:sz w:val="22"/>
          <w:szCs w:val="22"/>
          <w:lang w:val="da-DK"/>
        </w:rPr>
      </w:pPr>
    </w:p>
    <w:p w14:paraId="5EE3FB7A" w14:textId="77777777" w:rsidR="00E26366" w:rsidRPr="004C2A59" w:rsidRDefault="00E26366" w:rsidP="00421681">
      <w:pPr>
        <w:pStyle w:val="EndnoteText"/>
        <w:rPr>
          <w:color w:val="000000"/>
          <w:szCs w:val="22"/>
        </w:rPr>
      </w:pPr>
      <w:r w:rsidRPr="004C2A59">
        <w:rPr>
          <w:i/>
          <w:color w:val="000000"/>
          <w:szCs w:val="22"/>
        </w:rPr>
        <w:t>Pædiatriske patienter</w:t>
      </w:r>
      <w:r w:rsidRPr="004C2A59">
        <w:rPr>
          <w:color w:val="000000"/>
          <w:szCs w:val="22"/>
        </w:rPr>
        <w:t>: Ialt 26 pædiatriske patienter i alderen &lt;18 år med enten CML i kronisk fase (n=11) eller CML i blastkrise eller Ph+ akut leukæmi (n=15) blev inkluderet i en fase I undersøgelse med dosis-eskalering. Det var en population af patienter, der i udtalt grad tidligere havde modtaget anden behandling, eftersom 46% tidligere havde modtaget BMT og 73% tidligere havde modtaget multi-stof kemoterapi. Patienterne blev behandlet med Glivec-doser på 260 mg/m</w:t>
      </w:r>
      <w:r w:rsidRPr="004C2A59">
        <w:rPr>
          <w:color w:val="000000"/>
          <w:szCs w:val="22"/>
          <w:vertAlign w:val="superscript"/>
        </w:rPr>
        <w:t>2</w:t>
      </w:r>
      <w:r w:rsidRPr="004C2A59">
        <w:rPr>
          <w:color w:val="000000"/>
          <w:szCs w:val="22"/>
        </w:rPr>
        <w:t>/dag (n=5), 340 mg/m</w:t>
      </w:r>
      <w:r w:rsidRPr="004C2A59">
        <w:rPr>
          <w:color w:val="000000"/>
          <w:szCs w:val="22"/>
          <w:vertAlign w:val="superscript"/>
        </w:rPr>
        <w:t>2</w:t>
      </w:r>
      <w:r w:rsidRPr="004C2A59">
        <w:rPr>
          <w:color w:val="000000"/>
          <w:szCs w:val="22"/>
        </w:rPr>
        <w:t>/dag (n=9), 440 mg/m</w:t>
      </w:r>
      <w:r w:rsidRPr="004C2A59">
        <w:rPr>
          <w:color w:val="000000"/>
          <w:szCs w:val="22"/>
          <w:vertAlign w:val="superscript"/>
        </w:rPr>
        <w:t>2</w:t>
      </w:r>
      <w:r w:rsidRPr="004C2A59">
        <w:rPr>
          <w:color w:val="000000"/>
          <w:szCs w:val="22"/>
        </w:rPr>
        <w:t>/dag (n=7) og 570 mg/m</w:t>
      </w:r>
      <w:r w:rsidRPr="004C2A59">
        <w:rPr>
          <w:color w:val="000000"/>
          <w:szCs w:val="22"/>
          <w:vertAlign w:val="superscript"/>
        </w:rPr>
        <w:t>2</w:t>
      </w:r>
      <w:r w:rsidRPr="004C2A59">
        <w:rPr>
          <w:color w:val="000000"/>
          <w:szCs w:val="22"/>
        </w:rPr>
        <w:t>/dag (n=5). Af 9 patienter med kronisk fase CML og tilgængelige cytogenetiske data opnåede henholdsvis 4 (44%) og 3 (33%) fuldstændigt og delvist cytogenetisk respons, med en McyR-rate på 77%.</w:t>
      </w:r>
    </w:p>
    <w:p w14:paraId="6B3366E3" w14:textId="77777777" w:rsidR="00E26366" w:rsidRPr="004C2A59" w:rsidRDefault="00E26366" w:rsidP="00421681">
      <w:pPr>
        <w:pStyle w:val="EndnoteText"/>
        <w:tabs>
          <w:tab w:val="clear" w:pos="567"/>
        </w:tabs>
        <w:rPr>
          <w:color w:val="000000"/>
          <w:szCs w:val="22"/>
        </w:rPr>
      </w:pPr>
    </w:p>
    <w:p w14:paraId="2DFEFE10" w14:textId="77777777" w:rsidR="00E26366" w:rsidRPr="004C2A59" w:rsidRDefault="00E26366" w:rsidP="00421681">
      <w:pPr>
        <w:pStyle w:val="EndnoteText"/>
        <w:tabs>
          <w:tab w:val="clear" w:pos="567"/>
        </w:tabs>
        <w:rPr>
          <w:color w:val="000000"/>
          <w:szCs w:val="22"/>
        </w:rPr>
      </w:pPr>
      <w:r w:rsidRPr="004C2A59">
        <w:rPr>
          <w:color w:val="000000"/>
          <w:szCs w:val="22"/>
        </w:rPr>
        <w:lastRenderedPageBreak/>
        <w:t>I alt 51 børn med nydiagnosticeret og ubehandlet CML i kronisk fase blev inkluderet i en åben, multicenter, enkeltarm fase II undersøgelse. Hvis der ikke var dosisbegrænsende toksicitet, blev patienterne behandlet med 340 mg/m</w:t>
      </w:r>
      <w:r w:rsidRPr="004C2A59">
        <w:rPr>
          <w:color w:val="000000"/>
          <w:szCs w:val="22"/>
          <w:vertAlign w:val="superscript"/>
        </w:rPr>
        <w:t>2</w:t>
      </w:r>
      <w:r w:rsidRPr="004C2A59">
        <w:rPr>
          <w:color w:val="000000"/>
          <w:szCs w:val="22"/>
        </w:rPr>
        <w:t>/dag uden afbrydelse. Glivec</w:t>
      </w:r>
      <w:r w:rsidR="002B7271" w:rsidRPr="004C2A59">
        <w:rPr>
          <w:color w:val="000000"/>
          <w:szCs w:val="22"/>
        </w:rPr>
        <w:t>-</w:t>
      </w:r>
      <w:r w:rsidRPr="004C2A59">
        <w:rPr>
          <w:color w:val="000000"/>
          <w:szCs w:val="22"/>
        </w:rPr>
        <w:t xml:space="preserve">behandling inducerer et hurtigt respons hos nydiagnosticerede pædiatriske </w:t>
      </w:r>
      <w:r w:rsidR="000E2F8A" w:rsidRPr="004C2A59">
        <w:rPr>
          <w:color w:val="000000"/>
          <w:szCs w:val="22"/>
        </w:rPr>
        <w:t>CML-patienter</w:t>
      </w:r>
      <w:r w:rsidRPr="004C2A59">
        <w:rPr>
          <w:color w:val="000000"/>
          <w:szCs w:val="22"/>
        </w:rPr>
        <w:t xml:space="preserve"> med en </w:t>
      </w:r>
      <w:smartTag w:uri="urn:schemas-microsoft-com:office:smarttags" w:element="metricconverter">
        <w:r w:rsidRPr="004C2A59">
          <w:rPr>
            <w:color w:val="000000"/>
            <w:szCs w:val="22"/>
          </w:rPr>
          <w:t>CHR</w:t>
        </w:r>
      </w:smartTag>
      <w:r w:rsidRPr="004C2A59">
        <w:rPr>
          <w:color w:val="000000"/>
          <w:szCs w:val="22"/>
        </w:rPr>
        <w:t xml:space="preserve"> hos 78% efter 8 ugers behandling. Den høje rate af </w:t>
      </w:r>
      <w:smartTag w:uri="urn:schemas-microsoft-com:office:smarttags" w:element="metricconverter">
        <w:r w:rsidRPr="004C2A59">
          <w:rPr>
            <w:color w:val="000000"/>
            <w:szCs w:val="22"/>
          </w:rPr>
          <w:t>CHR</w:t>
        </w:r>
      </w:smartTag>
      <w:r w:rsidRPr="004C2A59">
        <w:rPr>
          <w:color w:val="000000"/>
          <w:szCs w:val="22"/>
        </w:rPr>
        <w:t xml:space="preserve"> er ledsaget af udvikling af komplet cytogenetisk respons (CCyR) hos 65%, hvilket er sammenligneligt med resultater observeret hos voksne. Derudover sås partielt cytogetisk respons (PCyR) hos 16%, dermed MCyR hos 81%. Hovedparten af patienterne, som opnåede CCyR, udviklede dette mellem 3. og 10. måned med en mediantid til respons på 5,6 måneder baseret på et Kaplan-Meier estimat.</w:t>
      </w:r>
    </w:p>
    <w:p w14:paraId="2A657F5C" w14:textId="77777777" w:rsidR="004B70DD" w:rsidRPr="004C2A59" w:rsidRDefault="004B70DD" w:rsidP="00421681">
      <w:pPr>
        <w:pStyle w:val="EndnoteText"/>
        <w:tabs>
          <w:tab w:val="clear" w:pos="567"/>
        </w:tabs>
        <w:rPr>
          <w:color w:val="000000"/>
          <w:szCs w:val="22"/>
        </w:rPr>
      </w:pPr>
    </w:p>
    <w:p w14:paraId="12D3B435" w14:textId="77777777" w:rsidR="004B70DD" w:rsidRPr="004C2A59" w:rsidRDefault="004B70DD" w:rsidP="00421681">
      <w:pPr>
        <w:pStyle w:val="EndnoteText"/>
        <w:tabs>
          <w:tab w:val="clear" w:pos="567"/>
        </w:tabs>
        <w:rPr>
          <w:color w:val="000000"/>
          <w:szCs w:val="22"/>
        </w:rPr>
      </w:pPr>
      <w:r w:rsidRPr="004C2A59">
        <w:rPr>
          <w:color w:val="000000"/>
          <w:szCs w:val="22"/>
        </w:rPr>
        <w:t>De</w:t>
      </w:r>
      <w:r w:rsidR="00435663" w:rsidRPr="004C2A59">
        <w:rPr>
          <w:color w:val="000000"/>
          <w:szCs w:val="22"/>
        </w:rPr>
        <w:t>t</w:t>
      </w:r>
      <w:r w:rsidRPr="004C2A59">
        <w:rPr>
          <w:color w:val="000000"/>
          <w:szCs w:val="22"/>
        </w:rPr>
        <w:t xml:space="preserve"> Europæiske Lægemiddelagentur har dispenseret fra kravet om </w:t>
      </w:r>
      <w:r w:rsidR="00435663" w:rsidRPr="004C2A59">
        <w:rPr>
          <w:color w:val="000000"/>
          <w:szCs w:val="22"/>
        </w:rPr>
        <w:t xml:space="preserve">at </w:t>
      </w:r>
      <w:r w:rsidRPr="004C2A59">
        <w:rPr>
          <w:color w:val="000000"/>
          <w:szCs w:val="22"/>
        </w:rPr>
        <w:t xml:space="preserve">fremlægge resultaterne af studier med Glivec </w:t>
      </w:r>
      <w:r w:rsidR="00435663" w:rsidRPr="004C2A59">
        <w:rPr>
          <w:color w:val="000000"/>
          <w:szCs w:val="22"/>
        </w:rPr>
        <w:t>i</w:t>
      </w:r>
      <w:r w:rsidRPr="004C2A59">
        <w:rPr>
          <w:color w:val="000000"/>
          <w:szCs w:val="22"/>
        </w:rPr>
        <w:t xml:space="preserve"> alle undergrupper af den pædiatriske population </w:t>
      </w:r>
      <w:r w:rsidR="00435663" w:rsidRPr="004C2A59">
        <w:rPr>
          <w:color w:val="000000"/>
          <w:szCs w:val="22"/>
        </w:rPr>
        <w:t>m</w:t>
      </w:r>
      <w:r w:rsidRPr="004C2A59">
        <w:rPr>
          <w:color w:val="000000"/>
          <w:szCs w:val="22"/>
        </w:rPr>
        <w:t xml:space="preserve">ed </w:t>
      </w:r>
      <w:r w:rsidR="00794167" w:rsidRPr="004C2A59">
        <w:rPr>
          <w:color w:val="000000"/>
          <w:szCs w:val="22"/>
        </w:rPr>
        <w:t>Philadelphia</w:t>
      </w:r>
      <w:r w:rsidR="009C4BAD" w:rsidRPr="004C2A59">
        <w:rPr>
          <w:color w:val="000000"/>
          <w:szCs w:val="22"/>
        </w:rPr>
        <w:t>-</w:t>
      </w:r>
      <w:r w:rsidR="00794167" w:rsidRPr="004C2A59">
        <w:rPr>
          <w:color w:val="000000"/>
          <w:szCs w:val="22"/>
        </w:rPr>
        <w:t xml:space="preserve">kromosom (bcr-abl translokation)-positiv kronisk myeloid leukæmi </w:t>
      </w:r>
      <w:r w:rsidRPr="004C2A59">
        <w:rPr>
          <w:color w:val="000000"/>
          <w:szCs w:val="22"/>
        </w:rPr>
        <w:t xml:space="preserve">(se pkt. 4.2 for </w:t>
      </w:r>
      <w:r w:rsidR="00435663" w:rsidRPr="004C2A59">
        <w:rPr>
          <w:color w:val="000000"/>
          <w:szCs w:val="22"/>
        </w:rPr>
        <w:t>oplysninger</w:t>
      </w:r>
      <w:r w:rsidRPr="004C2A59">
        <w:rPr>
          <w:color w:val="000000"/>
          <w:szCs w:val="22"/>
        </w:rPr>
        <w:t xml:space="preserve"> om pædiatrisk </w:t>
      </w:r>
      <w:r w:rsidR="004A014C" w:rsidRPr="004C2A59">
        <w:rPr>
          <w:color w:val="000000"/>
          <w:szCs w:val="22"/>
        </w:rPr>
        <w:t>anvendelse</w:t>
      </w:r>
      <w:r w:rsidRPr="004C2A59">
        <w:rPr>
          <w:color w:val="000000"/>
          <w:szCs w:val="22"/>
        </w:rPr>
        <w:t>)</w:t>
      </w:r>
      <w:r w:rsidR="004A014C" w:rsidRPr="004C2A59">
        <w:rPr>
          <w:color w:val="000000"/>
          <w:szCs w:val="22"/>
        </w:rPr>
        <w:t>.</w:t>
      </w:r>
    </w:p>
    <w:p w14:paraId="5EB5092D" w14:textId="77777777" w:rsidR="00270C5A" w:rsidRPr="004C2A59" w:rsidRDefault="00270C5A" w:rsidP="00421681">
      <w:pPr>
        <w:pStyle w:val="EndnoteText"/>
        <w:tabs>
          <w:tab w:val="clear" w:pos="567"/>
        </w:tabs>
        <w:rPr>
          <w:color w:val="000000"/>
          <w:szCs w:val="22"/>
          <w:u w:val="single"/>
        </w:rPr>
      </w:pPr>
    </w:p>
    <w:p w14:paraId="622DFED4" w14:textId="77777777" w:rsidR="005A263B" w:rsidRPr="004C2A59" w:rsidRDefault="005A263B" w:rsidP="00A125B0">
      <w:pPr>
        <w:pStyle w:val="EndnoteText"/>
        <w:keepNext/>
        <w:rPr>
          <w:color w:val="000000"/>
          <w:szCs w:val="22"/>
          <w:u w:val="single"/>
        </w:rPr>
      </w:pPr>
      <w:r w:rsidRPr="004C2A59">
        <w:rPr>
          <w:color w:val="000000"/>
          <w:szCs w:val="22"/>
          <w:u w:val="single"/>
        </w:rPr>
        <w:t xml:space="preserve">Kliniske studier ved Ph+ </w:t>
      </w:r>
      <w:smartTag w:uri="urn:schemas-microsoft-com:office:smarttags" w:element="metricconverter">
        <w:r w:rsidRPr="004C2A59">
          <w:rPr>
            <w:color w:val="000000"/>
            <w:szCs w:val="22"/>
            <w:u w:val="single"/>
          </w:rPr>
          <w:t>ALL</w:t>
        </w:r>
      </w:smartTag>
    </w:p>
    <w:p w14:paraId="1995F20B" w14:textId="77777777" w:rsidR="005A263B" w:rsidRPr="004C2A59" w:rsidRDefault="005A263B" w:rsidP="00421681">
      <w:pPr>
        <w:pStyle w:val="EndnoteText"/>
        <w:rPr>
          <w:color w:val="000000"/>
          <w:szCs w:val="22"/>
        </w:rPr>
      </w:pPr>
      <w:r w:rsidRPr="004C2A59">
        <w:rPr>
          <w:color w:val="000000"/>
          <w:szCs w:val="22"/>
        </w:rPr>
        <w:t> </w:t>
      </w:r>
      <w:r w:rsidRPr="004C2A59">
        <w:rPr>
          <w:i/>
          <w:color w:val="000000"/>
          <w:szCs w:val="22"/>
        </w:rPr>
        <w:t xml:space="preserve">Nydiagnostiseret Ph+ </w:t>
      </w:r>
      <w:smartTag w:uri="urn:schemas-microsoft-com:office:smarttags" w:element="metricconverter">
        <w:r w:rsidRPr="004C2A59">
          <w:rPr>
            <w:i/>
            <w:color w:val="000000"/>
            <w:szCs w:val="22"/>
          </w:rPr>
          <w:t>ALL</w:t>
        </w:r>
      </w:smartTag>
      <w:r w:rsidRPr="004C2A59">
        <w:rPr>
          <w:color w:val="000000"/>
          <w:szCs w:val="22"/>
        </w:rPr>
        <w:t xml:space="preserve">: I et kontrolleret studie (ADE10) hvor imatinib blev sammenlignet med kemoterapi-induktion hos 55 nydiagnostiserede patienter i alderen 55 år og derover, gav imatinib brugt som monoterapi anledning til en signifikant højere ratio af hæmalogisk respons end kemopterapi (96,3% </w:t>
      </w:r>
      <w:r w:rsidR="000772C0" w:rsidRPr="004C2A59">
        <w:rPr>
          <w:i/>
          <w:color w:val="000000"/>
          <w:szCs w:val="22"/>
        </w:rPr>
        <w:t>vs.</w:t>
      </w:r>
      <w:r w:rsidR="000772C0" w:rsidRPr="004C2A59">
        <w:rPr>
          <w:color w:val="000000"/>
          <w:szCs w:val="22"/>
        </w:rPr>
        <w:t xml:space="preserve"> </w:t>
      </w:r>
      <w:r w:rsidRPr="004C2A59">
        <w:rPr>
          <w:color w:val="000000"/>
          <w:szCs w:val="22"/>
        </w:rPr>
        <w:t xml:space="preserve">50%, p=0,0001). Da imatinib blev givet som ”salvage therapy” til patienter, som ikke responderede eller som responderede dårligt på kemoterapi, opnåedes komplet hæmatologisk respons hos 9 (81,8%) ud af 11 patienter. Denne kliniske effekt var efter 2 ugers behandling forbundet med en højere reduktion i bcr-abl transkriptionen hos de imatinibbehandlede patienter end i kemoterapiarmen (p=0,02). Alle patienter blev efter induktion behandlet med imatinib og standard kemoterapi (se </w:t>
      </w:r>
      <w:r w:rsidR="0036624D" w:rsidRPr="004C2A59">
        <w:rPr>
          <w:color w:val="000000"/>
          <w:szCs w:val="22"/>
        </w:rPr>
        <w:t>T</w:t>
      </w:r>
      <w:r w:rsidRPr="004C2A59">
        <w:rPr>
          <w:color w:val="000000"/>
          <w:szCs w:val="22"/>
        </w:rPr>
        <w:t>abel </w:t>
      </w:r>
      <w:r w:rsidR="00353FC4" w:rsidRPr="004C2A59">
        <w:rPr>
          <w:color w:val="000000"/>
          <w:szCs w:val="22"/>
        </w:rPr>
        <w:t>4</w:t>
      </w:r>
      <w:r w:rsidRPr="004C2A59">
        <w:rPr>
          <w:color w:val="000000"/>
          <w:szCs w:val="22"/>
        </w:rPr>
        <w:t>), og bcr-abl transkriptionerne var identiske i de to arme efter 8 ugers behandling. Som det var forventet på basis af studiedesignet, sås ingen forskel i varighed af remission, sygdomsfri overlevelse eller generel overlevelse, skønt patienter med komplet molekylær respons og forblivende i minimal residual sygdom havde større udbytte af behandlingen i form af både varighed af remission (p=0,01) og sygdomsfri overlevelse (p=0,02).</w:t>
      </w:r>
    </w:p>
    <w:p w14:paraId="28736079" w14:textId="77777777" w:rsidR="005A263B" w:rsidRPr="004C2A59" w:rsidRDefault="005A263B" w:rsidP="00421681">
      <w:pPr>
        <w:pStyle w:val="EndnoteText"/>
        <w:rPr>
          <w:color w:val="000000"/>
          <w:szCs w:val="22"/>
        </w:rPr>
      </w:pPr>
    </w:p>
    <w:p w14:paraId="6D48B894" w14:textId="77777777" w:rsidR="005A263B" w:rsidRPr="004C2A59" w:rsidRDefault="005A263B" w:rsidP="00421681">
      <w:pPr>
        <w:pStyle w:val="EndnoteText"/>
        <w:rPr>
          <w:color w:val="000000"/>
          <w:szCs w:val="22"/>
        </w:rPr>
      </w:pPr>
      <w:r w:rsidRPr="004C2A59">
        <w:rPr>
          <w:color w:val="000000"/>
          <w:szCs w:val="22"/>
        </w:rPr>
        <w:t xml:space="preserve">Resultaterne, som blev opnået i en population af 211 nydiagnosticerede Ph+ </w:t>
      </w:r>
      <w:smartTag w:uri="urn:schemas-microsoft-com:office:smarttags" w:element="metricconverter">
        <w:r w:rsidRPr="004C2A59">
          <w:rPr>
            <w:color w:val="000000"/>
            <w:szCs w:val="22"/>
          </w:rPr>
          <w:t>ALL</w:t>
        </w:r>
      </w:smartTag>
      <w:r w:rsidRPr="004C2A59">
        <w:rPr>
          <w:color w:val="000000"/>
          <w:szCs w:val="22"/>
        </w:rPr>
        <w:t xml:space="preserve"> patienter i fire ikke kontrollerede studier (AAU02, ADE04, AJP01 og AUS01), er i overensstemmelse med resultaterne beskrevet ovenfor. Imatinib givet i kombination med kemoterapi-induktion (se </w:t>
      </w:r>
      <w:r w:rsidR="0036624D" w:rsidRPr="004C2A59">
        <w:rPr>
          <w:color w:val="000000"/>
          <w:szCs w:val="22"/>
        </w:rPr>
        <w:t>T</w:t>
      </w:r>
      <w:r w:rsidRPr="004C2A59">
        <w:rPr>
          <w:color w:val="000000"/>
          <w:szCs w:val="22"/>
        </w:rPr>
        <w:t>abel </w:t>
      </w:r>
      <w:r w:rsidR="00353FC4" w:rsidRPr="004C2A59">
        <w:rPr>
          <w:color w:val="000000"/>
          <w:szCs w:val="22"/>
        </w:rPr>
        <w:t>4</w:t>
      </w:r>
      <w:r w:rsidRPr="004C2A59">
        <w:rPr>
          <w:color w:val="000000"/>
          <w:szCs w:val="22"/>
        </w:rPr>
        <w:t xml:space="preserve">) resulterede i en komplet hæmatologisk responsrate på 93% (147 ud af 158 evaluerbare patienter), og i en væsentlig cytogenetisk responsrate på 90% (19 ud af 21 evaluerbare patienter). Den samlede molekylære responsrate var 48% (49 ud af 102 evaluerbare patienter). Sygdomsfri overlevelse (disease-free survival </w:t>
      </w:r>
      <w:smartTag w:uri="urn:schemas-microsoft-com:office:smarttags" w:element="metricconverter">
        <w:r w:rsidRPr="004C2A59">
          <w:rPr>
            <w:color w:val="000000"/>
            <w:szCs w:val="22"/>
          </w:rPr>
          <w:t>DFS</w:t>
        </w:r>
      </w:smartTag>
      <w:r w:rsidRPr="004C2A59">
        <w:rPr>
          <w:color w:val="000000"/>
          <w:szCs w:val="22"/>
        </w:rPr>
        <w:t>) og overordnede overlevelse (overall survival OS) var konstant mere end 1 år og var superior til historiske kontroller (</w:t>
      </w:r>
      <w:smartTag w:uri="urn:schemas-microsoft-com:office:smarttags" w:element="metricconverter">
        <w:r w:rsidRPr="004C2A59">
          <w:rPr>
            <w:color w:val="000000"/>
            <w:szCs w:val="22"/>
          </w:rPr>
          <w:t>DFS</w:t>
        </w:r>
      </w:smartTag>
      <w:r w:rsidRPr="004C2A59">
        <w:rPr>
          <w:color w:val="000000"/>
          <w:szCs w:val="22"/>
        </w:rPr>
        <w:t xml:space="preserve"> p&lt;0,001; OS p&lt;0,0001) i to studier (AJp01 og AUS01)</w:t>
      </w:r>
      <w:r w:rsidR="00460267" w:rsidRPr="004C2A59">
        <w:rPr>
          <w:color w:val="000000"/>
          <w:szCs w:val="22"/>
        </w:rPr>
        <w:t>.</w:t>
      </w:r>
    </w:p>
    <w:p w14:paraId="19DDEF91" w14:textId="77777777" w:rsidR="005A263B" w:rsidRPr="004C2A59" w:rsidRDefault="005A263B" w:rsidP="00421681">
      <w:pPr>
        <w:pStyle w:val="EndnoteText"/>
        <w:rPr>
          <w:color w:val="000000"/>
          <w:szCs w:val="22"/>
        </w:rPr>
      </w:pPr>
    </w:p>
    <w:p w14:paraId="723C536E" w14:textId="77777777" w:rsidR="005A263B" w:rsidRPr="004C2A59" w:rsidRDefault="005A263B" w:rsidP="00A125B0">
      <w:pPr>
        <w:pStyle w:val="EndnoteText"/>
        <w:keepNext/>
        <w:rPr>
          <w:b/>
          <w:bCs/>
          <w:color w:val="000000"/>
          <w:szCs w:val="22"/>
        </w:rPr>
      </w:pPr>
      <w:r w:rsidRPr="004C2A59">
        <w:rPr>
          <w:b/>
          <w:bCs/>
          <w:color w:val="000000"/>
          <w:szCs w:val="22"/>
        </w:rPr>
        <w:t>Tabel </w:t>
      </w:r>
      <w:r w:rsidR="00353FC4" w:rsidRPr="004C2A59">
        <w:rPr>
          <w:b/>
          <w:bCs/>
          <w:color w:val="000000"/>
          <w:szCs w:val="22"/>
        </w:rPr>
        <w:t>4</w:t>
      </w:r>
      <w:r w:rsidRPr="004C2A59">
        <w:rPr>
          <w:b/>
          <w:bCs/>
          <w:color w:val="000000"/>
          <w:szCs w:val="22"/>
        </w:rPr>
        <w:tab/>
      </w:r>
      <w:r w:rsidRPr="004C2A59">
        <w:rPr>
          <w:b/>
          <w:color w:val="000000"/>
          <w:szCs w:val="22"/>
        </w:rPr>
        <w:t>Kemoterapiregime anvendt i kombination med imatinib</w:t>
      </w:r>
    </w:p>
    <w:p w14:paraId="0F59A74A" w14:textId="77777777" w:rsidR="005A263B" w:rsidRPr="004C2A59" w:rsidRDefault="005A263B" w:rsidP="00A125B0">
      <w:pPr>
        <w:pStyle w:val="EndnoteText"/>
        <w:keepNext/>
        <w:rPr>
          <w:color w:val="000000"/>
          <w:szCs w:val="22"/>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5A263B" w:rsidRPr="004C2A59" w14:paraId="2FF64A81" w14:textId="77777777" w:rsidTr="00A125B0">
        <w:trPr>
          <w:cantSplit/>
        </w:trPr>
        <w:tc>
          <w:tcPr>
            <w:tcW w:w="2148" w:type="dxa"/>
            <w:tcBorders>
              <w:top w:val="single" w:sz="4" w:space="0" w:color="auto"/>
              <w:bottom w:val="single" w:sz="4" w:space="0" w:color="auto"/>
            </w:tcBorders>
            <w:shd w:val="clear" w:color="auto" w:fill="auto"/>
          </w:tcPr>
          <w:p w14:paraId="7D736CF7"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b/>
                <w:color w:val="000000"/>
                <w:sz w:val="22"/>
                <w:szCs w:val="22"/>
              </w:rPr>
              <w:t>Studie ADE10</w:t>
            </w:r>
          </w:p>
        </w:tc>
        <w:tc>
          <w:tcPr>
            <w:tcW w:w="6732" w:type="dxa"/>
            <w:gridSpan w:val="4"/>
            <w:tcBorders>
              <w:top w:val="single" w:sz="4" w:space="0" w:color="auto"/>
              <w:bottom w:val="single" w:sz="4" w:space="0" w:color="auto"/>
            </w:tcBorders>
            <w:shd w:val="clear" w:color="auto" w:fill="auto"/>
          </w:tcPr>
          <w:p w14:paraId="50282A94"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p>
        </w:tc>
      </w:tr>
      <w:tr w:rsidR="005A263B" w:rsidRPr="004C2A59" w14:paraId="69911060" w14:textId="77777777" w:rsidTr="00A125B0">
        <w:trPr>
          <w:cantSplit/>
        </w:trPr>
        <w:tc>
          <w:tcPr>
            <w:tcW w:w="2148" w:type="dxa"/>
            <w:tcBorders>
              <w:top w:val="single" w:sz="4" w:space="0" w:color="auto"/>
              <w:bottom w:val="single" w:sz="4" w:space="0" w:color="auto"/>
            </w:tcBorders>
            <w:shd w:val="clear" w:color="auto" w:fill="auto"/>
          </w:tcPr>
          <w:p w14:paraId="16950F6E"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Præfase</w:t>
            </w:r>
          </w:p>
        </w:tc>
        <w:tc>
          <w:tcPr>
            <w:tcW w:w="6732" w:type="dxa"/>
            <w:gridSpan w:val="4"/>
            <w:tcBorders>
              <w:top w:val="single" w:sz="4" w:space="0" w:color="auto"/>
              <w:bottom w:val="single" w:sz="4" w:space="0" w:color="auto"/>
            </w:tcBorders>
            <w:shd w:val="clear" w:color="auto" w:fill="auto"/>
          </w:tcPr>
          <w:p w14:paraId="6F7DBD42" w14:textId="77777777" w:rsidR="009847F0" w:rsidRPr="00F852D1" w:rsidRDefault="005A263B" w:rsidP="00A125B0">
            <w:pPr>
              <w:pStyle w:val="Table"/>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DEX 10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oral, dag 1-5;</w:t>
            </w:r>
          </w:p>
          <w:p w14:paraId="45D28610" w14:textId="77777777" w:rsidR="009847F0" w:rsidRPr="004C2A59" w:rsidRDefault="005A263B"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CP 200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dag 3, 4, 5;</w:t>
            </w:r>
          </w:p>
          <w:p w14:paraId="386DDBAB" w14:textId="77777777" w:rsidR="005A263B" w:rsidRPr="004C2A59" w:rsidRDefault="005A263B" w:rsidP="00A125B0">
            <w:pPr>
              <w:pStyle w:val="Table"/>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MTX</w:t>
              </w:r>
            </w:smartTag>
            <w:r w:rsidRPr="004C2A59">
              <w:rPr>
                <w:rFonts w:ascii="Times New Roman" w:hAnsi="Times New Roman"/>
                <w:color w:val="000000"/>
                <w:sz w:val="22"/>
                <w:szCs w:val="22"/>
                <w:lang w:val="da-DK"/>
              </w:rPr>
              <w:t xml:space="preserve"> 12 mg intrathecal, dag 1</w:t>
            </w:r>
          </w:p>
        </w:tc>
      </w:tr>
      <w:tr w:rsidR="005A263B" w:rsidRPr="00F852D1" w14:paraId="2FF6032D" w14:textId="77777777" w:rsidTr="00A125B0">
        <w:trPr>
          <w:cantSplit/>
        </w:trPr>
        <w:tc>
          <w:tcPr>
            <w:tcW w:w="2148" w:type="dxa"/>
            <w:tcBorders>
              <w:top w:val="single" w:sz="4" w:space="0" w:color="auto"/>
              <w:bottom w:val="single" w:sz="4" w:space="0" w:color="auto"/>
            </w:tcBorders>
            <w:shd w:val="clear" w:color="auto" w:fill="auto"/>
          </w:tcPr>
          <w:p w14:paraId="7D2E2A3B"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Remissionsinduktion</w:t>
            </w:r>
          </w:p>
        </w:tc>
        <w:tc>
          <w:tcPr>
            <w:tcW w:w="6732" w:type="dxa"/>
            <w:gridSpan w:val="4"/>
            <w:tcBorders>
              <w:top w:val="single" w:sz="4" w:space="0" w:color="auto"/>
              <w:bottom w:val="single" w:sz="4" w:space="0" w:color="auto"/>
            </w:tcBorders>
            <w:shd w:val="clear" w:color="auto" w:fill="auto"/>
          </w:tcPr>
          <w:p w14:paraId="6F172732" w14:textId="77777777" w:rsidR="009847F0" w:rsidRPr="00F852D1" w:rsidRDefault="005A263B" w:rsidP="00A125B0">
            <w:pPr>
              <w:pStyle w:val="Table"/>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DEX 10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oral, dag 6-7, 13-16;</w:t>
            </w:r>
          </w:p>
          <w:p w14:paraId="66479C7A" w14:textId="77777777" w:rsidR="009847F0" w:rsidRPr="00F852D1" w:rsidRDefault="005A263B" w:rsidP="00A125B0">
            <w:pPr>
              <w:pStyle w:val="Table"/>
              <w:keepLines w:val="0"/>
              <w:widowControl w:val="0"/>
              <w:spacing w:before="0" w:after="0"/>
              <w:rPr>
                <w:rFonts w:ascii="Times New Roman" w:hAnsi="Times New Roman"/>
                <w:color w:val="000000"/>
                <w:sz w:val="22"/>
                <w:szCs w:val="22"/>
                <w:lang w:val="nb-NO"/>
              </w:rPr>
            </w:pPr>
            <w:smartTag w:uri="urn:schemas-microsoft-com:office:smarttags" w:element="metricconverter">
              <w:r w:rsidRPr="00F852D1">
                <w:rPr>
                  <w:rFonts w:ascii="Times New Roman" w:hAnsi="Times New Roman"/>
                  <w:color w:val="000000"/>
                  <w:sz w:val="22"/>
                  <w:szCs w:val="22"/>
                  <w:lang w:val="nb-NO"/>
                </w:rPr>
                <w:t>VCR</w:t>
              </w:r>
            </w:smartTag>
            <w:r w:rsidRPr="00F852D1">
              <w:rPr>
                <w:rFonts w:ascii="Times New Roman" w:hAnsi="Times New Roman"/>
                <w:color w:val="000000"/>
                <w:sz w:val="22"/>
                <w:szCs w:val="22"/>
                <w:lang w:val="nb-NO"/>
              </w:rPr>
              <w:t xml:space="preserve"> 1 mg i.v., dag 7, 14;</w:t>
            </w:r>
          </w:p>
          <w:p w14:paraId="644AE323" w14:textId="77777777" w:rsidR="009847F0" w:rsidRPr="00F852D1" w:rsidRDefault="005A263B" w:rsidP="00A125B0">
            <w:pPr>
              <w:pStyle w:val="Table"/>
              <w:keepLines w:val="0"/>
              <w:widowControl w:val="0"/>
              <w:spacing w:before="0" w:after="0"/>
              <w:rPr>
                <w:rFonts w:ascii="Times New Roman" w:hAnsi="Times New Roman"/>
                <w:color w:val="000000"/>
                <w:sz w:val="22"/>
                <w:szCs w:val="22"/>
                <w:lang w:val="nb-NO"/>
              </w:rPr>
            </w:pPr>
            <w:smartTag w:uri="urn:schemas-microsoft-com:office:smarttags" w:element="metricconverter">
              <w:r w:rsidRPr="00F852D1">
                <w:rPr>
                  <w:rFonts w:ascii="Times New Roman" w:hAnsi="Times New Roman"/>
                  <w:color w:val="000000"/>
                  <w:sz w:val="22"/>
                  <w:szCs w:val="22"/>
                  <w:lang w:val="nb-NO"/>
                </w:rPr>
                <w:t>IDA</w:t>
              </w:r>
            </w:smartTag>
            <w:r w:rsidRPr="00F852D1">
              <w:rPr>
                <w:rFonts w:ascii="Times New Roman" w:hAnsi="Times New Roman"/>
                <w:color w:val="000000"/>
                <w:sz w:val="22"/>
                <w:szCs w:val="22"/>
                <w:lang w:val="nb-NO"/>
              </w:rPr>
              <w:t xml:space="preserve"> 8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i.v. (0,5 time), dag 7, 8, 14, 15;</w:t>
            </w:r>
          </w:p>
          <w:p w14:paraId="27F8A85B" w14:textId="77777777" w:rsidR="009847F0" w:rsidRPr="00F852D1" w:rsidRDefault="005A263B" w:rsidP="00A125B0">
            <w:pPr>
              <w:pStyle w:val="Table"/>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CP 500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i.v.(1 time) dag 1;</w:t>
            </w:r>
          </w:p>
          <w:p w14:paraId="095F8174" w14:textId="77777777" w:rsidR="005A263B" w:rsidRPr="00F852D1" w:rsidRDefault="005A263B" w:rsidP="00A125B0">
            <w:pPr>
              <w:pStyle w:val="Table"/>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Ara-C 60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i.v., dag 22-25, 29-32</w:t>
            </w:r>
          </w:p>
        </w:tc>
      </w:tr>
      <w:tr w:rsidR="005A263B" w:rsidRPr="00DA2798" w14:paraId="6856E03C" w14:textId="77777777" w:rsidTr="00A125B0">
        <w:trPr>
          <w:cantSplit/>
        </w:trPr>
        <w:tc>
          <w:tcPr>
            <w:tcW w:w="2148" w:type="dxa"/>
            <w:tcBorders>
              <w:top w:val="single" w:sz="4" w:space="0" w:color="auto"/>
              <w:bottom w:val="single" w:sz="4" w:space="0" w:color="auto"/>
            </w:tcBorders>
            <w:shd w:val="clear" w:color="auto" w:fill="auto"/>
          </w:tcPr>
          <w:p w14:paraId="0BE4AC7E" w14:textId="77777777" w:rsidR="005A263B" w:rsidRPr="004C2A59" w:rsidRDefault="005A263B"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 xml:space="preserve">Konsoliderende behandling I, </w:t>
            </w:r>
            <w:smartTag w:uri="urn:schemas-microsoft-com:office:smarttags" w:element="metricconverter">
              <w:r w:rsidRPr="004C2A59">
                <w:rPr>
                  <w:rFonts w:ascii="Times New Roman" w:hAnsi="Times New Roman"/>
                  <w:color w:val="000000"/>
                  <w:sz w:val="22"/>
                  <w:szCs w:val="22"/>
                  <w:lang w:val="da-DK"/>
                </w:rPr>
                <w:t>III</w:t>
              </w:r>
            </w:smartTag>
            <w:r w:rsidRPr="004C2A59">
              <w:rPr>
                <w:rFonts w:ascii="Times New Roman" w:hAnsi="Times New Roman"/>
                <w:color w:val="000000"/>
                <w:sz w:val="22"/>
                <w:szCs w:val="22"/>
                <w:lang w:val="da-DK"/>
              </w:rPr>
              <w:t>, V</w:t>
            </w:r>
          </w:p>
        </w:tc>
        <w:tc>
          <w:tcPr>
            <w:tcW w:w="6732" w:type="dxa"/>
            <w:gridSpan w:val="4"/>
            <w:tcBorders>
              <w:top w:val="single" w:sz="4" w:space="0" w:color="auto"/>
              <w:bottom w:val="single" w:sz="4" w:space="0" w:color="auto"/>
            </w:tcBorders>
            <w:shd w:val="clear" w:color="auto" w:fill="auto"/>
          </w:tcPr>
          <w:p w14:paraId="5EBA1AC3" w14:textId="77777777" w:rsidR="009847F0" w:rsidRPr="004C2A59" w:rsidRDefault="005A263B" w:rsidP="00A125B0">
            <w:pPr>
              <w:pStyle w:val="Table"/>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MTX</w:t>
              </w:r>
            </w:smartTag>
            <w:r w:rsidRPr="004C2A59">
              <w:rPr>
                <w:rFonts w:ascii="Times New Roman" w:hAnsi="Times New Roman"/>
                <w:color w:val="000000"/>
                <w:sz w:val="22"/>
                <w:szCs w:val="22"/>
                <w:lang w:val="da-DK"/>
              </w:rPr>
              <w:t xml:space="preserve"> 500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(24 timer), dag 1, 15;</w:t>
            </w:r>
          </w:p>
          <w:p w14:paraId="24A1A580" w14:textId="77777777" w:rsidR="005A263B" w:rsidRPr="004C2A59" w:rsidRDefault="005A263B"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6-MP 25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oral, dag 1-20</w:t>
            </w:r>
          </w:p>
        </w:tc>
      </w:tr>
      <w:tr w:rsidR="005A263B" w:rsidRPr="00DA2798" w14:paraId="1F8E0B1D" w14:textId="77777777" w:rsidTr="00A125B0">
        <w:trPr>
          <w:cantSplit/>
        </w:trPr>
        <w:tc>
          <w:tcPr>
            <w:tcW w:w="2148" w:type="dxa"/>
            <w:tcBorders>
              <w:top w:val="single" w:sz="4" w:space="0" w:color="auto"/>
              <w:bottom w:val="single" w:sz="4" w:space="0" w:color="auto"/>
            </w:tcBorders>
            <w:shd w:val="clear" w:color="auto" w:fill="auto"/>
          </w:tcPr>
          <w:p w14:paraId="67E55B99" w14:textId="77777777" w:rsidR="005A263B" w:rsidRPr="004C2A59" w:rsidRDefault="005A263B" w:rsidP="00A125B0">
            <w:pPr>
              <w:pStyle w:val="Table"/>
              <w:keepNext w:val="0"/>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Konsoliderende behandl</w:t>
            </w:r>
            <w:r w:rsidRPr="004C2A59">
              <w:rPr>
                <w:rFonts w:ascii="Times New Roman" w:hAnsi="Times New Roman"/>
                <w:color w:val="000000"/>
                <w:sz w:val="22"/>
                <w:szCs w:val="22"/>
                <w:lang w:val="da-DK"/>
              </w:rPr>
              <w:t>ing</w:t>
            </w:r>
            <w:r w:rsidRPr="004C2A59">
              <w:rPr>
                <w:rFonts w:ascii="Times New Roman" w:hAnsi="Times New Roman"/>
                <w:color w:val="000000"/>
                <w:sz w:val="22"/>
                <w:szCs w:val="22"/>
              </w:rPr>
              <w:t xml:space="preserve"> II, IV</w:t>
            </w:r>
          </w:p>
        </w:tc>
        <w:tc>
          <w:tcPr>
            <w:tcW w:w="6732" w:type="dxa"/>
            <w:gridSpan w:val="4"/>
            <w:tcBorders>
              <w:top w:val="single" w:sz="4" w:space="0" w:color="auto"/>
              <w:bottom w:val="single" w:sz="4" w:space="0" w:color="auto"/>
            </w:tcBorders>
            <w:shd w:val="clear" w:color="auto" w:fill="auto"/>
          </w:tcPr>
          <w:p w14:paraId="64F7FBCF" w14:textId="77777777" w:rsidR="009847F0" w:rsidRPr="004C2A59" w:rsidRDefault="005A263B" w:rsidP="00A125B0">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Ara-C 75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(1 time), dag 1-5;</w:t>
            </w:r>
          </w:p>
          <w:p w14:paraId="18841E60" w14:textId="77777777" w:rsidR="005A263B" w:rsidRPr="004C2A59" w:rsidRDefault="005A263B" w:rsidP="00A125B0">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VM26 60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(1 time), dag 1-5</w:t>
            </w:r>
          </w:p>
        </w:tc>
      </w:tr>
      <w:tr w:rsidR="005A263B" w:rsidRPr="004C2A59" w14:paraId="2773AB77" w14:textId="77777777" w:rsidTr="00A125B0">
        <w:trPr>
          <w:cantSplit/>
        </w:trPr>
        <w:tc>
          <w:tcPr>
            <w:tcW w:w="2148" w:type="dxa"/>
            <w:tcBorders>
              <w:top w:val="single" w:sz="4" w:space="0" w:color="auto"/>
              <w:bottom w:val="single" w:sz="4" w:space="0" w:color="auto"/>
            </w:tcBorders>
            <w:shd w:val="clear" w:color="auto" w:fill="auto"/>
          </w:tcPr>
          <w:p w14:paraId="274D20E4" w14:textId="77777777" w:rsidR="005A263B" w:rsidRPr="004C2A59" w:rsidRDefault="005A263B" w:rsidP="00A125B0">
            <w:pPr>
              <w:pStyle w:val="Table"/>
              <w:keepLines w:val="0"/>
              <w:widowControl w:val="0"/>
              <w:spacing w:before="0" w:after="0"/>
              <w:rPr>
                <w:rFonts w:ascii="Times New Roman" w:hAnsi="Times New Roman"/>
                <w:b/>
                <w:color w:val="000000"/>
                <w:sz w:val="22"/>
                <w:szCs w:val="22"/>
              </w:rPr>
            </w:pPr>
            <w:r w:rsidRPr="004C2A59">
              <w:rPr>
                <w:rFonts w:ascii="Times New Roman" w:hAnsi="Times New Roman"/>
                <w:b/>
                <w:color w:val="000000"/>
                <w:sz w:val="22"/>
                <w:szCs w:val="22"/>
              </w:rPr>
              <w:lastRenderedPageBreak/>
              <w:t>Studie AAU02</w:t>
            </w:r>
          </w:p>
        </w:tc>
        <w:tc>
          <w:tcPr>
            <w:tcW w:w="2652" w:type="dxa"/>
            <w:tcBorders>
              <w:top w:val="single" w:sz="4" w:space="0" w:color="auto"/>
              <w:bottom w:val="single" w:sz="4" w:space="0" w:color="auto"/>
            </w:tcBorders>
            <w:shd w:val="clear" w:color="auto" w:fill="auto"/>
          </w:tcPr>
          <w:p w14:paraId="54F39DFF"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p>
        </w:tc>
        <w:tc>
          <w:tcPr>
            <w:tcW w:w="1080" w:type="dxa"/>
            <w:tcBorders>
              <w:top w:val="single" w:sz="4" w:space="0" w:color="auto"/>
              <w:bottom w:val="single" w:sz="4" w:space="0" w:color="auto"/>
            </w:tcBorders>
          </w:tcPr>
          <w:p w14:paraId="2101314E"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45CD45DE"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6EFE28E4"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p>
        </w:tc>
      </w:tr>
      <w:tr w:rsidR="005A263B" w:rsidRPr="00F852D1" w14:paraId="7D59A6E0" w14:textId="77777777" w:rsidTr="00A125B0">
        <w:trPr>
          <w:cantSplit/>
        </w:trPr>
        <w:tc>
          <w:tcPr>
            <w:tcW w:w="2148" w:type="dxa"/>
            <w:tcBorders>
              <w:top w:val="single" w:sz="4" w:space="0" w:color="auto"/>
              <w:bottom w:val="single" w:sz="4" w:space="0" w:color="auto"/>
            </w:tcBorders>
            <w:shd w:val="clear" w:color="auto" w:fill="auto"/>
          </w:tcPr>
          <w:p w14:paraId="1B85B8CB" w14:textId="77777777" w:rsidR="005A263B" w:rsidRPr="004C2A59" w:rsidRDefault="005A263B"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Induktionsbehandling (</w:t>
            </w:r>
            <w:r w:rsidRPr="004C2A59">
              <w:rPr>
                <w:rFonts w:ascii="Times New Roman" w:hAnsi="Times New Roman"/>
                <w:i/>
                <w:color w:val="000000"/>
                <w:sz w:val="22"/>
                <w:szCs w:val="22"/>
                <w:lang w:val="da-DK"/>
              </w:rPr>
              <w:t>de novo</w:t>
            </w:r>
            <w:r w:rsidRPr="004C2A59">
              <w:rPr>
                <w:rFonts w:ascii="Times New Roman" w:hAnsi="Times New Roman"/>
                <w:color w:val="000000"/>
                <w:sz w:val="22"/>
                <w:szCs w:val="22"/>
                <w:lang w:val="da-DK"/>
              </w:rPr>
              <w:t xml:space="preserve"> Ph+ </w:t>
            </w:r>
            <w:smartTag w:uri="urn:schemas-microsoft-com:office:smarttags" w:element="metricconverter">
              <w:r w:rsidRPr="004C2A59">
                <w:rPr>
                  <w:rFonts w:ascii="Times New Roman" w:hAnsi="Times New Roman"/>
                  <w:color w:val="000000"/>
                  <w:sz w:val="22"/>
                  <w:szCs w:val="22"/>
                  <w:lang w:val="da-DK"/>
                </w:rPr>
                <w:t>ALL</w:t>
              </w:r>
            </w:smartTag>
            <w:r w:rsidRPr="004C2A59">
              <w:rPr>
                <w:rFonts w:ascii="Times New Roman" w:hAnsi="Times New Roman"/>
                <w:color w:val="000000"/>
                <w:sz w:val="22"/>
                <w:szCs w:val="22"/>
                <w:lang w:val="da-DK"/>
              </w:rPr>
              <w:t>)</w:t>
            </w:r>
          </w:p>
        </w:tc>
        <w:tc>
          <w:tcPr>
            <w:tcW w:w="6732" w:type="dxa"/>
            <w:gridSpan w:val="4"/>
            <w:tcBorders>
              <w:top w:val="single" w:sz="4" w:space="0" w:color="auto"/>
              <w:bottom w:val="single" w:sz="4" w:space="0" w:color="auto"/>
            </w:tcBorders>
            <w:shd w:val="clear" w:color="auto" w:fill="auto"/>
          </w:tcPr>
          <w:p w14:paraId="740EFEF0" w14:textId="77777777" w:rsidR="009847F0" w:rsidRPr="004C2A59" w:rsidRDefault="005A263B"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Daunorubicin 30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dag 1-3, 15-16;</w:t>
            </w:r>
          </w:p>
          <w:p w14:paraId="7E572A0E" w14:textId="77777777" w:rsidR="009847F0" w:rsidRPr="004C2A59" w:rsidRDefault="005A263B" w:rsidP="00A125B0">
            <w:pPr>
              <w:pStyle w:val="Table"/>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VCR</w:t>
              </w:r>
            </w:smartTag>
            <w:r w:rsidRPr="004C2A59">
              <w:rPr>
                <w:rFonts w:ascii="Times New Roman" w:hAnsi="Times New Roman"/>
                <w:color w:val="000000"/>
                <w:sz w:val="22"/>
                <w:szCs w:val="22"/>
                <w:lang w:val="da-DK"/>
              </w:rPr>
              <w:t xml:space="preserve"> 2 mg total dose i.v., dag 1, 8, 15, 22;</w:t>
            </w:r>
          </w:p>
          <w:p w14:paraId="70F55870" w14:textId="77777777" w:rsidR="009847F0" w:rsidRPr="004C2A59" w:rsidRDefault="005A263B"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CP 750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dag 1, 8;</w:t>
            </w:r>
          </w:p>
          <w:p w14:paraId="0F4EBC8C" w14:textId="77777777" w:rsidR="009847F0" w:rsidRPr="004C2A59" w:rsidRDefault="009847F0"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P</w:t>
            </w:r>
            <w:r w:rsidR="005A263B" w:rsidRPr="004C2A59">
              <w:rPr>
                <w:rFonts w:ascii="Times New Roman" w:hAnsi="Times New Roman"/>
                <w:color w:val="000000"/>
                <w:sz w:val="22"/>
                <w:szCs w:val="22"/>
                <w:lang w:val="da-DK"/>
              </w:rPr>
              <w:t>rednison 60 mg/m</w:t>
            </w:r>
            <w:r w:rsidR="005A263B" w:rsidRPr="004C2A59">
              <w:rPr>
                <w:rFonts w:ascii="Times New Roman" w:hAnsi="Times New Roman"/>
                <w:color w:val="000000"/>
                <w:sz w:val="22"/>
                <w:szCs w:val="22"/>
                <w:vertAlign w:val="superscript"/>
                <w:lang w:val="da-DK"/>
              </w:rPr>
              <w:t>2</w:t>
            </w:r>
            <w:r w:rsidR="005A263B" w:rsidRPr="004C2A59">
              <w:rPr>
                <w:rFonts w:ascii="Times New Roman" w:hAnsi="Times New Roman"/>
                <w:color w:val="000000"/>
                <w:sz w:val="22"/>
                <w:szCs w:val="22"/>
                <w:lang w:val="da-DK"/>
              </w:rPr>
              <w:t xml:space="preserve"> oral, dag 1-7, 15-21;</w:t>
            </w:r>
          </w:p>
          <w:p w14:paraId="5AA40413" w14:textId="77777777" w:rsidR="009847F0" w:rsidRPr="004C2A59" w:rsidRDefault="005A263B" w:rsidP="00A125B0">
            <w:pPr>
              <w:pStyle w:val="Table"/>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IDA</w:t>
              </w:r>
            </w:smartTag>
            <w:r w:rsidRPr="004C2A59">
              <w:rPr>
                <w:rFonts w:ascii="Times New Roman" w:hAnsi="Times New Roman"/>
                <w:color w:val="000000"/>
                <w:sz w:val="22"/>
                <w:szCs w:val="22"/>
                <w:lang w:val="da-DK"/>
              </w:rPr>
              <w:t xml:space="preserve"> 9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oral, dag 1-28;</w:t>
            </w:r>
          </w:p>
          <w:p w14:paraId="613D361A" w14:textId="77777777" w:rsidR="009847F0" w:rsidRPr="004C2A59" w:rsidRDefault="005A263B" w:rsidP="00A125B0">
            <w:pPr>
              <w:pStyle w:val="Table"/>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MTX</w:t>
              </w:r>
            </w:smartTag>
            <w:r w:rsidRPr="004C2A59">
              <w:rPr>
                <w:rFonts w:ascii="Times New Roman" w:hAnsi="Times New Roman"/>
                <w:color w:val="000000"/>
                <w:sz w:val="22"/>
                <w:szCs w:val="22"/>
                <w:lang w:val="da-DK"/>
              </w:rPr>
              <w:t xml:space="preserve"> 15 mg intrathecal, dag 1, 8, 15, 22;</w:t>
            </w:r>
          </w:p>
          <w:p w14:paraId="04515E30" w14:textId="77777777" w:rsidR="009847F0" w:rsidRPr="004C2A59" w:rsidRDefault="005A263B"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Ara-C 40 mg intrathecal, dag 1, 8, 15, 22;</w:t>
            </w:r>
          </w:p>
          <w:p w14:paraId="409709A4" w14:textId="77777777" w:rsidR="005A263B" w:rsidRPr="004C2A59" w:rsidRDefault="009847F0"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M</w:t>
            </w:r>
            <w:r w:rsidR="005A263B" w:rsidRPr="004C2A59">
              <w:rPr>
                <w:rFonts w:ascii="Times New Roman" w:hAnsi="Times New Roman"/>
                <w:color w:val="000000"/>
                <w:sz w:val="22"/>
                <w:szCs w:val="22"/>
                <w:lang w:val="da-DK"/>
              </w:rPr>
              <w:t xml:space="preserve">ethylprednisolon 40 mg intrathecal, dag 1, 8, 15, 22 </w:t>
            </w:r>
          </w:p>
        </w:tc>
      </w:tr>
      <w:tr w:rsidR="005A263B" w:rsidRPr="004C2A59" w14:paraId="38F9DCDA" w14:textId="77777777" w:rsidTr="00A125B0">
        <w:trPr>
          <w:cantSplit/>
        </w:trPr>
        <w:tc>
          <w:tcPr>
            <w:tcW w:w="2148" w:type="dxa"/>
            <w:tcBorders>
              <w:top w:val="single" w:sz="4" w:space="0" w:color="auto"/>
              <w:bottom w:val="single" w:sz="4" w:space="0" w:color="auto"/>
            </w:tcBorders>
            <w:shd w:val="clear" w:color="auto" w:fill="auto"/>
          </w:tcPr>
          <w:p w14:paraId="7363D875" w14:textId="77777777" w:rsidR="005A263B" w:rsidRPr="00F852D1" w:rsidRDefault="005A263B" w:rsidP="00A125B0">
            <w:pPr>
              <w:pStyle w:val="Table"/>
              <w:keepNext w:val="0"/>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Konsoliderende behandling (</w:t>
            </w:r>
            <w:r w:rsidRPr="00F852D1">
              <w:rPr>
                <w:rFonts w:ascii="Times New Roman" w:hAnsi="Times New Roman"/>
                <w:i/>
                <w:color w:val="000000"/>
                <w:sz w:val="22"/>
                <w:szCs w:val="22"/>
                <w:lang w:val="nb-NO"/>
              </w:rPr>
              <w:t>de novo</w:t>
            </w:r>
            <w:r w:rsidRPr="00F852D1">
              <w:rPr>
                <w:rFonts w:ascii="Times New Roman" w:hAnsi="Times New Roman"/>
                <w:color w:val="000000"/>
                <w:sz w:val="22"/>
                <w:szCs w:val="22"/>
                <w:lang w:val="nb-NO"/>
              </w:rPr>
              <w:t xml:space="preserve"> Ph+ </w:t>
            </w:r>
            <w:smartTag w:uri="urn:schemas-microsoft-com:office:smarttags" w:element="metricconverter">
              <w:r w:rsidRPr="00F852D1">
                <w:rPr>
                  <w:rFonts w:ascii="Times New Roman" w:hAnsi="Times New Roman"/>
                  <w:color w:val="000000"/>
                  <w:sz w:val="22"/>
                  <w:szCs w:val="22"/>
                  <w:lang w:val="nb-NO"/>
                </w:rPr>
                <w:t>ALL</w:t>
              </w:r>
            </w:smartTag>
            <w:r w:rsidRPr="00F852D1">
              <w:rPr>
                <w:rFonts w:ascii="Times New Roman" w:hAnsi="Times New Roman"/>
                <w:color w:val="000000"/>
                <w:sz w:val="22"/>
                <w:szCs w:val="22"/>
                <w:lang w:val="nb-NO"/>
              </w:rPr>
              <w:t>)</w:t>
            </w:r>
          </w:p>
        </w:tc>
        <w:tc>
          <w:tcPr>
            <w:tcW w:w="6732" w:type="dxa"/>
            <w:gridSpan w:val="4"/>
            <w:tcBorders>
              <w:top w:val="single" w:sz="4" w:space="0" w:color="auto"/>
              <w:bottom w:val="single" w:sz="4" w:space="0" w:color="auto"/>
            </w:tcBorders>
            <w:shd w:val="clear" w:color="auto" w:fill="auto"/>
          </w:tcPr>
          <w:p w14:paraId="5873EEB9" w14:textId="77777777" w:rsidR="009847F0" w:rsidRPr="00F852D1" w:rsidRDefault="005A263B" w:rsidP="00A125B0">
            <w:pPr>
              <w:pStyle w:val="Table"/>
              <w:keepNext w:val="0"/>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Ara-C 1.000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/12 timer i.v.(3 timer), dag 1-4;</w:t>
            </w:r>
          </w:p>
          <w:p w14:paraId="729A1089" w14:textId="77777777" w:rsidR="009847F0" w:rsidRPr="00F852D1" w:rsidRDefault="009847F0" w:rsidP="00A125B0">
            <w:pPr>
              <w:pStyle w:val="Table"/>
              <w:keepNext w:val="0"/>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M</w:t>
            </w:r>
            <w:r w:rsidR="005A263B" w:rsidRPr="00F852D1">
              <w:rPr>
                <w:rFonts w:ascii="Times New Roman" w:hAnsi="Times New Roman"/>
                <w:color w:val="000000"/>
                <w:sz w:val="22"/>
                <w:szCs w:val="22"/>
                <w:lang w:val="nb-NO"/>
              </w:rPr>
              <w:t>itoxantron 10 mg/m</w:t>
            </w:r>
            <w:r w:rsidR="005A263B" w:rsidRPr="00F852D1">
              <w:rPr>
                <w:rFonts w:ascii="Times New Roman" w:hAnsi="Times New Roman"/>
                <w:color w:val="000000"/>
                <w:sz w:val="22"/>
                <w:szCs w:val="22"/>
                <w:vertAlign w:val="superscript"/>
                <w:lang w:val="nb-NO"/>
              </w:rPr>
              <w:t>2</w:t>
            </w:r>
            <w:r w:rsidR="005A263B" w:rsidRPr="00F852D1">
              <w:rPr>
                <w:rFonts w:ascii="Times New Roman" w:hAnsi="Times New Roman"/>
                <w:color w:val="000000"/>
                <w:sz w:val="22"/>
                <w:szCs w:val="22"/>
                <w:lang w:val="nb-NO"/>
              </w:rPr>
              <w:t xml:space="preserve"> i.v. dag 3-5;</w:t>
            </w:r>
          </w:p>
          <w:p w14:paraId="1B79561A" w14:textId="77777777" w:rsidR="009847F0" w:rsidRPr="00F852D1" w:rsidRDefault="005A263B" w:rsidP="00A125B0">
            <w:pPr>
              <w:pStyle w:val="Table"/>
              <w:keepNext w:val="0"/>
              <w:keepLines w:val="0"/>
              <w:widowControl w:val="0"/>
              <w:spacing w:before="0" w:after="0"/>
              <w:rPr>
                <w:rFonts w:ascii="Times New Roman" w:hAnsi="Times New Roman"/>
                <w:color w:val="000000"/>
                <w:sz w:val="22"/>
                <w:szCs w:val="22"/>
                <w:lang w:val="nb-NO"/>
              </w:rPr>
            </w:pPr>
            <w:smartTag w:uri="urn:schemas-microsoft-com:office:smarttags" w:element="metricconverter">
              <w:r w:rsidRPr="00F852D1">
                <w:rPr>
                  <w:rFonts w:ascii="Times New Roman" w:hAnsi="Times New Roman"/>
                  <w:color w:val="000000"/>
                  <w:sz w:val="22"/>
                  <w:szCs w:val="22"/>
                  <w:lang w:val="nb-NO"/>
                </w:rPr>
                <w:t>MTX</w:t>
              </w:r>
            </w:smartTag>
            <w:r w:rsidRPr="00F852D1">
              <w:rPr>
                <w:rFonts w:ascii="Times New Roman" w:hAnsi="Times New Roman"/>
                <w:color w:val="000000"/>
                <w:sz w:val="22"/>
                <w:szCs w:val="22"/>
                <w:lang w:val="nb-NO"/>
              </w:rPr>
              <w:t xml:space="preserve"> 15 mg intrathecal, dag 1;</w:t>
            </w:r>
          </w:p>
          <w:p w14:paraId="18E8E084" w14:textId="77777777" w:rsidR="005A263B" w:rsidRPr="004C2A59" w:rsidRDefault="009847F0" w:rsidP="00A125B0">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M</w:t>
            </w:r>
            <w:r w:rsidR="005A263B" w:rsidRPr="004C2A59">
              <w:rPr>
                <w:rFonts w:ascii="Times New Roman" w:hAnsi="Times New Roman"/>
                <w:color w:val="000000"/>
                <w:sz w:val="22"/>
                <w:szCs w:val="22"/>
                <w:lang w:val="da-DK"/>
              </w:rPr>
              <w:t>ethylprednisolon 40 mg intrathecal, dag 1</w:t>
            </w:r>
          </w:p>
        </w:tc>
      </w:tr>
      <w:tr w:rsidR="005A263B" w:rsidRPr="004C2A59" w14:paraId="0C2BD911" w14:textId="77777777" w:rsidTr="00A125B0">
        <w:trPr>
          <w:cantSplit/>
        </w:trPr>
        <w:tc>
          <w:tcPr>
            <w:tcW w:w="4800" w:type="dxa"/>
            <w:gridSpan w:val="2"/>
            <w:tcBorders>
              <w:top w:val="single" w:sz="4" w:space="0" w:color="auto"/>
              <w:bottom w:val="single" w:sz="4" w:space="0" w:color="auto"/>
            </w:tcBorders>
            <w:shd w:val="clear" w:color="auto" w:fill="auto"/>
          </w:tcPr>
          <w:p w14:paraId="649A7A2C" w14:textId="77777777" w:rsidR="005A263B" w:rsidRPr="004C2A59" w:rsidRDefault="005A263B" w:rsidP="00A125B0">
            <w:pPr>
              <w:pStyle w:val="Table"/>
              <w:keepLines w:val="0"/>
              <w:widowControl w:val="0"/>
              <w:spacing w:before="0" w:after="0"/>
              <w:rPr>
                <w:rFonts w:ascii="Times New Roman" w:hAnsi="Times New Roman"/>
                <w:b/>
                <w:color w:val="000000"/>
                <w:sz w:val="22"/>
                <w:szCs w:val="22"/>
              </w:rPr>
            </w:pPr>
            <w:r w:rsidRPr="004C2A59">
              <w:rPr>
                <w:rFonts w:ascii="Times New Roman" w:hAnsi="Times New Roman"/>
                <w:b/>
                <w:color w:val="000000"/>
                <w:sz w:val="22"/>
                <w:szCs w:val="22"/>
              </w:rPr>
              <w:t>Studie ADE04</w:t>
            </w:r>
          </w:p>
        </w:tc>
        <w:tc>
          <w:tcPr>
            <w:tcW w:w="1080" w:type="dxa"/>
            <w:tcBorders>
              <w:top w:val="single" w:sz="4" w:space="0" w:color="auto"/>
              <w:bottom w:val="single" w:sz="4" w:space="0" w:color="auto"/>
            </w:tcBorders>
          </w:tcPr>
          <w:p w14:paraId="154DE82B"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68D06899"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1E49B184"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p>
        </w:tc>
      </w:tr>
      <w:tr w:rsidR="005A263B" w:rsidRPr="004C2A59" w14:paraId="3A875025" w14:textId="77777777" w:rsidTr="00A125B0">
        <w:trPr>
          <w:cantSplit/>
        </w:trPr>
        <w:tc>
          <w:tcPr>
            <w:tcW w:w="2148" w:type="dxa"/>
            <w:tcBorders>
              <w:top w:val="single" w:sz="4" w:space="0" w:color="auto"/>
              <w:bottom w:val="single" w:sz="4" w:space="0" w:color="auto"/>
            </w:tcBorders>
            <w:shd w:val="clear" w:color="auto" w:fill="auto"/>
          </w:tcPr>
          <w:p w14:paraId="093318ED"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Præfase</w:t>
            </w:r>
          </w:p>
        </w:tc>
        <w:tc>
          <w:tcPr>
            <w:tcW w:w="6732" w:type="dxa"/>
            <w:gridSpan w:val="4"/>
            <w:tcBorders>
              <w:top w:val="single" w:sz="4" w:space="0" w:color="auto"/>
              <w:bottom w:val="single" w:sz="4" w:space="0" w:color="auto"/>
            </w:tcBorders>
            <w:shd w:val="clear" w:color="auto" w:fill="auto"/>
          </w:tcPr>
          <w:p w14:paraId="084FF4F9" w14:textId="77777777" w:rsidR="009847F0" w:rsidRPr="00F852D1" w:rsidRDefault="005A263B" w:rsidP="00A125B0">
            <w:pPr>
              <w:pStyle w:val="Table"/>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DEX 10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oral, dag 1-5;</w:t>
            </w:r>
          </w:p>
          <w:p w14:paraId="7E75A2C2" w14:textId="77777777" w:rsidR="009847F0" w:rsidRPr="004C2A59" w:rsidRDefault="005A263B"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CP 200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dag 3-5;</w:t>
            </w:r>
          </w:p>
          <w:p w14:paraId="01F1F66C" w14:textId="77777777" w:rsidR="005A263B" w:rsidRPr="004C2A59" w:rsidRDefault="005A263B" w:rsidP="00A125B0">
            <w:pPr>
              <w:pStyle w:val="Table"/>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MTX</w:t>
              </w:r>
            </w:smartTag>
            <w:r w:rsidRPr="004C2A59">
              <w:rPr>
                <w:rFonts w:ascii="Times New Roman" w:hAnsi="Times New Roman"/>
                <w:color w:val="000000"/>
                <w:sz w:val="22"/>
                <w:szCs w:val="22"/>
                <w:lang w:val="da-DK"/>
              </w:rPr>
              <w:t xml:space="preserve"> 15 mg intrathecal, dag 1</w:t>
            </w:r>
          </w:p>
        </w:tc>
      </w:tr>
      <w:tr w:rsidR="005A263B" w:rsidRPr="00F852D1" w14:paraId="25275E42" w14:textId="77777777" w:rsidTr="00A125B0">
        <w:trPr>
          <w:cantSplit/>
        </w:trPr>
        <w:tc>
          <w:tcPr>
            <w:tcW w:w="2148" w:type="dxa"/>
            <w:tcBorders>
              <w:top w:val="single" w:sz="4" w:space="0" w:color="auto"/>
              <w:bottom w:val="single" w:sz="4" w:space="0" w:color="auto"/>
            </w:tcBorders>
            <w:shd w:val="clear" w:color="auto" w:fill="auto"/>
          </w:tcPr>
          <w:p w14:paraId="741A7D26"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Induktionsbehandling I</w:t>
            </w:r>
          </w:p>
        </w:tc>
        <w:tc>
          <w:tcPr>
            <w:tcW w:w="6732" w:type="dxa"/>
            <w:gridSpan w:val="4"/>
            <w:tcBorders>
              <w:top w:val="single" w:sz="4" w:space="0" w:color="auto"/>
              <w:bottom w:val="single" w:sz="4" w:space="0" w:color="auto"/>
            </w:tcBorders>
            <w:shd w:val="clear" w:color="auto" w:fill="auto"/>
          </w:tcPr>
          <w:p w14:paraId="37400641" w14:textId="77777777" w:rsidR="009847F0" w:rsidRPr="00F852D1" w:rsidRDefault="005A263B" w:rsidP="00A125B0">
            <w:pPr>
              <w:pStyle w:val="Table"/>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DEX 10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oral, dag 1-5;</w:t>
            </w:r>
          </w:p>
          <w:p w14:paraId="2E3CB15F" w14:textId="77777777" w:rsidR="009847F0" w:rsidRPr="00F852D1" w:rsidRDefault="005A263B" w:rsidP="00A125B0">
            <w:pPr>
              <w:pStyle w:val="Table"/>
              <w:keepLines w:val="0"/>
              <w:widowControl w:val="0"/>
              <w:spacing w:before="0" w:after="0"/>
              <w:rPr>
                <w:rFonts w:ascii="Times New Roman" w:hAnsi="Times New Roman"/>
                <w:color w:val="000000"/>
                <w:sz w:val="22"/>
                <w:szCs w:val="22"/>
                <w:lang w:val="nb-NO"/>
              </w:rPr>
            </w:pPr>
            <w:smartTag w:uri="urn:schemas-microsoft-com:office:smarttags" w:element="metricconverter">
              <w:r w:rsidRPr="00F852D1">
                <w:rPr>
                  <w:rFonts w:ascii="Times New Roman" w:hAnsi="Times New Roman"/>
                  <w:color w:val="000000"/>
                  <w:sz w:val="22"/>
                  <w:szCs w:val="22"/>
                  <w:lang w:val="nb-NO"/>
                </w:rPr>
                <w:t>VCR</w:t>
              </w:r>
            </w:smartTag>
            <w:r w:rsidRPr="00F852D1">
              <w:rPr>
                <w:rFonts w:ascii="Times New Roman" w:hAnsi="Times New Roman"/>
                <w:color w:val="000000"/>
                <w:sz w:val="22"/>
                <w:szCs w:val="22"/>
                <w:lang w:val="nb-NO"/>
              </w:rPr>
              <w:t xml:space="preserve"> 2 mg i.v., dag 6, 13, 20;</w:t>
            </w:r>
          </w:p>
          <w:p w14:paraId="696D6778" w14:textId="77777777" w:rsidR="005A263B" w:rsidRPr="00F852D1" w:rsidRDefault="009847F0" w:rsidP="00A125B0">
            <w:pPr>
              <w:pStyle w:val="Table"/>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D</w:t>
            </w:r>
            <w:r w:rsidR="005A263B" w:rsidRPr="00F852D1">
              <w:rPr>
                <w:rFonts w:ascii="Times New Roman" w:hAnsi="Times New Roman"/>
                <w:color w:val="000000"/>
                <w:sz w:val="22"/>
                <w:szCs w:val="22"/>
                <w:lang w:val="nb-NO"/>
              </w:rPr>
              <w:t>aunorubicin 45 mg/m</w:t>
            </w:r>
            <w:r w:rsidR="005A263B" w:rsidRPr="00F852D1">
              <w:rPr>
                <w:rFonts w:ascii="Times New Roman" w:hAnsi="Times New Roman"/>
                <w:color w:val="000000"/>
                <w:sz w:val="22"/>
                <w:szCs w:val="22"/>
                <w:vertAlign w:val="superscript"/>
                <w:lang w:val="nb-NO"/>
              </w:rPr>
              <w:t>2</w:t>
            </w:r>
            <w:r w:rsidR="005A263B" w:rsidRPr="00F852D1">
              <w:rPr>
                <w:rFonts w:ascii="Times New Roman" w:hAnsi="Times New Roman"/>
                <w:color w:val="000000"/>
                <w:sz w:val="22"/>
                <w:szCs w:val="22"/>
                <w:lang w:val="nb-NO"/>
              </w:rPr>
              <w:t xml:space="preserve"> i.v., dag 6-7, 13-14</w:t>
            </w:r>
          </w:p>
        </w:tc>
      </w:tr>
      <w:tr w:rsidR="005A263B" w:rsidRPr="00DA2798" w14:paraId="0DB88E6C" w14:textId="77777777" w:rsidTr="00A125B0">
        <w:trPr>
          <w:cantSplit/>
        </w:trPr>
        <w:tc>
          <w:tcPr>
            <w:tcW w:w="2148" w:type="dxa"/>
            <w:tcBorders>
              <w:top w:val="single" w:sz="4" w:space="0" w:color="auto"/>
              <w:bottom w:val="single" w:sz="4" w:space="0" w:color="auto"/>
            </w:tcBorders>
            <w:shd w:val="clear" w:color="auto" w:fill="auto"/>
          </w:tcPr>
          <w:p w14:paraId="7257C086"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Induktionsbehandling II</w:t>
            </w:r>
          </w:p>
        </w:tc>
        <w:tc>
          <w:tcPr>
            <w:tcW w:w="6732" w:type="dxa"/>
            <w:gridSpan w:val="4"/>
            <w:tcBorders>
              <w:top w:val="single" w:sz="4" w:space="0" w:color="auto"/>
              <w:bottom w:val="single" w:sz="4" w:space="0" w:color="auto"/>
            </w:tcBorders>
            <w:shd w:val="clear" w:color="auto" w:fill="auto"/>
          </w:tcPr>
          <w:p w14:paraId="2B81B783" w14:textId="77777777" w:rsidR="009847F0" w:rsidRPr="00F852D1" w:rsidRDefault="005A263B" w:rsidP="00A125B0">
            <w:pPr>
              <w:pStyle w:val="Table"/>
              <w:keepLines w:val="0"/>
              <w:widowControl w:val="0"/>
              <w:spacing w:before="0" w:after="0"/>
              <w:rPr>
                <w:rFonts w:ascii="Times New Roman" w:hAnsi="Times New Roman"/>
                <w:color w:val="000000"/>
                <w:sz w:val="22"/>
                <w:szCs w:val="22"/>
              </w:rPr>
            </w:pPr>
            <w:r w:rsidRPr="00F852D1">
              <w:rPr>
                <w:rFonts w:ascii="Times New Roman" w:hAnsi="Times New Roman"/>
                <w:color w:val="000000"/>
                <w:sz w:val="22"/>
                <w:szCs w:val="22"/>
              </w:rPr>
              <w:t>CP 1 g/m</w:t>
            </w:r>
            <w:r w:rsidRPr="00F852D1">
              <w:rPr>
                <w:rFonts w:ascii="Times New Roman" w:hAnsi="Times New Roman"/>
                <w:color w:val="000000"/>
                <w:sz w:val="22"/>
                <w:szCs w:val="22"/>
                <w:vertAlign w:val="superscript"/>
              </w:rPr>
              <w:t>2</w:t>
            </w:r>
            <w:r w:rsidRPr="00F852D1">
              <w:rPr>
                <w:rFonts w:ascii="Times New Roman" w:hAnsi="Times New Roman"/>
                <w:color w:val="000000"/>
                <w:sz w:val="22"/>
                <w:szCs w:val="22"/>
              </w:rPr>
              <w:t xml:space="preserve"> i.v. (1 time), dag 26, 46;</w:t>
            </w:r>
          </w:p>
          <w:p w14:paraId="2A69E68C" w14:textId="77777777" w:rsidR="009847F0" w:rsidRPr="00F852D1" w:rsidRDefault="005A263B" w:rsidP="00A125B0">
            <w:pPr>
              <w:pStyle w:val="Table"/>
              <w:keepLines w:val="0"/>
              <w:widowControl w:val="0"/>
              <w:spacing w:before="0" w:after="0"/>
              <w:rPr>
                <w:rFonts w:ascii="Times New Roman" w:hAnsi="Times New Roman"/>
                <w:color w:val="000000"/>
                <w:sz w:val="22"/>
                <w:szCs w:val="22"/>
              </w:rPr>
            </w:pPr>
            <w:r w:rsidRPr="00F852D1">
              <w:rPr>
                <w:rFonts w:ascii="Times New Roman" w:hAnsi="Times New Roman"/>
                <w:color w:val="000000"/>
                <w:sz w:val="22"/>
                <w:szCs w:val="22"/>
              </w:rPr>
              <w:t>Ara-C 75 mg/m</w:t>
            </w:r>
            <w:r w:rsidRPr="00F852D1">
              <w:rPr>
                <w:rFonts w:ascii="Times New Roman" w:hAnsi="Times New Roman"/>
                <w:color w:val="000000"/>
                <w:sz w:val="22"/>
                <w:szCs w:val="22"/>
                <w:vertAlign w:val="superscript"/>
              </w:rPr>
              <w:t>2</w:t>
            </w:r>
            <w:r w:rsidRPr="00F852D1">
              <w:rPr>
                <w:rFonts w:ascii="Times New Roman" w:hAnsi="Times New Roman"/>
                <w:color w:val="000000"/>
                <w:sz w:val="22"/>
                <w:szCs w:val="22"/>
              </w:rPr>
              <w:t xml:space="preserve"> i.v. (1 time), dag 28-31, 35-38, 42-45;</w:t>
            </w:r>
          </w:p>
          <w:p w14:paraId="3BBE470D" w14:textId="77777777" w:rsidR="005A263B" w:rsidRPr="00F852D1" w:rsidRDefault="005A263B" w:rsidP="00A125B0">
            <w:pPr>
              <w:pStyle w:val="Table"/>
              <w:keepLines w:val="0"/>
              <w:widowControl w:val="0"/>
              <w:spacing w:before="0" w:after="0"/>
              <w:rPr>
                <w:rFonts w:ascii="Times New Roman" w:hAnsi="Times New Roman"/>
                <w:color w:val="000000"/>
                <w:sz w:val="22"/>
                <w:szCs w:val="22"/>
              </w:rPr>
            </w:pPr>
            <w:r w:rsidRPr="00F852D1">
              <w:rPr>
                <w:rFonts w:ascii="Times New Roman" w:hAnsi="Times New Roman"/>
                <w:color w:val="000000"/>
                <w:sz w:val="22"/>
                <w:szCs w:val="22"/>
              </w:rPr>
              <w:t>6-MP 60 mg/m</w:t>
            </w:r>
            <w:r w:rsidRPr="00F852D1">
              <w:rPr>
                <w:rFonts w:ascii="Times New Roman" w:hAnsi="Times New Roman"/>
                <w:color w:val="000000"/>
                <w:sz w:val="22"/>
                <w:szCs w:val="22"/>
                <w:vertAlign w:val="superscript"/>
              </w:rPr>
              <w:t>2</w:t>
            </w:r>
            <w:r w:rsidRPr="00F852D1">
              <w:rPr>
                <w:rFonts w:ascii="Times New Roman" w:hAnsi="Times New Roman"/>
                <w:color w:val="000000"/>
                <w:sz w:val="22"/>
                <w:szCs w:val="22"/>
              </w:rPr>
              <w:t xml:space="preserve"> oral, dag 26-46</w:t>
            </w:r>
          </w:p>
        </w:tc>
      </w:tr>
      <w:tr w:rsidR="005A263B" w:rsidRPr="00F852D1" w14:paraId="0A027AF9" w14:textId="77777777" w:rsidTr="00A125B0">
        <w:trPr>
          <w:cantSplit/>
        </w:trPr>
        <w:tc>
          <w:tcPr>
            <w:tcW w:w="2148" w:type="dxa"/>
            <w:tcBorders>
              <w:top w:val="nil"/>
              <w:bottom w:val="single" w:sz="4" w:space="0" w:color="auto"/>
            </w:tcBorders>
            <w:shd w:val="clear" w:color="auto" w:fill="auto"/>
          </w:tcPr>
          <w:p w14:paraId="7C3C90C2" w14:textId="77777777" w:rsidR="005A263B" w:rsidRPr="004C2A59" w:rsidRDefault="005A263B" w:rsidP="00A125B0">
            <w:pPr>
              <w:pStyle w:val="Table"/>
              <w:keepNext w:val="0"/>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Konsoliderende behandling</w:t>
            </w:r>
          </w:p>
        </w:tc>
        <w:tc>
          <w:tcPr>
            <w:tcW w:w="6732" w:type="dxa"/>
            <w:gridSpan w:val="4"/>
            <w:tcBorders>
              <w:top w:val="nil"/>
              <w:bottom w:val="single" w:sz="4" w:space="0" w:color="auto"/>
            </w:tcBorders>
            <w:shd w:val="clear" w:color="auto" w:fill="auto"/>
          </w:tcPr>
          <w:p w14:paraId="3A8A6647" w14:textId="77777777" w:rsidR="009847F0" w:rsidRPr="00F852D1" w:rsidRDefault="005A263B" w:rsidP="00A125B0">
            <w:pPr>
              <w:pStyle w:val="Table"/>
              <w:keepNext w:val="0"/>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DEX 10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oral, dag 1-5;</w:t>
            </w:r>
          </w:p>
          <w:p w14:paraId="6A8278BF" w14:textId="77777777" w:rsidR="009847F0" w:rsidRPr="004C2A59" w:rsidRDefault="009847F0" w:rsidP="00A125B0">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V</w:t>
            </w:r>
            <w:r w:rsidR="005A263B" w:rsidRPr="004C2A59">
              <w:rPr>
                <w:rFonts w:ascii="Times New Roman" w:hAnsi="Times New Roman"/>
                <w:color w:val="000000"/>
                <w:sz w:val="22"/>
                <w:szCs w:val="22"/>
                <w:lang w:val="da-DK"/>
              </w:rPr>
              <w:t>indesin 3 mg/m</w:t>
            </w:r>
            <w:r w:rsidR="005A263B" w:rsidRPr="004C2A59">
              <w:rPr>
                <w:rFonts w:ascii="Times New Roman" w:hAnsi="Times New Roman"/>
                <w:color w:val="000000"/>
                <w:sz w:val="22"/>
                <w:szCs w:val="22"/>
                <w:vertAlign w:val="superscript"/>
                <w:lang w:val="da-DK"/>
              </w:rPr>
              <w:t>2</w:t>
            </w:r>
            <w:r w:rsidR="005A263B" w:rsidRPr="004C2A59">
              <w:rPr>
                <w:rFonts w:ascii="Times New Roman" w:hAnsi="Times New Roman"/>
                <w:color w:val="000000"/>
                <w:sz w:val="22"/>
                <w:szCs w:val="22"/>
                <w:lang w:val="da-DK"/>
              </w:rPr>
              <w:t xml:space="preserve"> i.v., dag 1;</w:t>
            </w:r>
          </w:p>
          <w:p w14:paraId="2A5F381D" w14:textId="77777777" w:rsidR="009847F0" w:rsidRPr="004C2A59" w:rsidRDefault="005A263B" w:rsidP="00A125B0">
            <w:pPr>
              <w:pStyle w:val="Table"/>
              <w:keepNext w:val="0"/>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MTX</w:t>
              </w:r>
            </w:smartTag>
            <w:r w:rsidRPr="004C2A59">
              <w:rPr>
                <w:rFonts w:ascii="Times New Roman" w:hAnsi="Times New Roman"/>
                <w:color w:val="000000"/>
                <w:sz w:val="22"/>
                <w:szCs w:val="22"/>
                <w:lang w:val="da-DK"/>
              </w:rPr>
              <w:t xml:space="preserve"> 1,5 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(24 timer), dag 1;</w:t>
            </w:r>
          </w:p>
          <w:p w14:paraId="21F88CA0" w14:textId="77777777" w:rsidR="009847F0" w:rsidRPr="004C2A59" w:rsidRDefault="009847F0" w:rsidP="00A125B0">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E</w:t>
            </w:r>
            <w:r w:rsidR="005A263B" w:rsidRPr="004C2A59">
              <w:rPr>
                <w:rFonts w:ascii="Times New Roman" w:hAnsi="Times New Roman"/>
                <w:color w:val="000000"/>
                <w:sz w:val="22"/>
                <w:szCs w:val="22"/>
                <w:lang w:val="da-DK"/>
              </w:rPr>
              <w:t>toposid 250 mg/m</w:t>
            </w:r>
            <w:r w:rsidR="005A263B" w:rsidRPr="004C2A59">
              <w:rPr>
                <w:rFonts w:ascii="Times New Roman" w:hAnsi="Times New Roman"/>
                <w:color w:val="000000"/>
                <w:sz w:val="22"/>
                <w:szCs w:val="22"/>
                <w:vertAlign w:val="superscript"/>
                <w:lang w:val="da-DK"/>
              </w:rPr>
              <w:t>2</w:t>
            </w:r>
            <w:r w:rsidR="005A263B" w:rsidRPr="004C2A59">
              <w:rPr>
                <w:rFonts w:ascii="Times New Roman" w:hAnsi="Times New Roman"/>
                <w:color w:val="000000"/>
                <w:sz w:val="22"/>
                <w:szCs w:val="22"/>
                <w:lang w:val="da-DK"/>
              </w:rPr>
              <w:t xml:space="preserve"> i.v. (1 time) dag 4-5;</w:t>
            </w:r>
          </w:p>
          <w:p w14:paraId="573792AA" w14:textId="77777777" w:rsidR="005A263B" w:rsidRPr="004C2A59" w:rsidRDefault="005A263B" w:rsidP="00A125B0">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Ara-C 2x 2 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(3 timer, q 12 timer), dag 5</w:t>
            </w:r>
          </w:p>
        </w:tc>
      </w:tr>
      <w:tr w:rsidR="005A263B" w:rsidRPr="004C2A59" w14:paraId="165DB8BD" w14:textId="77777777" w:rsidTr="00A125B0">
        <w:trPr>
          <w:cantSplit/>
        </w:trPr>
        <w:tc>
          <w:tcPr>
            <w:tcW w:w="2148" w:type="dxa"/>
            <w:tcBorders>
              <w:top w:val="nil"/>
              <w:bottom w:val="single" w:sz="4" w:space="0" w:color="auto"/>
            </w:tcBorders>
            <w:shd w:val="clear" w:color="auto" w:fill="auto"/>
          </w:tcPr>
          <w:p w14:paraId="1C345590" w14:textId="77777777" w:rsidR="005A263B" w:rsidRPr="004C2A59" w:rsidRDefault="005A263B" w:rsidP="00A125B0">
            <w:pPr>
              <w:pStyle w:val="Table"/>
              <w:keepLines w:val="0"/>
              <w:widowControl w:val="0"/>
              <w:spacing w:before="0" w:after="0"/>
              <w:rPr>
                <w:rFonts w:ascii="Times New Roman" w:hAnsi="Times New Roman"/>
                <w:b/>
                <w:color w:val="000000"/>
                <w:sz w:val="22"/>
                <w:szCs w:val="22"/>
              </w:rPr>
            </w:pPr>
            <w:r w:rsidRPr="004C2A59">
              <w:rPr>
                <w:rFonts w:ascii="Times New Roman" w:hAnsi="Times New Roman"/>
                <w:b/>
                <w:color w:val="000000"/>
                <w:sz w:val="22"/>
                <w:szCs w:val="22"/>
              </w:rPr>
              <w:t>Studie AJP01</w:t>
            </w:r>
          </w:p>
        </w:tc>
        <w:tc>
          <w:tcPr>
            <w:tcW w:w="2652" w:type="dxa"/>
            <w:tcBorders>
              <w:top w:val="nil"/>
              <w:bottom w:val="single" w:sz="4" w:space="0" w:color="auto"/>
            </w:tcBorders>
            <w:shd w:val="clear" w:color="auto" w:fill="auto"/>
          </w:tcPr>
          <w:p w14:paraId="1EC32425"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p>
        </w:tc>
        <w:tc>
          <w:tcPr>
            <w:tcW w:w="1080" w:type="dxa"/>
            <w:tcBorders>
              <w:top w:val="nil"/>
              <w:bottom w:val="single" w:sz="4" w:space="0" w:color="auto"/>
            </w:tcBorders>
          </w:tcPr>
          <w:p w14:paraId="3F4E6713"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p>
        </w:tc>
        <w:tc>
          <w:tcPr>
            <w:tcW w:w="1380" w:type="dxa"/>
            <w:tcBorders>
              <w:top w:val="nil"/>
              <w:bottom w:val="single" w:sz="4" w:space="0" w:color="auto"/>
            </w:tcBorders>
          </w:tcPr>
          <w:p w14:paraId="3DD51041"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p>
        </w:tc>
        <w:tc>
          <w:tcPr>
            <w:tcW w:w="1620" w:type="dxa"/>
            <w:tcBorders>
              <w:top w:val="nil"/>
              <w:bottom w:val="single" w:sz="4" w:space="0" w:color="auto"/>
            </w:tcBorders>
          </w:tcPr>
          <w:p w14:paraId="31DD6AFA"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p>
        </w:tc>
      </w:tr>
      <w:tr w:rsidR="005A263B" w:rsidRPr="00F852D1" w14:paraId="59E7354E" w14:textId="77777777" w:rsidTr="00A125B0">
        <w:trPr>
          <w:cantSplit/>
        </w:trPr>
        <w:tc>
          <w:tcPr>
            <w:tcW w:w="2148" w:type="dxa"/>
            <w:tcBorders>
              <w:top w:val="nil"/>
              <w:bottom w:val="single" w:sz="4" w:space="0" w:color="auto"/>
            </w:tcBorders>
            <w:shd w:val="clear" w:color="auto" w:fill="auto"/>
          </w:tcPr>
          <w:p w14:paraId="2484DBD1" w14:textId="77777777" w:rsidR="005A263B" w:rsidRPr="004C2A59" w:rsidRDefault="005A263B" w:rsidP="00A125B0">
            <w:pPr>
              <w:pStyle w:val="Table"/>
              <w:keepLines w:val="0"/>
              <w:widowControl w:val="0"/>
              <w:spacing w:before="0" w:after="0"/>
              <w:jc w:val="both"/>
              <w:rPr>
                <w:rFonts w:ascii="Times New Roman" w:hAnsi="Times New Roman"/>
                <w:color w:val="000000"/>
                <w:sz w:val="22"/>
                <w:szCs w:val="22"/>
              </w:rPr>
            </w:pPr>
            <w:r w:rsidRPr="004C2A59">
              <w:rPr>
                <w:rFonts w:ascii="Times New Roman" w:hAnsi="Times New Roman"/>
                <w:color w:val="000000"/>
                <w:sz w:val="22"/>
                <w:szCs w:val="22"/>
              </w:rPr>
              <w:t>Induktionsbehandling</w:t>
            </w:r>
          </w:p>
        </w:tc>
        <w:tc>
          <w:tcPr>
            <w:tcW w:w="6732" w:type="dxa"/>
            <w:gridSpan w:val="4"/>
            <w:tcBorders>
              <w:top w:val="nil"/>
              <w:bottom w:val="single" w:sz="4" w:space="0" w:color="auto"/>
            </w:tcBorders>
            <w:shd w:val="clear" w:color="auto" w:fill="auto"/>
          </w:tcPr>
          <w:p w14:paraId="17F19A66" w14:textId="77777777" w:rsidR="009847F0" w:rsidRPr="00F852D1" w:rsidRDefault="005A263B" w:rsidP="00A125B0">
            <w:pPr>
              <w:pStyle w:val="Table"/>
              <w:keepLines w:val="0"/>
              <w:widowControl w:val="0"/>
              <w:spacing w:before="0" w:after="0"/>
              <w:rPr>
                <w:rFonts w:ascii="Times New Roman" w:hAnsi="Times New Roman"/>
                <w:color w:val="000000"/>
                <w:sz w:val="22"/>
                <w:szCs w:val="22"/>
              </w:rPr>
            </w:pPr>
            <w:r w:rsidRPr="00F852D1">
              <w:rPr>
                <w:rFonts w:ascii="Times New Roman" w:hAnsi="Times New Roman"/>
                <w:color w:val="000000"/>
                <w:sz w:val="22"/>
                <w:szCs w:val="22"/>
              </w:rPr>
              <w:t>CP 1,2 g/m</w:t>
            </w:r>
            <w:r w:rsidRPr="00F852D1">
              <w:rPr>
                <w:rFonts w:ascii="Times New Roman" w:hAnsi="Times New Roman"/>
                <w:color w:val="000000"/>
                <w:sz w:val="22"/>
                <w:szCs w:val="22"/>
                <w:vertAlign w:val="superscript"/>
              </w:rPr>
              <w:t>2</w:t>
            </w:r>
            <w:r w:rsidRPr="00F852D1">
              <w:rPr>
                <w:rFonts w:ascii="Times New Roman" w:hAnsi="Times New Roman"/>
                <w:color w:val="000000"/>
                <w:sz w:val="22"/>
                <w:szCs w:val="22"/>
              </w:rPr>
              <w:t xml:space="preserve"> i.v. (3 timer), dag 1;</w:t>
            </w:r>
          </w:p>
          <w:p w14:paraId="2ABCFABF" w14:textId="77777777" w:rsidR="009847F0" w:rsidRPr="00F852D1" w:rsidRDefault="009847F0" w:rsidP="00A125B0">
            <w:pPr>
              <w:pStyle w:val="Table"/>
              <w:keepLines w:val="0"/>
              <w:widowControl w:val="0"/>
              <w:spacing w:before="0" w:after="0"/>
              <w:rPr>
                <w:rFonts w:ascii="Times New Roman" w:hAnsi="Times New Roman"/>
                <w:color w:val="000000"/>
                <w:sz w:val="22"/>
                <w:szCs w:val="22"/>
              </w:rPr>
            </w:pPr>
            <w:r w:rsidRPr="00F852D1">
              <w:rPr>
                <w:rFonts w:ascii="Times New Roman" w:hAnsi="Times New Roman"/>
                <w:color w:val="000000"/>
                <w:sz w:val="22"/>
                <w:szCs w:val="22"/>
              </w:rPr>
              <w:t>D</w:t>
            </w:r>
            <w:r w:rsidR="005A263B" w:rsidRPr="00F852D1">
              <w:rPr>
                <w:rFonts w:ascii="Times New Roman" w:hAnsi="Times New Roman"/>
                <w:color w:val="000000"/>
                <w:sz w:val="22"/>
                <w:szCs w:val="22"/>
              </w:rPr>
              <w:t>aunorubicin 60 mg/m</w:t>
            </w:r>
            <w:r w:rsidR="005A263B" w:rsidRPr="00F852D1">
              <w:rPr>
                <w:rFonts w:ascii="Times New Roman" w:hAnsi="Times New Roman"/>
                <w:color w:val="000000"/>
                <w:sz w:val="22"/>
                <w:szCs w:val="22"/>
                <w:vertAlign w:val="superscript"/>
              </w:rPr>
              <w:t>2</w:t>
            </w:r>
            <w:r w:rsidR="005A263B" w:rsidRPr="00F852D1">
              <w:rPr>
                <w:rFonts w:ascii="Times New Roman" w:hAnsi="Times New Roman"/>
                <w:color w:val="000000"/>
                <w:sz w:val="22"/>
                <w:szCs w:val="22"/>
              </w:rPr>
              <w:t xml:space="preserve"> i.v. (1 time), dag 1-3;</w:t>
            </w:r>
          </w:p>
          <w:p w14:paraId="2EEC3400" w14:textId="77777777" w:rsidR="009847F0" w:rsidRPr="00F852D1" w:rsidRDefault="009847F0" w:rsidP="00A125B0">
            <w:pPr>
              <w:pStyle w:val="Table"/>
              <w:keepLines w:val="0"/>
              <w:widowControl w:val="0"/>
              <w:spacing w:before="0" w:after="0"/>
              <w:rPr>
                <w:rFonts w:ascii="Times New Roman" w:hAnsi="Times New Roman"/>
                <w:color w:val="000000"/>
                <w:sz w:val="22"/>
                <w:szCs w:val="22"/>
                <w:lang w:val="fi-FI"/>
              </w:rPr>
            </w:pPr>
            <w:r w:rsidRPr="00F852D1">
              <w:rPr>
                <w:rFonts w:ascii="Times New Roman" w:hAnsi="Times New Roman"/>
                <w:color w:val="000000"/>
                <w:sz w:val="22"/>
                <w:szCs w:val="22"/>
                <w:lang w:val="fi-FI"/>
              </w:rPr>
              <w:t>V</w:t>
            </w:r>
            <w:r w:rsidR="005A263B" w:rsidRPr="00F852D1">
              <w:rPr>
                <w:rFonts w:ascii="Times New Roman" w:hAnsi="Times New Roman"/>
                <w:color w:val="000000"/>
                <w:sz w:val="22"/>
                <w:szCs w:val="22"/>
                <w:lang w:val="fi-FI"/>
              </w:rPr>
              <w:t>inkistin 1,3 mg/m</w:t>
            </w:r>
            <w:r w:rsidR="005A263B" w:rsidRPr="00F852D1">
              <w:rPr>
                <w:rFonts w:ascii="Times New Roman" w:hAnsi="Times New Roman"/>
                <w:color w:val="000000"/>
                <w:sz w:val="22"/>
                <w:szCs w:val="22"/>
                <w:vertAlign w:val="superscript"/>
                <w:lang w:val="fi-FI"/>
              </w:rPr>
              <w:t>2</w:t>
            </w:r>
            <w:r w:rsidR="005A263B" w:rsidRPr="00F852D1">
              <w:rPr>
                <w:rFonts w:ascii="Times New Roman" w:hAnsi="Times New Roman"/>
                <w:color w:val="000000"/>
                <w:sz w:val="22"/>
                <w:szCs w:val="22"/>
                <w:lang w:val="fi-FI"/>
              </w:rPr>
              <w:t xml:space="preserve"> i.v., dag 1, 8, 15, 21;</w:t>
            </w:r>
          </w:p>
          <w:p w14:paraId="3693A9D6" w14:textId="77777777" w:rsidR="005A263B" w:rsidRPr="00F852D1" w:rsidRDefault="009847F0" w:rsidP="00A125B0">
            <w:pPr>
              <w:pStyle w:val="Table"/>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P</w:t>
            </w:r>
            <w:r w:rsidR="005A263B" w:rsidRPr="00F852D1">
              <w:rPr>
                <w:rFonts w:ascii="Times New Roman" w:hAnsi="Times New Roman"/>
                <w:color w:val="000000"/>
                <w:sz w:val="22"/>
                <w:szCs w:val="22"/>
                <w:lang w:val="nb-NO"/>
              </w:rPr>
              <w:t>rednisolon 60 mg/m</w:t>
            </w:r>
            <w:r w:rsidR="005A263B" w:rsidRPr="00F852D1">
              <w:rPr>
                <w:rFonts w:ascii="Times New Roman" w:hAnsi="Times New Roman"/>
                <w:color w:val="000000"/>
                <w:sz w:val="22"/>
                <w:szCs w:val="22"/>
                <w:vertAlign w:val="superscript"/>
                <w:lang w:val="nb-NO"/>
              </w:rPr>
              <w:t>2</w:t>
            </w:r>
            <w:r w:rsidR="005A263B" w:rsidRPr="00F852D1">
              <w:rPr>
                <w:rFonts w:ascii="Times New Roman" w:hAnsi="Times New Roman"/>
                <w:color w:val="000000"/>
                <w:sz w:val="22"/>
                <w:szCs w:val="22"/>
                <w:lang w:val="nb-NO"/>
              </w:rPr>
              <w:t>/dag oral</w:t>
            </w:r>
          </w:p>
        </w:tc>
      </w:tr>
      <w:tr w:rsidR="005A263B" w:rsidRPr="00F852D1" w14:paraId="04F32CB5" w14:textId="77777777" w:rsidTr="00A125B0">
        <w:trPr>
          <w:cantSplit/>
        </w:trPr>
        <w:tc>
          <w:tcPr>
            <w:tcW w:w="2148" w:type="dxa"/>
            <w:tcBorders>
              <w:top w:val="single" w:sz="4" w:space="0" w:color="auto"/>
              <w:bottom w:val="single" w:sz="4" w:space="0" w:color="auto"/>
            </w:tcBorders>
            <w:shd w:val="clear" w:color="auto" w:fill="auto"/>
          </w:tcPr>
          <w:p w14:paraId="15F4E4E1" w14:textId="77777777" w:rsidR="005A263B" w:rsidRPr="004C2A59" w:rsidRDefault="005A263B" w:rsidP="00A125B0">
            <w:pPr>
              <w:pStyle w:val="Table"/>
              <w:keepLines w:val="0"/>
              <w:widowControl w:val="0"/>
              <w:tabs>
                <w:tab w:val="left" w:pos="0"/>
              </w:tabs>
              <w:spacing w:before="0" w:after="0"/>
              <w:rPr>
                <w:rFonts w:ascii="Times New Roman" w:hAnsi="Times New Roman"/>
                <w:color w:val="000000"/>
                <w:sz w:val="22"/>
                <w:szCs w:val="22"/>
              </w:rPr>
            </w:pPr>
            <w:r w:rsidRPr="004C2A59">
              <w:rPr>
                <w:rFonts w:ascii="Times New Roman" w:hAnsi="Times New Roman"/>
                <w:color w:val="000000"/>
                <w:sz w:val="22"/>
                <w:szCs w:val="22"/>
              </w:rPr>
              <w:t>Konsoliderende behandling</w:t>
            </w:r>
          </w:p>
        </w:tc>
        <w:tc>
          <w:tcPr>
            <w:tcW w:w="6732" w:type="dxa"/>
            <w:gridSpan w:val="4"/>
            <w:tcBorders>
              <w:top w:val="single" w:sz="4" w:space="0" w:color="auto"/>
              <w:bottom w:val="single" w:sz="4" w:space="0" w:color="auto"/>
            </w:tcBorders>
            <w:shd w:val="clear" w:color="auto" w:fill="auto"/>
          </w:tcPr>
          <w:p w14:paraId="6EFD42A8" w14:textId="77777777" w:rsidR="005A263B" w:rsidRPr="004C2A59" w:rsidRDefault="005A263B"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 xml:space="preserve">Supplerende kemoterapi omgange: høj-dosis kemoterapi med </w:t>
            </w:r>
            <w:smartTag w:uri="urn:schemas-microsoft-com:office:smarttags" w:element="metricconverter">
              <w:r w:rsidRPr="004C2A59">
                <w:rPr>
                  <w:rFonts w:ascii="Times New Roman" w:hAnsi="Times New Roman"/>
                  <w:color w:val="000000"/>
                  <w:sz w:val="22"/>
                  <w:szCs w:val="22"/>
                  <w:lang w:val="da-DK"/>
                </w:rPr>
                <w:t>MTX</w:t>
              </w:r>
            </w:smartTag>
            <w:r w:rsidRPr="004C2A59">
              <w:rPr>
                <w:rFonts w:ascii="Times New Roman" w:hAnsi="Times New Roman"/>
                <w:color w:val="000000"/>
                <w:sz w:val="22"/>
                <w:szCs w:val="22"/>
                <w:lang w:val="da-DK"/>
              </w:rPr>
              <w:t xml:space="preserve"> 1 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(24 timer), dag 1, og Ara-C 2 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(q 12 timer), dag 2-3, i 4 cyklus</w:t>
            </w:r>
          </w:p>
        </w:tc>
      </w:tr>
      <w:tr w:rsidR="005A263B" w:rsidRPr="00F852D1" w14:paraId="08FDF242" w14:textId="77777777" w:rsidTr="00A125B0">
        <w:trPr>
          <w:cantSplit/>
        </w:trPr>
        <w:tc>
          <w:tcPr>
            <w:tcW w:w="2148" w:type="dxa"/>
            <w:tcBorders>
              <w:top w:val="single" w:sz="4" w:space="0" w:color="auto"/>
              <w:bottom w:val="single" w:sz="4" w:space="0" w:color="auto"/>
            </w:tcBorders>
            <w:shd w:val="clear" w:color="auto" w:fill="auto"/>
          </w:tcPr>
          <w:p w14:paraId="0006D108" w14:textId="77777777" w:rsidR="005A263B" w:rsidRPr="004C2A59" w:rsidRDefault="005A263B" w:rsidP="00A125B0">
            <w:pPr>
              <w:pStyle w:val="Table"/>
              <w:keepNext w:val="0"/>
              <w:keepLines w:val="0"/>
              <w:widowControl w:val="0"/>
              <w:tabs>
                <w:tab w:val="left" w:pos="0"/>
              </w:tabs>
              <w:spacing w:before="0" w:after="0"/>
              <w:rPr>
                <w:rFonts w:ascii="Times New Roman" w:hAnsi="Times New Roman"/>
                <w:color w:val="000000"/>
                <w:sz w:val="22"/>
                <w:szCs w:val="22"/>
              </w:rPr>
            </w:pPr>
            <w:r w:rsidRPr="004C2A59">
              <w:rPr>
                <w:rFonts w:ascii="Times New Roman" w:hAnsi="Times New Roman"/>
                <w:color w:val="000000"/>
                <w:sz w:val="22"/>
                <w:szCs w:val="22"/>
              </w:rPr>
              <w:t>Vedligeholdelse</w:t>
            </w:r>
          </w:p>
        </w:tc>
        <w:tc>
          <w:tcPr>
            <w:tcW w:w="6732" w:type="dxa"/>
            <w:gridSpan w:val="4"/>
            <w:tcBorders>
              <w:top w:val="single" w:sz="4" w:space="0" w:color="auto"/>
              <w:bottom w:val="single" w:sz="4" w:space="0" w:color="auto"/>
            </w:tcBorders>
            <w:shd w:val="clear" w:color="auto" w:fill="auto"/>
          </w:tcPr>
          <w:p w14:paraId="208DD901" w14:textId="77777777" w:rsidR="009847F0" w:rsidRPr="00F852D1" w:rsidRDefault="005A263B" w:rsidP="00A125B0">
            <w:pPr>
              <w:pStyle w:val="Table"/>
              <w:keepNext w:val="0"/>
              <w:keepLines w:val="0"/>
              <w:widowControl w:val="0"/>
              <w:spacing w:before="0" w:after="0"/>
              <w:rPr>
                <w:rFonts w:ascii="Times New Roman" w:hAnsi="Times New Roman"/>
                <w:color w:val="000000"/>
                <w:sz w:val="22"/>
                <w:szCs w:val="22"/>
                <w:lang w:val="nb-NO"/>
              </w:rPr>
            </w:pPr>
            <w:smartTag w:uri="urn:schemas-microsoft-com:office:smarttags" w:element="metricconverter">
              <w:r w:rsidRPr="00F852D1">
                <w:rPr>
                  <w:rFonts w:ascii="Times New Roman" w:hAnsi="Times New Roman"/>
                  <w:color w:val="000000"/>
                  <w:sz w:val="22"/>
                  <w:szCs w:val="22"/>
                  <w:lang w:val="nb-NO"/>
                </w:rPr>
                <w:t>VCR</w:t>
              </w:r>
            </w:smartTag>
            <w:r w:rsidRPr="00F852D1">
              <w:rPr>
                <w:rFonts w:ascii="Times New Roman" w:hAnsi="Times New Roman"/>
                <w:color w:val="000000"/>
                <w:sz w:val="22"/>
                <w:szCs w:val="22"/>
                <w:lang w:val="nb-NO"/>
              </w:rPr>
              <w:t xml:space="preserve"> 1,3 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i.v., dag 1;</w:t>
            </w:r>
          </w:p>
          <w:p w14:paraId="7CCABE92" w14:textId="77777777" w:rsidR="005A263B" w:rsidRPr="00F852D1" w:rsidRDefault="009847F0" w:rsidP="00A125B0">
            <w:pPr>
              <w:pStyle w:val="Table"/>
              <w:keepNext w:val="0"/>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P</w:t>
            </w:r>
            <w:r w:rsidR="005A263B" w:rsidRPr="00F852D1">
              <w:rPr>
                <w:rFonts w:ascii="Times New Roman" w:hAnsi="Times New Roman"/>
                <w:color w:val="000000"/>
                <w:sz w:val="22"/>
                <w:szCs w:val="22"/>
                <w:lang w:val="nb-NO"/>
              </w:rPr>
              <w:t>rednisolon 60 mg/m</w:t>
            </w:r>
            <w:r w:rsidR="005A263B" w:rsidRPr="00F852D1">
              <w:rPr>
                <w:rFonts w:ascii="Times New Roman" w:hAnsi="Times New Roman"/>
                <w:color w:val="000000"/>
                <w:sz w:val="22"/>
                <w:szCs w:val="22"/>
                <w:vertAlign w:val="superscript"/>
                <w:lang w:val="nb-NO"/>
              </w:rPr>
              <w:t>2</w:t>
            </w:r>
            <w:r w:rsidR="005A263B" w:rsidRPr="00F852D1">
              <w:rPr>
                <w:rFonts w:ascii="Times New Roman" w:hAnsi="Times New Roman"/>
                <w:color w:val="000000"/>
                <w:sz w:val="22"/>
                <w:szCs w:val="22"/>
                <w:lang w:val="nb-NO"/>
              </w:rPr>
              <w:t xml:space="preserve"> oral, dag 1-5</w:t>
            </w:r>
          </w:p>
        </w:tc>
      </w:tr>
      <w:tr w:rsidR="005A263B" w:rsidRPr="004C2A59" w14:paraId="305AAB64" w14:textId="77777777" w:rsidTr="00A125B0">
        <w:trPr>
          <w:cantSplit/>
        </w:trPr>
        <w:tc>
          <w:tcPr>
            <w:tcW w:w="4800" w:type="dxa"/>
            <w:gridSpan w:val="2"/>
            <w:tcBorders>
              <w:top w:val="single" w:sz="4" w:space="0" w:color="auto"/>
              <w:bottom w:val="single" w:sz="4" w:space="0" w:color="auto"/>
            </w:tcBorders>
            <w:shd w:val="clear" w:color="auto" w:fill="auto"/>
          </w:tcPr>
          <w:p w14:paraId="11439456"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b/>
                <w:color w:val="000000"/>
                <w:sz w:val="22"/>
                <w:szCs w:val="22"/>
              </w:rPr>
              <w:t>Studie AUS01</w:t>
            </w:r>
          </w:p>
        </w:tc>
        <w:tc>
          <w:tcPr>
            <w:tcW w:w="1080" w:type="dxa"/>
            <w:tcBorders>
              <w:top w:val="single" w:sz="4" w:space="0" w:color="auto"/>
              <w:bottom w:val="single" w:sz="4" w:space="0" w:color="auto"/>
            </w:tcBorders>
          </w:tcPr>
          <w:p w14:paraId="689E7038"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21441167"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4B5C55F6"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p>
        </w:tc>
      </w:tr>
      <w:tr w:rsidR="005A263B" w:rsidRPr="00F852D1" w14:paraId="64A01CF6" w14:textId="77777777" w:rsidTr="00A125B0">
        <w:trPr>
          <w:cantSplit/>
        </w:trPr>
        <w:tc>
          <w:tcPr>
            <w:tcW w:w="2148" w:type="dxa"/>
            <w:tcBorders>
              <w:top w:val="single" w:sz="4" w:space="0" w:color="auto"/>
              <w:bottom w:val="single" w:sz="4" w:space="0" w:color="auto"/>
            </w:tcBorders>
            <w:shd w:val="clear" w:color="auto" w:fill="auto"/>
          </w:tcPr>
          <w:p w14:paraId="216DD9D2"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Induktions-konsoliderende behandling</w:t>
            </w:r>
          </w:p>
        </w:tc>
        <w:tc>
          <w:tcPr>
            <w:tcW w:w="6732" w:type="dxa"/>
            <w:gridSpan w:val="4"/>
            <w:tcBorders>
              <w:top w:val="single" w:sz="4" w:space="0" w:color="auto"/>
              <w:bottom w:val="single" w:sz="4" w:space="0" w:color="auto"/>
            </w:tcBorders>
            <w:shd w:val="clear" w:color="auto" w:fill="auto"/>
          </w:tcPr>
          <w:p w14:paraId="0E4A1380" w14:textId="77777777" w:rsidR="009847F0" w:rsidRPr="00F852D1" w:rsidRDefault="005A263B" w:rsidP="00A125B0">
            <w:pPr>
              <w:pStyle w:val="Table"/>
              <w:keepLines w:val="0"/>
              <w:widowControl w:val="0"/>
              <w:spacing w:before="0" w:after="0"/>
              <w:rPr>
                <w:rFonts w:ascii="Times New Roman" w:hAnsi="Times New Roman"/>
                <w:color w:val="000000"/>
                <w:sz w:val="22"/>
                <w:szCs w:val="22"/>
              </w:rPr>
            </w:pPr>
            <w:r w:rsidRPr="00F852D1">
              <w:rPr>
                <w:rFonts w:ascii="Times New Roman" w:hAnsi="Times New Roman"/>
                <w:color w:val="000000"/>
                <w:sz w:val="22"/>
                <w:szCs w:val="22"/>
              </w:rPr>
              <w:t>Hyper-CVAD regimen: CP 300 mg/m</w:t>
            </w:r>
            <w:r w:rsidRPr="00F852D1">
              <w:rPr>
                <w:rFonts w:ascii="Times New Roman" w:hAnsi="Times New Roman"/>
                <w:color w:val="000000"/>
                <w:sz w:val="22"/>
                <w:szCs w:val="22"/>
                <w:vertAlign w:val="superscript"/>
              </w:rPr>
              <w:t>2</w:t>
            </w:r>
            <w:r w:rsidRPr="00F852D1">
              <w:rPr>
                <w:rFonts w:ascii="Times New Roman" w:hAnsi="Times New Roman"/>
                <w:color w:val="000000"/>
                <w:sz w:val="22"/>
                <w:szCs w:val="22"/>
              </w:rPr>
              <w:t xml:space="preserve"> i.v. (3 timer, q 12 timer), dag 1-3;</w:t>
            </w:r>
          </w:p>
          <w:p w14:paraId="4ADAD08B" w14:textId="77777777" w:rsidR="009847F0" w:rsidRPr="00F852D1" w:rsidRDefault="009847F0" w:rsidP="00A125B0">
            <w:pPr>
              <w:pStyle w:val="Table"/>
              <w:keepLines w:val="0"/>
              <w:widowControl w:val="0"/>
              <w:spacing w:before="0" w:after="0"/>
              <w:rPr>
                <w:rFonts w:ascii="Times New Roman" w:hAnsi="Times New Roman"/>
                <w:color w:val="000000"/>
                <w:sz w:val="22"/>
                <w:szCs w:val="22"/>
              </w:rPr>
            </w:pPr>
            <w:r w:rsidRPr="00F852D1">
              <w:rPr>
                <w:rFonts w:ascii="Times New Roman" w:hAnsi="Times New Roman"/>
                <w:color w:val="000000"/>
                <w:sz w:val="22"/>
                <w:szCs w:val="22"/>
              </w:rPr>
              <w:t>V</w:t>
            </w:r>
            <w:r w:rsidR="005A263B" w:rsidRPr="00F852D1">
              <w:rPr>
                <w:rFonts w:ascii="Times New Roman" w:hAnsi="Times New Roman"/>
                <w:color w:val="000000"/>
                <w:sz w:val="22"/>
                <w:szCs w:val="22"/>
              </w:rPr>
              <w:t>inkristin 2 mg i.v., dag 4, 11;</w:t>
            </w:r>
          </w:p>
          <w:p w14:paraId="477F436E" w14:textId="77777777" w:rsidR="009847F0" w:rsidRPr="00F852D1" w:rsidRDefault="009847F0" w:rsidP="00A125B0">
            <w:pPr>
              <w:pStyle w:val="Table"/>
              <w:keepLines w:val="0"/>
              <w:widowControl w:val="0"/>
              <w:spacing w:before="0" w:after="0"/>
              <w:rPr>
                <w:rFonts w:ascii="Times New Roman" w:hAnsi="Times New Roman"/>
                <w:color w:val="000000"/>
                <w:sz w:val="22"/>
                <w:szCs w:val="22"/>
              </w:rPr>
            </w:pPr>
            <w:r w:rsidRPr="00F852D1">
              <w:rPr>
                <w:rFonts w:ascii="Times New Roman" w:hAnsi="Times New Roman"/>
                <w:color w:val="000000"/>
                <w:sz w:val="22"/>
                <w:szCs w:val="22"/>
              </w:rPr>
              <w:t>D</w:t>
            </w:r>
            <w:r w:rsidR="005A263B" w:rsidRPr="00F852D1">
              <w:rPr>
                <w:rFonts w:ascii="Times New Roman" w:hAnsi="Times New Roman"/>
                <w:color w:val="000000"/>
                <w:sz w:val="22"/>
                <w:szCs w:val="22"/>
              </w:rPr>
              <w:t>oxorubicin 50 mg/m</w:t>
            </w:r>
            <w:r w:rsidR="005A263B" w:rsidRPr="00F852D1">
              <w:rPr>
                <w:rFonts w:ascii="Times New Roman" w:hAnsi="Times New Roman"/>
                <w:color w:val="000000"/>
                <w:sz w:val="22"/>
                <w:szCs w:val="22"/>
                <w:vertAlign w:val="superscript"/>
              </w:rPr>
              <w:t>2</w:t>
            </w:r>
            <w:r w:rsidR="005A263B" w:rsidRPr="00F852D1">
              <w:rPr>
                <w:rFonts w:ascii="Times New Roman" w:hAnsi="Times New Roman"/>
                <w:color w:val="000000"/>
                <w:sz w:val="22"/>
                <w:szCs w:val="22"/>
              </w:rPr>
              <w:t xml:space="preserve"> i.v. (24 timer), dag 4;</w:t>
            </w:r>
          </w:p>
          <w:p w14:paraId="784AB21E" w14:textId="77777777" w:rsidR="005A263B" w:rsidRPr="004C2A59" w:rsidRDefault="005A263B"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 xml:space="preserve">DEX 40 mg/dag på dag 1-4 og 11-14, supplerende med </w:t>
            </w:r>
            <w:smartTag w:uri="urn:schemas-microsoft-com:office:smarttags" w:element="metricconverter">
              <w:r w:rsidRPr="004C2A59">
                <w:rPr>
                  <w:rFonts w:ascii="Times New Roman" w:hAnsi="Times New Roman"/>
                  <w:color w:val="000000"/>
                  <w:sz w:val="22"/>
                  <w:szCs w:val="22"/>
                  <w:lang w:val="da-DK"/>
                </w:rPr>
                <w:t>MTX</w:t>
              </w:r>
            </w:smartTag>
            <w:r w:rsidRPr="004C2A59">
              <w:rPr>
                <w:rFonts w:ascii="Times New Roman" w:hAnsi="Times New Roman"/>
                <w:color w:val="000000"/>
                <w:sz w:val="22"/>
                <w:szCs w:val="22"/>
                <w:lang w:val="da-DK"/>
              </w:rPr>
              <w:t xml:space="preserve"> 1 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(24 timer), dag 1, Ara-C 1 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(2 timer, q 12 timer), dag 2-3 (total af 8 omgange)</w:t>
            </w:r>
          </w:p>
        </w:tc>
      </w:tr>
      <w:tr w:rsidR="005A263B" w:rsidRPr="00DA2798" w14:paraId="2963596D" w14:textId="77777777" w:rsidTr="00A125B0">
        <w:trPr>
          <w:cantSplit/>
        </w:trPr>
        <w:tc>
          <w:tcPr>
            <w:tcW w:w="2148" w:type="dxa"/>
            <w:tcBorders>
              <w:top w:val="single" w:sz="4" w:space="0" w:color="auto"/>
              <w:bottom w:val="single" w:sz="4" w:space="0" w:color="auto"/>
            </w:tcBorders>
            <w:shd w:val="clear" w:color="auto" w:fill="auto"/>
          </w:tcPr>
          <w:p w14:paraId="6D83F124" w14:textId="77777777" w:rsidR="005A263B" w:rsidRPr="004C2A59" w:rsidRDefault="005A263B"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Vedligeholdelse</w:t>
            </w:r>
          </w:p>
        </w:tc>
        <w:tc>
          <w:tcPr>
            <w:tcW w:w="6732" w:type="dxa"/>
            <w:gridSpan w:val="4"/>
            <w:tcBorders>
              <w:top w:val="single" w:sz="4" w:space="0" w:color="auto"/>
              <w:bottom w:val="single" w:sz="4" w:space="0" w:color="auto"/>
            </w:tcBorders>
            <w:shd w:val="clear" w:color="auto" w:fill="auto"/>
          </w:tcPr>
          <w:p w14:paraId="79C6E1DE" w14:textId="77777777" w:rsidR="009847F0" w:rsidRPr="004C2A59" w:rsidRDefault="005A263B" w:rsidP="00A125B0">
            <w:pPr>
              <w:pStyle w:val="Table"/>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VCR</w:t>
              </w:r>
            </w:smartTag>
            <w:r w:rsidRPr="004C2A59">
              <w:rPr>
                <w:rFonts w:ascii="Times New Roman" w:hAnsi="Times New Roman"/>
                <w:color w:val="000000"/>
                <w:sz w:val="22"/>
                <w:szCs w:val="22"/>
                <w:lang w:val="da-DK"/>
              </w:rPr>
              <w:t xml:space="preserve"> 2 mg i.v. månedligt i 13 måneder;</w:t>
            </w:r>
          </w:p>
          <w:p w14:paraId="5DD40226" w14:textId="77777777" w:rsidR="005A263B" w:rsidRPr="004C2A59" w:rsidRDefault="009847F0"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P</w:t>
            </w:r>
            <w:r w:rsidR="005A263B" w:rsidRPr="004C2A59">
              <w:rPr>
                <w:rFonts w:ascii="Times New Roman" w:hAnsi="Times New Roman"/>
                <w:color w:val="000000"/>
                <w:sz w:val="22"/>
                <w:szCs w:val="22"/>
                <w:lang w:val="da-DK"/>
              </w:rPr>
              <w:t>rednisolon 200 mg oral, 5 dag per måned i 13 måneder</w:t>
            </w:r>
          </w:p>
        </w:tc>
      </w:tr>
      <w:tr w:rsidR="005A263B" w:rsidRPr="00F852D1" w14:paraId="06E93F90" w14:textId="77777777" w:rsidTr="00A125B0">
        <w:trPr>
          <w:cantSplit/>
        </w:trPr>
        <w:tc>
          <w:tcPr>
            <w:tcW w:w="8880" w:type="dxa"/>
            <w:gridSpan w:val="5"/>
            <w:tcBorders>
              <w:top w:val="single" w:sz="4" w:space="0" w:color="auto"/>
              <w:bottom w:val="single" w:sz="4" w:space="0" w:color="auto"/>
            </w:tcBorders>
            <w:shd w:val="clear" w:color="auto" w:fill="auto"/>
          </w:tcPr>
          <w:p w14:paraId="636A7A78" w14:textId="77777777" w:rsidR="005A263B" w:rsidRPr="004C2A59" w:rsidRDefault="005A263B"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 xml:space="preserve">Alle behandlingsregimer inkluderer administration af steroider mod </w:t>
            </w:r>
            <w:smartTag w:uri="urn:schemas-microsoft-com:office:smarttags" w:element="metricconverter">
              <w:r w:rsidRPr="004C2A59">
                <w:rPr>
                  <w:rFonts w:ascii="Times New Roman" w:hAnsi="Times New Roman"/>
                  <w:color w:val="000000"/>
                  <w:sz w:val="22"/>
                  <w:szCs w:val="22"/>
                  <w:lang w:val="da-DK"/>
                </w:rPr>
                <w:t>CNS</w:t>
              </w:r>
            </w:smartTag>
            <w:r w:rsidRPr="004C2A59">
              <w:rPr>
                <w:rFonts w:ascii="Times New Roman" w:hAnsi="Times New Roman"/>
                <w:color w:val="000000"/>
                <w:sz w:val="22"/>
                <w:szCs w:val="22"/>
                <w:lang w:val="da-DK"/>
              </w:rPr>
              <w:t xml:space="preserve"> profylakse</w:t>
            </w:r>
          </w:p>
        </w:tc>
      </w:tr>
      <w:tr w:rsidR="005A263B" w:rsidRPr="00F852D1" w14:paraId="3063A6D2" w14:textId="77777777" w:rsidTr="00A125B0">
        <w:trPr>
          <w:cantSplit/>
        </w:trPr>
        <w:tc>
          <w:tcPr>
            <w:tcW w:w="8880" w:type="dxa"/>
            <w:gridSpan w:val="5"/>
            <w:tcBorders>
              <w:top w:val="single" w:sz="4" w:space="0" w:color="auto"/>
              <w:bottom w:val="single" w:sz="4" w:space="0" w:color="auto"/>
            </w:tcBorders>
            <w:shd w:val="clear" w:color="auto" w:fill="auto"/>
          </w:tcPr>
          <w:p w14:paraId="3D38355B" w14:textId="77777777" w:rsidR="005A263B" w:rsidRPr="004C2A59" w:rsidRDefault="005A263B" w:rsidP="00A125B0">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 xml:space="preserve">Ara-C: cytosin arabinosid; CP: cyclophosphamid; DEX: dexamethason; </w:t>
            </w:r>
            <w:smartTag w:uri="urn:schemas-microsoft-com:office:smarttags" w:element="metricconverter">
              <w:r w:rsidRPr="004C2A59">
                <w:rPr>
                  <w:rFonts w:ascii="Times New Roman" w:hAnsi="Times New Roman"/>
                  <w:color w:val="000000"/>
                  <w:sz w:val="22"/>
                  <w:szCs w:val="22"/>
                  <w:lang w:val="da-DK"/>
                </w:rPr>
                <w:t>MTX</w:t>
              </w:r>
            </w:smartTag>
            <w:r w:rsidRPr="004C2A59">
              <w:rPr>
                <w:rFonts w:ascii="Times New Roman" w:hAnsi="Times New Roman"/>
                <w:color w:val="000000"/>
                <w:sz w:val="22"/>
                <w:szCs w:val="22"/>
                <w:lang w:val="da-DK"/>
              </w:rPr>
              <w:t xml:space="preserve">: methotrexat; 6-MP: 6-mercaptopurin; VM26: teniposid; </w:t>
            </w:r>
            <w:smartTag w:uri="urn:schemas-microsoft-com:office:smarttags" w:element="metricconverter">
              <w:r w:rsidRPr="004C2A59">
                <w:rPr>
                  <w:rFonts w:ascii="Times New Roman" w:hAnsi="Times New Roman"/>
                  <w:color w:val="000000"/>
                  <w:sz w:val="22"/>
                  <w:szCs w:val="22"/>
                  <w:lang w:val="da-DK"/>
                </w:rPr>
                <w:t>VCR</w:t>
              </w:r>
            </w:smartTag>
            <w:r w:rsidRPr="004C2A59">
              <w:rPr>
                <w:rFonts w:ascii="Times New Roman" w:hAnsi="Times New Roman"/>
                <w:color w:val="000000"/>
                <w:sz w:val="22"/>
                <w:szCs w:val="22"/>
                <w:lang w:val="da-DK"/>
              </w:rPr>
              <w:t xml:space="preserve">: vinkristin; </w:t>
            </w:r>
            <w:smartTag w:uri="urn:schemas-microsoft-com:office:smarttags" w:element="metricconverter">
              <w:r w:rsidRPr="004C2A59">
                <w:rPr>
                  <w:rFonts w:ascii="Times New Roman" w:hAnsi="Times New Roman"/>
                  <w:color w:val="000000"/>
                  <w:sz w:val="22"/>
                  <w:szCs w:val="22"/>
                  <w:lang w:val="da-DK"/>
                </w:rPr>
                <w:t>IDA</w:t>
              </w:r>
            </w:smartTag>
            <w:r w:rsidRPr="004C2A59">
              <w:rPr>
                <w:rFonts w:ascii="Times New Roman" w:hAnsi="Times New Roman"/>
                <w:color w:val="000000"/>
                <w:sz w:val="22"/>
                <w:szCs w:val="22"/>
                <w:lang w:val="da-DK"/>
              </w:rPr>
              <w:t>: idarubicin; i.v.: intravenøs</w:t>
            </w:r>
          </w:p>
        </w:tc>
      </w:tr>
    </w:tbl>
    <w:p w14:paraId="7A039A0E" w14:textId="77777777" w:rsidR="005A263B" w:rsidRPr="004C2A59" w:rsidRDefault="005A263B" w:rsidP="00421681">
      <w:pPr>
        <w:pStyle w:val="EndnoteText"/>
        <w:rPr>
          <w:color w:val="000000"/>
          <w:szCs w:val="22"/>
        </w:rPr>
      </w:pPr>
    </w:p>
    <w:p w14:paraId="773A0E22" w14:textId="77777777" w:rsidR="0060216E" w:rsidRPr="004C2A59" w:rsidRDefault="0060216E" w:rsidP="00421681">
      <w:pPr>
        <w:pStyle w:val="EndnoteText"/>
        <w:rPr>
          <w:color w:val="000000"/>
          <w:szCs w:val="22"/>
        </w:rPr>
      </w:pPr>
      <w:r w:rsidRPr="004C2A59">
        <w:rPr>
          <w:i/>
          <w:color w:val="000000"/>
          <w:szCs w:val="22"/>
        </w:rPr>
        <w:t>Børn</w:t>
      </w:r>
      <w:r w:rsidRPr="004C2A59">
        <w:rPr>
          <w:color w:val="000000"/>
          <w:szCs w:val="22"/>
        </w:rPr>
        <w:t xml:space="preserve">: </w:t>
      </w:r>
      <w:r w:rsidR="00D60EA3" w:rsidRPr="004C2A59">
        <w:rPr>
          <w:color w:val="000000"/>
          <w:szCs w:val="22"/>
        </w:rPr>
        <w:t>I studie</w:t>
      </w:r>
      <w:r w:rsidRPr="004C2A59">
        <w:rPr>
          <w:color w:val="000000"/>
          <w:szCs w:val="22"/>
        </w:rPr>
        <w:t xml:space="preserve"> I2301 blev der inkluderet i alt 93 børn, unge og yngre voksne (fra 1 til 22 år)</w:t>
      </w:r>
      <w:r w:rsidR="00D60EA3" w:rsidRPr="004C2A59">
        <w:rPr>
          <w:color w:val="000000"/>
          <w:szCs w:val="22"/>
        </w:rPr>
        <w:t xml:space="preserve"> med Ph+ ALL i et åbent, multicenter, ikke-radomiseret fase III </w:t>
      </w:r>
      <w:r w:rsidR="00D800F7" w:rsidRPr="004C2A59">
        <w:rPr>
          <w:color w:val="000000"/>
          <w:szCs w:val="22"/>
        </w:rPr>
        <w:t>sekventielt kohorte-</w:t>
      </w:r>
      <w:r w:rsidR="00D60EA3" w:rsidRPr="004C2A59">
        <w:rPr>
          <w:color w:val="000000"/>
          <w:szCs w:val="22"/>
        </w:rPr>
        <w:t>forsøg</w:t>
      </w:r>
      <w:r w:rsidR="00D800F7" w:rsidRPr="004C2A59">
        <w:rPr>
          <w:color w:val="000000"/>
          <w:szCs w:val="22"/>
        </w:rPr>
        <w:t>. Patienterne</w:t>
      </w:r>
      <w:r w:rsidR="007872F1" w:rsidRPr="004C2A59">
        <w:rPr>
          <w:color w:val="000000"/>
          <w:szCs w:val="22"/>
        </w:rPr>
        <w:t xml:space="preserve"> blev behandlet med Glivec (340 mg/m</w:t>
      </w:r>
      <w:r w:rsidR="007872F1" w:rsidRPr="004C2A59">
        <w:rPr>
          <w:color w:val="000000"/>
          <w:szCs w:val="22"/>
          <w:vertAlign w:val="superscript"/>
        </w:rPr>
        <w:t>2</w:t>
      </w:r>
      <w:r w:rsidR="007872F1" w:rsidRPr="004C2A59">
        <w:rPr>
          <w:color w:val="000000"/>
          <w:szCs w:val="22"/>
        </w:rPr>
        <w:t xml:space="preserve">/dag) i kombination med intensiv kemoterapi efter induktionsbehandling. Glivec blev administreret </w:t>
      </w:r>
      <w:r w:rsidR="009B5EFF" w:rsidRPr="004C2A59">
        <w:rPr>
          <w:color w:val="000000"/>
          <w:szCs w:val="22"/>
        </w:rPr>
        <w:t xml:space="preserve">periodisk i kohorte 1-5 med stigende varighed og tidligere start </w:t>
      </w:r>
      <w:r w:rsidR="00F2373D" w:rsidRPr="004C2A59">
        <w:rPr>
          <w:color w:val="000000"/>
          <w:szCs w:val="22"/>
        </w:rPr>
        <w:t>med</w:t>
      </w:r>
      <w:r w:rsidR="009B5EFF" w:rsidRPr="004C2A59">
        <w:rPr>
          <w:color w:val="000000"/>
          <w:szCs w:val="22"/>
        </w:rPr>
        <w:t xml:space="preserve"> Glivec fra kohorte til kohorte; kohorte 1 fik den </w:t>
      </w:r>
      <w:r w:rsidR="00327BD3" w:rsidRPr="004C2A59">
        <w:rPr>
          <w:color w:val="000000"/>
          <w:szCs w:val="22"/>
        </w:rPr>
        <w:t>mindst</w:t>
      </w:r>
      <w:r w:rsidR="009B5EFF" w:rsidRPr="004C2A59">
        <w:rPr>
          <w:color w:val="000000"/>
          <w:szCs w:val="22"/>
        </w:rPr>
        <w:t xml:space="preserve"> intensi</w:t>
      </w:r>
      <w:r w:rsidR="00327BD3" w:rsidRPr="004C2A59">
        <w:rPr>
          <w:color w:val="000000"/>
          <w:szCs w:val="22"/>
        </w:rPr>
        <w:t>ve Glivec-behandling</w:t>
      </w:r>
      <w:r w:rsidR="009B5EFF" w:rsidRPr="004C2A59">
        <w:rPr>
          <w:color w:val="000000"/>
          <w:szCs w:val="22"/>
        </w:rPr>
        <w:t xml:space="preserve"> </w:t>
      </w:r>
      <w:r w:rsidR="009B5EFF" w:rsidRPr="004C2A59">
        <w:rPr>
          <w:color w:val="000000"/>
          <w:szCs w:val="22"/>
        </w:rPr>
        <w:lastRenderedPageBreak/>
        <w:t xml:space="preserve">og kohorte 5 den </w:t>
      </w:r>
      <w:r w:rsidR="00327BD3" w:rsidRPr="004C2A59">
        <w:rPr>
          <w:color w:val="000000"/>
          <w:szCs w:val="22"/>
        </w:rPr>
        <w:t>mest</w:t>
      </w:r>
      <w:r w:rsidR="009B5EFF" w:rsidRPr="004C2A59">
        <w:rPr>
          <w:color w:val="000000"/>
          <w:szCs w:val="22"/>
        </w:rPr>
        <w:t xml:space="preserve"> intensi</w:t>
      </w:r>
      <w:r w:rsidR="00327BD3" w:rsidRPr="004C2A59">
        <w:rPr>
          <w:color w:val="000000"/>
          <w:szCs w:val="22"/>
        </w:rPr>
        <w:t>ve</w:t>
      </w:r>
      <w:r w:rsidR="009B5EFF" w:rsidRPr="004C2A59">
        <w:rPr>
          <w:color w:val="000000"/>
          <w:szCs w:val="22"/>
        </w:rPr>
        <w:t xml:space="preserve"> (længste varighed i dage med kontinuerlig</w:t>
      </w:r>
      <w:r w:rsidR="005A432D" w:rsidRPr="004C2A59">
        <w:rPr>
          <w:color w:val="000000"/>
          <w:szCs w:val="22"/>
        </w:rPr>
        <w:t>,</w:t>
      </w:r>
      <w:r w:rsidR="009B5EFF" w:rsidRPr="004C2A59">
        <w:rPr>
          <w:color w:val="000000"/>
          <w:szCs w:val="22"/>
        </w:rPr>
        <w:t xml:space="preserve"> daglig Glivec</w:t>
      </w:r>
      <w:r w:rsidR="00D800F7" w:rsidRPr="004C2A59">
        <w:rPr>
          <w:color w:val="000000"/>
          <w:szCs w:val="22"/>
        </w:rPr>
        <w:t>-</w:t>
      </w:r>
      <w:r w:rsidR="009B5EFF" w:rsidRPr="004C2A59">
        <w:rPr>
          <w:color w:val="000000"/>
          <w:szCs w:val="22"/>
        </w:rPr>
        <w:t>dosering i de første kemobehandlingsforløb).</w:t>
      </w:r>
      <w:r w:rsidR="00663A61" w:rsidRPr="004C2A59">
        <w:rPr>
          <w:color w:val="000000"/>
          <w:szCs w:val="22"/>
        </w:rPr>
        <w:t xml:space="preserve"> Kontinuerlig daglig eksponering </w:t>
      </w:r>
      <w:r w:rsidR="00350807" w:rsidRPr="004C2A59">
        <w:rPr>
          <w:color w:val="000000"/>
          <w:szCs w:val="22"/>
        </w:rPr>
        <w:t xml:space="preserve">for </w:t>
      </w:r>
      <w:r w:rsidR="00663A61" w:rsidRPr="004C2A59">
        <w:rPr>
          <w:color w:val="000000"/>
          <w:szCs w:val="22"/>
        </w:rPr>
        <w:t xml:space="preserve">Glivec tidligt i behandlingsforløbet </w:t>
      </w:r>
      <w:r w:rsidR="00D800F7" w:rsidRPr="004C2A59">
        <w:rPr>
          <w:color w:val="000000"/>
          <w:szCs w:val="22"/>
        </w:rPr>
        <w:t>i kombination med kemoterapi hos</w:t>
      </w:r>
      <w:r w:rsidR="00663A61" w:rsidRPr="004C2A59">
        <w:rPr>
          <w:color w:val="000000"/>
          <w:szCs w:val="22"/>
        </w:rPr>
        <w:t xml:space="preserve"> kohorte 5-patienter (n=50) forbedrede den 4-årige </w:t>
      </w:r>
      <w:r w:rsidR="00884A2D" w:rsidRPr="004C2A59">
        <w:rPr>
          <w:color w:val="000000"/>
          <w:szCs w:val="22"/>
        </w:rPr>
        <w:t>hændelses</w:t>
      </w:r>
      <w:r w:rsidR="00663A61" w:rsidRPr="004C2A59">
        <w:rPr>
          <w:color w:val="000000"/>
          <w:szCs w:val="22"/>
        </w:rPr>
        <w:t>fri overlevelse (EFS) sammenlignet med en historisk kontrol</w:t>
      </w:r>
      <w:r w:rsidR="00254504" w:rsidRPr="004C2A59">
        <w:rPr>
          <w:color w:val="000000"/>
          <w:szCs w:val="22"/>
        </w:rPr>
        <w:t>gruppe</w:t>
      </w:r>
      <w:r w:rsidR="00663A61" w:rsidRPr="004C2A59">
        <w:rPr>
          <w:color w:val="000000"/>
          <w:szCs w:val="22"/>
        </w:rPr>
        <w:t xml:space="preserve"> (</w:t>
      </w:r>
      <w:r w:rsidR="00254504" w:rsidRPr="004C2A59">
        <w:rPr>
          <w:color w:val="000000"/>
          <w:szCs w:val="22"/>
        </w:rPr>
        <w:t>n=120), der fik standard</w:t>
      </w:r>
      <w:r w:rsidR="00D800F7" w:rsidRPr="004C2A59">
        <w:rPr>
          <w:color w:val="000000"/>
          <w:szCs w:val="22"/>
        </w:rPr>
        <w:t>-</w:t>
      </w:r>
      <w:r w:rsidR="00254504" w:rsidRPr="004C2A59">
        <w:rPr>
          <w:color w:val="000000"/>
          <w:szCs w:val="22"/>
        </w:rPr>
        <w:t xml:space="preserve">kemoterapi uden Glivec (hhv. 69,6% </w:t>
      </w:r>
      <w:r w:rsidR="00254504" w:rsidRPr="004C2A59">
        <w:rPr>
          <w:i/>
          <w:color w:val="000000"/>
          <w:szCs w:val="22"/>
        </w:rPr>
        <w:t>vs.</w:t>
      </w:r>
      <w:r w:rsidR="00254504" w:rsidRPr="004C2A59">
        <w:rPr>
          <w:color w:val="000000"/>
          <w:szCs w:val="22"/>
        </w:rPr>
        <w:t xml:space="preserve"> 31,6%). Den estimerede 4-års OS </w:t>
      </w:r>
      <w:r w:rsidR="00D800F7" w:rsidRPr="004C2A59">
        <w:rPr>
          <w:color w:val="000000"/>
          <w:szCs w:val="22"/>
        </w:rPr>
        <w:t>hos</w:t>
      </w:r>
      <w:r w:rsidR="00254504" w:rsidRPr="004C2A59">
        <w:rPr>
          <w:color w:val="000000"/>
          <w:szCs w:val="22"/>
        </w:rPr>
        <w:t xml:space="preserve"> kohorte 5-patienter var 83,6% sammenlignet med 44,8% i den historiske kontrolgruppe. 20 ud af 50 (40%) patienter i kohorte 5 fik </w:t>
      </w:r>
      <w:r w:rsidR="00C210C0" w:rsidRPr="004C2A59">
        <w:rPr>
          <w:color w:val="000000"/>
          <w:szCs w:val="22"/>
        </w:rPr>
        <w:t>hæmatopoietisk</w:t>
      </w:r>
      <w:r w:rsidR="00254504" w:rsidRPr="004C2A59">
        <w:rPr>
          <w:color w:val="000000"/>
          <w:szCs w:val="22"/>
        </w:rPr>
        <w:t xml:space="preserve"> stamcelletransplantation.</w:t>
      </w:r>
    </w:p>
    <w:p w14:paraId="093D22B8" w14:textId="77777777" w:rsidR="007A71CD" w:rsidRPr="004C2A59" w:rsidRDefault="007A71CD" w:rsidP="00421681">
      <w:pPr>
        <w:pStyle w:val="EndnoteText"/>
        <w:rPr>
          <w:color w:val="000000"/>
          <w:szCs w:val="22"/>
        </w:rPr>
      </w:pPr>
    </w:p>
    <w:p w14:paraId="0969A3C5" w14:textId="77777777" w:rsidR="007A71CD" w:rsidRPr="004C2A59" w:rsidRDefault="007A71CD" w:rsidP="00A125B0">
      <w:pPr>
        <w:pStyle w:val="EndnoteText"/>
        <w:keepNext/>
        <w:tabs>
          <w:tab w:val="clear" w:pos="567"/>
        </w:tabs>
        <w:ind w:left="1134" w:hanging="1134"/>
        <w:rPr>
          <w:b/>
          <w:color w:val="000000"/>
        </w:rPr>
      </w:pPr>
      <w:r w:rsidRPr="004C2A59">
        <w:rPr>
          <w:b/>
          <w:color w:val="000000"/>
        </w:rPr>
        <w:t>Tabel </w:t>
      </w:r>
      <w:r w:rsidR="00353FC4" w:rsidRPr="004C2A59">
        <w:rPr>
          <w:b/>
          <w:color w:val="000000"/>
        </w:rPr>
        <w:t>5</w:t>
      </w:r>
      <w:r w:rsidRPr="004C2A59">
        <w:rPr>
          <w:b/>
          <w:color w:val="000000"/>
        </w:rPr>
        <w:tab/>
        <w:t>Kemoterapi</w:t>
      </w:r>
      <w:r w:rsidR="00884A2D" w:rsidRPr="004C2A59">
        <w:rPr>
          <w:b/>
          <w:color w:val="000000"/>
        </w:rPr>
        <w:t>-</w:t>
      </w:r>
      <w:r w:rsidRPr="004C2A59">
        <w:rPr>
          <w:b/>
          <w:color w:val="000000"/>
        </w:rPr>
        <w:t xml:space="preserve">regime anvendt </w:t>
      </w:r>
      <w:r w:rsidR="00A563DB" w:rsidRPr="004C2A59">
        <w:rPr>
          <w:b/>
          <w:color w:val="000000"/>
        </w:rPr>
        <w:t>i</w:t>
      </w:r>
      <w:r w:rsidRPr="004C2A59">
        <w:rPr>
          <w:b/>
          <w:color w:val="000000"/>
        </w:rPr>
        <w:t xml:space="preserve"> </w:t>
      </w:r>
      <w:r w:rsidR="005A432D" w:rsidRPr="004C2A59">
        <w:rPr>
          <w:b/>
          <w:color w:val="000000"/>
        </w:rPr>
        <w:t>k</w:t>
      </w:r>
      <w:r w:rsidRPr="004C2A59">
        <w:rPr>
          <w:b/>
          <w:color w:val="000000"/>
        </w:rPr>
        <w:t>ombination med imatinib i studie I2301</w:t>
      </w:r>
    </w:p>
    <w:p w14:paraId="34BC7583" w14:textId="77777777" w:rsidR="007A71CD" w:rsidRPr="004C2A59" w:rsidRDefault="007A71CD" w:rsidP="00A125B0">
      <w:pPr>
        <w:pStyle w:val="EndnoteText"/>
        <w:keepNext/>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9"/>
        <w:gridCol w:w="6726"/>
      </w:tblGrid>
      <w:tr w:rsidR="007A71CD" w:rsidRPr="00DA2798" w14:paraId="595FF0B2" w14:textId="77777777" w:rsidTr="00A125B0">
        <w:trPr>
          <w:cantSplit/>
        </w:trPr>
        <w:tc>
          <w:tcPr>
            <w:tcW w:w="2357" w:type="dxa"/>
            <w:shd w:val="clear" w:color="auto" w:fill="auto"/>
          </w:tcPr>
          <w:p w14:paraId="3CF4FE3A" w14:textId="77777777" w:rsidR="00854853" w:rsidRPr="004C2A59" w:rsidRDefault="007A71CD" w:rsidP="00421681">
            <w:pPr>
              <w:pStyle w:val="EndnoteText"/>
              <w:rPr>
                <w:color w:val="000000"/>
              </w:rPr>
            </w:pPr>
            <w:r w:rsidRPr="004C2A59">
              <w:rPr>
                <w:color w:val="000000"/>
              </w:rPr>
              <w:t>Konsolidering blok </w:t>
            </w:r>
            <w:r w:rsidR="00854853" w:rsidRPr="004C2A59">
              <w:rPr>
                <w:color w:val="000000"/>
              </w:rPr>
              <w:t>1</w:t>
            </w:r>
          </w:p>
          <w:p w14:paraId="1DC9D688" w14:textId="77777777" w:rsidR="007A71CD" w:rsidRPr="004C2A59" w:rsidRDefault="007A71CD" w:rsidP="00421681">
            <w:pPr>
              <w:pStyle w:val="EndnoteText"/>
              <w:rPr>
                <w:color w:val="000000"/>
              </w:rPr>
            </w:pPr>
            <w:r w:rsidRPr="004C2A59">
              <w:rPr>
                <w:color w:val="000000"/>
              </w:rPr>
              <w:t>(3 uger)</w:t>
            </w:r>
          </w:p>
        </w:tc>
        <w:tc>
          <w:tcPr>
            <w:tcW w:w="6924" w:type="dxa"/>
            <w:shd w:val="clear" w:color="auto" w:fill="auto"/>
          </w:tcPr>
          <w:p w14:paraId="6337E29D" w14:textId="77777777" w:rsidR="007A71CD" w:rsidRPr="004C2A59" w:rsidRDefault="007A71CD" w:rsidP="00421681">
            <w:pPr>
              <w:pStyle w:val="EndnoteText"/>
              <w:rPr>
                <w:color w:val="000000"/>
              </w:rPr>
            </w:pPr>
            <w:r w:rsidRPr="004C2A59">
              <w:rPr>
                <w:color w:val="000000"/>
              </w:rPr>
              <w:t>VP-16 (100 mg/m</w:t>
            </w:r>
            <w:r w:rsidRPr="004C2A59">
              <w:rPr>
                <w:color w:val="000000"/>
                <w:vertAlign w:val="superscript"/>
              </w:rPr>
              <w:t>2</w:t>
            </w:r>
            <w:r w:rsidRPr="004C2A59">
              <w:rPr>
                <w:color w:val="000000"/>
              </w:rPr>
              <w:t xml:space="preserve">/dag, </w:t>
            </w:r>
            <w:r w:rsidR="00884A2D" w:rsidRPr="004C2A59">
              <w:rPr>
                <w:color w:val="000000"/>
              </w:rPr>
              <w:t>i.v.</w:t>
            </w:r>
            <w:r w:rsidRPr="004C2A59">
              <w:rPr>
                <w:color w:val="000000"/>
              </w:rPr>
              <w:t>): dag 1</w:t>
            </w:r>
            <w:r w:rsidRPr="004C2A59">
              <w:rPr>
                <w:color w:val="000000"/>
              </w:rPr>
              <w:noBreakHyphen/>
              <w:t>5</w:t>
            </w:r>
          </w:p>
          <w:p w14:paraId="71FD9E9D" w14:textId="77777777" w:rsidR="007A71CD" w:rsidRPr="004C2A59" w:rsidRDefault="005A432D" w:rsidP="00421681">
            <w:pPr>
              <w:pStyle w:val="EndnoteText"/>
              <w:rPr>
                <w:color w:val="000000"/>
              </w:rPr>
            </w:pPr>
            <w:r w:rsidRPr="004C2A59">
              <w:rPr>
                <w:color w:val="000000"/>
              </w:rPr>
              <w:t>Ifosfamid</w:t>
            </w:r>
            <w:r w:rsidR="007A71CD" w:rsidRPr="004C2A59">
              <w:rPr>
                <w:color w:val="000000"/>
              </w:rPr>
              <w:t xml:space="preserve"> (1</w:t>
            </w:r>
            <w:r w:rsidR="00884A2D" w:rsidRPr="004C2A59">
              <w:rPr>
                <w:color w:val="000000"/>
              </w:rPr>
              <w:t>,</w:t>
            </w:r>
            <w:r w:rsidR="007A71CD" w:rsidRPr="004C2A59">
              <w:rPr>
                <w:color w:val="000000"/>
              </w:rPr>
              <w:t>8 g/m</w:t>
            </w:r>
            <w:r w:rsidR="007A71CD" w:rsidRPr="004C2A59">
              <w:rPr>
                <w:color w:val="000000"/>
                <w:vertAlign w:val="superscript"/>
              </w:rPr>
              <w:t>2</w:t>
            </w:r>
            <w:r w:rsidR="007A71CD" w:rsidRPr="004C2A59">
              <w:rPr>
                <w:color w:val="000000"/>
              </w:rPr>
              <w:t xml:space="preserve">/dag, </w:t>
            </w:r>
            <w:r w:rsidR="00676589" w:rsidRPr="004C2A59">
              <w:rPr>
                <w:color w:val="000000"/>
              </w:rPr>
              <w:t>i.v.</w:t>
            </w:r>
            <w:r w:rsidR="007A71CD" w:rsidRPr="004C2A59">
              <w:rPr>
                <w:color w:val="000000"/>
              </w:rPr>
              <w:t>): dag 1</w:t>
            </w:r>
            <w:r w:rsidR="007A71CD" w:rsidRPr="004C2A59">
              <w:rPr>
                <w:color w:val="000000"/>
              </w:rPr>
              <w:noBreakHyphen/>
              <w:t>5</w:t>
            </w:r>
          </w:p>
          <w:p w14:paraId="29BAD75C" w14:textId="77777777" w:rsidR="007A71CD" w:rsidRPr="004C2A59" w:rsidRDefault="007A71CD" w:rsidP="00421681">
            <w:pPr>
              <w:pStyle w:val="EndnoteText"/>
              <w:rPr>
                <w:color w:val="000000"/>
              </w:rPr>
            </w:pPr>
            <w:r w:rsidRPr="004C2A59">
              <w:rPr>
                <w:color w:val="000000"/>
              </w:rPr>
              <w:t>MESNA (360 mg/m</w:t>
            </w:r>
            <w:r w:rsidRPr="004C2A59">
              <w:rPr>
                <w:color w:val="000000"/>
                <w:vertAlign w:val="superscript"/>
              </w:rPr>
              <w:t>2</w:t>
            </w:r>
            <w:r w:rsidRPr="004C2A59">
              <w:rPr>
                <w:color w:val="000000"/>
              </w:rPr>
              <w:t xml:space="preserve">/dosis </w:t>
            </w:r>
            <w:r w:rsidR="00884A2D" w:rsidRPr="004C2A59">
              <w:rPr>
                <w:color w:val="000000"/>
              </w:rPr>
              <w:t xml:space="preserve">hver </w:t>
            </w:r>
            <w:r w:rsidRPr="004C2A59">
              <w:rPr>
                <w:color w:val="000000"/>
              </w:rPr>
              <w:t>3</w:t>
            </w:r>
            <w:r w:rsidR="00884A2D" w:rsidRPr="004C2A59">
              <w:rPr>
                <w:color w:val="000000"/>
              </w:rPr>
              <w:t xml:space="preserve"> time</w:t>
            </w:r>
            <w:r w:rsidRPr="004C2A59">
              <w:rPr>
                <w:color w:val="000000"/>
              </w:rPr>
              <w:t>, x 8 dose</w:t>
            </w:r>
            <w:r w:rsidR="00884A2D" w:rsidRPr="004C2A59">
              <w:rPr>
                <w:color w:val="000000"/>
              </w:rPr>
              <w:t>r</w:t>
            </w:r>
            <w:r w:rsidRPr="004C2A59">
              <w:rPr>
                <w:color w:val="000000"/>
              </w:rPr>
              <w:t xml:space="preserve">/dag, </w:t>
            </w:r>
            <w:r w:rsidR="00676589" w:rsidRPr="004C2A59">
              <w:rPr>
                <w:color w:val="000000"/>
              </w:rPr>
              <w:t>i.v.</w:t>
            </w:r>
            <w:r w:rsidRPr="004C2A59">
              <w:rPr>
                <w:color w:val="000000"/>
              </w:rPr>
              <w:t>): dag 1</w:t>
            </w:r>
            <w:r w:rsidRPr="004C2A59">
              <w:rPr>
                <w:color w:val="000000"/>
              </w:rPr>
              <w:noBreakHyphen/>
              <w:t>5</w:t>
            </w:r>
          </w:p>
          <w:p w14:paraId="7FE4B4AB" w14:textId="77777777" w:rsidR="007A71CD" w:rsidRPr="004C2A59" w:rsidRDefault="007A71CD" w:rsidP="00421681">
            <w:pPr>
              <w:pStyle w:val="EndnoteText"/>
              <w:rPr>
                <w:color w:val="000000"/>
              </w:rPr>
            </w:pPr>
            <w:r w:rsidRPr="004C2A59">
              <w:rPr>
                <w:color w:val="000000"/>
              </w:rPr>
              <w:t xml:space="preserve">G-CSF (5 μg/kg, </w:t>
            </w:r>
            <w:r w:rsidR="00884A2D" w:rsidRPr="004C2A59">
              <w:rPr>
                <w:color w:val="000000"/>
              </w:rPr>
              <w:t>s.c.</w:t>
            </w:r>
            <w:r w:rsidRPr="004C2A59">
              <w:rPr>
                <w:color w:val="000000"/>
              </w:rPr>
              <w:t>): dag 6</w:t>
            </w:r>
            <w:r w:rsidRPr="004C2A59">
              <w:rPr>
                <w:color w:val="000000"/>
              </w:rPr>
              <w:noBreakHyphen/>
              <w:t>15</w:t>
            </w:r>
            <w:r w:rsidR="00891116" w:rsidRPr="004C2A59">
              <w:rPr>
                <w:color w:val="000000"/>
              </w:rPr>
              <w:t>,</w:t>
            </w:r>
            <w:r w:rsidRPr="004C2A59">
              <w:rPr>
                <w:color w:val="000000"/>
              </w:rPr>
              <w:t xml:space="preserve"> eller indtil ANC &gt; 1500 post nadir</w:t>
            </w:r>
          </w:p>
          <w:p w14:paraId="03F3F292" w14:textId="77777777" w:rsidR="007A71CD" w:rsidRPr="004C2A59" w:rsidRDefault="00717B89" w:rsidP="00421681">
            <w:pPr>
              <w:pStyle w:val="EndnoteText"/>
              <w:rPr>
                <w:color w:val="000000"/>
              </w:rPr>
            </w:pPr>
            <w:r w:rsidRPr="004C2A59">
              <w:rPr>
                <w:color w:val="000000"/>
              </w:rPr>
              <w:t>I</w:t>
            </w:r>
            <w:r w:rsidR="00884A2D" w:rsidRPr="004C2A59">
              <w:rPr>
                <w:color w:val="000000"/>
              </w:rPr>
              <w:t>.t.</w:t>
            </w:r>
            <w:r w:rsidRPr="004C2A59">
              <w:rPr>
                <w:color w:val="000000"/>
              </w:rPr>
              <w:t xml:space="preserve"> </w:t>
            </w:r>
            <w:r w:rsidR="00C210C0" w:rsidRPr="004C2A59">
              <w:rPr>
                <w:color w:val="000000"/>
              </w:rPr>
              <w:t>m</w:t>
            </w:r>
            <w:r w:rsidRPr="004C2A59">
              <w:rPr>
                <w:color w:val="000000"/>
              </w:rPr>
              <w:t>ethotrexat</w:t>
            </w:r>
            <w:r w:rsidR="007A71CD" w:rsidRPr="004C2A59">
              <w:rPr>
                <w:color w:val="000000"/>
              </w:rPr>
              <w:t xml:space="preserve"> (aldersjusteret): KUN dag 1</w:t>
            </w:r>
          </w:p>
          <w:p w14:paraId="40AD74A0" w14:textId="77777777" w:rsidR="007A71CD" w:rsidRPr="004C2A59" w:rsidRDefault="004411F8" w:rsidP="00421681">
            <w:pPr>
              <w:pStyle w:val="EndnoteText"/>
              <w:rPr>
                <w:color w:val="000000"/>
              </w:rPr>
            </w:pPr>
            <w:r w:rsidRPr="004C2A59">
              <w:rPr>
                <w:color w:val="000000"/>
              </w:rPr>
              <w:t>Tredobbelt</w:t>
            </w:r>
            <w:r w:rsidR="007A71CD" w:rsidRPr="004C2A59">
              <w:rPr>
                <w:color w:val="000000"/>
              </w:rPr>
              <w:t xml:space="preserve"> </w:t>
            </w:r>
            <w:r w:rsidR="00884A2D" w:rsidRPr="004C2A59">
              <w:rPr>
                <w:color w:val="000000"/>
              </w:rPr>
              <w:t>i.t.-</w:t>
            </w:r>
            <w:r w:rsidR="007A71CD" w:rsidRPr="004C2A59">
              <w:rPr>
                <w:color w:val="000000"/>
              </w:rPr>
              <w:t>terapi</w:t>
            </w:r>
            <w:r w:rsidR="00A563DB" w:rsidRPr="004C2A59">
              <w:rPr>
                <w:color w:val="000000"/>
              </w:rPr>
              <w:t xml:space="preserve"> (aldersjusteret</w:t>
            </w:r>
            <w:r w:rsidR="007A71CD" w:rsidRPr="004C2A59">
              <w:rPr>
                <w:color w:val="000000"/>
              </w:rPr>
              <w:t>): dag 8, 15</w:t>
            </w:r>
          </w:p>
        </w:tc>
      </w:tr>
      <w:tr w:rsidR="007A71CD" w:rsidRPr="00F852D1" w14:paraId="7F4A0C5F" w14:textId="77777777" w:rsidTr="00A125B0">
        <w:trPr>
          <w:cantSplit/>
        </w:trPr>
        <w:tc>
          <w:tcPr>
            <w:tcW w:w="2357" w:type="dxa"/>
            <w:shd w:val="clear" w:color="auto" w:fill="auto"/>
          </w:tcPr>
          <w:p w14:paraId="50A1BCF2" w14:textId="77777777" w:rsidR="00854853" w:rsidRPr="004C2A59" w:rsidRDefault="00A563DB" w:rsidP="00421681">
            <w:pPr>
              <w:pStyle w:val="EndnoteText"/>
              <w:rPr>
                <w:color w:val="000000"/>
              </w:rPr>
            </w:pPr>
            <w:r w:rsidRPr="004C2A59">
              <w:rPr>
                <w:color w:val="000000"/>
              </w:rPr>
              <w:t>K</w:t>
            </w:r>
            <w:r w:rsidR="00854853" w:rsidRPr="004C2A59">
              <w:rPr>
                <w:color w:val="000000"/>
              </w:rPr>
              <w:t>onsolidering blok 2</w:t>
            </w:r>
          </w:p>
          <w:p w14:paraId="67DA7969" w14:textId="77777777" w:rsidR="007A71CD" w:rsidRPr="004C2A59" w:rsidRDefault="00A563DB" w:rsidP="00421681">
            <w:pPr>
              <w:pStyle w:val="EndnoteText"/>
              <w:rPr>
                <w:color w:val="000000"/>
              </w:rPr>
            </w:pPr>
            <w:r w:rsidRPr="004C2A59">
              <w:rPr>
                <w:color w:val="000000"/>
              </w:rPr>
              <w:t>(3 uger)</w:t>
            </w:r>
          </w:p>
        </w:tc>
        <w:tc>
          <w:tcPr>
            <w:tcW w:w="6924" w:type="dxa"/>
            <w:shd w:val="clear" w:color="auto" w:fill="auto"/>
          </w:tcPr>
          <w:p w14:paraId="4370A7C2" w14:textId="77777777" w:rsidR="007A71CD" w:rsidRPr="004C2A59" w:rsidRDefault="00717B89" w:rsidP="00421681">
            <w:pPr>
              <w:pStyle w:val="EndnoteText"/>
              <w:rPr>
                <w:color w:val="000000"/>
              </w:rPr>
            </w:pPr>
            <w:r w:rsidRPr="004C2A59">
              <w:rPr>
                <w:color w:val="000000"/>
              </w:rPr>
              <w:t>Methotrexat</w:t>
            </w:r>
            <w:r w:rsidR="007A71CD" w:rsidRPr="004C2A59">
              <w:rPr>
                <w:color w:val="000000"/>
              </w:rPr>
              <w:t xml:space="preserve"> (5 g/m</w:t>
            </w:r>
            <w:r w:rsidR="007A71CD" w:rsidRPr="004C2A59">
              <w:rPr>
                <w:color w:val="000000"/>
                <w:vertAlign w:val="superscript"/>
              </w:rPr>
              <w:t>2</w:t>
            </w:r>
            <w:r w:rsidR="004411F8" w:rsidRPr="004C2A59">
              <w:rPr>
                <w:color w:val="000000"/>
              </w:rPr>
              <w:t xml:space="preserve"> over 24 timer, </w:t>
            </w:r>
            <w:r w:rsidR="00676589" w:rsidRPr="004C2A59">
              <w:rPr>
                <w:color w:val="000000"/>
              </w:rPr>
              <w:t>i.v.</w:t>
            </w:r>
            <w:r w:rsidR="004411F8" w:rsidRPr="004C2A59">
              <w:rPr>
                <w:color w:val="000000"/>
              </w:rPr>
              <w:t>): dag</w:t>
            </w:r>
            <w:r w:rsidR="007A71CD" w:rsidRPr="004C2A59">
              <w:rPr>
                <w:color w:val="000000"/>
              </w:rPr>
              <w:t> 1</w:t>
            </w:r>
          </w:p>
          <w:p w14:paraId="53E0858F" w14:textId="77777777" w:rsidR="007A71CD" w:rsidRPr="004C2A59" w:rsidRDefault="007A71CD" w:rsidP="00421681">
            <w:pPr>
              <w:pStyle w:val="EndnoteText"/>
              <w:rPr>
                <w:color w:val="000000"/>
              </w:rPr>
            </w:pPr>
            <w:r w:rsidRPr="004C2A59">
              <w:rPr>
                <w:color w:val="000000"/>
              </w:rPr>
              <w:t>Leucovorin (75 mg/m</w:t>
            </w:r>
            <w:r w:rsidRPr="004C2A59">
              <w:rPr>
                <w:color w:val="000000"/>
                <w:vertAlign w:val="superscript"/>
              </w:rPr>
              <w:t>2</w:t>
            </w:r>
            <w:r w:rsidRPr="004C2A59">
              <w:rPr>
                <w:color w:val="000000"/>
              </w:rPr>
              <w:t xml:space="preserve"> </w:t>
            </w:r>
            <w:r w:rsidR="004411F8" w:rsidRPr="004C2A59">
              <w:rPr>
                <w:color w:val="000000"/>
              </w:rPr>
              <w:t>i time</w:t>
            </w:r>
            <w:r w:rsidRPr="004C2A59">
              <w:rPr>
                <w:color w:val="000000"/>
              </w:rPr>
              <w:t xml:space="preserve"> 36, </w:t>
            </w:r>
            <w:r w:rsidR="00676589" w:rsidRPr="004C2A59">
              <w:rPr>
                <w:color w:val="000000"/>
              </w:rPr>
              <w:t>i.v.</w:t>
            </w:r>
            <w:r w:rsidRPr="004C2A59">
              <w:rPr>
                <w:color w:val="000000"/>
              </w:rPr>
              <w:t>; 15 mg/m</w:t>
            </w:r>
            <w:r w:rsidRPr="004C2A59">
              <w:rPr>
                <w:color w:val="000000"/>
                <w:vertAlign w:val="superscript"/>
              </w:rPr>
              <w:t>2</w:t>
            </w:r>
            <w:r w:rsidR="004411F8" w:rsidRPr="004C2A59">
              <w:rPr>
                <w:color w:val="000000"/>
              </w:rPr>
              <w:t xml:space="preserve"> </w:t>
            </w:r>
            <w:r w:rsidR="00676589" w:rsidRPr="004C2A59">
              <w:rPr>
                <w:color w:val="000000"/>
              </w:rPr>
              <w:t>i.v.</w:t>
            </w:r>
            <w:r w:rsidR="004411F8" w:rsidRPr="004C2A59">
              <w:rPr>
                <w:color w:val="000000"/>
              </w:rPr>
              <w:t xml:space="preserve"> eller </w:t>
            </w:r>
            <w:r w:rsidR="00884A2D" w:rsidRPr="004C2A59">
              <w:rPr>
                <w:color w:val="000000"/>
              </w:rPr>
              <w:t>p.o.</w:t>
            </w:r>
            <w:r w:rsidR="004411F8" w:rsidRPr="004C2A59">
              <w:rPr>
                <w:color w:val="000000"/>
              </w:rPr>
              <w:t xml:space="preserve"> q6h x 6 doser)iii: </w:t>
            </w:r>
            <w:r w:rsidR="007A1207" w:rsidRPr="004C2A59">
              <w:rPr>
                <w:color w:val="000000"/>
              </w:rPr>
              <w:t>d</w:t>
            </w:r>
            <w:r w:rsidR="004411F8" w:rsidRPr="004C2A59">
              <w:rPr>
                <w:color w:val="000000"/>
              </w:rPr>
              <w:t>ag 2 og</w:t>
            </w:r>
            <w:r w:rsidRPr="004C2A59">
              <w:rPr>
                <w:color w:val="000000"/>
              </w:rPr>
              <w:t xml:space="preserve"> 3</w:t>
            </w:r>
          </w:p>
          <w:p w14:paraId="67708EBF" w14:textId="77777777" w:rsidR="007A71CD" w:rsidRPr="004C2A59" w:rsidRDefault="00A563DB" w:rsidP="00421681">
            <w:pPr>
              <w:pStyle w:val="EndnoteText"/>
              <w:rPr>
                <w:color w:val="000000"/>
              </w:rPr>
            </w:pPr>
            <w:r w:rsidRPr="004C2A59">
              <w:rPr>
                <w:color w:val="000000"/>
              </w:rPr>
              <w:t>Tredobbelt</w:t>
            </w:r>
            <w:r w:rsidR="007A71CD" w:rsidRPr="004C2A59">
              <w:rPr>
                <w:color w:val="000000"/>
              </w:rPr>
              <w:t xml:space="preserve"> </w:t>
            </w:r>
            <w:r w:rsidR="00676589" w:rsidRPr="004C2A59">
              <w:rPr>
                <w:color w:val="000000"/>
              </w:rPr>
              <w:t>i.t.-</w:t>
            </w:r>
            <w:r w:rsidRPr="004C2A59">
              <w:rPr>
                <w:color w:val="000000"/>
              </w:rPr>
              <w:t>terapi</w:t>
            </w:r>
            <w:r w:rsidR="007A71CD" w:rsidRPr="004C2A59">
              <w:rPr>
                <w:color w:val="000000"/>
              </w:rPr>
              <w:t xml:space="preserve"> (</w:t>
            </w:r>
            <w:r w:rsidRPr="004C2A59">
              <w:rPr>
                <w:color w:val="000000"/>
              </w:rPr>
              <w:t>aldersjusteret): dag</w:t>
            </w:r>
            <w:r w:rsidR="007A71CD" w:rsidRPr="004C2A59">
              <w:rPr>
                <w:color w:val="000000"/>
              </w:rPr>
              <w:t> 1</w:t>
            </w:r>
          </w:p>
          <w:p w14:paraId="64212062" w14:textId="77777777" w:rsidR="007A71CD" w:rsidRPr="004C2A59" w:rsidRDefault="007A71CD" w:rsidP="00421681">
            <w:pPr>
              <w:pStyle w:val="EndnoteText"/>
              <w:rPr>
                <w:color w:val="000000"/>
              </w:rPr>
            </w:pPr>
            <w:r w:rsidRPr="004C2A59">
              <w:rPr>
                <w:color w:val="000000"/>
              </w:rPr>
              <w:t>ARA-C (3 g/m</w:t>
            </w:r>
            <w:r w:rsidRPr="004C2A59">
              <w:rPr>
                <w:color w:val="000000"/>
                <w:vertAlign w:val="superscript"/>
              </w:rPr>
              <w:t>2</w:t>
            </w:r>
            <w:r w:rsidR="00A563DB" w:rsidRPr="004C2A59">
              <w:rPr>
                <w:color w:val="000000"/>
              </w:rPr>
              <w:t xml:space="preserve">/dosis q 12 h x 4, </w:t>
            </w:r>
            <w:r w:rsidR="00676589" w:rsidRPr="004C2A59">
              <w:rPr>
                <w:color w:val="000000"/>
              </w:rPr>
              <w:t>i.v.</w:t>
            </w:r>
            <w:r w:rsidR="00A563DB" w:rsidRPr="004C2A59">
              <w:rPr>
                <w:color w:val="000000"/>
              </w:rPr>
              <w:t>): dag</w:t>
            </w:r>
            <w:r w:rsidRPr="004C2A59">
              <w:rPr>
                <w:color w:val="000000"/>
              </w:rPr>
              <w:t xml:space="preserve"> 2 </w:t>
            </w:r>
            <w:r w:rsidR="00A563DB" w:rsidRPr="004C2A59">
              <w:rPr>
                <w:color w:val="000000"/>
              </w:rPr>
              <w:t>og</w:t>
            </w:r>
            <w:r w:rsidRPr="004C2A59">
              <w:rPr>
                <w:color w:val="000000"/>
              </w:rPr>
              <w:t xml:space="preserve"> 3</w:t>
            </w:r>
          </w:p>
          <w:p w14:paraId="65E43820" w14:textId="77777777" w:rsidR="007A71CD" w:rsidRPr="004C2A59" w:rsidRDefault="007A71CD" w:rsidP="00421681">
            <w:pPr>
              <w:pStyle w:val="EndnoteText"/>
              <w:rPr>
                <w:color w:val="000000"/>
              </w:rPr>
            </w:pPr>
            <w:r w:rsidRPr="004C2A59">
              <w:rPr>
                <w:color w:val="000000"/>
              </w:rPr>
              <w:t>G-CSF (5 μ</w:t>
            </w:r>
            <w:r w:rsidR="00A563DB" w:rsidRPr="004C2A59">
              <w:rPr>
                <w:color w:val="000000"/>
              </w:rPr>
              <w:t xml:space="preserve">g/kg, </w:t>
            </w:r>
            <w:r w:rsidR="003A6475" w:rsidRPr="004C2A59">
              <w:rPr>
                <w:color w:val="000000"/>
              </w:rPr>
              <w:t>s.c.</w:t>
            </w:r>
            <w:r w:rsidR="00A563DB" w:rsidRPr="004C2A59">
              <w:rPr>
                <w:color w:val="000000"/>
              </w:rPr>
              <w:t>): dag</w:t>
            </w:r>
            <w:r w:rsidRPr="004C2A59">
              <w:rPr>
                <w:color w:val="000000"/>
              </w:rPr>
              <w:t> 4-13</w:t>
            </w:r>
            <w:r w:rsidR="00891116" w:rsidRPr="004C2A59">
              <w:rPr>
                <w:color w:val="000000"/>
              </w:rPr>
              <w:t>,</w:t>
            </w:r>
            <w:r w:rsidRPr="004C2A59">
              <w:rPr>
                <w:color w:val="000000"/>
              </w:rPr>
              <w:t xml:space="preserve"> </w:t>
            </w:r>
            <w:r w:rsidR="00A563DB" w:rsidRPr="004C2A59">
              <w:rPr>
                <w:color w:val="000000"/>
              </w:rPr>
              <w:t>eller indtil</w:t>
            </w:r>
            <w:r w:rsidRPr="004C2A59">
              <w:rPr>
                <w:color w:val="000000"/>
              </w:rPr>
              <w:t xml:space="preserve"> ANC &gt;1500 post nadir</w:t>
            </w:r>
          </w:p>
        </w:tc>
      </w:tr>
      <w:tr w:rsidR="007A71CD" w:rsidRPr="00DA2798" w14:paraId="5851CE2F" w14:textId="77777777" w:rsidTr="00A125B0">
        <w:trPr>
          <w:cantSplit/>
        </w:trPr>
        <w:tc>
          <w:tcPr>
            <w:tcW w:w="2357" w:type="dxa"/>
            <w:shd w:val="clear" w:color="auto" w:fill="auto"/>
          </w:tcPr>
          <w:p w14:paraId="56C9962A" w14:textId="77777777" w:rsidR="00854853" w:rsidRPr="004C2A59" w:rsidRDefault="00A563DB" w:rsidP="00421681">
            <w:pPr>
              <w:pStyle w:val="EndnoteText"/>
              <w:rPr>
                <w:color w:val="000000"/>
              </w:rPr>
            </w:pPr>
            <w:r w:rsidRPr="004C2A59">
              <w:rPr>
                <w:color w:val="000000"/>
              </w:rPr>
              <w:t>R</w:t>
            </w:r>
            <w:r w:rsidR="00854853" w:rsidRPr="004C2A59">
              <w:rPr>
                <w:color w:val="000000"/>
              </w:rPr>
              <w:t>einduktion blok 1</w:t>
            </w:r>
          </w:p>
          <w:p w14:paraId="0E92BAA1" w14:textId="77777777" w:rsidR="007A71CD" w:rsidRPr="004C2A59" w:rsidRDefault="00A563DB" w:rsidP="00421681">
            <w:pPr>
              <w:pStyle w:val="EndnoteText"/>
              <w:rPr>
                <w:color w:val="000000"/>
              </w:rPr>
            </w:pPr>
            <w:r w:rsidRPr="004C2A59">
              <w:rPr>
                <w:color w:val="000000"/>
              </w:rPr>
              <w:t>(3 uger)</w:t>
            </w:r>
          </w:p>
        </w:tc>
        <w:tc>
          <w:tcPr>
            <w:tcW w:w="6924" w:type="dxa"/>
            <w:shd w:val="clear" w:color="auto" w:fill="auto"/>
          </w:tcPr>
          <w:p w14:paraId="2E0E5F26" w14:textId="77777777" w:rsidR="007A71CD" w:rsidRPr="004C2A59" w:rsidRDefault="000249FB" w:rsidP="00421681">
            <w:pPr>
              <w:pStyle w:val="EndnoteText"/>
              <w:rPr>
                <w:color w:val="000000"/>
              </w:rPr>
            </w:pPr>
            <w:r w:rsidRPr="004C2A59">
              <w:rPr>
                <w:color w:val="000000"/>
              </w:rPr>
              <w:t>VCR (1,</w:t>
            </w:r>
            <w:r w:rsidR="007A71CD" w:rsidRPr="004C2A59">
              <w:rPr>
                <w:color w:val="000000"/>
              </w:rPr>
              <w:t>5 mg/m</w:t>
            </w:r>
            <w:r w:rsidR="007A71CD" w:rsidRPr="004C2A59">
              <w:rPr>
                <w:color w:val="000000"/>
                <w:vertAlign w:val="superscript"/>
              </w:rPr>
              <w:t>2</w:t>
            </w:r>
            <w:r w:rsidR="00A563DB" w:rsidRPr="004C2A59">
              <w:rPr>
                <w:color w:val="000000"/>
              </w:rPr>
              <w:t xml:space="preserve">/dag, </w:t>
            </w:r>
            <w:r w:rsidR="00B83F0D" w:rsidRPr="004C2A59">
              <w:rPr>
                <w:color w:val="000000"/>
              </w:rPr>
              <w:t>i.v.</w:t>
            </w:r>
            <w:r w:rsidR="00A563DB" w:rsidRPr="004C2A59">
              <w:rPr>
                <w:color w:val="000000"/>
              </w:rPr>
              <w:t>): dag 1, 8, og</w:t>
            </w:r>
            <w:r w:rsidR="007A71CD" w:rsidRPr="004C2A59">
              <w:rPr>
                <w:color w:val="000000"/>
              </w:rPr>
              <w:t xml:space="preserve"> 15</w:t>
            </w:r>
          </w:p>
          <w:p w14:paraId="7864F22B" w14:textId="77777777" w:rsidR="007A71CD" w:rsidRPr="004C2A59" w:rsidRDefault="007A71CD" w:rsidP="00421681">
            <w:pPr>
              <w:pStyle w:val="EndnoteText"/>
              <w:rPr>
                <w:color w:val="000000"/>
              </w:rPr>
            </w:pPr>
            <w:r w:rsidRPr="004C2A59">
              <w:rPr>
                <w:color w:val="000000"/>
              </w:rPr>
              <w:t>DAUN (45 mg/m</w:t>
            </w:r>
            <w:r w:rsidRPr="004C2A59">
              <w:rPr>
                <w:color w:val="000000"/>
                <w:vertAlign w:val="superscript"/>
              </w:rPr>
              <w:t>2</w:t>
            </w:r>
            <w:r w:rsidR="00A563DB" w:rsidRPr="004C2A59">
              <w:rPr>
                <w:color w:val="000000"/>
              </w:rPr>
              <w:t>/dag</w:t>
            </w:r>
            <w:r w:rsidRPr="004C2A59">
              <w:rPr>
                <w:color w:val="000000"/>
              </w:rPr>
              <w:t xml:space="preserve"> bolus, </w:t>
            </w:r>
            <w:r w:rsidR="00676589" w:rsidRPr="004C2A59">
              <w:rPr>
                <w:color w:val="000000"/>
              </w:rPr>
              <w:t>i.v.</w:t>
            </w:r>
            <w:r w:rsidRPr="004C2A59">
              <w:rPr>
                <w:color w:val="000000"/>
              </w:rPr>
              <w:t>): da</w:t>
            </w:r>
            <w:r w:rsidR="00A563DB" w:rsidRPr="004C2A59">
              <w:rPr>
                <w:color w:val="000000"/>
              </w:rPr>
              <w:t>g</w:t>
            </w:r>
            <w:r w:rsidRPr="004C2A59">
              <w:rPr>
                <w:color w:val="000000"/>
              </w:rPr>
              <w:t xml:space="preserve"> 1 </w:t>
            </w:r>
            <w:r w:rsidR="00A563DB" w:rsidRPr="004C2A59">
              <w:rPr>
                <w:color w:val="000000"/>
              </w:rPr>
              <w:t>og</w:t>
            </w:r>
            <w:r w:rsidRPr="004C2A59">
              <w:rPr>
                <w:color w:val="000000"/>
              </w:rPr>
              <w:t xml:space="preserve"> 2</w:t>
            </w:r>
          </w:p>
          <w:p w14:paraId="53AB52C2" w14:textId="77777777" w:rsidR="007A71CD" w:rsidRPr="004C2A59" w:rsidRDefault="007A71CD" w:rsidP="00421681">
            <w:pPr>
              <w:pStyle w:val="EndnoteText"/>
              <w:rPr>
                <w:color w:val="000000"/>
              </w:rPr>
            </w:pPr>
            <w:r w:rsidRPr="004C2A59">
              <w:rPr>
                <w:color w:val="000000"/>
              </w:rPr>
              <w:t>CPM (250 mg/m</w:t>
            </w:r>
            <w:r w:rsidRPr="004C2A59">
              <w:rPr>
                <w:color w:val="000000"/>
                <w:vertAlign w:val="superscript"/>
              </w:rPr>
              <w:t>2</w:t>
            </w:r>
            <w:r w:rsidR="00A563DB" w:rsidRPr="004C2A59">
              <w:rPr>
                <w:color w:val="000000"/>
              </w:rPr>
              <w:t xml:space="preserve">/dosis q12h x 4 doser, </w:t>
            </w:r>
            <w:r w:rsidR="00676589" w:rsidRPr="004C2A59">
              <w:rPr>
                <w:color w:val="000000"/>
              </w:rPr>
              <w:t>i.v.</w:t>
            </w:r>
            <w:r w:rsidR="00A563DB" w:rsidRPr="004C2A59">
              <w:rPr>
                <w:color w:val="000000"/>
              </w:rPr>
              <w:t>): dag</w:t>
            </w:r>
            <w:r w:rsidRPr="004C2A59">
              <w:rPr>
                <w:color w:val="000000"/>
              </w:rPr>
              <w:t> 3</w:t>
            </w:r>
            <w:r w:rsidR="00A563DB" w:rsidRPr="004C2A59">
              <w:rPr>
                <w:color w:val="000000"/>
              </w:rPr>
              <w:t> og</w:t>
            </w:r>
            <w:r w:rsidRPr="004C2A59">
              <w:rPr>
                <w:color w:val="000000"/>
              </w:rPr>
              <w:t xml:space="preserve"> 4</w:t>
            </w:r>
          </w:p>
          <w:p w14:paraId="6E92AF1F" w14:textId="77777777" w:rsidR="007A71CD" w:rsidRPr="00F852D1" w:rsidRDefault="007A71CD" w:rsidP="00421681">
            <w:pPr>
              <w:pStyle w:val="EndnoteText"/>
              <w:rPr>
                <w:color w:val="000000"/>
                <w:lang w:val="nb-NO"/>
              </w:rPr>
            </w:pPr>
            <w:r w:rsidRPr="00F852D1">
              <w:rPr>
                <w:color w:val="000000"/>
                <w:lang w:val="nb-NO"/>
              </w:rPr>
              <w:t>PEG-ASP (2</w:t>
            </w:r>
            <w:r w:rsidR="00891116" w:rsidRPr="00F852D1">
              <w:rPr>
                <w:color w:val="000000"/>
                <w:lang w:val="nb-NO"/>
              </w:rPr>
              <w:t>.</w:t>
            </w:r>
            <w:r w:rsidRPr="00F852D1">
              <w:rPr>
                <w:color w:val="000000"/>
                <w:lang w:val="nb-NO"/>
              </w:rPr>
              <w:t>500 I</w:t>
            </w:r>
            <w:r w:rsidR="00891116" w:rsidRPr="00F852D1">
              <w:rPr>
                <w:color w:val="000000"/>
                <w:lang w:val="nb-NO"/>
              </w:rPr>
              <w:t>E</w:t>
            </w:r>
            <w:r w:rsidRPr="00F852D1">
              <w:rPr>
                <w:color w:val="000000"/>
                <w:lang w:val="nb-NO"/>
              </w:rPr>
              <w:t>/m</w:t>
            </w:r>
            <w:r w:rsidRPr="00F852D1">
              <w:rPr>
                <w:color w:val="000000"/>
                <w:vertAlign w:val="superscript"/>
                <w:lang w:val="nb-NO"/>
              </w:rPr>
              <w:t>2</w:t>
            </w:r>
            <w:r w:rsidR="00A563DB" w:rsidRPr="00F852D1">
              <w:rPr>
                <w:color w:val="000000"/>
                <w:lang w:val="nb-NO"/>
              </w:rPr>
              <w:t xml:space="preserve">, </w:t>
            </w:r>
            <w:r w:rsidR="00EC11D3" w:rsidRPr="00F852D1">
              <w:rPr>
                <w:color w:val="000000"/>
                <w:lang w:val="nb-NO"/>
              </w:rPr>
              <w:t>i.m.</w:t>
            </w:r>
            <w:r w:rsidR="00A563DB" w:rsidRPr="00F852D1">
              <w:rPr>
                <w:color w:val="000000"/>
                <w:lang w:val="nb-NO"/>
              </w:rPr>
              <w:t>): dag</w:t>
            </w:r>
            <w:r w:rsidRPr="00F852D1">
              <w:rPr>
                <w:color w:val="000000"/>
                <w:lang w:val="nb-NO"/>
              </w:rPr>
              <w:t> 4</w:t>
            </w:r>
          </w:p>
          <w:p w14:paraId="0C551F84" w14:textId="77777777" w:rsidR="007A71CD" w:rsidRPr="004C2A59" w:rsidRDefault="007A71CD" w:rsidP="00421681">
            <w:pPr>
              <w:pStyle w:val="EndnoteText"/>
              <w:rPr>
                <w:color w:val="000000"/>
              </w:rPr>
            </w:pPr>
            <w:r w:rsidRPr="004C2A59">
              <w:rPr>
                <w:color w:val="000000"/>
              </w:rPr>
              <w:t>G-CSF (5 μ</w:t>
            </w:r>
            <w:r w:rsidR="00A563DB" w:rsidRPr="004C2A59">
              <w:rPr>
                <w:color w:val="000000"/>
              </w:rPr>
              <w:t xml:space="preserve">g/kg, </w:t>
            </w:r>
            <w:r w:rsidR="003A6475" w:rsidRPr="004C2A59">
              <w:rPr>
                <w:color w:val="000000"/>
              </w:rPr>
              <w:t>s.c.</w:t>
            </w:r>
            <w:r w:rsidR="00A563DB" w:rsidRPr="004C2A59">
              <w:rPr>
                <w:color w:val="000000"/>
              </w:rPr>
              <w:t>): dag</w:t>
            </w:r>
            <w:r w:rsidRPr="004C2A59">
              <w:rPr>
                <w:color w:val="000000"/>
              </w:rPr>
              <w:t> 5</w:t>
            </w:r>
            <w:r w:rsidRPr="004C2A59">
              <w:rPr>
                <w:color w:val="000000"/>
              </w:rPr>
              <w:noBreakHyphen/>
              <w:t>14</w:t>
            </w:r>
            <w:r w:rsidR="00891116" w:rsidRPr="004C2A59">
              <w:rPr>
                <w:color w:val="000000"/>
              </w:rPr>
              <w:t>,</w:t>
            </w:r>
            <w:r w:rsidRPr="004C2A59">
              <w:rPr>
                <w:color w:val="000000"/>
              </w:rPr>
              <w:t xml:space="preserve"> </w:t>
            </w:r>
            <w:r w:rsidR="00A563DB" w:rsidRPr="004C2A59">
              <w:rPr>
                <w:color w:val="000000"/>
              </w:rPr>
              <w:t>eller indtil</w:t>
            </w:r>
            <w:r w:rsidRPr="004C2A59">
              <w:rPr>
                <w:color w:val="000000"/>
              </w:rPr>
              <w:t xml:space="preserve"> ANC &gt;1500 post nadir</w:t>
            </w:r>
          </w:p>
          <w:p w14:paraId="38A6CA1E" w14:textId="77777777" w:rsidR="007A71CD" w:rsidRPr="004C2A59" w:rsidRDefault="00A563DB" w:rsidP="00421681">
            <w:pPr>
              <w:pStyle w:val="EndnoteText"/>
              <w:rPr>
                <w:color w:val="000000"/>
              </w:rPr>
            </w:pPr>
            <w:r w:rsidRPr="004C2A59">
              <w:rPr>
                <w:color w:val="000000"/>
              </w:rPr>
              <w:t>Tredobbelt</w:t>
            </w:r>
            <w:r w:rsidR="007A71CD" w:rsidRPr="004C2A59">
              <w:rPr>
                <w:color w:val="000000"/>
              </w:rPr>
              <w:t xml:space="preserve"> </w:t>
            </w:r>
            <w:r w:rsidR="00676589" w:rsidRPr="004C2A59">
              <w:rPr>
                <w:color w:val="000000"/>
              </w:rPr>
              <w:t>i.t.-</w:t>
            </w:r>
            <w:r w:rsidRPr="004C2A59">
              <w:rPr>
                <w:color w:val="000000"/>
              </w:rPr>
              <w:t>terapi</w:t>
            </w:r>
            <w:r w:rsidR="007A71CD" w:rsidRPr="004C2A59">
              <w:rPr>
                <w:color w:val="000000"/>
              </w:rPr>
              <w:t xml:space="preserve"> (</w:t>
            </w:r>
            <w:r w:rsidRPr="004C2A59">
              <w:rPr>
                <w:color w:val="000000"/>
              </w:rPr>
              <w:t>aldersjusteret</w:t>
            </w:r>
            <w:r w:rsidR="007A71CD" w:rsidRPr="004C2A59">
              <w:rPr>
                <w:color w:val="000000"/>
              </w:rPr>
              <w:t>): da</w:t>
            </w:r>
            <w:r w:rsidRPr="004C2A59">
              <w:rPr>
                <w:color w:val="000000"/>
              </w:rPr>
              <w:t>g</w:t>
            </w:r>
            <w:r w:rsidR="007A71CD" w:rsidRPr="004C2A59">
              <w:rPr>
                <w:color w:val="000000"/>
              </w:rPr>
              <w:t xml:space="preserve"> 1 </w:t>
            </w:r>
            <w:r w:rsidRPr="004C2A59">
              <w:rPr>
                <w:color w:val="000000"/>
              </w:rPr>
              <w:t>og</w:t>
            </w:r>
            <w:r w:rsidR="007A71CD" w:rsidRPr="004C2A59">
              <w:rPr>
                <w:color w:val="000000"/>
              </w:rPr>
              <w:t xml:space="preserve"> 15</w:t>
            </w:r>
          </w:p>
          <w:p w14:paraId="71A4BF75" w14:textId="77777777" w:rsidR="007A71CD" w:rsidRPr="004C2A59" w:rsidRDefault="007A71CD" w:rsidP="00421681">
            <w:pPr>
              <w:pStyle w:val="EndnoteText"/>
              <w:rPr>
                <w:color w:val="000000"/>
              </w:rPr>
            </w:pPr>
            <w:r w:rsidRPr="004C2A59">
              <w:rPr>
                <w:color w:val="000000"/>
              </w:rPr>
              <w:t>DEX (6 mg/m</w:t>
            </w:r>
            <w:r w:rsidRPr="004C2A59">
              <w:rPr>
                <w:color w:val="000000"/>
                <w:vertAlign w:val="superscript"/>
              </w:rPr>
              <w:t>2</w:t>
            </w:r>
            <w:r w:rsidR="00A563DB" w:rsidRPr="004C2A59">
              <w:rPr>
                <w:color w:val="000000"/>
              </w:rPr>
              <w:t>/dag,</w:t>
            </w:r>
            <w:r w:rsidR="00676589" w:rsidRPr="004C2A59">
              <w:rPr>
                <w:color w:val="000000"/>
              </w:rPr>
              <w:t>p.o.</w:t>
            </w:r>
            <w:r w:rsidR="00A563DB" w:rsidRPr="004C2A59">
              <w:rPr>
                <w:color w:val="000000"/>
              </w:rPr>
              <w:t>): dag 1</w:t>
            </w:r>
            <w:r w:rsidR="00A563DB" w:rsidRPr="004C2A59">
              <w:rPr>
                <w:color w:val="000000"/>
              </w:rPr>
              <w:noBreakHyphen/>
              <w:t>7 og</w:t>
            </w:r>
            <w:r w:rsidRPr="004C2A59">
              <w:rPr>
                <w:color w:val="000000"/>
              </w:rPr>
              <w:t xml:space="preserve"> 15</w:t>
            </w:r>
            <w:r w:rsidRPr="004C2A59">
              <w:rPr>
                <w:color w:val="000000"/>
              </w:rPr>
              <w:noBreakHyphen/>
              <w:t>21</w:t>
            </w:r>
          </w:p>
        </w:tc>
      </w:tr>
      <w:tr w:rsidR="007A71CD" w:rsidRPr="00DA2798" w14:paraId="02E04B6B" w14:textId="77777777" w:rsidTr="00A125B0">
        <w:trPr>
          <w:cantSplit/>
        </w:trPr>
        <w:tc>
          <w:tcPr>
            <w:tcW w:w="2357" w:type="dxa"/>
            <w:shd w:val="clear" w:color="auto" w:fill="auto"/>
          </w:tcPr>
          <w:p w14:paraId="555FC374" w14:textId="77777777" w:rsidR="00854853" w:rsidRPr="004C2A59" w:rsidRDefault="00A563DB" w:rsidP="00421681">
            <w:pPr>
              <w:pStyle w:val="EndnoteText"/>
              <w:rPr>
                <w:color w:val="000000"/>
              </w:rPr>
            </w:pPr>
            <w:r w:rsidRPr="004C2A59">
              <w:rPr>
                <w:color w:val="000000"/>
              </w:rPr>
              <w:t xml:space="preserve">Intensivering </w:t>
            </w:r>
            <w:r w:rsidR="00854853" w:rsidRPr="004C2A59">
              <w:rPr>
                <w:color w:val="000000"/>
              </w:rPr>
              <w:t>blok 1</w:t>
            </w:r>
          </w:p>
          <w:p w14:paraId="55DA25EF" w14:textId="77777777" w:rsidR="007A71CD" w:rsidRPr="004C2A59" w:rsidRDefault="007A71CD" w:rsidP="00421681">
            <w:pPr>
              <w:pStyle w:val="EndnoteText"/>
              <w:rPr>
                <w:color w:val="000000"/>
              </w:rPr>
            </w:pPr>
            <w:r w:rsidRPr="004C2A59">
              <w:rPr>
                <w:color w:val="000000"/>
              </w:rPr>
              <w:t>(9 </w:t>
            </w:r>
            <w:r w:rsidR="00A563DB" w:rsidRPr="004C2A59">
              <w:rPr>
                <w:color w:val="000000"/>
              </w:rPr>
              <w:t>uger</w:t>
            </w:r>
            <w:r w:rsidRPr="004C2A59">
              <w:rPr>
                <w:color w:val="000000"/>
              </w:rPr>
              <w:t>)</w:t>
            </w:r>
          </w:p>
        </w:tc>
        <w:tc>
          <w:tcPr>
            <w:tcW w:w="6924" w:type="dxa"/>
            <w:shd w:val="clear" w:color="auto" w:fill="auto"/>
          </w:tcPr>
          <w:p w14:paraId="2CEE3823" w14:textId="77777777" w:rsidR="007A71CD" w:rsidRPr="004C2A59" w:rsidRDefault="00717B89" w:rsidP="00421681">
            <w:pPr>
              <w:pStyle w:val="EndnoteText"/>
              <w:rPr>
                <w:color w:val="000000"/>
              </w:rPr>
            </w:pPr>
            <w:r w:rsidRPr="004C2A59">
              <w:rPr>
                <w:color w:val="000000"/>
              </w:rPr>
              <w:t>Methotrexat</w:t>
            </w:r>
            <w:r w:rsidR="007A71CD" w:rsidRPr="004C2A59">
              <w:rPr>
                <w:color w:val="000000"/>
              </w:rPr>
              <w:t xml:space="preserve"> (5 g/m</w:t>
            </w:r>
            <w:r w:rsidR="007A71CD" w:rsidRPr="004C2A59">
              <w:rPr>
                <w:color w:val="000000"/>
                <w:vertAlign w:val="superscript"/>
              </w:rPr>
              <w:t>2</w:t>
            </w:r>
            <w:r w:rsidR="000249FB" w:rsidRPr="004C2A59">
              <w:rPr>
                <w:color w:val="000000"/>
              </w:rPr>
              <w:t xml:space="preserve"> over 24 timer, </w:t>
            </w:r>
            <w:r w:rsidR="00676589" w:rsidRPr="004C2A59">
              <w:rPr>
                <w:color w:val="000000"/>
              </w:rPr>
              <w:t>i.v.</w:t>
            </w:r>
            <w:r w:rsidR="000249FB" w:rsidRPr="004C2A59">
              <w:rPr>
                <w:color w:val="000000"/>
              </w:rPr>
              <w:t>): dag 1 og</w:t>
            </w:r>
            <w:r w:rsidR="007A71CD" w:rsidRPr="004C2A59">
              <w:rPr>
                <w:color w:val="000000"/>
              </w:rPr>
              <w:t xml:space="preserve"> 15</w:t>
            </w:r>
          </w:p>
          <w:p w14:paraId="49EC6949" w14:textId="77777777" w:rsidR="007A71CD" w:rsidRPr="004C2A59" w:rsidRDefault="007A71CD" w:rsidP="00421681">
            <w:pPr>
              <w:pStyle w:val="EndnoteText"/>
              <w:rPr>
                <w:color w:val="000000"/>
              </w:rPr>
            </w:pPr>
            <w:r w:rsidRPr="004C2A59">
              <w:rPr>
                <w:color w:val="000000"/>
              </w:rPr>
              <w:t>Leucovorin (75 mg/m</w:t>
            </w:r>
            <w:r w:rsidRPr="004C2A59">
              <w:rPr>
                <w:color w:val="000000"/>
                <w:vertAlign w:val="superscript"/>
              </w:rPr>
              <w:t>2</w:t>
            </w:r>
            <w:r w:rsidR="000249FB" w:rsidRPr="004C2A59">
              <w:rPr>
                <w:color w:val="000000"/>
              </w:rPr>
              <w:t xml:space="preserve"> i time</w:t>
            </w:r>
            <w:r w:rsidRPr="004C2A59">
              <w:rPr>
                <w:color w:val="000000"/>
              </w:rPr>
              <w:t xml:space="preserve"> 36, </w:t>
            </w:r>
            <w:r w:rsidR="00676589" w:rsidRPr="004C2A59">
              <w:rPr>
                <w:color w:val="000000"/>
              </w:rPr>
              <w:t>i.v.</w:t>
            </w:r>
            <w:r w:rsidRPr="004C2A59">
              <w:rPr>
                <w:color w:val="000000"/>
              </w:rPr>
              <w:t>; 15 mg/m</w:t>
            </w:r>
            <w:r w:rsidRPr="004C2A59">
              <w:rPr>
                <w:color w:val="000000"/>
                <w:vertAlign w:val="superscript"/>
              </w:rPr>
              <w:t>2</w:t>
            </w:r>
            <w:r w:rsidR="000249FB" w:rsidRPr="004C2A59">
              <w:rPr>
                <w:color w:val="000000"/>
              </w:rPr>
              <w:t xml:space="preserve"> </w:t>
            </w:r>
            <w:r w:rsidR="00676589" w:rsidRPr="004C2A59">
              <w:rPr>
                <w:color w:val="000000"/>
              </w:rPr>
              <w:t>i.v.</w:t>
            </w:r>
            <w:r w:rsidR="000249FB" w:rsidRPr="004C2A59">
              <w:rPr>
                <w:color w:val="000000"/>
              </w:rPr>
              <w:t xml:space="preserve"> eller</w:t>
            </w:r>
            <w:r w:rsidR="00676589" w:rsidRPr="004C2A59">
              <w:rPr>
                <w:color w:val="000000"/>
              </w:rPr>
              <w:t xml:space="preserve"> p.o.</w:t>
            </w:r>
            <w:r w:rsidR="000249FB" w:rsidRPr="004C2A59">
              <w:rPr>
                <w:color w:val="000000"/>
              </w:rPr>
              <w:t xml:space="preserve"> q6h x 6 doser)iii: </w:t>
            </w:r>
            <w:r w:rsidR="007A1207" w:rsidRPr="004C2A59">
              <w:rPr>
                <w:color w:val="000000"/>
              </w:rPr>
              <w:t>d</w:t>
            </w:r>
            <w:r w:rsidR="000249FB" w:rsidRPr="004C2A59">
              <w:rPr>
                <w:color w:val="000000"/>
              </w:rPr>
              <w:t>ag</w:t>
            </w:r>
            <w:r w:rsidRPr="004C2A59">
              <w:rPr>
                <w:color w:val="000000"/>
              </w:rPr>
              <w:t xml:space="preserve"> 2, 3, 16, </w:t>
            </w:r>
            <w:r w:rsidR="000249FB" w:rsidRPr="004C2A59">
              <w:rPr>
                <w:color w:val="000000"/>
              </w:rPr>
              <w:t>og</w:t>
            </w:r>
            <w:r w:rsidRPr="004C2A59">
              <w:rPr>
                <w:color w:val="000000"/>
              </w:rPr>
              <w:t xml:space="preserve"> 17</w:t>
            </w:r>
          </w:p>
          <w:p w14:paraId="0D8FF5CE" w14:textId="77777777" w:rsidR="007A71CD" w:rsidRPr="004C2A59" w:rsidRDefault="000249FB" w:rsidP="00421681">
            <w:pPr>
              <w:pStyle w:val="EndnoteText"/>
              <w:rPr>
                <w:color w:val="000000"/>
              </w:rPr>
            </w:pPr>
            <w:r w:rsidRPr="004C2A59">
              <w:rPr>
                <w:color w:val="000000"/>
              </w:rPr>
              <w:t>Tredobbelt</w:t>
            </w:r>
            <w:r w:rsidR="007A71CD" w:rsidRPr="004C2A59">
              <w:rPr>
                <w:color w:val="000000"/>
              </w:rPr>
              <w:t xml:space="preserve"> </w:t>
            </w:r>
            <w:r w:rsidR="00B83F0D" w:rsidRPr="004C2A59">
              <w:rPr>
                <w:color w:val="000000"/>
              </w:rPr>
              <w:t>i.t.-</w:t>
            </w:r>
            <w:r w:rsidRPr="004C2A59">
              <w:rPr>
                <w:color w:val="000000"/>
              </w:rPr>
              <w:t>terapi</w:t>
            </w:r>
            <w:r w:rsidR="007A71CD" w:rsidRPr="004C2A59">
              <w:rPr>
                <w:color w:val="000000"/>
              </w:rPr>
              <w:t xml:space="preserve"> (</w:t>
            </w:r>
            <w:r w:rsidRPr="004C2A59">
              <w:rPr>
                <w:color w:val="000000"/>
              </w:rPr>
              <w:t>aldersjusteret</w:t>
            </w:r>
            <w:r w:rsidR="007A71CD" w:rsidRPr="004C2A59">
              <w:rPr>
                <w:color w:val="000000"/>
              </w:rPr>
              <w:t>): da</w:t>
            </w:r>
            <w:r w:rsidRPr="004C2A59">
              <w:rPr>
                <w:color w:val="000000"/>
              </w:rPr>
              <w:t>g</w:t>
            </w:r>
            <w:r w:rsidR="007A71CD" w:rsidRPr="004C2A59">
              <w:rPr>
                <w:color w:val="000000"/>
              </w:rPr>
              <w:t xml:space="preserve"> 1 </w:t>
            </w:r>
            <w:r w:rsidRPr="004C2A59">
              <w:rPr>
                <w:color w:val="000000"/>
              </w:rPr>
              <w:t>og</w:t>
            </w:r>
            <w:r w:rsidR="007A71CD" w:rsidRPr="004C2A59">
              <w:rPr>
                <w:color w:val="000000"/>
              </w:rPr>
              <w:t xml:space="preserve"> 22</w:t>
            </w:r>
          </w:p>
          <w:p w14:paraId="66D5A2F8" w14:textId="77777777" w:rsidR="007A71CD" w:rsidRPr="004C2A59" w:rsidRDefault="007A71CD" w:rsidP="00421681">
            <w:pPr>
              <w:pStyle w:val="EndnoteText"/>
              <w:rPr>
                <w:color w:val="000000"/>
              </w:rPr>
            </w:pPr>
            <w:r w:rsidRPr="004C2A59">
              <w:rPr>
                <w:color w:val="000000"/>
              </w:rPr>
              <w:t>VP-16 (100 mg/m</w:t>
            </w:r>
            <w:r w:rsidRPr="004C2A59">
              <w:rPr>
                <w:color w:val="000000"/>
                <w:vertAlign w:val="superscript"/>
              </w:rPr>
              <w:t>2</w:t>
            </w:r>
            <w:r w:rsidR="000249FB" w:rsidRPr="004C2A59">
              <w:rPr>
                <w:color w:val="000000"/>
              </w:rPr>
              <w:t xml:space="preserve">/dag, </w:t>
            </w:r>
            <w:r w:rsidR="00676589" w:rsidRPr="004C2A59">
              <w:rPr>
                <w:color w:val="000000"/>
              </w:rPr>
              <w:t>i.v.</w:t>
            </w:r>
            <w:r w:rsidR="000249FB" w:rsidRPr="004C2A59">
              <w:rPr>
                <w:color w:val="000000"/>
              </w:rPr>
              <w:t>): dag</w:t>
            </w:r>
            <w:r w:rsidRPr="004C2A59">
              <w:rPr>
                <w:color w:val="000000"/>
              </w:rPr>
              <w:t> 22</w:t>
            </w:r>
            <w:r w:rsidRPr="004C2A59">
              <w:rPr>
                <w:color w:val="000000"/>
              </w:rPr>
              <w:noBreakHyphen/>
              <w:t>26</w:t>
            </w:r>
          </w:p>
          <w:p w14:paraId="2CD9FAB5" w14:textId="77777777" w:rsidR="007A71CD" w:rsidRPr="004C2A59" w:rsidRDefault="007A71CD" w:rsidP="00421681">
            <w:pPr>
              <w:pStyle w:val="EndnoteText"/>
              <w:rPr>
                <w:color w:val="000000"/>
              </w:rPr>
            </w:pPr>
            <w:r w:rsidRPr="004C2A59">
              <w:rPr>
                <w:color w:val="000000"/>
              </w:rPr>
              <w:t>CPM (300 mg/m</w:t>
            </w:r>
            <w:r w:rsidRPr="004C2A59">
              <w:rPr>
                <w:color w:val="000000"/>
                <w:vertAlign w:val="superscript"/>
              </w:rPr>
              <w:t>2</w:t>
            </w:r>
            <w:r w:rsidR="000249FB" w:rsidRPr="004C2A59">
              <w:rPr>
                <w:color w:val="000000"/>
              </w:rPr>
              <w:t xml:space="preserve">/dag, </w:t>
            </w:r>
            <w:r w:rsidR="00676589" w:rsidRPr="004C2A59">
              <w:rPr>
                <w:color w:val="000000"/>
              </w:rPr>
              <w:t>i.v.</w:t>
            </w:r>
            <w:r w:rsidR="000249FB" w:rsidRPr="004C2A59">
              <w:rPr>
                <w:color w:val="000000"/>
              </w:rPr>
              <w:t>): dag</w:t>
            </w:r>
            <w:r w:rsidRPr="004C2A59">
              <w:rPr>
                <w:color w:val="000000"/>
              </w:rPr>
              <w:t> 22</w:t>
            </w:r>
            <w:r w:rsidRPr="004C2A59">
              <w:rPr>
                <w:color w:val="000000"/>
              </w:rPr>
              <w:noBreakHyphen/>
              <w:t>26</w:t>
            </w:r>
          </w:p>
          <w:p w14:paraId="4173B9D6" w14:textId="77777777" w:rsidR="007A71CD" w:rsidRPr="004C2A59" w:rsidRDefault="007A71CD" w:rsidP="00421681">
            <w:pPr>
              <w:pStyle w:val="EndnoteText"/>
              <w:rPr>
                <w:color w:val="000000"/>
              </w:rPr>
            </w:pPr>
            <w:r w:rsidRPr="004C2A59">
              <w:rPr>
                <w:color w:val="000000"/>
              </w:rPr>
              <w:t>MESNA (150 mg/m</w:t>
            </w:r>
            <w:r w:rsidRPr="004C2A59">
              <w:rPr>
                <w:color w:val="000000"/>
                <w:vertAlign w:val="superscript"/>
              </w:rPr>
              <w:t>2</w:t>
            </w:r>
            <w:r w:rsidR="000249FB" w:rsidRPr="004C2A59">
              <w:rPr>
                <w:color w:val="000000"/>
              </w:rPr>
              <w:t xml:space="preserve">/dag, </w:t>
            </w:r>
            <w:r w:rsidR="00676589" w:rsidRPr="004C2A59">
              <w:rPr>
                <w:color w:val="000000"/>
              </w:rPr>
              <w:t>i.v.</w:t>
            </w:r>
            <w:r w:rsidR="000249FB" w:rsidRPr="004C2A59">
              <w:rPr>
                <w:color w:val="000000"/>
              </w:rPr>
              <w:t>): dag</w:t>
            </w:r>
            <w:r w:rsidRPr="004C2A59">
              <w:rPr>
                <w:color w:val="000000"/>
              </w:rPr>
              <w:t> 22</w:t>
            </w:r>
            <w:r w:rsidRPr="004C2A59">
              <w:rPr>
                <w:color w:val="000000"/>
              </w:rPr>
              <w:noBreakHyphen/>
              <w:t>26</w:t>
            </w:r>
          </w:p>
          <w:p w14:paraId="0FAD168B" w14:textId="77777777" w:rsidR="007A71CD" w:rsidRPr="004C2A59" w:rsidRDefault="007A71CD" w:rsidP="00421681">
            <w:pPr>
              <w:pStyle w:val="EndnoteText"/>
              <w:rPr>
                <w:color w:val="000000"/>
              </w:rPr>
            </w:pPr>
            <w:r w:rsidRPr="004C2A59">
              <w:rPr>
                <w:color w:val="000000"/>
              </w:rPr>
              <w:t>G-CSF (5 μ</w:t>
            </w:r>
            <w:r w:rsidR="006D7C83" w:rsidRPr="004C2A59">
              <w:rPr>
                <w:color w:val="000000"/>
              </w:rPr>
              <w:t xml:space="preserve">g/kg, </w:t>
            </w:r>
            <w:r w:rsidR="003A6475" w:rsidRPr="004C2A59">
              <w:rPr>
                <w:color w:val="000000"/>
              </w:rPr>
              <w:t>s.c.</w:t>
            </w:r>
            <w:r w:rsidR="006D7C83" w:rsidRPr="004C2A59">
              <w:rPr>
                <w:color w:val="000000"/>
              </w:rPr>
              <w:t>): dag</w:t>
            </w:r>
            <w:r w:rsidRPr="004C2A59">
              <w:rPr>
                <w:color w:val="000000"/>
              </w:rPr>
              <w:t> 27-36</w:t>
            </w:r>
            <w:r w:rsidR="00891116" w:rsidRPr="004C2A59">
              <w:rPr>
                <w:color w:val="000000"/>
              </w:rPr>
              <w:t>,</w:t>
            </w:r>
            <w:r w:rsidRPr="004C2A59">
              <w:rPr>
                <w:color w:val="000000"/>
              </w:rPr>
              <w:t xml:space="preserve"> </w:t>
            </w:r>
            <w:r w:rsidR="006D7C83" w:rsidRPr="004C2A59">
              <w:rPr>
                <w:color w:val="000000"/>
              </w:rPr>
              <w:t>eller indtil</w:t>
            </w:r>
            <w:r w:rsidRPr="004C2A59">
              <w:rPr>
                <w:color w:val="000000"/>
              </w:rPr>
              <w:t xml:space="preserve"> ANC &gt;1500 post nadir</w:t>
            </w:r>
          </w:p>
          <w:p w14:paraId="7E469720" w14:textId="77777777" w:rsidR="007A71CD" w:rsidRPr="00F852D1" w:rsidRDefault="007A71CD" w:rsidP="00421681">
            <w:pPr>
              <w:pStyle w:val="EndnoteText"/>
              <w:rPr>
                <w:color w:val="000000"/>
                <w:lang w:val="pt-PT"/>
              </w:rPr>
            </w:pPr>
            <w:r w:rsidRPr="00F852D1">
              <w:rPr>
                <w:color w:val="000000"/>
                <w:lang w:val="pt-PT"/>
              </w:rPr>
              <w:t>ARA-C (3 g/m</w:t>
            </w:r>
            <w:r w:rsidRPr="00F852D1">
              <w:rPr>
                <w:color w:val="000000"/>
                <w:vertAlign w:val="superscript"/>
                <w:lang w:val="pt-PT"/>
              </w:rPr>
              <w:t>2</w:t>
            </w:r>
            <w:r w:rsidR="000249FB" w:rsidRPr="00F852D1">
              <w:rPr>
                <w:color w:val="000000"/>
                <w:lang w:val="pt-PT"/>
              </w:rPr>
              <w:t xml:space="preserve">, q12h, </w:t>
            </w:r>
            <w:r w:rsidR="00676589" w:rsidRPr="00F852D1">
              <w:rPr>
                <w:color w:val="000000"/>
                <w:lang w:val="pt-PT"/>
              </w:rPr>
              <w:t>i.v.</w:t>
            </w:r>
            <w:r w:rsidR="000249FB" w:rsidRPr="00F852D1">
              <w:rPr>
                <w:color w:val="000000"/>
                <w:lang w:val="pt-PT"/>
              </w:rPr>
              <w:t>): dag</w:t>
            </w:r>
            <w:r w:rsidRPr="00F852D1">
              <w:rPr>
                <w:color w:val="000000"/>
                <w:lang w:val="pt-PT"/>
              </w:rPr>
              <w:t> 43, 44</w:t>
            </w:r>
          </w:p>
          <w:p w14:paraId="7520B583" w14:textId="77777777" w:rsidR="007A71CD" w:rsidRPr="004C2A59" w:rsidRDefault="007A71CD" w:rsidP="00421681">
            <w:pPr>
              <w:pStyle w:val="EndnoteText"/>
              <w:rPr>
                <w:color w:val="000000"/>
              </w:rPr>
            </w:pPr>
            <w:r w:rsidRPr="004C2A59">
              <w:rPr>
                <w:color w:val="000000"/>
              </w:rPr>
              <w:t>L-ASP (6</w:t>
            </w:r>
            <w:r w:rsidR="00891116" w:rsidRPr="004C2A59">
              <w:rPr>
                <w:color w:val="000000"/>
              </w:rPr>
              <w:t>.</w:t>
            </w:r>
            <w:r w:rsidRPr="004C2A59">
              <w:rPr>
                <w:color w:val="000000"/>
              </w:rPr>
              <w:t>000 I</w:t>
            </w:r>
            <w:r w:rsidR="00676589" w:rsidRPr="004C2A59">
              <w:rPr>
                <w:color w:val="000000"/>
              </w:rPr>
              <w:t>E</w:t>
            </w:r>
            <w:r w:rsidRPr="004C2A59">
              <w:rPr>
                <w:color w:val="000000"/>
              </w:rPr>
              <w:t>/m</w:t>
            </w:r>
            <w:r w:rsidRPr="004C2A59">
              <w:rPr>
                <w:color w:val="000000"/>
                <w:vertAlign w:val="superscript"/>
              </w:rPr>
              <w:t>2</w:t>
            </w:r>
            <w:r w:rsidR="000249FB" w:rsidRPr="004C2A59">
              <w:rPr>
                <w:color w:val="000000"/>
              </w:rPr>
              <w:t>,</w:t>
            </w:r>
            <w:r w:rsidR="00A951AE" w:rsidRPr="004C2A59">
              <w:rPr>
                <w:color w:val="000000"/>
              </w:rPr>
              <w:t xml:space="preserve"> i.m.</w:t>
            </w:r>
            <w:r w:rsidR="000249FB" w:rsidRPr="004C2A59">
              <w:rPr>
                <w:color w:val="000000"/>
              </w:rPr>
              <w:t>): dag</w:t>
            </w:r>
            <w:r w:rsidRPr="004C2A59">
              <w:rPr>
                <w:color w:val="000000"/>
              </w:rPr>
              <w:t> 44</w:t>
            </w:r>
          </w:p>
        </w:tc>
      </w:tr>
      <w:tr w:rsidR="007A71CD" w:rsidRPr="00DA2798" w14:paraId="040B078D" w14:textId="77777777" w:rsidTr="00A125B0">
        <w:trPr>
          <w:cantSplit/>
        </w:trPr>
        <w:tc>
          <w:tcPr>
            <w:tcW w:w="2357" w:type="dxa"/>
            <w:shd w:val="clear" w:color="auto" w:fill="auto"/>
          </w:tcPr>
          <w:p w14:paraId="71B9FFD7" w14:textId="77777777" w:rsidR="007A71CD" w:rsidRPr="004C2A59" w:rsidRDefault="00854853" w:rsidP="00421681">
            <w:pPr>
              <w:pStyle w:val="EndnoteText"/>
              <w:rPr>
                <w:color w:val="000000"/>
              </w:rPr>
            </w:pPr>
            <w:r w:rsidRPr="004C2A59">
              <w:rPr>
                <w:color w:val="000000"/>
              </w:rPr>
              <w:t>Reinduktion blok 2</w:t>
            </w:r>
          </w:p>
          <w:p w14:paraId="0798CF40" w14:textId="77777777" w:rsidR="007A71CD" w:rsidRPr="004C2A59" w:rsidRDefault="007A71CD" w:rsidP="00421681">
            <w:pPr>
              <w:pStyle w:val="EndnoteText"/>
              <w:rPr>
                <w:color w:val="000000"/>
              </w:rPr>
            </w:pPr>
            <w:r w:rsidRPr="004C2A59">
              <w:rPr>
                <w:color w:val="000000"/>
              </w:rPr>
              <w:t>(3 </w:t>
            </w:r>
            <w:r w:rsidR="00854853" w:rsidRPr="004C2A59">
              <w:rPr>
                <w:color w:val="000000"/>
              </w:rPr>
              <w:t>uger</w:t>
            </w:r>
            <w:r w:rsidRPr="004C2A59">
              <w:rPr>
                <w:color w:val="000000"/>
              </w:rPr>
              <w:t>)</w:t>
            </w:r>
          </w:p>
        </w:tc>
        <w:tc>
          <w:tcPr>
            <w:tcW w:w="6924" w:type="dxa"/>
            <w:shd w:val="clear" w:color="auto" w:fill="auto"/>
          </w:tcPr>
          <w:p w14:paraId="0C538346" w14:textId="77777777" w:rsidR="007A71CD" w:rsidRPr="004C2A59" w:rsidRDefault="000249FB" w:rsidP="00421681">
            <w:pPr>
              <w:pStyle w:val="EndnoteText"/>
              <w:rPr>
                <w:color w:val="000000"/>
              </w:rPr>
            </w:pPr>
            <w:r w:rsidRPr="004C2A59">
              <w:rPr>
                <w:color w:val="000000"/>
              </w:rPr>
              <w:t>VCR (1,</w:t>
            </w:r>
            <w:r w:rsidR="007A71CD" w:rsidRPr="004C2A59">
              <w:rPr>
                <w:color w:val="000000"/>
              </w:rPr>
              <w:t>5 mg/m</w:t>
            </w:r>
            <w:r w:rsidR="007A71CD" w:rsidRPr="004C2A59">
              <w:rPr>
                <w:color w:val="000000"/>
                <w:vertAlign w:val="superscript"/>
              </w:rPr>
              <w:t>2</w:t>
            </w:r>
            <w:r w:rsidR="00854853" w:rsidRPr="004C2A59">
              <w:rPr>
                <w:color w:val="000000"/>
              </w:rPr>
              <w:t xml:space="preserve">/dag, </w:t>
            </w:r>
            <w:r w:rsidR="00676589" w:rsidRPr="004C2A59">
              <w:rPr>
                <w:color w:val="000000"/>
              </w:rPr>
              <w:t>i.v.</w:t>
            </w:r>
            <w:r w:rsidR="00854853" w:rsidRPr="004C2A59">
              <w:rPr>
                <w:color w:val="000000"/>
              </w:rPr>
              <w:t>): dag</w:t>
            </w:r>
            <w:r w:rsidR="007A71CD" w:rsidRPr="004C2A59">
              <w:rPr>
                <w:color w:val="000000"/>
              </w:rPr>
              <w:t xml:space="preserve"> 1, 8 </w:t>
            </w:r>
            <w:r w:rsidR="00854853" w:rsidRPr="004C2A59">
              <w:rPr>
                <w:color w:val="000000"/>
              </w:rPr>
              <w:t>og</w:t>
            </w:r>
            <w:r w:rsidR="007A71CD" w:rsidRPr="004C2A59">
              <w:rPr>
                <w:color w:val="000000"/>
              </w:rPr>
              <w:t xml:space="preserve"> 15</w:t>
            </w:r>
          </w:p>
          <w:p w14:paraId="7ADFD0AB" w14:textId="77777777" w:rsidR="007A71CD" w:rsidRPr="004C2A59" w:rsidRDefault="007A71CD" w:rsidP="00421681">
            <w:pPr>
              <w:pStyle w:val="EndnoteText"/>
              <w:rPr>
                <w:color w:val="000000"/>
              </w:rPr>
            </w:pPr>
            <w:r w:rsidRPr="004C2A59">
              <w:rPr>
                <w:color w:val="000000"/>
              </w:rPr>
              <w:t>DAUN (45 mg/m</w:t>
            </w:r>
            <w:r w:rsidRPr="004C2A59">
              <w:rPr>
                <w:color w:val="000000"/>
                <w:vertAlign w:val="superscript"/>
              </w:rPr>
              <w:t>2</w:t>
            </w:r>
            <w:r w:rsidR="00854853" w:rsidRPr="004C2A59">
              <w:rPr>
                <w:color w:val="000000"/>
              </w:rPr>
              <w:t xml:space="preserve">/dag bolus, </w:t>
            </w:r>
            <w:r w:rsidR="00676589" w:rsidRPr="004C2A59">
              <w:rPr>
                <w:color w:val="000000"/>
              </w:rPr>
              <w:t>i.v.</w:t>
            </w:r>
            <w:r w:rsidR="00854853" w:rsidRPr="004C2A59">
              <w:rPr>
                <w:color w:val="000000"/>
              </w:rPr>
              <w:t>): dag</w:t>
            </w:r>
            <w:r w:rsidRPr="004C2A59">
              <w:rPr>
                <w:color w:val="000000"/>
              </w:rPr>
              <w:t xml:space="preserve"> 1 </w:t>
            </w:r>
            <w:r w:rsidR="000249FB" w:rsidRPr="004C2A59">
              <w:rPr>
                <w:color w:val="000000"/>
              </w:rPr>
              <w:t xml:space="preserve">og </w:t>
            </w:r>
            <w:r w:rsidRPr="004C2A59">
              <w:rPr>
                <w:color w:val="000000"/>
              </w:rPr>
              <w:t>2</w:t>
            </w:r>
          </w:p>
          <w:p w14:paraId="775531D2" w14:textId="77777777" w:rsidR="007A71CD" w:rsidRPr="004C2A59" w:rsidRDefault="007A71CD" w:rsidP="00421681">
            <w:pPr>
              <w:pStyle w:val="EndnoteText"/>
              <w:rPr>
                <w:color w:val="000000"/>
              </w:rPr>
            </w:pPr>
            <w:r w:rsidRPr="004C2A59">
              <w:rPr>
                <w:color w:val="000000"/>
              </w:rPr>
              <w:t>CPM (250 mg/m</w:t>
            </w:r>
            <w:r w:rsidRPr="004C2A59">
              <w:rPr>
                <w:color w:val="000000"/>
                <w:vertAlign w:val="superscript"/>
              </w:rPr>
              <w:t>2</w:t>
            </w:r>
            <w:r w:rsidR="00854853" w:rsidRPr="004C2A59">
              <w:rPr>
                <w:color w:val="000000"/>
              </w:rPr>
              <w:t>/dosis q12h x 4 doser, i</w:t>
            </w:r>
            <w:r w:rsidR="00676589" w:rsidRPr="004C2A59">
              <w:rPr>
                <w:color w:val="000000"/>
              </w:rPr>
              <w:t>.</w:t>
            </w:r>
            <w:r w:rsidR="00854853" w:rsidRPr="004C2A59">
              <w:rPr>
                <w:color w:val="000000"/>
              </w:rPr>
              <w:t>v</w:t>
            </w:r>
            <w:r w:rsidR="00676589" w:rsidRPr="004C2A59">
              <w:rPr>
                <w:color w:val="000000"/>
              </w:rPr>
              <w:t>.</w:t>
            </w:r>
            <w:r w:rsidR="00854853" w:rsidRPr="004C2A59">
              <w:rPr>
                <w:color w:val="000000"/>
              </w:rPr>
              <w:t xml:space="preserve">): </w:t>
            </w:r>
            <w:r w:rsidR="007A1207" w:rsidRPr="004C2A59">
              <w:rPr>
                <w:color w:val="000000"/>
              </w:rPr>
              <w:t>d</w:t>
            </w:r>
            <w:r w:rsidR="00854853" w:rsidRPr="004C2A59">
              <w:rPr>
                <w:color w:val="000000"/>
              </w:rPr>
              <w:t>ag</w:t>
            </w:r>
            <w:r w:rsidRPr="004C2A59">
              <w:rPr>
                <w:color w:val="000000"/>
              </w:rPr>
              <w:t xml:space="preserve"> 3 </w:t>
            </w:r>
            <w:r w:rsidR="00854853" w:rsidRPr="004C2A59">
              <w:rPr>
                <w:color w:val="000000"/>
              </w:rPr>
              <w:t>og</w:t>
            </w:r>
            <w:r w:rsidRPr="004C2A59">
              <w:rPr>
                <w:color w:val="000000"/>
              </w:rPr>
              <w:t xml:space="preserve"> 4</w:t>
            </w:r>
          </w:p>
          <w:p w14:paraId="1A652F51" w14:textId="77777777" w:rsidR="007A71CD" w:rsidRPr="00F852D1" w:rsidRDefault="007A71CD" w:rsidP="00421681">
            <w:pPr>
              <w:pStyle w:val="EndnoteText"/>
              <w:rPr>
                <w:color w:val="000000"/>
                <w:lang w:val="nb-NO"/>
              </w:rPr>
            </w:pPr>
            <w:r w:rsidRPr="00F852D1">
              <w:rPr>
                <w:color w:val="000000"/>
                <w:lang w:val="nb-NO"/>
              </w:rPr>
              <w:t>PEG-ASP (2</w:t>
            </w:r>
            <w:r w:rsidR="00891116" w:rsidRPr="00F852D1">
              <w:rPr>
                <w:color w:val="000000"/>
                <w:lang w:val="nb-NO"/>
              </w:rPr>
              <w:t>.</w:t>
            </w:r>
            <w:r w:rsidRPr="00F852D1">
              <w:rPr>
                <w:color w:val="000000"/>
                <w:lang w:val="nb-NO"/>
              </w:rPr>
              <w:t>500 I</w:t>
            </w:r>
            <w:r w:rsidR="00676589" w:rsidRPr="00F852D1">
              <w:rPr>
                <w:color w:val="000000"/>
                <w:lang w:val="nb-NO"/>
              </w:rPr>
              <w:t>E</w:t>
            </w:r>
            <w:r w:rsidRPr="00F852D1">
              <w:rPr>
                <w:color w:val="000000"/>
                <w:lang w:val="nb-NO"/>
              </w:rPr>
              <w:t>/m</w:t>
            </w:r>
            <w:r w:rsidRPr="00F852D1">
              <w:rPr>
                <w:color w:val="000000"/>
                <w:vertAlign w:val="superscript"/>
                <w:lang w:val="nb-NO"/>
              </w:rPr>
              <w:t>2</w:t>
            </w:r>
            <w:r w:rsidR="00854853" w:rsidRPr="00F852D1">
              <w:rPr>
                <w:color w:val="000000"/>
                <w:lang w:val="nb-NO"/>
              </w:rPr>
              <w:t xml:space="preserve">, </w:t>
            </w:r>
            <w:r w:rsidR="00EC11D3" w:rsidRPr="00F852D1">
              <w:rPr>
                <w:color w:val="000000"/>
                <w:lang w:val="nb-NO"/>
              </w:rPr>
              <w:t>i.m.</w:t>
            </w:r>
            <w:r w:rsidR="00854853" w:rsidRPr="00F852D1">
              <w:rPr>
                <w:color w:val="000000"/>
                <w:lang w:val="nb-NO"/>
              </w:rPr>
              <w:t>): dag</w:t>
            </w:r>
            <w:r w:rsidRPr="00F852D1">
              <w:rPr>
                <w:color w:val="000000"/>
                <w:lang w:val="nb-NO"/>
              </w:rPr>
              <w:t> 4</w:t>
            </w:r>
          </w:p>
          <w:p w14:paraId="36D4EACD" w14:textId="77777777" w:rsidR="007A71CD" w:rsidRPr="004C2A59" w:rsidRDefault="007A71CD" w:rsidP="00421681">
            <w:pPr>
              <w:pStyle w:val="EndnoteText"/>
              <w:rPr>
                <w:color w:val="000000"/>
              </w:rPr>
            </w:pPr>
            <w:r w:rsidRPr="004C2A59">
              <w:rPr>
                <w:color w:val="000000"/>
              </w:rPr>
              <w:t>G-CSF (5 μ</w:t>
            </w:r>
            <w:r w:rsidR="00854853" w:rsidRPr="004C2A59">
              <w:rPr>
                <w:color w:val="000000"/>
              </w:rPr>
              <w:t xml:space="preserve">g/kg, </w:t>
            </w:r>
            <w:r w:rsidR="003A6475" w:rsidRPr="004C2A59">
              <w:rPr>
                <w:color w:val="000000"/>
              </w:rPr>
              <w:t>s.c.</w:t>
            </w:r>
            <w:r w:rsidR="00854853" w:rsidRPr="004C2A59">
              <w:rPr>
                <w:color w:val="000000"/>
              </w:rPr>
              <w:t>): dag</w:t>
            </w:r>
            <w:r w:rsidRPr="004C2A59">
              <w:rPr>
                <w:color w:val="000000"/>
              </w:rPr>
              <w:t> 5-14</w:t>
            </w:r>
            <w:r w:rsidR="00891116" w:rsidRPr="004C2A59">
              <w:rPr>
                <w:color w:val="000000"/>
              </w:rPr>
              <w:t>,</w:t>
            </w:r>
            <w:r w:rsidRPr="004C2A59">
              <w:rPr>
                <w:color w:val="000000"/>
              </w:rPr>
              <w:t xml:space="preserve"> </w:t>
            </w:r>
            <w:r w:rsidR="00854853" w:rsidRPr="004C2A59">
              <w:rPr>
                <w:color w:val="000000"/>
              </w:rPr>
              <w:t>eller indtil</w:t>
            </w:r>
            <w:r w:rsidRPr="004C2A59">
              <w:rPr>
                <w:color w:val="000000"/>
              </w:rPr>
              <w:t xml:space="preserve"> ANC &gt;1500 post nadir</w:t>
            </w:r>
          </w:p>
          <w:p w14:paraId="2140930A" w14:textId="77777777" w:rsidR="007A71CD" w:rsidRPr="004C2A59" w:rsidRDefault="00854853" w:rsidP="00421681">
            <w:pPr>
              <w:pStyle w:val="EndnoteText"/>
              <w:rPr>
                <w:color w:val="000000"/>
              </w:rPr>
            </w:pPr>
            <w:r w:rsidRPr="004C2A59">
              <w:rPr>
                <w:color w:val="000000"/>
              </w:rPr>
              <w:t>Tredobbelt</w:t>
            </w:r>
            <w:r w:rsidR="007A71CD" w:rsidRPr="004C2A59">
              <w:rPr>
                <w:color w:val="000000"/>
              </w:rPr>
              <w:t xml:space="preserve"> </w:t>
            </w:r>
            <w:r w:rsidR="00676589" w:rsidRPr="004C2A59">
              <w:rPr>
                <w:color w:val="000000"/>
              </w:rPr>
              <w:t>i.t.-</w:t>
            </w:r>
            <w:r w:rsidRPr="004C2A59">
              <w:rPr>
                <w:color w:val="000000"/>
              </w:rPr>
              <w:t>terapi</w:t>
            </w:r>
            <w:r w:rsidR="007A71CD" w:rsidRPr="004C2A59">
              <w:rPr>
                <w:color w:val="000000"/>
              </w:rPr>
              <w:t xml:space="preserve"> (</w:t>
            </w:r>
            <w:r w:rsidRPr="004C2A59">
              <w:rPr>
                <w:color w:val="000000"/>
              </w:rPr>
              <w:t>aldersjusteret): dag</w:t>
            </w:r>
            <w:r w:rsidR="007A71CD" w:rsidRPr="004C2A59">
              <w:rPr>
                <w:color w:val="000000"/>
              </w:rPr>
              <w:t xml:space="preserve"> 1 </w:t>
            </w:r>
            <w:r w:rsidRPr="004C2A59">
              <w:rPr>
                <w:color w:val="000000"/>
              </w:rPr>
              <w:t>og</w:t>
            </w:r>
            <w:r w:rsidR="007A71CD" w:rsidRPr="004C2A59">
              <w:rPr>
                <w:color w:val="000000"/>
              </w:rPr>
              <w:t xml:space="preserve"> 15</w:t>
            </w:r>
          </w:p>
          <w:p w14:paraId="4555B4EF" w14:textId="77777777" w:rsidR="007A71CD" w:rsidRPr="004C2A59" w:rsidRDefault="007A71CD" w:rsidP="00421681">
            <w:pPr>
              <w:pStyle w:val="EndnoteText"/>
              <w:rPr>
                <w:color w:val="000000"/>
              </w:rPr>
            </w:pPr>
            <w:r w:rsidRPr="004C2A59">
              <w:rPr>
                <w:color w:val="000000"/>
              </w:rPr>
              <w:t>DEX (6 mg/m</w:t>
            </w:r>
            <w:r w:rsidRPr="004C2A59">
              <w:rPr>
                <w:color w:val="000000"/>
                <w:vertAlign w:val="superscript"/>
              </w:rPr>
              <w:t>2</w:t>
            </w:r>
            <w:r w:rsidR="00854853" w:rsidRPr="004C2A59">
              <w:rPr>
                <w:color w:val="000000"/>
              </w:rPr>
              <w:t xml:space="preserve">/dag, </w:t>
            </w:r>
            <w:r w:rsidR="00676589" w:rsidRPr="004C2A59">
              <w:rPr>
                <w:color w:val="000000"/>
              </w:rPr>
              <w:t>p.o.</w:t>
            </w:r>
            <w:r w:rsidR="00854853" w:rsidRPr="004C2A59">
              <w:rPr>
                <w:color w:val="000000"/>
              </w:rPr>
              <w:t>): dag</w:t>
            </w:r>
            <w:r w:rsidRPr="004C2A59">
              <w:rPr>
                <w:color w:val="000000"/>
              </w:rPr>
              <w:t> 1</w:t>
            </w:r>
            <w:r w:rsidRPr="004C2A59">
              <w:rPr>
                <w:color w:val="000000"/>
              </w:rPr>
              <w:noBreakHyphen/>
              <w:t xml:space="preserve">7 </w:t>
            </w:r>
            <w:r w:rsidR="00854853" w:rsidRPr="004C2A59">
              <w:rPr>
                <w:color w:val="000000"/>
              </w:rPr>
              <w:t>og</w:t>
            </w:r>
            <w:r w:rsidRPr="004C2A59">
              <w:rPr>
                <w:color w:val="000000"/>
              </w:rPr>
              <w:t xml:space="preserve"> 15</w:t>
            </w:r>
            <w:r w:rsidRPr="004C2A59">
              <w:rPr>
                <w:color w:val="000000"/>
              </w:rPr>
              <w:noBreakHyphen/>
              <w:t>21</w:t>
            </w:r>
          </w:p>
        </w:tc>
      </w:tr>
      <w:tr w:rsidR="007A71CD" w:rsidRPr="00DA2798" w14:paraId="7BB9FEE4" w14:textId="77777777" w:rsidTr="00A125B0">
        <w:trPr>
          <w:cantSplit/>
        </w:trPr>
        <w:tc>
          <w:tcPr>
            <w:tcW w:w="2357" w:type="dxa"/>
            <w:shd w:val="clear" w:color="auto" w:fill="auto"/>
          </w:tcPr>
          <w:p w14:paraId="362D4DB7" w14:textId="77777777" w:rsidR="007A71CD" w:rsidRPr="004C2A59" w:rsidRDefault="00854853" w:rsidP="00421681">
            <w:pPr>
              <w:pStyle w:val="EndnoteText"/>
              <w:rPr>
                <w:color w:val="000000"/>
              </w:rPr>
            </w:pPr>
            <w:r w:rsidRPr="004C2A59">
              <w:rPr>
                <w:color w:val="000000"/>
              </w:rPr>
              <w:t>Intensivering blok 2</w:t>
            </w:r>
          </w:p>
          <w:p w14:paraId="030B46BE" w14:textId="77777777" w:rsidR="007A71CD" w:rsidRPr="004C2A59" w:rsidRDefault="007A71CD" w:rsidP="00421681">
            <w:pPr>
              <w:pStyle w:val="EndnoteText"/>
              <w:rPr>
                <w:color w:val="000000"/>
              </w:rPr>
            </w:pPr>
            <w:r w:rsidRPr="004C2A59">
              <w:rPr>
                <w:color w:val="000000"/>
              </w:rPr>
              <w:t>(9 </w:t>
            </w:r>
            <w:r w:rsidR="00854853" w:rsidRPr="004C2A59">
              <w:rPr>
                <w:color w:val="000000"/>
              </w:rPr>
              <w:t>uger</w:t>
            </w:r>
            <w:r w:rsidRPr="004C2A59">
              <w:rPr>
                <w:color w:val="000000"/>
              </w:rPr>
              <w:t>)</w:t>
            </w:r>
          </w:p>
        </w:tc>
        <w:tc>
          <w:tcPr>
            <w:tcW w:w="6924" w:type="dxa"/>
            <w:shd w:val="clear" w:color="auto" w:fill="auto"/>
          </w:tcPr>
          <w:p w14:paraId="62A591A8" w14:textId="77777777" w:rsidR="007A71CD" w:rsidRPr="004C2A59" w:rsidRDefault="00717B89" w:rsidP="00421681">
            <w:pPr>
              <w:pStyle w:val="EndnoteText"/>
              <w:rPr>
                <w:color w:val="000000"/>
              </w:rPr>
            </w:pPr>
            <w:r w:rsidRPr="004C2A59">
              <w:rPr>
                <w:color w:val="000000"/>
              </w:rPr>
              <w:t>Methotrexat</w:t>
            </w:r>
            <w:r w:rsidR="007A71CD" w:rsidRPr="004C2A59">
              <w:rPr>
                <w:color w:val="000000"/>
              </w:rPr>
              <w:t xml:space="preserve"> (5 g/m</w:t>
            </w:r>
            <w:r w:rsidR="007A71CD" w:rsidRPr="004C2A59">
              <w:rPr>
                <w:color w:val="000000"/>
                <w:vertAlign w:val="superscript"/>
              </w:rPr>
              <w:t>2</w:t>
            </w:r>
            <w:r w:rsidR="00854853" w:rsidRPr="004C2A59">
              <w:rPr>
                <w:color w:val="000000"/>
              </w:rPr>
              <w:t xml:space="preserve"> over 24 timer, </w:t>
            </w:r>
            <w:r w:rsidR="00676589" w:rsidRPr="004C2A59">
              <w:rPr>
                <w:color w:val="000000"/>
              </w:rPr>
              <w:t>i.v.</w:t>
            </w:r>
            <w:r w:rsidR="00854853" w:rsidRPr="004C2A59">
              <w:rPr>
                <w:color w:val="000000"/>
              </w:rPr>
              <w:t>): dag</w:t>
            </w:r>
            <w:r w:rsidR="007A71CD" w:rsidRPr="004C2A59">
              <w:rPr>
                <w:color w:val="000000"/>
              </w:rPr>
              <w:t xml:space="preserve"> 1 </w:t>
            </w:r>
            <w:r w:rsidR="00854853" w:rsidRPr="004C2A59">
              <w:rPr>
                <w:color w:val="000000"/>
              </w:rPr>
              <w:t>og</w:t>
            </w:r>
            <w:r w:rsidR="007A71CD" w:rsidRPr="004C2A59">
              <w:rPr>
                <w:color w:val="000000"/>
              </w:rPr>
              <w:t xml:space="preserve"> 15</w:t>
            </w:r>
          </w:p>
          <w:p w14:paraId="04D1C170" w14:textId="77777777" w:rsidR="007A71CD" w:rsidRPr="004C2A59" w:rsidRDefault="007A71CD" w:rsidP="00421681">
            <w:pPr>
              <w:pStyle w:val="EndnoteText"/>
              <w:rPr>
                <w:color w:val="000000"/>
              </w:rPr>
            </w:pPr>
            <w:r w:rsidRPr="004C2A59">
              <w:rPr>
                <w:color w:val="000000"/>
              </w:rPr>
              <w:t>Leucovorin (75 mg/m</w:t>
            </w:r>
            <w:r w:rsidRPr="004C2A59">
              <w:rPr>
                <w:color w:val="000000"/>
                <w:vertAlign w:val="superscript"/>
              </w:rPr>
              <w:t>2</w:t>
            </w:r>
            <w:r w:rsidRPr="004C2A59">
              <w:rPr>
                <w:color w:val="000000"/>
              </w:rPr>
              <w:t xml:space="preserve"> </w:t>
            </w:r>
            <w:r w:rsidR="00854853" w:rsidRPr="004C2A59">
              <w:rPr>
                <w:color w:val="000000"/>
              </w:rPr>
              <w:t>i time</w:t>
            </w:r>
            <w:r w:rsidRPr="004C2A59">
              <w:rPr>
                <w:color w:val="000000"/>
              </w:rPr>
              <w:t xml:space="preserve"> 36, </w:t>
            </w:r>
            <w:r w:rsidR="00676589" w:rsidRPr="004C2A59">
              <w:rPr>
                <w:color w:val="000000"/>
              </w:rPr>
              <w:t>i.v.</w:t>
            </w:r>
            <w:r w:rsidRPr="004C2A59">
              <w:rPr>
                <w:color w:val="000000"/>
              </w:rPr>
              <w:t>; 15 mg/m</w:t>
            </w:r>
            <w:r w:rsidRPr="004C2A59">
              <w:rPr>
                <w:color w:val="000000"/>
                <w:vertAlign w:val="superscript"/>
              </w:rPr>
              <w:t>2</w:t>
            </w:r>
            <w:r w:rsidRPr="004C2A59">
              <w:rPr>
                <w:color w:val="000000"/>
              </w:rPr>
              <w:t xml:space="preserve"> </w:t>
            </w:r>
            <w:r w:rsidR="00676589" w:rsidRPr="004C2A59">
              <w:rPr>
                <w:color w:val="000000"/>
              </w:rPr>
              <w:t>i.v.</w:t>
            </w:r>
            <w:r w:rsidRPr="004C2A59">
              <w:rPr>
                <w:color w:val="000000"/>
              </w:rPr>
              <w:t xml:space="preserve"> </w:t>
            </w:r>
            <w:r w:rsidR="00854853" w:rsidRPr="004C2A59">
              <w:rPr>
                <w:color w:val="000000"/>
              </w:rPr>
              <w:t xml:space="preserve">eller </w:t>
            </w:r>
            <w:r w:rsidR="00676589" w:rsidRPr="004C2A59">
              <w:rPr>
                <w:color w:val="000000"/>
              </w:rPr>
              <w:t>p.o.</w:t>
            </w:r>
            <w:r w:rsidR="00854853" w:rsidRPr="004C2A59">
              <w:rPr>
                <w:color w:val="000000"/>
              </w:rPr>
              <w:t xml:space="preserve"> q6h x 6 doser)iii: dag</w:t>
            </w:r>
            <w:r w:rsidRPr="004C2A59">
              <w:rPr>
                <w:color w:val="000000"/>
              </w:rPr>
              <w:t xml:space="preserve"> 2, 3, 16, </w:t>
            </w:r>
            <w:r w:rsidR="00854853" w:rsidRPr="004C2A59">
              <w:rPr>
                <w:color w:val="000000"/>
              </w:rPr>
              <w:t>og</w:t>
            </w:r>
            <w:r w:rsidRPr="004C2A59">
              <w:rPr>
                <w:color w:val="000000"/>
              </w:rPr>
              <w:t xml:space="preserve"> 17</w:t>
            </w:r>
          </w:p>
          <w:p w14:paraId="7DF6A346" w14:textId="77777777" w:rsidR="007A71CD" w:rsidRPr="004C2A59" w:rsidRDefault="00854853" w:rsidP="00421681">
            <w:pPr>
              <w:pStyle w:val="EndnoteText"/>
              <w:rPr>
                <w:color w:val="000000"/>
              </w:rPr>
            </w:pPr>
            <w:r w:rsidRPr="004C2A59">
              <w:rPr>
                <w:color w:val="000000"/>
              </w:rPr>
              <w:t>Tredobbelt</w:t>
            </w:r>
            <w:r w:rsidR="007A71CD" w:rsidRPr="004C2A59">
              <w:rPr>
                <w:color w:val="000000"/>
              </w:rPr>
              <w:t xml:space="preserve"> </w:t>
            </w:r>
            <w:r w:rsidR="00B83F0D" w:rsidRPr="004C2A59">
              <w:rPr>
                <w:color w:val="000000"/>
              </w:rPr>
              <w:t>i.t.-</w:t>
            </w:r>
            <w:r w:rsidRPr="004C2A59">
              <w:rPr>
                <w:color w:val="000000"/>
              </w:rPr>
              <w:t>terapi</w:t>
            </w:r>
            <w:r w:rsidR="007A71CD" w:rsidRPr="004C2A59">
              <w:rPr>
                <w:color w:val="000000"/>
              </w:rPr>
              <w:t xml:space="preserve"> (</w:t>
            </w:r>
            <w:r w:rsidRPr="004C2A59">
              <w:rPr>
                <w:color w:val="000000"/>
              </w:rPr>
              <w:t>aldersjusteret): dag</w:t>
            </w:r>
            <w:r w:rsidR="007A71CD" w:rsidRPr="004C2A59">
              <w:rPr>
                <w:color w:val="000000"/>
              </w:rPr>
              <w:t xml:space="preserve"> 1 </w:t>
            </w:r>
            <w:r w:rsidRPr="004C2A59">
              <w:rPr>
                <w:color w:val="000000"/>
              </w:rPr>
              <w:t>og</w:t>
            </w:r>
            <w:r w:rsidR="007A71CD" w:rsidRPr="004C2A59">
              <w:rPr>
                <w:color w:val="000000"/>
              </w:rPr>
              <w:t xml:space="preserve"> 22</w:t>
            </w:r>
          </w:p>
          <w:p w14:paraId="79E2C078" w14:textId="77777777" w:rsidR="007A71CD" w:rsidRPr="004C2A59" w:rsidRDefault="007A71CD" w:rsidP="00421681">
            <w:pPr>
              <w:pStyle w:val="EndnoteText"/>
              <w:rPr>
                <w:color w:val="000000"/>
              </w:rPr>
            </w:pPr>
            <w:r w:rsidRPr="004C2A59">
              <w:rPr>
                <w:color w:val="000000"/>
              </w:rPr>
              <w:t>VP-16 (100 mg/m</w:t>
            </w:r>
            <w:r w:rsidRPr="004C2A59">
              <w:rPr>
                <w:color w:val="000000"/>
                <w:vertAlign w:val="superscript"/>
              </w:rPr>
              <w:t>2</w:t>
            </w:r>
            <w:r w:rsidR="00854853" w:rsidRPr="004C2A59">
              <w:rPr>
                <w:color w:val="000000"/>
              </w:rPr>
              <w:t xml:space="preserve">/dag, </w:t>
            </w:r>
            <w:r w:rsidR="00676589" w:rsidRPr="004C2A59">
              <w:rPr>
                <w:color w:val="000000"/>
              </w:rPr>
              <w:t>i.v.</w:t>
            </w:r>
            <w:r w:rsidR="00854853" w:rsidRPr="004C2A59">
              <w:rPr>
                <w:color w:val="000000"/>
              </w:rPr>
              <w:t>): dag</w:t>
            </w:r>
            <w:r w:rsidRPr="004C2A59">
              <w:rPr>
                <w:color w:val="000000"/>
              </w:rPr>
              <w:t> 22</w:t>
            </w:r>
            <w:r w:rsidRPr="004C2A59">
              <w:rPr>
                <w:color w:val="000000"/>
              </w:rPr>
              <w:noBreakHyphen/>
              <w:t>26</w:t>
            </w:r>
          </w:p>
          <w:p w14:paraId="0AFEA82B" w14:textId="77777777" w:rsidR="007A71CD" w:rsidRPr="004C2A59" w:rsidRDefault="007A71CD" w:rsidP="00421681">
            <w:pPr>
              <w:pStyle w:val="EndnoteText"/>
              <w:rPr>
                <w:color w:val="000000"/>
              </w:rPr>
            </w:pPr>
            <w:r w:rsidRPr="004C2A59">
              <w:rPr>
                <w:color w:val="000000"/>
              </w:rPr>
              <w:t>CPM (300 mg/m</w:t>
            </w:r>
            <w:r w:rsidRPr="004C2A59">
              <w:rPr>
                <w:color w:val="000000"/>
                <w:vertAlign w:val="superscript"/>
              </w:rPr>
              <w:t>2</w:t>
            </w:r>
            <w:r w:rsidR="00854853" w:rsidRPr="004C2A59">
              <w:rPr>
                <w:color w:val="000000"/>
              </w:rPr>
              <w:t xml:space="preserve">/dag, </w:t>
            </w:r>
            <w:r w:rsidR="00676589" w:rsidRPr="004C2A59">
              <w:rPr>
                <w:color w:val="000000"/>
              </w:rPr>
              <w:t>i.v.</w:t>
            </w:r>
            <w:r w:rsidR="00854853" w:rsidRPr="004C2A59">
              <w:rPr>
                <w:color w:val="000000"/>
              </w:rPr>
              <w:t>): dag</w:t>
            </w:r>
            <w:r w:rsidRPr="004C2A59">
              <w:rPr>
                <w:color w:val="000000"/>
              </w:rPr>
              <w:t> 22</w:t>
            </w:r>
            <w:r w:rsidRPr="004C2A59">
              <w:rPr>
                <w:color w:val="000000"/>
              </w:rPr>
              <w:noBreakHyphen/>
              <w:t>26</w:t>
            </w:r>
          </w:p>
          <w:p w14:paraId="668634BD" w14:textId="77777777" w:rsidR="007A71CD" w:rsidRPr="004C2A59" w:rsidRDefault="007A71CD" w:rsidP="00421681">
            <w:pPr>
              <w:pStyle w:val="EndnoteText"/>
              <w:rPr>
                <w:color w:val="000000"/>
              </w:rPr>
            </w:pPr>
            <w:r w:rsidRPr="004C2A59">
              <w:rPr>
                <w:color w:val="000000"/>
              </w:rPr>
              <w:t>MESNA (150 mg/m</w:t>
            </w:r>
            <w:r w:rsidRPr="004C2A59">
              <w:rPr>
                <w:color w:val="000000"/>
                <w:vertAlign w:val="superscript"/>
              </w:rPr>
              <w:t>2</w:t>
            </w:r>
            <w:r w:rsidR="00854853" w:rsidRPr="004C2A59">
              <w:rPr>
                <w:color w:val="000000"/>
              </w:rPr>
              <w:t xml:space="preserve">/dag, </w:t>
            </w:r>
            <w:r w:rsidR="00EC11D3" w:rsidRPr="004C2A59">
              <w:rPr>
                <w:color w:val="000000"/>
              </w:rPr>
              <w:t>i.v.</w:t>
            </w:r>
            <w:r w:rsidR="00854853" w:rsidRPr="004C2A59">
              <w:rPr>
                <w:color w:val="000000"/>
              </w:rPr>
              <w:t>): dag</w:t>
            </w:r>
            <w:r w:rsidRPr="004C2A59">
              <w:rPr>
                <w:color w:val="000000"/>
              </w:rPr>
              <w:t> 22</w:t>
            </w:r>
            <w:r w:rsidRPr="004C2A59">
              <w:rPr>
                <w:color w:val="000000"/>
              </w:rPr>
              <w:noBreakHyphen/>
              <w:t>26</w:t>
            </w:r>
          </w:p>
          <w:p w14:paraId="45A21C90" w14:textId="77777777" w:rsidR="007A71CD" w:rsidRPr="004C2A59" w:rsidRDefault="007A71CD" w:rsidP="00421681">
            <w:pPr>
              <w:pStyle w:val="EndnoteText"/>
              <w:rPr>
                <w:color w:val="000000"/>
              </w:rPr>
            </w:pPr>
            <w:r w:rsidRPr="004C2A59">
              <w:rPr>
                <w:color w:val="000000"/>
              </w:rPr>
              <w:t>G-CSF (5 μ</w:t>
            </w:r>
            <w:r w:rsidR="00854853" w:rsidRPr="004C2A59">
              <w:rPr>
                <w:color w:val="000000"/>
              </w:rPr>
              <w:t xml:space="preserve">g/kg, </w:t>
            </w:r>
            <w:r w:rsidR="003A6475" w:rsidRPr="004C2A59">
              <w:rPr>
                <w:color w:val="000000"/>
              </w:rPr>
              <w:t>s.c.</w:t>
            </w:r>
            <w:r w:rsidR="00854853" w:rsidRPr="004C2A59">
              <w:rPr>
                <w:color w:val="000000"/>
              </w:rPr>
              <w:t>): dag</w:t>
            </w:r>
            <w:r w:rsidRPr="004C2A59">
              <w:rPr>
                <w:color w:val="000000"/>
              </w:rPr>
              <w:t> 27</w:t>
            </w:r>
            <w:r w:rsidRPr="004C2A59">
              <w:rPr>
                <w:color w:val="000000"/>
              </w:rPr>
              <w:noBreakHyphen/>
              <w:t>36</w:t>
            </w:r>
            <w:r w:rsidR="00891116" w:rsidRPr="004C2A59">
              <w:rPr>
                <w:color w:val="000000"/>
              </w:rPr>
              <w:t>,</w:t>
            </w:r>
            <w:r w:rsidRPr="004C2A59">
              <w:rPr>
                <w:color w:val="000000"/>
              </w:rPr>
              <w:t xml:space="preserve"> </w:t>
            </w:r>
            <w:r w:rsidR="00854853" w:rsidRPr="004C2A59">
              <w:rPr>
                <w:color w:val="000000"/>
              </w:rPr>
              <w:t>eller indtil</w:t>
            </w:r>
            <w:r w:rsidRPr="004C2A59">
              <w:rPr>
                <w:color w:val="000000"/>
              </w:rPr>
              <w:t xml:space="preserve"> ANC &gt;1500 post nadir</w:t>
            </w:r>
          </w:p>
          <w:p w14:paraId="772E9B59" w14:textId="77777777" w:rsidR="007A71CD" w:rsidRPr="00F852D1" w:rsidRDefault="007A71CD" w:rsidP="00421681">
            <w:pPr>
              <w:pStyle w:val="EndnoteText"/>
              <w:rPr>
                <w:color w:val="000000"/>
                <w:lang w:val="pt-PT"/>
              </w:rPr>
            </w:pPr>
            <w:r w:rsidRPr="00F852D1">
              <w:rPr>
                <w:color w:val="000000"/>
                <w:lang w:val="pt-PT"/>
              </w:rPr>
              <w:t>ARA-C (3 g/m</w:t>
            </w:r>
            <w:r w:rsidRPr="00F852D1">
              <w:rPr>
                <w:color w:val="000000"/>
                <w:vertAlign w:val="superscript"/>
                <w:lang w:val="pt-PT"/>
              </w:rPr>
              <w:t>2</w:t>
            </w:r>
            <w:r w:rsidR="00854853" w:rsidRPr="00F852D1">
              <w:rPr>
                <w:color w:val="000000"/>
                <w:lang w:val="pt-PT"/>
              </w:rPr>
              <w:t xml:space="preserve">, q12h, </w:t>
            </w:r>
            <w:r w:rsidR="00676589" w:rsidRPr="00F852D1">
              <w:rPr>
                <w:color w:val="000000"/>
                <w:lang w:val="pt-PT"/>
              </w:rPr>
              <w:t>i.v.</w:t>
            </w:r>
            <w:r w:rsidR="00854853" w:rsidRPr="00F852D1">
              <w:rPr>
                <w:color w:val="000000"/>
                <w:lang w:val="pt-PT"/>
              </w:rPr>
              <w:t>): dag</w:t>
            </w:r>
            <w:r w:rsidRPr="00F852D1">
              <w:rPr>
                <w:color w:val="000000"/>
                <w:lang w:val="pt-PT"/>
              </w:rPr>
              <w:t> 43, 44</w:t>
            </w:r>
          </w:p>
          <w:p w14:paraId="520A99C5" w14:textId="77777777" w:rsidR="007A71CD" w:rsidRPr="004C2A59" w:rsidRDefault="007A71CD" w:rsidP="00421681">
            <w:pPr>
              <w:pStyle w:val="EndnoteText"/>
              <w:rPr>
                <w:color w:val="000000"/>
              </w:rPr>
            </w:pPr>
            <w:r w:rsidRPr="004C2A59">
              <w:rPr>
                <w:color w:val="000000"/>
              </w:rPr>
              <w:t>L-ASP (6000 I</w:t>
            </w:r>
            <w:r w:rsidR="00676589" w:rsidRPr="004C2A59">
              <w:rPr>
                <w:color w:val="000000"/>
              </w:rPr>
              <w:t>E</w:t>
            </w:r>
            <w:r w:rsidRPr="004C2A59">
              <w:rPr>
                <w:color w:val="000000"/>
              </w:rPr>
              <w:t>/m</w:t>
            </w:r>
            <w:r w:rsidRPr="004C2A59">
              <w:rPr>
                <w:color w:val="000000"/>
                <w:vertAlign w:val="superscript"/>
              </w:rPr>
              <w:t>2</w:t>
            </w:r>
            <w:r w:rsidR="00854853" w:rsidRPr="004C2A59">
              <w:rPr>
                <w:color w:val="000000"/>
              </w:rPr>
              <w:t>,</w:t>
            </w:r>
            <w:r w:rsidR="00EC11D3" w:rsidRPr="004C2A59">
              <w:rPr>
                <w:color w:val="000000"/>
              </w:rPr>
              <w:t>i.m.</w:t>
            </w:r>
            <w:r w:rsidR="00854853" w:rsidRPr="004C2A59">
              <w:rPr>
                <w:color w:val="000000"/>
              </w:rPr>
              <w:t>): dag</w:t>
            </w:r>
            <w:r w:rsidRPr="004C2A59">
              <w:rPr>
                <w:color w:val="000000"/>
              </w:rPr>
              <w:t> 44</w:t>
            </w:r>
          </w:p>
        </w:tc>
      </w:tr>
      <w:tr w:rsidR="007A71CD" w:rsidRPr="00F852D1" w14:paraId="7D76D4B9" w14:textId="77777777" w:rsidTr="00A125B0">
        <w:trPr>
          <w:cantSplit/>
        </w:trPr>
        <w:tc>
          <w:tcPr>
            <w:tcW w:w="2357" w:type="dxa"/>
            <w:shd w:val="clear" w:color="auto" w:fill="auto"/>
          </w:tcPr>
          <w:p w14:paraId="29747959" w14:textId="77777777" w:rsidR="007A71CD" w:rsidRPr="004C2A59" w:rsidRDefault="00854853" w:rsidP="00421681">
            <w:pPr>
              <w:pStyle w:val="EndnoteText"/>
              <w:rPr>
                <w:color w:val="000000"/>
              </w:rPr>
            </w:pPr>
            <w:r w:rsidRPr="004C2A59">
              <w:rPr>
                <w:color w:val="000000"/>
              </w:rPr>
              <w:lastRenderedPageBreak/>
              <w:t>Vedligeholdelse</w:t>
            </w:r>
          </w:p>
          <w:p w14:paraId="7460235F" w14:textId="77777777" w:rsidR="007A71CD" w:rsidRPr="004C2A59" w:rsidRDefault="007A71CD" w:rsidP="00421681">
            <w:pPr>
              <w:pStyle w:val="EndnoteText"/>
              <w:rPr>
                <w:color w:val="000000"/>
              </w:rPr>
            </w:pPr>
            <w:r w:rsidRPr="004C2A59">
              <w:rPr>
                <w:color w:val="000000"/>
              </w:rPr>
              <w:t>(8-</w:t>
            </w:r>
            <w:r w:rsidR="00854853" w:rsidRPr="004C2A59">
              <w:rPr>
                <w:color w:val="000000"/>
              </w:rPr>
              <w:t>ugers</w:t>
            </w:r>
            <w:r w:rsidRPr="004C2A59">
              <w:rPr>
                <w:color w:val="000000"/>
              </w:rPr>
              <w:t xml:space="preserve"> cy</w:t>
            </w:r>
            <w:r w:rsidR="001D442A" w:rsidRPr="004C2A59">
              <w:rPr>
                <w:color w:val="000000"/>
              </w:rPr>
              <w:t>kler</w:t>
            </w:r>
            <w:r w:rsidRPr="004C2A59">
              <w:rPr>
                <w:color w:val="000000"/>
              </w:rPr>
              <w:t>)</w:t>
            </w:r>
          </w:p>
          <w:p w14:paraId="2739DDC3" w14:textId="77777777" w:rsidR="007A71CD" w:rsidRPr="004C2A59" w:rsidRDefault="00854853" w:rsidP="00421681">
            <w:pPr>
              <w:pStyle w:val="EndnoteText"/>
              <w:rPr>
                <w:color w:val="000000"/>
              </w:rPr>
            </w:pPr>
            <w:r w:rsidRPr="004C2A59">
              <w:rPr>
                <w:color w:val="000000"/>
              </w:rPr>
              <w:t>Cyklus</w:t>
            </w:r>
            <w:r w:rsidR="007A71CD" w:rsidRPr="004C2A59">
              <w:rPr>
                <w:color w:val="000000"/>
              </w:rPr>
              <w:t> 1–4</w:t>
            </w:r>
          </w:p>
        </w:tc>
        <w:tc>
          <w:tcPr>
            <w:tcW w:w="6924" w:type="dxa"/>
            <w:shd w:val="clear" w:color="auto" w:fill="auto"/>
          </w:tcPr>
          <w:p w14:paraId="71FD4B31" w14:textId="77777777" w:rsidR="007A71CD" w:rsidRPr="004C2A59" w:rsidRDefault="007A71CD" w:rsidP="00421681">
            <w:pPr>
              <w:pStyle w:val="EndnoteText"/>
              <w:rPr>
                <w:color w:val="000000"/>
              </w:rPr>
            </w:pPr>
            <w:r w:rsidRPr="004C2A59">
              <w:rPr>
                <w:color w:val="000000"/>
              </w:rPr>
              <w:t>M</w:t>
            </w:r>
            <w:r w:rsidR="00891116" w:rsidRPr="004C2A59">
              <w:rPr>
                <w:color w:val="000000"/>
              </w:rPr>
              <w:t>ethotrexat</w:t>
            </w:r>
            <w:r w:rsidRPr="004C2A59">
              <w:rPr>
                <w:color w:val="000000"/>
              </w:rPr>
              <w:t xml:space="preserve"> (5 g/m</w:t>
            </w:r>
            <w:r w:rsidRPr="004C2A59">
              <w:rPr>
                <w:color w:val="000000"/>
                <w:vertAlign w:val="superscript"/>
              </w:rPr>
              <w:t>2</w:t>
            </w:r>
            <w:r w:rsidR="00854853" w:rsidRPr="004C2A59">
              <w:rPr>
                <w:color w:val="000000"/>
              </w:rPr>
              <w:t xml:space="preserve"> over 24 timer, </w:t>
            </w:r>
            <w:r w:rsidR="00676589" w:rsidRPr="004C2A59">
              <w:rPr>
                <w:color w:val="000000"/>
              </w:rPr>
              <w:t>i.v.</w:t>
            </w:r>
            <w:r w:rsidR="00854853" w:rsidRPr="004C2A59">
              <w:rPr>
                <w:color w:val="000000"/>
              </w:rPr>
              <w:t>): dag</w:t>
            </w:r>
            <w:r w:rsidRPr="004C2A59">
              <w:rPr>
                <w:color w:val="000000"/>
              </w:rPr>
              <w:t> 1</w:t>
            </w:r>
          </w:p>
          <w:p w14:paraId="1D3A9056" w14:textId="77777777" w:rsidR="007A71CD" w:rsidRPr="004C2A59" w:rsidRDefault="007A71CD" w:rsidP="00421681">
            <w:pPr>
              <w:pStyle w:val="EndnoteText"/>
              <w:rPr>
                <w:color w:val="000000"/>
              </w:rPr>
            </w:pPr>
            <w:r w:rsidRPr="004C2A59">
              <w:rPr>
                <w:color w:val="000000"/>
              </w:rPr>
              <w:t>Leucovorin (75 mg/m</w:t>
            </w:r>
            <w:r w:rsidRPr="004C2A59">
              <w:rPr>
                <w:color w:val="000000"/>
                <w:vertAlign w:val="superscript"/>
              </w:rPr>
              <w:t>2</w:t>
            </w:r>
            <w:r w:rsidRPr="004C2A59">
              <w:rPr>
                <w:color w:val="000000"/>
              </w:rPr>
              <w:t xml:space="preserve"> </w:t>
            </w:r>
            <w:r w:rsidR="00854853" w:rsidRPr="004C2A59">
              <w:rPr>
                <w:color w:val="000000"/>
              </w:rPr>
              <w:t>i time</w:t>
            </w:r>
            <w:r w:rsidRPr="004C2A59">
              <w:rPr>
                <w:color w:val="000000"/>
              </w:rPr>
              <w:t xml:space="preserve"> 36, </w:t>
            </w:r>
            <w:r w:rsidR="00676589" w:rsidRPr="004C2A59">
              <w:rPr>
                <w:color w:val="000000"/>
              </w:rPr>
              <w:t>i.v.</w:t>
            </w:r>
            <w:r w:rsidRPr="004C2A59">
              <w:rPr>
                <w:color w:val="000000"/>
              </w:rPr>
              <w:t>; 15 mg/m</w:t>
            </w:r>
            <w:r w:rsidRPr="004C2A59">
              <w:rPr>
                <w:color w:val="000000"/>
                <w:vertAlign w:val="superscript"/>
              </w:rPr>
              <w:t>2</w:t>
            </w:r>
            <w:r w:rsidR="00854853" w:rsidRPr="004C2A59">
              <w:rPr>
                <w:color w:val="000000"/>
              </w:rPr>
              <w:t xml:space="preserve"> </w:t>
            </w:r>
            <w:r w:rsidR="00676589" w:rsidRPr="004C2A59">
              <w:rPr>
                <w:color w:val="000000"/>
              </w:rPr>
              <w:t>i.v.</w:t>
            </w:r>
            <w:r w:rsidR="00854853" w:rsidRPr="004C2A59">
              <w:rPr>
                <w:color w:val="000000"/>
              </w:rPr>
              <w:t xml:space="preserve"> eller </w:t>
            </w:r>
            <w:r w:rsidR="00676589" w:rsidRPr="004C2A59">
              <w:rPr>
                <w:color w:val="000000"/>
              </w:rPr>
              <w:t>p.o.</w:t>
            </w:r>
            <w:r w:rsidR="00854853" w:rsidRPr="004C2A59">
              <w:rPr>
                <w:color w:val="000000"/>
              </w:rPr>
              <w:t xml:space="preserve"> q6h x 6 doses)iii: dag</w:t>
            </w:r>
            <w:r w:rsidRPr="004C2A59">
              <w:rPr>
                <w:color w:val="000000"/>
              </w:rPr>
              <w:t xml:space="preserve"> 2 </w:t>
            </w:r>
            <w:r w:rsidR="00854853" w:rsidRPr="004C2A59">
              <w:rPr>
                <w:color w:val="000000"/>
              </w:rPr>
              <w:t>og</w:t>
            </w:r>
            <w:r w:rsidRPr="004C2A59">
              <w:rPr>
                <w:color w:val="000000"/>
              </w:rPr>
              <w:t xml:space="preserve"> 3</w:t>
            </w:r>
          </w:p>
          <w:p w14:paraId="6ABFFEB1" w14:textId="77777777" w:rsidR="007A71CD" w:rsidRPr="004C2A59" w:rsidRDefault="00854853" w:rsidP="00421681">
            <w:pPr>
              <w:pStyle w:val="EndnoteText"/>
              <w:rPr>
                <w:color w:val="000000"/>
              </w:rPr>
            </w:pPr>
            <w:r w:rsidRPr="004C2A59">
              <w:rPr>
                <w:color w:val="000000"/>
              </w:rPr>
              <w:t>Tredobbelt</w:t>
            </w:r>
            <w:r w:rsidR="007A71CD" w:rsidRPr="004C2A59">
              <w:rPr>
                <w:color w:val="000000"/>
              </w:rPr>
              <w:t xml:space="preserve"> </w:t>
            </w:r>
            <w:r w:rsidR="00B83F0D" w:rsidRPr="004C2A59">
              <w:rPr>
                <w:color w:val="000000"/>
              </w:rPr>
              <w:t>i.t.-</w:t>
            </w:r>
            <w:r w:rsidRPr="004C2A59">
              <w:rPr>
                <w:color w:val="000000"/>
              </w:rPr>
              <w:t>terapi</w:t>
            </w:r>
            <w:r w:rsidR="007A71CD" w:rsidRPr="004C2A59">
              <w:rPr>
                <w:color w:val="000000"/>
              </w:rPr>
              <w:t xml:space="preserve"> (</w:t>
            </w:r>
            <w:r w:rsidRPr="004C2A59">
              <w:rPr>
                <w:color w:val="000000"/>
              </w:rPr>
              <w:t>aldersjusteret): dag</w:t>
            </w:r>
            <w:r w:rsidR="007A71CD" w:rsidRPr="004C2A59">
              <w:rPr>
                <w:color w:val="000000"/>
              </w:rPr>
              <w:t> 1, 29</w:t>
            </w:r>
          </w:p>
          <w:p w14:paraId="629AC921" w14:textId="77777777" w:rsidR="007A71CD" w:rsidRPr="004C2A59" w:rsidRDefault="000249FB" w:rsidP="00421681">
            <w:pPr>
              <w:pStyle w:val="EndnoteText"/>
              <w:rPr>
                <w:color w:val="000000"/>
              </w:rPr>
            </w:pPr>
            <w:r w:rsidRPr="004C2A59">
              <w:rPr>
                <w:color w:val="000000"/>
              </w:rPr>
              <w:t>VCR (1,</w:t>
            </w:r>
            <w:r w:rsidR="007A71CD" w:rsidRPr="004C2A59">
              <w:rPr>
                <w:color w:val="000000"/>
              </w:rPr>
              <w:t>5 mg/m</w:t>
            </w:r>
            <w:r w:rsidR="007A71CD" w:rsidRPr="004C2A59">
              <w:rPr>
                <w:color w:val="000000"/>
                <w:vertAlign w:val="superscript"/>
              </w:rPr>
              <w:t>2</w:t>
            </w:r>
            <w:r w:rsidR="00854853" w:rsidRPr="004C2A59">
              <w:rPr>
                <w:color w:val="000000"/>
              </w:rPr>
              <w:t xml:space="preserve">, </w:t>
            </w:r>
            <w:r w:rsidR="00676589" w:rsidRPr="004C2A59">
              <w:rPr>
                <w:color w:val="000000"/>
              </w:rPr>
              <w:t>i.v.</w:t>
            </w:r>
            <w:r w:rsidR="00854853" w:rsidRPr="004C2A59">
              <w:rPr>
                <w:color w:val="000000"/>
              </w:rPr>
              <w:t>): dag</w:t>
            </w:r>
            <w:r w:rsidR="007A71CD" w:rsidRPr="004C2A59">
              <w:rPr>
                <w:color w:val="000000"/>
              </w:rPr>
              <w:t> 1, 29</w:t>
            </w:r>
          </w:p>
          <w:p w14:paraId="6722E85A" w14:textId="77777777" w:rsidR="007A71CD" w:rsidRPr="004C2A59" w:rsidRDefault="007A71CD" w:rsidP="00421681">
            <w:pPr>
              <w:pStyle w:val="EndnoteText"/>
              <w:rPr>
                <w:color w:val="000000"/>
              </w:rPr>
            </w:pPr>
            <w:r w:rsidRPr="004C2A59">
              <w:rPr>
                <w:color w:val="000000"/>
              </w:rPr>
              <w:t>DEX (6 mg/m</w:t>
            </w:r>
            <w:r w:rsidRPr="004C2A59">
              <w:rPr>
                <w:color w:val="000000"/>
                <w:vertAlign w:val="superscript"/>
              </w:rPr>
              <w:t>2</w:t>
            </w:r>
            <w:r w:rsidR="00854853" w:rsidRPr="004C2A59">
              <w:rPr>
                <w:color w:val="000000"/>
              </w:rPr>
              <w:t xml:space="preserve">/dag </w:t>
            </w:r>
            <w:r w:rsidR="00676589" w:rsidRPr="004C2A59">
              <w:rPr>
                <w:color w:val="000000"/>
              </w:rPr>
              <w:t>p.o.</w:t>
            </w:r>
            <w:r w:rsidR="00854853" w:rsidRPr="004C2A59">
              <w:rPr>
                <w:color w:val="000000"/>
              </w:rPr>
              <w:t>): dag</w:t>
            </w:r>
            <w:r w:rsidRPr="004C2A59">
              <w:rPr>
                <w:color w:val="000000"/>
              </w:rPr>
              <w:t> 1</w:t>
            </w:r>
            <w:r w:rsidRPr="004C2A59">
              <w:rPr>
                <w:color w:val="000000"/>
              </w:rPr>
              <w:noBreakHyphen/>
              <w:t>5; 29</w:t>
            </w:r>
            <w:r w:rsidRPr="004C2A59">
              <w:rPr>
                <w:color w:val="000000"/>
              </w:rPr>
              <w:noBreakHyphen/>
              <w:t>33</w:t>
            </w:r>
          </w:p>
          <w:p w14:paraId="4138BE14" w14:textId="77777777" w:rsidR="007A71CD" w:rsidRPr="004C2A59" w:rsidRDefault="007A71CD" w:rsidP="00421681">
            <w:pPr>
              <w:pStyle w:val="EndnoteText"/>
              <w:rPr>
                <w:color w:val="000000"/>
              </w:rPr>
            </w:pPr>
            <w:r w:rsidRPr="004C2A59">
              <w:rPr>
                <w:color w:val="000000"/>
              </w:rPr>
              <w:t>6-MP (75 mg/m</w:t>
            </w:r>
            <w:r w:rsidRPr="004C2A59">
              <w:rPr>
                <w:color w:val="000000"/>
                <w:vertAlign w:val="superscript"/>
              </w:rPr>
              <w:t>2</w:t>
            </w:r>
            <w:r w:rsidR="00854853" w:rsidRPr="004C2A59">
              <w:rPr>
                <w:color w:val="000000"/>
              </w:rPr>
              <w:t xml:space="preserve">/dag, </w:t>
            </w:r>
            <w:r w:rsidR="00676589" w:rsidRPr="004C2A59">
              <w:rPr>
                <w:color w:val="000000"/>
              </w:rPr>
              <w:t>p.o.</w:t>
            </w:r>
            <w:r w:rsidR="00854853" w:rsidRPr="004C2A59">
              <w:rPr>
                <w:color w:val="000000"/>
              </w:rPr>
              <w:t>): dag</w:t>
            </w:r>
            <w:r w:rsidRPr="004C2A59">
              <w:rPr>
                <w:color w:val="000000"/>
              </w:rPr>
              <w:t> 8-28</w:t>
            </w:r>
            <w:r w:rsidR="00676589" w:rsidRPr="004C2A59">
              <w:rPr>
                <w:color w:val="000000"/>
              </w:rPr>
              <w:t xml:space="preserve">  </w:t>
            </w:r>
          </w:p>
          <w:p w14:paraId="38E0E8FF" w14:textId="77777777" w:rsidR="007A71CD" w:rsidRPr="004C2A59" w:rsidRDefault="00F709D9" w:rsidP="00421681">
            <w:pPr>
              <w:pStyle w:val="EndnoteText"/>
              <w:rPr>
                <w:color w:val="000000"/>
              </w:rPr>
            </w:pPr>
            <w:r w:rsidRPr="004C2A59">
              <w:rPr>
                <w:color w:val="000000"/>
              </w:rPr>
              <w:t>Methotrexat</w:t>
            </w:r>
            <w:r w:rsidR="007A71CD" w:rsidRPr="004C2A59">
              <w:rPr>
                <w:color w:val="000000"/>
              </w:rPr>
              <w:t xml:space="preserve"> (20 mg/m</w:t>
            </w:r>
            <w:r w:rsidR="007A71CD" w:rsidRPr="004C2A59">
              <w:rPr>
                <w:color w:val="000000"/>
                <w:vertAlign w:val="superscript"/>
              </w:rPr>
              <w:t>2</w:t>
            </w:r>
            <w:r w:rsidR="00854853" w:rsidRPr="004C2A59">
              <w:rPr>
                <w:color w:val="000000"/>
              </w:rPr>
              <w:t xml:space="preserve">/uge, </w:t>
            </w:r>
            <w:r w:rsidR="00676589" w:rsidRPr="004C2A59">
              <w:rPr>
                <w:color w:val="000000"/>
              </w:rPr>
              <w:t>p.o.</w:t>
            </w:r>
            <w:r w:rsidR="00854853" w:rsidRPr="004C2A59">
              <w:rPr>
                <w:color w:val="000000"/>
              </w:rPr>
              <w:t>): dag</w:t>
            </w:r>
            <w:r w:rsidR="007A71CD" w:rsidRPr="004C2A59">
              <w:rPr>
                <w:color w:val="000000"/>
              </w:rPr>
              <w:t> 8, 15, 22</w:t>
            </w:r>
          </w:p>
          <w:p w14:paraId="27574F69" w14:textId="77777777" w:rsidR="007A71CD" w:rsidRPr="004C2A59" w:rsidRDefault="007A71CD" w:rsidP="00421681">
            <w:pPr>
              <w:pStyle w:val="EndnoteText"/>
              <w:rPr>
                <w:color w:val="000000"/>
              </w:rPr>
            </w:pPr>
            <w:r w:rsidRPr="004C2A59">
              <w:rPr>
                <w:color w:val="000000"/>
              </w:rPr>
              <w:t>VP-16 (100 mg/m</w:t>
            </w:r>
            <w:r w:rsidRPr="004C2A59">
              <w:rPr>
                <w:color w:val="000000"/>
                <w:vertAlign w:val="superscript"/>
              </w:rPr>
              <w:t>2</w:t>
            </w:r>
            <w:r w:rsidRPr="004C2A59">
              <w:rPr>
                <w:color w:val="000000"/>
              </w:rPr>
              <w:t xml:space="preserve">, </w:t>
            </w:r>
            <w:r w:rsidR="00676589" w:rsidRPr="004C2A59">
              <w:rPr>
                <w:color w:val="000000"/>
              </w:rPr>
              <w:t>i.v.</w:t>
            </w:r>
            <w:r w:rsidRPr="004C2A59">
              <w:rPr>
                <w:color w:val="000000"/>
              </w:rPr>
              <w:t>)</w:t>
            </w:r>
            <w:r w:rsidR="00854853" w:rsidRPr="004C2A59">
              <w:rPr>
                <w:color w:val="000000"/>
              </w:rPr>
              <w:t>: dag</w:t>
            </w:r>
            <w:r w:rsidRPr="004C2A59">
              <w:rPr>
                <w:color w:val="000000"/>
              </w:rPr>
              <w:t> 29</w:t>
            </w:r>
            <w:r w:rsidRPr="004C2A59">
              <w:rPr>
                <w:color w:val="000000"/>
              </w:rPr>
              <w:noBreakHyphen/>
              <w:t>33</w:t>
            </w:r>
          </w:p>
          <w:p w14:paraId="5B8E41A4" w14:textId="77777777" w:rsidR="007A71CD" w:rsidRPr="004C2A59" w:rsidRDefault="007A71CD" w:rsidP="00421681">
            <w:pPr>
              <w:pStyle w:val="EndnoteText"/>
              <w:rPr>
                <w:color w:val="000000"/>
              </w:rPr>
            </w:pPr>
            <w:r w:rsidRPr="004C2A59">
              <w:rPr>
                <w:color w:val="000000"/>
              </w:rPr>
              <w:t>CPM (300 mg/m</w:t>
            </w:r>
            <w:r w:rsidRPr="004C2A59">
              <w:rPr>
                <w:color w:val="000000"/>
                <w:vertAlign w:val="superscript"/>
              </w:rPr>
              <w:t>2</w:t>
            </w:r>
            <w:r w:rsidR="00854853" w:rsidRPr="004C2A59">
              <w:rPr>
                <w:color w:val="000000"/>
              </w:rPr>
              <w:t xml:space="preserve">, </w:t>
            </w:r>
            <w:r w:rsidR="00676589" w:rsidRPr="004C2A59">
              <w:rPr>
                <w:color w:val="000000"/>
              </w:rPr>
              <w:t>i.v.</w:t>
            </w:r>
            <w:r w:rsidR="00854853" w:rsidRPr="004C2A59">
              <w:rPr>
                <w:color w:val="000000"/>
              </w:rPr>
              <w:t>): dag</w:t>
            </w:r>
            <w:r w:rsidRPr="004C2A59">
              <w:rPr>
                <w:color w:val="000000"/>
              </w:rPr>
              <w:t> 29</w:t>
            </w:r>
            <w:r w:rsidRPr="004C2A59">
              <w:rPr>
                <w:color w:val="000000"/>
              </w:rPr>
              <w:noBreakHyphen/>
              <w:t>33</w:t>
            </w:r>
          </w:p>
          <w:p w14:paraId="7B7909E4" w14:textId="77777777" w:rsidR="007A71CD" w:rsidRPr="004C2A59" w:rsidRDefault="000249FB" w:rsidP="00421681">
            <w:pPr>
              <w:pStyle w:val="EndnoteText"/>
              <w:rPr>
                <w:color w:val="000000"/>
              </w:rPr>
            </w:pPr>
            <w:r w:rsidRPr="004C2A59">
              <w:rPr>
                <w:color w:val="000000"/>
              </w:rPr>
              <w:t>MESNA</w:t>
            </w:r>
            <w:r w:rsidR="00854853" w:rsidRPr="004C2A59">
              <w:rPr>
                <w:color w:val="000000"/>
              </w:rPr>
              <w:t xml:space="preserve"> </w:t>
            </w:r>
            <w:r w:rsidR="00676589" w:rsidRPr="004C2A59">
              <w:rPr>
                <w:color w:val="000000"/>
              </w:rPr>
              <w:t>i.v.</w:t>
            </w:r>
            <w:r w:rsidRPr="004C2A59">
              <w:rPr>
                <w:color w:val="000000"/>
              </w:rPr>
              <w:t>:</w:t>
            </w:r>
            <w:r w:rsidR="00854853" w:rsidRPr="004C2A59">
              <w:rPr>
                <w:color w:val="000000"/>
              </w:rPr>
              <w:t xml:space="preserve"> dag</w:t>
            </w:r>
            <w:r w:rsidR="007A71CD" w:rsidRPr="004C2A59">
              <w:rPr>
                <w:color w:val="000000"/>
              </w:rPr>
              <w:t> 29</w:t>
            </w:r>
            <w:r w:rsidR="007A71CD" w:rsidRPr="004C2A59">
              <w:rPr>
                <w:color w:val="000000"/>
              </w:rPr>
              <w:noBreakHyphen/>
              <w:t>33</w:t>
            </w:r>
          </w:p>
          <w:p w14:paraId="6D7D5D72" w14:textId="77777777" w:rsidR="007A71CD" w:rsidRPr="004C2A59" w:rsidRDefault="007A71CD" w:rsidP="00421681">
            <w:pPr>
              <w:pStyle w:val="EndnoteText"/>
              <w:rPr>
                <w:color w:val="000000"/>
              </w:rPr>
            </w:pPr>
            <w:r w:rsidRPr="004C2A59">
              <w:rPr>
                <w:color w:val="000000"/>
              </w:rPr>
              <w:t>G-CSF (5 μ</w:t>
            </w:r>
            <w:r w:rsidR="00854853" w:rsidRPr="004C2A59">
              <w:rPr>
                <w:color w:val="000000"/>
              </w:rPr>
              <w:t xml:space="preserve">g/kg, </w:t>
            </w:r>
            <w:r w:rsidR="003A6475" w:rsidRPr="004C2A59">
              <w:rPr>
                <w:color w:val="000000"/>
              </w:rPr>
              <w:t>s.c.</w:t>
            </w:r>
            <w:r w:rsidR="00854853" w:rsidRPr="004C2A59">
              <w:rPr>
                <w:color w:val="000000"/>
              </w:rPr>
              <w:t>): dag</w:t>
            </w:r>
            <w:r w:rsidRPr="004C2A59">
              <w:rPr>
                <w:color w:val="000000"/>
              </w:rPr>
              <w:t> 34</w:t>
            </w:r>
            <w:r w:rsidRPr="004C2A59">
              <w:rPr>
                <w:color w:val="000000"/>
              </w:rPr>
              <w:noBreakHyphen/>
              <w:t>43</w:t>
            </w:r>
          </w:p>
        </w:tc>
      </w:tr>
      <w:tr w:rsidR="007A71CD" w:rsidRPr="00F852D1" w14:paraId="49B422E0" w14:textId="77777777" w:rsidTr="00A125B0">
        <w:trPr>
          <w:cantSplit/>
        </w:trPr>
        <w:tc>
          <w:tcPr>
            <w:tcW w:w="2357" w:type="dxa"/>
            <w:shd w:val="clear" w:color="auto" w:fill="auto"/>
          </w:tcPr>
          <w:p w14:paraId="52CBB637" w14:textId="77777777" w:rsidR="007A71CD" w:rsidRPr="004C2A59" w:rsidRDefault="001D442A" w:rsidP="00421681">
            <w:pPr>
              <w:pStyle w:val="EndnoteText"/>
              <w:rPr>
                <w:color w:val="000000"/>
              </w:rPr>
            </w:pPr>
            <w:r w:rsidRPr="004C2A59">
              <w:rPr>
                <w:color w:val="000000"/>
              </w:rPr>
              <w:t>Vedligeholdelse</w:t>
            </w:r>
          </w:p>
          <w:p w14:paraId="6C1A434E" w14:textId="77777777" w:rsidR="007A71CD" w:rsidRPr="004C2A59" w:rsidRDefault="007A71CD" w:rsidP="00421681">
            <w:pPr>
              <w:pStyle w:val="EndnoteText"/>
              <w:rPr>
                <w:color w:val="000000"/>
              </w:rPr>
            </w:pPr>
            <w:r w:rsidRPr="004C2A59">
              <w:rPr>
                <w:color w:val="000000"/>
              </w:rPr>
              <w:t>(8-</w:t>
            </w:r>
            <w:r w:rsidR="001D442A" w:rsidRPr="004C2A59">
              <w:rPr>
                <w:color w:val="000000"/>
              </w:rPr>
              <w:t>ugers</w:t>
            </w:r>
            <w:r w:rsidRPr="004C2A59">
              <w:rPr>
                <w:color w:val="000000"/>
              </w:rPr>
              <w:t xml:space="preserve"> </w:t>
            </w:r>
            <w:r w:rsidR="001D442A" w:rsidRPr="004C2A59">
              <w:rPr>
                <w:color w:val="000000"/>
              </w:rPr>
              <w:t>cykler</w:t>
            </w:r>
            <w:r w:rsidRPr="004C2A59">
              <w:rPr>
                <w:color w:val="000000"/>
              </w:rPr>
              <w:t>)</w:t>
            </w:r>
          </w:p>
          <w:p w14:paraId="4694F3AF" w14:textId="77777777" w:rsidR="007A71CD" w:rsidRPr="004C2A59" w:rsidRDefault="001D442A" w:rsidP="00421681">
            <w:pPr>
              <w:pStyle w:val="EndnoteText"/>
              <w:rPr>
                <w:color w:val="000000"/>
              </w:rPr>
            </w:pPr>
            <w:r w:rsidRPr="004C2A59">
              <w:rPr>
                <w:color w:val="000000"/>
              </w:rPr>
              <w:t>Cyklus</w:t>
            </w:r>
            <w:r w:rsidR="007A71CD" w:rsidRPr="004C2A59">
              <w:rPr>
                <w:color w:val="000000"/>
              </w:rPr>
              <w:t> 5</w:t>
            </w:r>
          </w:p>
        </w:tc>
        <w:tc>
          <w:tcPr>
            <w:tcW w:w="6924" w:type="dxa"/>
            <w:shd w:val="clear" w:color="auto" w:fill="auto"/>
          </w:tcPr>
          <w:p w14:paraId="5B554D39" w14:textId="77777777" w:rsidR="007A71CD" w:rsidRPr="004C2A59" w:rsidRDefault="001D442A" w:rsidP="00421681">
            <w:pPr>
              <w:pStyle w:val="EndnoteText"/>
              <w:rPr>
                <w:color w:val="000000"/>
              </w:rPr>
            </w:pPr>
            <w:r w:rsidRPr="004C2A59">
              <w:rPr>
                <w:color w:val="000000"/>
              </w:rPr>
              <w:t>Kraniebestråling (kun blok 5</w:t>
            </w:r>
            <w:r w:rsidR="007A71CD" w:rsidRPr="004C2A59">
              <w:rPr>
                <w:color w:val="000000"/>
              </w:rPr>
              <w:t>)</w:t>
            </w:r>
          </w:p>
          <w:p w14:paraId="72807CF0" w14:textId="77777777" w:rsidR="007A71CD" w:rsidRPr="004C2A59" w:rsidRDefault="001D442A" w:rsidP="00421681">
            <w:pPr>
              <w:pStyle w:val="EndnoteText"/>
              <w:rPr>
                <w:color w:val="000000"/>
              </w:rPr>
            </w:pPr>
            <w:r w:rsidRPr="004C2A59">
              <w:rPr>
                <w:color w:val="000000"/>
              </w:rPr>
              <w:t>12 Gy i</w:t>
            </w:r>
            <w:r w:rsidR="007A71CD" w:rsidRPr="004C2A59">
              <w:rPr>
                <w:color w:val="000000"/>
              </w:rPr>
              <w:t xml:space="preserve"> 8 fra</w:t>
            </w:r>
            <w:r w:rsidRPr="004C2A59">
              <w:rPr>
                <w:color w:val="000000"/>
              </w:rPr>
              <w:t>ktioner</w:t>
            </w:r>
            <w:r w:rsidR="007A71CD" w:rsidRPr="004C2A59">
              <w:rPr>
                <w:color w:val="000000"/>
              </w:rPr>
              <w:t xml:space="preserve"> for all</w:t>
            </w:r>
            <w:r w:rsidRPr="004C2A59">
              <w:rPr>
                <w:color w:val="000000"/>
              </w:rPr>
              <w:t>e patienter,</w:t>
            </w:r>
            <w:r w:rsidR="007A71CD" w:rsidRPr="004C2A59">
              <w:rPr>
                <w:color w:val="000000"/>
              </w:rPr>
              <w:t xml:space="preserve"> </w:t>
            </w:r>
            <w:r w:rsidRPr="004C2A59">
              <w:rPr>
                <w:color w:val="000000"/>
              </w:rPr>
              <w:t>som er CNS1 og</w:t>
            </w:r>
            <w:r w:rsidR="007A71CD" w:rsidRPr="004C2A59">
              <w:rPr>
                <w:color w:val="000000"/>
              </w:rPr>
              <w:t xml:space="preserve"> CNS2 </w:t>
            </w:r>
            <w:r w:rsidRPr="004C2A59">
              <w:rPr>
                <w:color w:val="000000"/>
              </w:rPr>
              <w:t>ved diagno</w:t>
            </w:r>
            <w:r w:rsidR="00FE3114" w:rsidRPr="004C2A59">
              <w:rPr>
                <w:color w:val="000000"/>
              </w:rPr>
              <w:t>stic</w:t>
            </w:r>
            <w:r w:rsidRPr="004C2A59">
              <w:rPr>
                <w:color w:val="000000"/>
              </w:rPr>
              <w:t>e</w:t>
            </w:r>
            <w:r w:rsidR="00C210C0" w:rsidRPr="004C2A59">
              <w:rPr>
                <w:color w:val="000000"/>
              </w:rPr>
              <w:t>ri</w:t>
            </w:r>
            <w:r w:rsidRPr="004C2A59">
              <w:rPr>
                <w:color w:val="000000"/>
              </w:rPr>
              <w:t>n</w:t>
            </w:r>
            <w:r w:rsidR="00C210C0" w:rsidRPr="004C2A59">
              <w:rPr>
                <w:color w:val="000000"/>
              </w:rPr>
              <w:t>g</w:t>
            </w:r>
          </w:p>
          <w:p w14:paraId="4645FF58" w14:textId="77777777" w:rsidR="007A71CD" w:rsidRPr="004C2A59" w:rsidRDefault="001D442A" w:rsidP="00421681">
            <w:pPr>
              <w:pStyle w:val="EndnoteText"/>
              <w:rPr>
                <w:color w:val="000000"/>
              </w:rPr>
            </w:pPr>
            <w:r w:rsidRPr="004C2A59">
              <w:rPr>
                <w:color w:val="000000"/>
              </w:rPr>
              <w:t>18 Gy i 10 fraktioner for patienter,</w:t>
            </w:r>
            <w:r w:rsidR="007A71CD" w:rsidRPr="004C2A59">
              <w:rPr>
                <w:color w:val="000000"/>
              </w:rPr>
              <w:t xml:space="preserve"> </w:t>
            </w:r>
            <w:r w:rsidRPr="004C2A59">
              <w:rPr>
                <w:color w:val="000000"/>
              </w:rPr>
              <w:t>som er CNS3 ved diagno</w:t>
            </w:r>
            <w:r w:rsidR="00FE3114" w:rsidRPr="004C2A59">
              <w:rPr>
                <w:color w:val="000000"/>
              </w:rPr>
              <w:t>stic</w:t>
            </w:r>
            <w:r w:rsidRPr="004C2A59">
              <w:rPr>
                <w:color w:val="000000"/>
              </w:rPr>
              <w:t>e</w:t>
            </w:r>
            <w:r w:rsidR="00C210C0" w:rsidRPr="004C2A59">
              <w:rPr>
                <w:color w:val="000000"/>
              </w:rPr>
              <w:t>ri</w:t>
            </w:r>
            <w:r w:rsidRPr="004C2A59">
              <w:rPr>
                <w:color w:val="000000"/>
              </w:rPr>
              <w:t>n</w:t>
            </w:r>
            <w:r w:rsidR="00C210C0" w:rsidRPr="004C2A59">
              <w:rPr>
                <w:color w:val="000000"/>
              </w:rPr>
              <w:t>g</w:t>
            </w:r>
          </w:p>
          <w:p w14:paraId="0661AC10" w14:textId="77777777" w:rsidR="007A71CD" w:rsidRPr="004C2A59" w:rsidRDefault="000249FB" w:rsidP="00421681">
            <w:pPr>
              <w:pStyle w:val="EndnoteText"/>
              <w:rPr>
                <w:color w:val="000000"/>
              </w:rPr>
            </w:pPr>
            <w:r w:rsidRPr="004C2A59">
              <w:rPr>
                <w:color w:val="000000"/>
              </w:rPr>
              <w:t>VCR (1,</w:t>
            </w:r>
            <w:r w:rsidR="007A71CD" w:rsidRPr="004C2A59">
              <w:rPr>
                <w:color w:val="000000"/>
              </w:rPr>
              <w:t>5 mg/m</w:t>
            </w:r>
            <w:r w:rsidR="007A71CD" w:rsidRPr="004C2A59">
              <w:rPr>
                <w:color w:val="000000"/>
                <w:vertAlign w:val="superscript"/>
              </w:rPr>
              <w:t>2</w:t>
            </w:r>
            <w:r w:rsidR="001D442A" w:rsidRPr="004C2A59">
              <w:rPr>
                <w:color w:val="000000"/>
              </w:rPr>
              <w:t>/dag</w:t>
            </w:r>
            <w:r w:rsidR="007A71CD" w:rsidRPr="004C2A59">
              <w:rPr>
                <w:color w:val="000000"/>
              </w:rPr>
              <w:t xml:space="preserve">, </w:t>
            </w:r>
            <w:r w:rsidR="00676589" w:rsidRPr="004C2A59">
              <w:rPr>
                <w:color w:val="000000"/>
              </w:rPr>
              <w:t>i.v.</w:t>
            </w:r>
            <w:r w:rsidR="007A71CD" w:rsidRPr="004C2A59">
              <w:rPr>
                <w:color w:val="000000"/>
              </w:rPr>
              <w:t xml:space="preserve">): </w:t>
            </w:r>
            <w:r w:rsidR="001D442A" w:rsidRPr="004C2A59">
              <w:rPr>
                <w:color w:val="000000"/>
              </w:rPr>
              <w:t>dag</w:t>
            </w:r>
            <w:r w:rsidR="007A71CD" w:rsidRPr="004C2A59">
              <w:rPr>
                <w:color w:val="000000"/>
              </w:rPr>
              <w:t> 1, 29</w:t>
            </w:r>
          </w:p>
          <w:p w14:paraId="6C129429" w14:textId="77777777" w:rsidR="007A71CD" w:rsidRPr="004C2A59" w:rsidRDefault="007A71CD" w:rsidP="00421681">
            <w:pPr>
              <w:pStyle w:val="EndnoteText"/>
              <w:rPr>
                <w:color w:val="000000"/>
              </w:rPr>
            </w:pPr>
            <w:r w:rsidRPr="004C2A59">
              <w:rPr>
                <w:color w:val="000000"/>
              </w:rPr>
              <w:t>DEX (6</w:t>
            </w:r>
            <w:r w:rsidR="007A1207" w:rsidRPr="004C2A59">
              <w:rPr>
                <w:color w:val="000000"/>
              </w:rPr>
              <w:t> </w:t>
            </w:r>
            <w:r w:rsidRPr="004C2A59">
              <w:rPr>
                <w:color w:val="000000"/>
              </w:rPr>
              <w:t>mg/m</w:t>
            </w:r>
            <w:r w:rsidRPr="004C2A59">
              <w:rPr>
                <w:color w:val="000000"/>
                <w:vertAlign w:val="superscript"/>
              </w:rPr>
              <w:t>2</w:t>
            </w:r>
            <w:r w:rsidR="001D442A" w:rsidRPr="004C2A59">
              <w:rPr>
                <w:color w:val="000000"/>
              </w:rPr>
              <w:t xml:space="preserve">/dag, </w:t>
            </w:r>
            <w:r w:rsidR="00676589" w:rsidRPr="004C2A59">
              <w:rPr>
                <w:color w:val="000000"/>
              </w:rPr>
              <w:t>p.o.</w:t>
            </w:r>
            <w:r w:rsidR="001D442A" w:rsidRPr="004C2A59">
              <w:rPr>
                <w:color w:val="000000"/>
              </w:rPr>
              <w:t>): dag</w:t>
            </w:r>
            <w:r w:rsidRPr="004C2A59">
              <w:rPr>
                <w:color w:val="000000"/>
              </w:rPr>
              <w:t> 1</w:t>
            </w:r>
            <w:r w:rsidRPr="004C2A59">
              <w:rPr>
                <w:color w:val="000000"/>
              </w:rPr>
              <w:noBreakHyphen/>
              <w:t>5; 29</w:t>
            </w:r>
            <w:r w:rsidRPr="004C2A59">
              <w:rPr>
                <w:color w:val="000000"/>
              </w:rPr>
              <w:noBreakHyphen/>
              <w:t>33</w:t>
            </w:r>
          </w:p>
          <w:p w14:paraId="1FCAEB7F" w14:textId="77777777" w:rsidR="007A71CD" w:rsidRPr="004C2A59" w:rsidRDefault="007A71CD" w:rsidP="00421681">
            <w:pPr>
              <w:pStyle w:val="EndnoteText"/>
              <w:rPr>
                <w:color w:val="000000"/>
              </w:rPr>
            </w:pPr>
            <w:r w:rsidRPr="004C2A59">
              <w:rPr>
                <w:color w:val="000000"/>
              </w:rPr>
              <w:t>6-MP (75 mg/m</w:t>
            </w:r>
            <w:r w:rsidRPr="004C2A59">
              <w:rPr>
                <w:color w:val="000000"/>
                <w:vertAlign w:val="superscript"/>
              </w:rPr>
              <w:t>2</w:t>
            </w:r>
            <w:r w:rsidR="001D442A" w:rsidRPr="004C2A59">
              <w:rPr>
                <w:color w:val="000000"/>
              </w:rPr>
              <w:t xml:space="preserve">/dag, </w:t>
            </w:r>
            <w:r w:rsidR="00676589" w:rsidRPr="004C2A59">
              <w:rPr>
                <w:color w:val="000000"/>
              </w:rPr>
              <w:t>p.o.</w:t>
            </w:r>
            <w:r w:rsidR="001D442A" w:rsidRPr="004C2A59">
              <w:rPr>
                <w:color w:val="000000"/>
              </w:rPr>
              <w:t>): dag 11</w:t>
            </w:r>
            <w:r w:rsidR="001D442A" w:rsidRPr="004C2A59">
              <w:rPr>
                <w:color w:val="000000"/>
              </w:rPr>
              <w:noBreakHyphen/>
              <w:t>56 (tilbagehold</w:t>
            </w:r>
            <w:r w:rsidRPr="004C2A59">
              <w:rPr>
                <w:color w:val="000000"/>
              </w:rPr>
              <w:t xml:space="preserve"> 6-MP </w:t>
            </w:r>
            <w:r w:rsidR="006D7C83" w:rsidRPr="004C2A59">
              <w:rPr>
                <w:color w:val="000000"/>
              </w:rPr>
              <w:t>i de 6</w:t>
            </w:r>
            <w:r w:rsidR="006D7C83" w:rsidRPr="004C2A59">
              <w:rPr>
                <w:color w:val="000000"/>
              </w:rPr>
              <w:noBreakHyphen/>
              <w:t xml:space="preserve">10 dage </w:t>
            </w:r>
            <w:r w:rsidR="00676589" w:rsidRPr="004C2A59">
              <w:rPr>
                <w:color w:val="000000"/>
              </w:rPr>
              <w:t xml:space="preserve"> </w:t>
            </w:r>
            <w:r w:rsidR="006D7C83" w:rsidRPr="004C2A59">
              <w:rPr>
                <w:color w:val="000000"/>
              </w:rPr>
              <w:t>med</w:t>
            </w:r>
            <w:r w:rsidRPr="004C2A59">
              <w:rPr>
                <w:color w:val="000000"/>
              </w:rPr>
              <w:t xml:space="preserve"> </w:t>
            </w:r>
            <w:r w:rsidR="006D7C83" w:rsidRPr="004C2A59">
              <w:rPr>
                <w:color w:val="000000"/>
              </w:rPr>
              <w:t>kraniebestråling m</w:t>
            </w:r>
            <w:r w:rsidR="00F709D9" w:rsidRPr="004C2A59">
              <w:rPr>
                <w:color w:val="000000"/>
              </w:rPr>
              <w:t>ed start</w:t>
            </w:r>
            <w:r w:rsidR="006D7C83" w:rsidRPr="004C2A59">
              <w:rPr>
                <w:color w:val="000000"/>
              </w:rPr>
              <w:t xml:space="preserve"> dag 1 </w:t>
            </w:r>
            <w:r w:rsidR="00EA0FCA" w:rsidRPr="004C2A59">
              <w:rPr>
                <w:color w:val="000000"/>
              </w:rPr>
              <w:t>i</w:t>
            </w:r>
            <w:r w:rsidR="00F709D9" w:rsidRPr="004C2A59">
              <w:rPr>
                <w:color w:val="000000"/>
              </w:rPr>
              <w:t xml:space="preserve"> c</w:t>
            </w:r>
            <w:r w:rsidR="006D7C83" w:rsidRPr="004C2A59">
              <w:rPr>
                <w:color w:val="000000"/>
              </w:rPr>
              <w:t>yklus</w:t>
            </w:r>
            <w:r w:rsidRPr="004C2A59">
              <w:rPr>
                <w:color w:val="000000"/>
              </w:rPr>
              <w:t xml:space="preserve"> 5. </w:t>
            </w:r>
            <w:r w:rsidR="006D7C83" w:rsidRPr="004C2A59">
              <w:rPr>
                <w:color w:val="000000"/>
              </w:rPr>
              <w:t>Start 6-MP den første dag</w:t>
            </w:r>
            <w:r w:rsidRPr="004C2A59">
              <w:rPr>
                <w:color w:val="000000"/>
              </w:rPr>
              <w:t xml:space="preserve"> </w:t>
            </w:r>
            <w:r w:rsidR="006D7C83" w:rsidRPr="004C2A59">
              <w:rPr>
                <w:color w:val="000000"/>
              </w:rPr>
              <w:t>e</w:t>
            </w:r>
            <w:r w:rsidRPr="004C2A59">
              <w:rPr>
                <w:color w:val="000000"/>
              </w:rPr>
              <w:t xml:space="preserve">fter </w:t>
            </w:r>
            <w:r w:rsidR="006D7C83" w:rsidRPr="004C2A59">
              <w:rPr>
                <w:color w:val="000000"/>
              </w:rPr>
              <w:t>gennemfør</w:t>
            </w:r>
            <w:r w:rsidR="00EA0FCA" w:rsidRPr="004C2A59">
              <w:rPr>
                <w:color w:val="000000"/>
              </w:rPr>
              <w:t>t</w:t>
            </w:r>
            <w:r w:rsidR="006D7C83" w:rsidRPr="004C2A59">
              <w:rPr>
                <w:color w:val="000000"/>
              </w:rPr>
              <w:t xml:space="preserve"> kraniebestråling</w:t>
            </w:r>
            <w:r w:rsidRPr="004C2A59">
              <w:rPr>
                <w:color w:val="000000"/>
              </w:rPr>
              <w:t>.)</w:t>
            </w:r>
          </w:p>
          <w:p w14:paraId="46B931B1" w14:textId="77777777" w:rsidR="007A71CD" w:rsidRPr="004C2A59" w:rsidRDefault="00717B89" w:rsidP="00421681">
            <w:pPr>
              <w:pStyle w:val="EndnoteText"/>
              <w:rPr>
                <w:color w:val="000000"/>
              </w:rPr>
            </w:pPr>
            <w:r w:rsidRPr="004C2A59">
              <w:rPr>
                <w:color w:val="000000"/>
              </w:rPr>
              <w:t>Methotrexat</w:t>
            </w:r>
            <w:r w:rsidR="007A71CD" w:rsidRPr="004C2A59">
              <w:rPr>
                <w:color w:val="000000"/>
              </w:rPr>
              <w:t xml:space="preserve"> (20 mg/m</w:t>
            </w:r>
            <w:r w:rsidR="007A71CD" w:rsidRPr="004C2A59">
              <w:rPr>
                <w:color w:val="000000"/>
                <w:vertAlign w:val="superscript"/>
              </w:rPr>
              <w:t>2</w:t>
            </w:r>
            <w:r w:rsidR="007A71CD" w:rsidRPr="004C2A59">
              <w:rPr>
                <w:color w:val="000000"/>
              </w:rPr>
              <w:t>/</w:t>
            </w:r>
            <w:r w:rsidR="006D7C83" w:rsidRPr="004C2A59">
              <w:rPr>
                <w:color w:val="000000"/>
              </w:rPr>
              <w:t xml:space="preserve">uge, </w:t>
            </w:r>
            <w:r w:rsidR="00676589" w:rsidRPr="004C2A59">
              <w:rPr>
                <w:color w:val="000000"/>
              </w:rPr>
              <w:t>p.o.</w:t>
            </w:r>
            <w:r w:rsidR="006D7C83" w:rsidRPr="004C2A59">
              <w:rPr>
                <w:color w:val="000000"/>
              </w:rPr>
              <w:t>): dag</w:t>
            </w:r>
            <w:r w:rsidR="007A71CD" w:rsidRPr="004C2A59">
              <w:rPr>
                <w:color w:val="000000"/>
              </w:rPr>
              <w:t>  8, 15, 22, 29, 36, 43, 50</w:t>
            </w:r>
          </w:p>
        </w:tc>
      </w:tr>
      <w:tr w:rsidR="007A71CD" w:rsidRPr="00F852D1" w14:paraId="523E8DC3" w14:textId="77777777" w:rsidTr="00A125B0">
        <w:trPr>
          <w:cantSplit/>
        </w:trPr>
        <w:tc>
          <w:tcPr>
            <w:tcW w:w="2357" w:type="dxa"/>
            <w:shd w:val="clear" w:color="auto" w:fill="auto"/>
          </w:tcPr>
          <w:p w14:paraId="1EAAC178" w14:textId="77777777" w:rsidR="007A71CD" w:rsidRPr="004C2A59" w:rsidRDefault="006D7C83" w:rsidP="00A125B0">
            <w:pPr>
              <w:pStyle w:val="EndnoteText"/>
              <w:keepNext/>
              <w:rPr>
                <w:color w:val="000000"/>
              </w:rPr>
            </w:pPr>
            <w:r w:rsidRPr="004C2A59">
              <w:rPr>
                <w:color w:val="000000"/>
              </w:rPr>
              <w:t>Vedligeholdelse</w:t>
            </w:r>
          </w:p>
          <w:p w14:paraId="17CCE71F" w14:textId="77777777" w:rsidR="007A71CD" w:rsidRPr="004C2A59" w:rsidRDefault="007A71CD" w:rsidP="00A125B0">
            <w:pPr>
              <w:pStyle w:val="EndnoteText"/>
              <w:keepNext/>
              <w:rPr>
                <w:color w:val="000000"/>
              </w:rPr>
            </w:pPr>
            <w:r w:rsidRPr="004C2A59">
              <w:rPr>
                <w:color w:val="000000"/>
              </w:rPr>
              <w:t>(8-</w:t>
            </w:r>
            <w:r w:rsidR="006D7C83" w:rsidRPr="004C2A59">
              <w:rPr>
                <w:color w:val="000000"/>
              </w:rPr>
              <w:t>ugers cykler</w:t>
            </w:r>
            <w:r w:rsidRPr="004C2A59">
              <w:rPr>
                <w:color w:val="000000"/>
              </w:rPr>
              <w:t>)</w:t>
            </w:r>
          </w:p>
          <w:p w14:paraId="2ACB5187" w14:textId="77777777" w:rsidR="007A71CD" w:rsidRPr="004C2A59" w:rsidRDefault="006D7C83" w:rsidP="00A125B0">
            <w:pPr>
              <w:pStyle w:val="EndnoteText"/>
              <w:keepNext/>
              <w:rPr>
                <w:color w:val="000000"/>
              </w:rPr>
            </w:pPr>
            <w:r w:rsidRPr="004C2A59">
              <w:rPr>
                <w:color w:val="000000"/>
              </w:rPr>
              <w:t>Cyklus</w:t>
            </w:r>
            <w:r w:rsidR="007A71CD" w:rsidRPr="004C2A59">
              <w:rPr>
                <w:color w:val="000000"/>
              </w:rPr>
              <w:t> 6</w:t>
            </w:r>
            <w:r w:rsidR="007A71CD" w:rsidRPr="004C2A59">
              <w:rPr>
                <w:color w:val="000000"/>
              </w:rPr>
              <w:noBreakHyphen/>
              <w:t>12</w:t>
            </w:r>
          </w:p>
        </w:tc>
        <w:tc>
          <w:tcPr>
            <w:tcW w:w="6924" w:type="dxa"/>
            <w:shd w:val="clear" w:color="auto" w:fill="auto"/>
          </w:tcPr>
          <w:p w14:paraId="55036389" w14:textId="77777777" w:rsidR="007A71CD" w:rsidRPr="004C2A59" w:rsidRDefault="000249FB" w:rsidP="00A125B0">
            <w:pPr>
              <w:pStyle w:val="EndnoteText"/>
              <w:keepNext/>
              <w:rPr>
                <w:color w:val="000000"/>
              </w:rPr>
            </w:pPr>
            <w:r w:rsidRPr="004C2A59">
              <w:rPr>
                <w:color w:val="000000"/>
              </w:rPr>
              <w:t>VCR (1,</w:t>
            </w:r>
            <w:r w:rsidR="007A71CD" w:rsidRPr="004C2A59">
              <w:rPr>
                <w:color w:val="000000"/>
              </w:rPr>
              <w:t>5 mg/m</w:t>
            </w:r>
            <w:r w:rsidR="007A71CD" w:rsidRPr="004C2A59">
              <w:rPr>
                <w:color w:val="000000"/>
                <w:vertAlign w:val="superscript"/>
              </w:rPr>
              <w:t>2</w:t>
            </w:r>
            <w:r w:rsidR="006D7C83" w:rsidRPr="004C2A59">
              <w:rPr>
                <w:color w:val="000000"/>
              </w:rPr>
              <w:t xml:space="preserve">/dag, </w:t>
            </w:r>
            <w:r w:rsidR="00676589" w:rsidRPr="004C2A59">
              <w:rPr>
                <w:color w:val="000000"/>
              </w:rPr>
              <w:t>i.v.</w:t>
            </w:r>
            <w:r w:rsidR="006D7C83" w:rsidRPr="004C2A59">
              <w:rPr>
                <w:color w:val="000000"/>
              </w:rPr>
              <w:t>: dag</w:t>
            </w:r>
            <w:r w:rsidR="007A71CD" w:rsidRPr="004C2A59">
              <w:rPr>
                <w:color w:val="000000"/>
              </w:rPr>
              <w:t> 1, 29</w:t>
            </w:r>
          </w:p>
          <w:p w14:paraId="7E0E6126" w14:textId="77777777" w:rsidR="007A71CD" w:rsidRPr="004C2A59" w:rsidRDefault="007A71CD" w:rsidP="00A125B0">
            <w:pPr>
              <w:pStyle w:val="EndnoteText"/>
              <w:keepNext/>
              <w:rPr>
                <w:color w:val="000000"/>
              </w:rPr>
            </w:pPr>
            <w:r w:rsidRPr="004C2A59">
              <w:rPr>
                <w:color w:val="000000"/>
              </w:rPr>
              <w:t>DEX (6 mg/m</w:t>
            </w:r>
            <w:r w:rsidRPr="004C2A59">
              <w:rPr>
                <w:color w:val="000000"/>
                <w:vertAlign w:val="superscript"/>
              </w:rPr>
              <w:t>2</w:t>
            </w:r>
            <w:r w:rsidR="006D7C83" w:rsidRPr="004C2A59">
              <w:rPr>
                <w:color w:val="000000"/>
              </w:rPr>
              <w:t xml:space="preserve">/dag, </w:t>
            </w:r>
            <w:r w:rsidR="00676589" w:rsidRPr="004C2A59">
              <w:rPr>
                <w:color w:val="000000"/>
              </w:rPr>
              <w:t>p.o.</w:t>
            </w:r>
            <w:r w:rsidR="006D7C83" w:rsidRPr="004C2A59">
              <w:rPr>
                <w:color w:val="000000"/>
              </w:rPr>
              <w:t>): dag</w:t>
            </w:r>
            <w:r w:rsidRPr="004C2A59">
              <w:rPr>
                <w:color w:val="000000"/>
              </w:rPr>
              <w:t> 1</w:t>
            </w:r>
            <w:r w:rsidRPr="004C2A59">
              <w:rPr>
                <w:color w:val="000000"/>
              </w:rPr>
              <w:noBreakHyphen/>
              <w:t>5; 29</w:t>
            </w:r>
            <w:r w:rsidRPr="004C2A59">
              <w:rPr>
                <w:color w:val="000000"/>
              </w:rPr>
              <w:noBreakHyphen/>
              <w:t>33</w:t>
            </w:r>
          </w:p>
          <w:p w14:paraId="08B1DB9B" w14:textId="77777777" w:rsidR="007A71CD" w:rsidRPr="004C2A59" w:rsidRDefault="007A71CD" w:rsidP="00A125B0">
            <w:pPr>
              <w:pStyle w:val="EndnoteText"/>
              <w:keepNext/>
              <w:rPr>
                <w:color w:val="000000"/>
              </w:rPr>
            </w:pPr>
            <w:r w:rsidRPr="004C2A59">
              <w:rPr>
                <w:color w:val="000000"/>
              </w:rPr>
              <w:t>6-MP (75 mg/m</w:t>
            </w:r>
            <w:r w:rsidRPr="004C2A59">
              <w:rPr>
                <w:color w:val="000000"/>
                <w:vertAlign w:val="superscript"/>
              </w:rPr>
              <w:t>2</w:t>
            </w:r>
            <w:r w:rsidR="006D7C83" w:rsidRPr="004C2A59">
              <w:rPr>
                <w:color w:val="000000"/>
              </w:rPr>
              <w:t xml:space="preserve">/dag, </w:t>
            </w:r>
            <w:r w:rsidR="00676589" w:rsidRPr="004C2A59">
              <w:rPr>
                <w:color w:val="000000"/>
              </w:rPr>
              <w:t>p.o.</w:t>
            </w:r>
            <w:r w:rsidR="006D7C83" w:rsidRPr="004C2A59">
              <w:rPr>
                <w:color w:val="000000"/>
              </w:rPr>
              <w:t>): dag</w:t>
            </w:r>
            <w:r w:rsidRPr="004C2A59">
              <w:rPr>
                <w:color w:val="000000"/>
              </w:rPr>
              <w:t> 1</w:t>
            </w:r>
            <w:r w:rsidRPr="004C2A59">
              <w:rPr>
                <w:color w:val="000000"/>
              </w:rPr>
              <w:noBreakHyphen/>
              <w:t>56</w:t>
            </w:r>
          </w:p>
          <w:p w14:paraId="2A4272E5" w14:textId="77777777" w:rsidR="007A71CD" w:rsidRPr="004C2A59" w:rsidRDefault="00717B89" w:rsidP="00A125B0">
            <w:pPr>
              <w:pStyle w:val="EndnoteText"/>
              <w:keepNext/>
              <w:rPr>
                <w:color w:val="000000"/>
              </w:rPr>
            </w:pPr>
            <w:r w:rsidRPr="004C2A59">
              <w:rPr>
                <w:color w:val="000000"/>
              </w:rPr>
              <w:t>Methotrexat</w:t>
            </w:r>
            <w:r w:rsidR="007A71CD" w:rsidRPr="004C2A59">
              <w:rPr>
                <w:color w:val="000000"/>
              </w:rPr>
              <w:t xml:space="preserve"> (20 mg/m</w:t>
            </w:r>
            <w:r w:rsidR="007A71CD" w:rsidRPr="004C2A59">
              <w:rPr>
                <w:color w:val="000000"/>
                <w:vertAlign w:val="superscript"/>
              </w:rPr>
              <w:t>2</w:t>
            </w:r>
            <w:r w:rsidR="007A71CD" w:rsidRPr="004C2A59">
              <w:rPr>
                <w:color w:val="000000"/>
              </w:rPr>
              <w:t>/</w:t>
            </w:r>
            <w:r w:rsidR="006D7C83" w:rsidRPr="004C2A59">
              <w:rPr>
                <w:color w:val="000000"/>
              </w:rPr>
              <w:t xml:space="preserve">uge, </w:t>
            </w:r>
            <w:r w:rsidR="00676589" w:rsidRPr="004C2A59">
              <w:rPr>
                <w:color w:val="000000"/>
              </w:rPr>
              <w:t>p.o.</w:t>
            </w:r>
            <w:r w:rsidR="006D7C83" w:rsidRPr="004C2A59">
              <w:rPr>
                <w:color w:val="000000"/>
              </w:rPr>
              <w:t>): dag</w:t>
            </w:r>
            <w:r w:rsidR="007A71CD" w:rsidRPr="004C2A59">
              <w:rPr>
                <w:color w:val="000000"/>
              </w:rPr>
              <w:t> 1, 8, 15, 22, 29, 36, 43, 50</w:t>
            </w:r>
            <w:r w:rsidR="00676589" w:rsidRPr="004C2A59">
              <w:rPr>
                <w:color w:val="000000"/>
              </w:rPr>
              <w:t xml:space="preserve"> </w:t>
            </w:r>
          </w:p>
        </w:tc>
      </w:tr>
    </w:tbl>
    <w:p w14:paraId="44D1521F" w14:textId="77777777" w:rsidR="006D7C83" w:rsidRPr="004C2A59" w:rsidRDefault="00717B89" w:rsidP="00A125B0">
      <w:pPr>
        <w:pStyle w:val="EndnoteText"/>
        <w:keepLines/>
        <w:rPr>
          <w:color w:val="000000"/>
          <w:szCs w:val="22"/>
        </w:rPr>
      </w:pPr>
      <w:r w:rsidRPr="004C2A59">
        <w:rPr>
          <w:color w:val="000000"/>
          <w:szCs w:val="22"/>
        </w:rPr>
        <w:t>G-CSF = granulocyt</w:t>
      </w:r>
      <w:r w:rsidR="00EA0FCA" w:rsidRPr="004C2A59">
        <w:rPr>
          <w:color w:val="000000"/>
          <w:szCs w:val="22"/>
        </w:rPr>
        <w:t>-</w:t>
      </w:r>
      <w:r w:rsidRPr="004C2A59">
        <w:rPr>
          <w:color w:val="000000"/>
          <w:szCs w:val="22"/>
        </w:rPr>
        <w:t>koloni</w:t>
      </w:r>
      <w:r w:rsidR="00EA0FCA" w:rsidRPr="004C2A59">
        <w:rPr>
          <w:color w:val="000000"/>
          <w:szCs w:val="22"/>
        </w:rPr>
        <w:t>-</w:t>
      </w:r>
      <w:r w:rsidRPr="004C2A59">
        <w:rPr>
          <w:color w:val="000000"/>
          <w:szCs w:val="22"/>
        </w:rPr>
        <w:t>stimulerende fak</w:t>
      </w:r>
      <w:r w:rsidR="006D7C83" w:rsidRPr="004C2A59">
        <w:rPr>
          <w:color w:val="000000"/>
          <w:szCs w:val="22"/>
        </w:rPr>
        <w:t>tor, VP-16</w:t>
      </w:r>
      <w:r w:rsidRPr="004C2A59">
        <w:rPr>
          <w:color w:val="000000"/>
          <w:szCs w:val="22"/>
        </w:rPr>
        <w:t xml:space="preserve"> = etoposid, MTX = methotrexat</w:t>
      </w:r>
      <w:r w:rsidR="006D7C83" w:rsidRPr="004C2A59">
        <w:rPr>
          <w:color w:val="000000"/>
          <w:szCs w:val="22"/>
        </w:rPr>
        <w:t xml:space="preserve">, </w:t>
      </w:r>
      <w:r w:rsidR="00EA0FCA" w:rsidRPr="004C2A59">
        <w:rPr>
          <w:color w:val="000000"/>
          <w:szCs w:val="22"/>
        </w:rPr>
        <w:t>i.v.</w:t>
      </w:r>
      <w:r w:rsidR="006D7C83" w:rsidRPr="004C2A59">
        <w:rPr>
          <w:color w:val="000000"/>
          <w:szCs w:val="22"/>
        </w:rPr>
        <w:t xml:space="preserve"> = </w:t>
      </w:r>
      <w:r w:rsidRPr="004C2A59">
        <w:rPr>
          <w:color w:val="000000"/>
          <w:szCs w:val="22"/>
        </w:rPr>
        <w:t>intravenøs</w:t>
      </w:r>
      <w:r w:rsidR="006D7C83" w:rsidRPr="004C2A59">
        <w:rPr>
          <w:color w:val="000000"/>
          <w:szCs w:val="22"/>
        </w:rPr>
        <w:t xml:space="preserve">, </w:t>
      </w:r>
      <w:r w:rsidR="00EA0FCA" w:rsidRPr="004C2A59">
        <w:rPr>
          <w:color w:val="000000"/>
          <w:szCs w:val="22"/>
        </w:rPr>
        <w:t>s.c.</w:t>
      </w:r>
      <w:r w:rsidR="006D7C83" w:rsidRPr="004C2A59">
        <w:rPr>
          <w:color w:val="000000"/>
          <w:szCs w:val="22"/>
        </w:rPr>
        <w:t xml:space="preserve"> = sub</w:t>
      </w:r>
      <w:r w:rsidRPr="004C2A59">
        <w:rPr>
          <w:color w:val="000000"/>
          <w:szCs w:val="22"/>
        </w:rPr>
        <w:t xml:space="preserve">kutan, </w:t>
      </w:r>
      <w:r w:rsidR="00EA0FCA" w:rsidRPr="004C2A59">
        <w:rPr>
          <w:color w:val="000000"/>
          <w:szCs w:val="22"/>
        </w:rPr>
        <w:t>i.t.</w:t>
      </w:r>
      <w:r w:rsidRPr="004C2A59">
        <w:rPr>
          <w:color w:val="000000"/>
          <w:szCs w:val="22"/>
        </w:rPr>
        <w:t xml:space="preserve"> = intratekal, </w:t>
      </w:r>
      <w:r w:rsidR="00EA0FCA" w:rsidRPr="004C2A59">
        <w:rPr>
          <w:color w:val="000000"/>
          <w:szCs w:val="22"/>
        </w:rPr>
        <w:t>p.o.</w:t>
      </w:r>
      <w:r w:rsidRPr="004C2A59">
        <w:rPr>
          <w:color w:val="000000"/>
          <w:szCs w:val="22"/>
        </w:rPr>
        <w:t xml:space="preserve"> = oral, </w:t>
      </w:r>
      <w:r w:rsidR="00EA0FCA" w:rsidRPr="004C2A59">
        <w:rPr>
          <w:color w:val="000000"/>
          <w:szCs w:val="22"/>
        </w:rPr>
        <w:t>i.m.</w:t>
      </w:r>
      <w:r w:rsidRPr="004C2A59">
        <w:rPr>
          <w:color w:val="000000"/>
          <w:szCs w:val="22"/>
        </w:rPr>
        <w:t xml:space="preserve"> = intramuskulær, ARA-C = cytarabin, CPM = cyclophosphamid</w:t>
      </w:r>
      <w:r w:rsidR="006D7C83" w:rsidRPr="004C2A59">
        <w:rPr>
          <w:color w:val="000000"/>
          <w:szCs w:val="22"/>
        </w:rPr>
        <w:t xml:space="preserve">, VCR = </w:t>
      </w:r>
      <w:r w:rsidR="006A552E" w:rsidRPr="004C2A59">
        <w:rPr>
          <w:color w:val="000000"/>
          <w:szCs w:val="22"/>
        </w:rPr>
        <w:t>vinkristin</w:t>
      </w:r>
      <w:r w:rsidR="006D7C83" w:rsidRPr="004C2A59">
        <w:rPr>
          <w:color w:val="000000"/>
          <w:szCs w:val="22"/>
        </w:rPr>
        <w:t xml:space="preserve">, DEX = dexamethason, DAUN = daunorubicin, 6-MP = 6-mercaptopurin, </w:t>
      </w:r>
      <w:r w:rsidR="006D7C83" w:rsidRPr="004C2A59">
        <w:rPr>
          <w:i/>
          <w:color w:val="000000"/>
          <w:szCs w:val="22"/>
        </w:rPr>
        <w:t>E.Coli</w:t>
      </w:r>
      <w:r w:rsidR="006D7C83" w:rsidRPr="004C2A59">
        <w:rPr>
          <w:color w:val="000000"/>
          <w:szCs w:val="22"/>
        </w:rPr>
        <w:t xml:space="preserve"> L-ASP = L-asparaginase, PEG-ASP = PEG asparaginase, MESNA= 2-mercaptoe</w:t>
      </w:r>
      <w:r w:rsidR="006A552E" w:rsidRPr="004C2A59">
        <w:rPr>
          <w:color w:val="000000"/>
          <w:szCs w:val="22"/>
        </w:rPr>
        <w:t>than</w:t>
      </w:r>
      <w:r w:rsidR="00EA0FCA" w:rsidRPr="004C2A59">
        <w:rPr>
          <w:color w:val="000000"/>
          <w:szCs w:val="22"/>
        </w:rPr>
        <w:t>-</w:t>
      </w:r>
      <w:r w:rsidR="003F69A9" w:rsidRPr="004C2A59">
        <w:rPr>
          <w:color w:val="000000"/>
          <w:szCs w:val="22"/>
        </w:rPr>
        <w:t>natrium</w:t>
      </w:r>
      <w:r w:rsidR="006A552E" w:rsidRPr="004C2A59">
        <w:rPr>
          <w:color w:val="000000"/>
          <w:szCs w:val="22"/>
        </w:rPr>
        <w:t>sulfonat, iii= eller indtil</w:t>
      </w:r>
      <w:r w:rsidR="006D7C83" w:rsidRPr="004C2A59">
        <w:rPr>
          <w:color w:val="000000"/>
          <w:szCs w:val="22"/>
        </w:rPr>
        <w:t xml:space="preserve"> MTX</w:t>
      </w:r>
      <w:r w:rsidR="00EA0FCA" w:rsidRPr="004C2A59">
        <w:rPr>
          <w:color w:val="000000"/>
          <w:szCs w:val="22"/>
        </w:rPr>
        <w:t>-</w:t>
      </w:r>
      <w:r w:rsidR="006A552E" w:rsidRPr="004C2A59">
        <w:rPr>
          <w:color w:val="000000"/>
          <w:szCs w:val="22"/>
        </w:rPr>
        <w:t>niveauet</w:t>
      </w:r>
      <w:r w:rsidR="006D7C83" w:rsidRPr="004C2A59">
        <w:rPr>
          <w:color w:val="000000"/>
          <w:szCs w:val="22"/>
        </w:rPr>
        <w:t xml:space="preserve"> </w:t>
      </w:r>
      <w:r w:rsidR="006A552E" w:rsidRPr="004C2A59">
        <w:rPr>
          <w:color w:val="000000"/>
          <w:szCs w:val="22"/>
        </w:rPr>
        <w:t>er &lt;0,</w:t>
      </w:r>
      <w:r w:rsidR="006D7C83" w:rsidRPr="004C2A59">
        <w:rPr>
          <w:color w:val="000000"/>
          <w:szCs w:val="22"/>
        </w:rPr>
        <w:t>1 µM, Gy= Gray</w:t>
      </w:r>
    </w:p>
    <w:p w14:paraId="2D4858C3" w14:textId="77777777" w:rsidR="007A71CD" w:rsidRPr="004C2A59" w:rsidRDefault="007A71CD" w:rsidP="00421681">
      <w:pPr>
        <w:pStyle w:val="EndnoteText"/>
        <w:rPr>
          <w:color w:val="000000"/>
          <w:szCs w:val="22"/>
        </w:rPr>
      </w:pPr>
    </w:p>
    <w:p w14:paraId="4B820116" w14:textId="77777777" w:rsidR="006A552E" w:rsidRPr="004C2A59" w:rsidRDefault="006A552E" w:rsidP="00421681">
      <w:pPr>
        <w:pStyle w:val="EndnoteText"/>
        <w:rPr>
          <w:color w:val="000000"/>
          <w:szCs w:val="22"/>
        </w:rPr>
      </w:pPr>
      <w:r w:rsidRPr="004C2A59">
        <w:rPr>
          <w:color w:val="000000"/>
          <w:szCs w:val="22"/>
        </w:rPr>
        <w:t>Studie AIT07 var et multicenter, åbent, randomiseret, fase II/III</w:t>
      </w:r>
      <w:r w:rsidR="008B7567" w:rsidRPr="004C2A59">
        <w:rPr>
          <w:color w:val="000000"/>
          <w:szCs w:val="22"/>
        </w:rPr>
        <w:t>-</w:t>
      </w:r>
      <w:r w:rsidRPr="004C2A59">
        <w:rPr>
          <w:color w:val="000000"/>
          <w:szCs w:val="22"/>
        </w:rPr>
        <w:t>studie, der inkluderede 128 patienter (1 til</w:t>
      </w:r>
      <w:r w:rsidR="008B7567" w:rsidRPr="004C2A59">
        <w:rPr>
          <w:color w:val="000000"/>
          <w:szCs w:val="22"/>
        </w:rPr>
        <w:t xml:space="preserve"> </w:t>
      </w:r>
      <w:r w:rsidRPr="004C2A59">
        <w:rPr>
          <w:color w:val="000000"/>
          <w:szCs w:val="22"/>
        </w:rPr>
        <w:t xml:space="preserve">&lt;18 år), som fik behandling med imatinib i kombination med kemoterapi. Sikkerhedsdata fra dette studie </w:t>
      </w:r>
      <w:r w:rsidR="00EB5F1C" w:rsidRPr="004C2A59">
        <w:rPr>
          <w:color w:val="000000"/>
          <w:szCs w:val="22"/>
        </w:rPr>
        <w:t>synes at være i overensstemmelse med</w:t>
      </w:r>
      <w:r w:rsidR="005A432D" w:rsidRPr="004C2A59">
        <w:rPr>
          <w:color w:val="000000"/>
          <w:szCs w:val="22"/>
        </w:rPr>
        <w:t xml:space="preserve"> sikkersprofil</w:t>
      </w:r>
      <w:r w:rsidR="00EB5F1C" w:rsidRPr="004C2A59">
        <w:rPr>
          <w:color w:val="000000"/>
          <w:szCs w:val="22"/>
        </w:rPr>
        <w:t>en</w:t>
      </w:r>
      <w:r w:rsidR="005A432D" w:rsidRPr="004C2A59">
        <w:rPr>
          <w:color w:val="000000"/>
          <w:szCs w:val="22"/>
        </w:rPr>
        <w:t xml:space="preserve"> for imatinib </w:t>
      </w:r>
      <w:r w:rsidR="005F0C85" w:rsidRPr="004C2A59">
        <w:rPr>
          <w:color w:val="000000"/>
          <w:szCs w:val="22"/>
        </w:rPr>
        <w:t>hos</w:t>
      </w:r>
      <w:r w:rsidR="005A432D" w:rsidRPr="004C2A59">
        <w:rPr>
          <w:color w:val="000000"/>
          <w:szCs w:val="22"/>
        </w:rPr>
        <w:t xml:space="preserve"> Ph+ ALL</w:t>
      </w:r>
      <w:r w:rsidR="008B7567" w:rsidRPr="004C2A59">
        <w:rPr>
          <w:color w:val="000000"/>
          <w:szCs w:val="22"/>
        </w:rPr>
        <w:t>-</w:t>
      </w:r>
      <w:r w:rsidR="005A432D" w:rsidRPr="004C2A59">
        <w:rPr>
          <w:color w:val="000000"/>
          <w:szCs w:val="22"/>
        </w:rPr>
        <w:t>patienter.</w:t>
      </w:r>
    </w:p>
    <w:p w14:paraId="5570976F" w14:textId="77777777" w:rsidR="0060216E" w:rsidRPr="004C2A59" w:rsidRDefault="0060216E" w:rsidP="00421681">
      <w:pPr>
        <w:pStyle w:val="EndnoteText"/>
        <w:rPr>
          <w:color w:val="000000"/>
          <w:szCs w:val="22"/>
        </w:rPr>
      </w:pPr>
    </w:p>
    <w:p w14:paraId="5B6E737C" w14:textId="77777777" w:rsidR="005A263B" w:rsidRPr="004C2A59" w:rsidRDefault="005A263B" w:rsidP="00421681">
      <w:pPr>
        <w:pStyle w:val="EndnoteText"/>
        <w:tabs>
          <w:tab w:val="clear" w:pos="567"/>
        </w:tabs>
        <w:rPr>
          <w:color w:val="000000"/>
          <w:szCs w:val="22"/>
        </w:rPr>
      </w:pPr>
      <w:r w:rsidRPr="004C2A59">
        <w:rPr>
          <w:i/>
          <w:color w:val="000000"/>
          <w:szCs w:val="22"/>
        </w:rPr>
        <w:t xml:space="preserve">Recidiverendet/refraktær Ph+ </w:t>
      </w:r>
      <w:smartTag w:uri="urn:schemas-microsoft-com:office:smarttags" w:element="metricconverter">
        <w:r w:rsidRPr="004C2A59">
          <w:rPr>
            <w:i/>
            <w:color w:val="000000"/>
            <w:szCs w:val="22"/>
          </w:rPr>
          <w:t>ALL</w:t>
        </w:r>
      </w:smartTag>
      <w:r w:rsidRPr="004C2A59">
        <w:rPr>
          <w:i/>
          <w:color w:val="000000"/>
          <w:szCs w:val="22"/>
        </w:rPr>
        <w:t>:</w:t>
      </w:r>
      <w:r w:rsidRPr="004C2A59">
        <w:rPr>
          <w:color w:val="000000"/>
          <w:szCs w:val="22"/>
        </w:rPr>
        <w:t xml:space="preserve"> Da imatinib blev brugt som enkeltstofbehandling ved recidiverende/refraktær Ph+ </w:t>
      </w:r>
      <w:smartTag w:uri="urn:schemas-microsoft-com:office:smarttags" w:element="metricconverter">
        <w:r w:rsidRPr="004C2A59">
          <w:rPr>
            <w:color w:val="000000"/>
            <w:szCs w:val="22"/>
          </w:rPr>
          <w:t>ALL</w:t>
        </w:r>
      </w:smartTag>
      <w:r w:rsidRPr="004C2A59">
        <w:rPr>
          <w:color w:val="000000"/>
          <w:szCs w:val="22"/>
        </w:rPr>
        <w:t xml:space="preserve"> var resultatet hos 53 ud af 411 evaluerbare patienter en hæmatologisk responsrate på 30% (9% komplet) og en væsentlig cytogenetisk responsrate på 23%. (Det skal bemærkes, at af de 411 patienter blev 353 behandlet i et program med udvidet adgang til behandling uden indsamling af primære responsdata). Mediantid før progression varierede i den samlede population af 411 patienter med recidiverende/refraktær Ph+ </w:t>
      </w:r>
      <w:smartTag w:uri="urn:schemas-microsoft-com:office:smarttags" w:element="metricconverter">
        <w:r w:rsidRPr="004C2A59">
          <w:rPr>
            <w:color w:val="000000"/>
            <w:szCs w:val="22"/>
          </w:rPr>
          <w:t>ALL</w:t>
        </w:r>
      </w:smartTag>
      <w:r w:rsidRPr="004C2A59">
        <w:rPr>
          <w:color w:val="000000"/>
          <w:szCs w:val="22"/>
        </w:rPr>
        <w:t xml:space="preserve"> fra 2,6 til 3,1 måned, og median for samlet overlevelse hos de 401 evaluerbare patienter varierede fra 4,9 til 9 måneder. Der blev opnået samme data ved reanalyse med inklusion kun af patienter i en alder af over 55 år.</w:t>
      </w:r>
    </w:p>
    <w:p w14:paraId="3751470C" w14:textId="77777777" w:rsidR="005A263B" w:rsidRPr="004C2A59" w:rsidRDefault="005A263B" w:rsidP="00421681">
      <w:pPr>
        <w:pStyle w:val="EndnoteText"/>
        <w:tabs>
          <w:tab w:val="clear" w:pos="567"/>
        </w:tabs>
        <w:rPr>
          <w:color w:val="000000"/>
          <w:szCs w:val="22"/>
          <w:u w:val="single"/>
        </w:rPr>
      </w:pPr>
    </w:p>
    <w:p w14:paraId="441F5985" w14:textId="77777777" w:rsidR="00F163F6" w:rsidRPr="004C2A59" w:rsidRDefault="00F163F6" w:rsidP="00A125B0">
      <w:pPr>
        <w:pStyle w:val="EndnoteText"/>
        <w:keepNext/>
        <w:tabs>
          <w:tab w:val="clear" w:pos="567"/>
        </w:tabs>
        <w:rPr>
          <w:color w:val="000000"/>
          <w:szCs w:val="22"/>
          <w:u w:val="single"/>
        </w:rPr>
      </w:pPr>
      <w:r w:rsidRPr="004C2A59">
        <w:rPr>
          <w:color w:val="000000"/>
          <w:szCs w:val="22"/>
          <w:u w:val="single"/>
        </w:rPr>
        <w:t xml:space="preserve">Kliniske undersøgelser vedrørende </w:t>
      </w:r>
      <w:smartTag w:uri="urn:schemas-microsoft-com:office:smarttags" w:element="metricconverter">
        <w:r w:rsidRPr="004C2A59">
          <w:rPr>
            <w:color w:val="000000"/>
            <w:szCs w:val="22"/>
            <w:u w:val="single"/>
          </w:rPr>
          <w:t>MDS</w:t>
        </w:r>
      </w:smartTag>
      <w:r w:rsidRPr="004C2A59">
        <w:rPr>
          <w:color w:val="000000"/>
          <w:szCs w:val="22"/>
          <w:u w:val="single"/>
        </w:rPr>
        <w:t>/MPD</w:t>
      </w:r>
    </w:p>
    <w:p w14:paraId="01BA2C12" w14:textId="77777777" w:rsidR="00BB5355" w:rsidRDefault="00F163F6" w:rsidP="00421681">
      <w:pPr>
        <w:pStyle w:val="EndnoteText"/>
        <w:tabs>
          <w:tab w:val="clear" w:pos="567"/>
        </w:tabs>
        <w:rPr>
          <w:color w:val="000000"/>
          <w:szCs w:val="22"/>
        </w:rPr>
      </w:pPr>
      <w:r w:rsidRPr="004C2A59">
        <w:rPr>
          <w:color w:val="000000"/>
          <w:szCs w:val="22"/>
        </w:rPr>
        <w:t>Der er meget begrænset erfaring med Glivec ved denne indikation</w:t>
      </w:r>
      <w:r w:rsidR="00773596" w:rsidRPr="004C2A59">
        <w:rPr>
          <w:color w:val="000000"/>
          <w:szCs w:val="22"/>
        </w:rPr>
        <w:t>, og den</w:t>
      </w:r>
      <w:r w:rsidR="003F2C4E" w:rsidRPr="004C2A59">
        <w:rPr>
          <w:color w:val="000000"/>
          <w:szCs w:val="22"/>
        </w:rPr>
        <w:t xml:space="preserve"> </w:t>
      </w:r>
      <w:r w:rsidRPr="004C2A59">
        <w:rPr>
          <w:color w:val="000000"/>
          <w:szCs w:val="22"/>
        </w:rPr>
        <w:t>er baseret på hæmatologiske og cytogenetiske responsrater. Der er ingen kontrollerede undersøgelser</w:t>
      </w:r>
      <w:r w:rsidR="00773596" w:rsidRPr="004C2A59">
        <w:rPr>
          <w:color w:val="000000"/>
          <w:szCs w:val="22"/>
        </w:rPr>
        <w:t>,</w:t>
      </w:r>
      <w:r w:rsidRPr="004C2A59">
        <w:rPr>
          <w:color w:val="000000"/>
          <w:szCs w:val="22"/>
        </w:rPr>
        <w:t xml:space="preserve"> der påviser klinisk gavn eller øget overlevelse. Der er udført et åbent multicenter, </w:t>
      </w:r>
      <w:r w:rsidR="00471A72" w:rsidRPr="004C2A59">
        <w:rPr>
          <w:color w:val="000000"/>
          <w:szCs w:val="22"/>
        </w:rPr>
        <w:t>klinisk fase II-</w:t>
      </w:r>
      <w:r w:rsidRPr="004C2A59">
        <w:rPr>
          <w:color w:val="000000"/>
          <w:szCs w:val="22"/>
        </w:rPr>
        <w:t>studie (st</w:t>
      </w:r>
      <w:r w:rsidR="003F2C4E" w:rsidRPr="004C2A59">
        <w:rPr>
          <w:color w:val="000000"/>
          <w:szCs w:val="22"/>
        </w:rPr>
        <w:t>u</w:t>
      </w:r>
      <w:r w:rsidRPr="004C2A59">
        <w:rPr>
          <w:color w:val="000000"/>
          <w:szCs w:val="22"/>
        </w:rPr>
        <w:t xml:space="preserve">die B2225) </w:t>
      </w:r>
      <w:r w:rsidR="003F2C4E" w:rsidRPr="004C2A59">
        <w:rPr>
          <w:color w:val="000000"/>
          <w:szCs w:val="22"/>
        </w:rPr>
        <w:t xml:space="preserve">med henblik på vurdering af Glivec i en blandet </w:t>
      </w:r>
      <w:r w:rsidR="000377CD" w:rsidRPr="004C2A59">
        <w:rPr>
          <w:color w:val="000000"/>
          <w:szCs w:val="22"/>
        </w:rPr>
        <w:t>patient</w:t>
      </w:r>
      <w:r w:rsidR="003F2C4E" w:rsidRPr="004C2A59">
        <w:rPr>
          <w:color w:val="000000"/>
          <w:szCs w:val="22"/>
        </w:rPr>
        <w:t>pop</w:t>
      </w:r>
      <w:r w:rsidR="00773596" w:rsidRPr="004C2A59">
        <w:rPr>
          <w:color w:val="000000"/>
          <w:szCs w:val="22"/>
        </w:rPr>
        <w:t>ulation</w:t>
      </w:r>
      <w:r w:rsidR="003F2C4E" w:rsidRPr="004C2A59">
        <w:rPr>
          <w:color w:val="000000"/>
          <w:szCs w:val="22"/>
        </w:rPr>
        <w:t xml:space="preserve"> med livstruende sy</w:t>
      </w:r>
      <w:r w:rsidR="00234E95" w:rsidRPr="004C2A59">
        <w:rPr>
          <w:color w:val="000000"/>
          <w:szCs w:val="22"/>
        </w:rPr>
        <w:t>g</w:t>
      </w:r>
      <w:r w:rsidR="003F2C4E" w:rsidRPr="004C2A59">
        <w:rPr>
          <w:color w:val="000000"/>
          <w:szCs w:val="22"/>
        </w:rPr>
        <w:t>domme forbundet med Abl, Kit eller PDGFR protein-tyrosinkinaser. I dette studie indgik 7</w:t>
      </w:r>
      <w:r w:rsidR="00713F01" w:rsidRPr="004C2A59">
        <w:rPr>
          <w:color w:val="000000"/>
          <w:szCs w:val="22"/>
        </w:rPr>
        <w:t> </w:t>
      </w:r>
      <w:r w:rsidR="003F2C4E" w:rsidRPr="004C2A59">
        <w:rPr>
          <w:color w:val="000000"/>
          <w:szCs w:val="22"/>
        </w:rPr>
        <w:t xml:space="preserve">patienter med </w:t>
      </w:r>
      <w:smartTag w:uri="urn:schemas-microsoft-com:office:smarttags" w:element="metricconverter">
        <w:r w:rsidR="003F2C4E" w:rsidRPr="004C2A59">
          <w:rPr>
            <w:color w:val="000000"/>
            <w:szCs w:val="22"/>
          </w:rPr>
          <w:t>MDS</w:t>
        </w:r>
      </w:smartTag>
      <w:r w:rsidR="003F2C4E" w:rsidRPr="004C2A59">
        <w:rPr>
          <w:color w:val="000000"/>
          <w:szCs w:val="22"/>
        </w:rPr>
        <w:t>/MPD, som blev behandlet med 400 mg Glivec daglig. Tre patienter viste komplet hæmatologisk respons (</w:t>
      </w:r>
      <w:smartTag w:uri="urn:schemas-microsoft-com:office:smarttags" w:element="metricconverter">
        <w:r w:rsidR="003F2C4E" w:rsidRPr="004C2A59">
          <w:rPr>
            <w:color w:val="000000"/>
            <w:szCs w:val="22"/>
          </w:rPr>
          <w:t>CHR</w:t>
        </w:r>
      </w:smartTag>
      <w:r w:rsidR="003F2C4E" w:rsidRPr="004C2A59">
        <w:rPr>
          <w:color w:val="000000"/>
          <w:szCs w:val="22"/>
        </w:rPr>
        <w:t>) og en patient viste partiel hæmatologisk respons (</w:t>
      </w:r>
      <w:smartTag w:uri="urn:schemas-microsoft-com:office:smarttags" w:element="metricconverter">
        <w:r w:rsidR="003F2C4E" w:rsidRPr="004C2A59">
          <w:rPr>
            <w:color w:val="000000"/>
            <w:szCs w:val="22"/>
          </w:rPr>
          <w:t>PHR</w:t>
        </w:r>
      </w:smartTag>
      <w:r w:rsidR="003F2C4E" w:rsidRPr="004C2A59">
        <w:rPr>
          <w:color w:val="000000"/>
          <w:szCs w:val="22"/>
        </w:rPr>
        <w:t xml:space="preserve">). På tidspunktet for den oprindelige analyse, </w:t>
      </w:r>
      <w:r w:rsidR="00007097" w:rsidRPr="004C2A59">
        <w:rPr>
          <w:color w:val="000000"/>
          <w:szCs w:val="22"/>
        </w:rPr>
        <w:t>havde</w:t>
      </w:r>
      <w:r w:rsidR="00531AF6" w:rsidRPr="004C2A59">
        <w:rPr>
          <w:color w:val="000000"/>
          <w:szCs w:val="22"/>
        </w:rPr>
        <w:t xml:space="preserve"> 3 af 4 patienter med </w:t>
      </w:r>
      <w:r w:rsidR="00234E95" w:rsidRPr="004C2A59">
        <w:rPr>
          <w:color w:val="000000"/>
          <w:szCs w:val="22"/>
        </w:rPr>
        <w:t>konsta</w:t>
      </w:r>
      <w:r w:rsidR="00531AF6" w:rsidRPr="004C2A59">
        <w:rPr>
          <w:color w:val="000000"/>
          <w:szCs w:val="22"/>
        </w:rPr>
        <w:t>t</w:t>
      </w:r>
      <w:r w:rsidR="00234E95" w:rsidRPr="004C2A59">
        <w:rPr>
          <w:color w:val="000000"/>
          <w:szCs w:val="22"/>
        </w:rPr>
        <w:t>eret</w:t>
      </w:r>
      <w:r w:rsidR="00531AF6" w:rsidRPr="004C2A59">
        <w:rPr>
          <w:color w:val="000000"/>
          <w:szCs w:val="22"/>
        </w:rPr>
        <w:t xml:space="preserve"> PDGFR</w:t>
      </w:r>
      <w:r w:rsidR="00471A72" w:rsidRPr="004C2A59">
        <w:rPr>
          <w:color w:val="000000"/>
          <w:szCs w:val="22"/>
        </w:rPr>
        <w:t>-</w:t>
      </w:r>
      <w:r w:rsidR="00874CA5" w:rsidRPr="004C2A59">
        <w:rPr>
          <w:color w:val="000000"/>
          <w:szCs w:val="22"/>
        </w:rPr>
        <w:t>omlejring</w:t>
      </w:r>
      <w:r w:rsidR="00007097" w:rsidRPr="004C2A59">
        <w:rPr>
          <w:color w:val="000000"/>
          <w:szCs w:val="22"/>
        </w:rPr>
        <w:t xml:space="preserve"> opnået</w:t>
      </w:r>
      <w:r w:rsidR="00531AF6" w:rsidRPr="004C2A59">
        <w:rPr>
          <w:color w:val="000000"/>
          <w:szCs w:val="22"/>
        </w:rPr>
        <w:t xml:space="preserve"> hæmatologisk respons (2 </w:t>
      </w:r>
      <w:smartTag w:uri="urn:schemas-microsoft-com:office:smarttags" w:element="metricconverter">
        <w:r w:rsidR="00531AF6" w:rsidRPr="004C2A59">
          <w:rPr>
            <w:color w:val="000000"/>
            <w:szCs w:val="22"/>
          </w:rPr>
          <w:t>CHR</w:t>
        </w:r>
      </w:smartTag>
      <w:r w:rsidR="00531AF6" w:rsidRPr="004C2A59">
        <w:rPr>
          <w:color w:val="000000"/>
          <w:szCs w:val="22"/>
        </w:rPr>
        <w:t xml:space="preserve"> og 1 </w:t>
      </w:r>
      <w:smartTag w:uri="urn:schemas-microsoft-com:office:smarttags" w:element="metricconverter">
        <w:r w:rsidR="00531AF6" w:rsidRPr="004C2A59">
          <w:rPr>
            <w:color w:val="000000"/>
            <w:szCs w:val="22"/>
          </w:rPr>
          <w:t>PHR</w:t>
        </w:r>
      </w:smartTag>
      <w:r w:rsidR="00531AF6" w:rsidRPr="004C2A59">
        <w:rPr>
          <w:color w:val="000000"/>
          <w:szCs w:val="22"/>
        </w:rPr>
        <w:t>). Disse patienters alder varierede fra 20 til 72 år.</w:t>
      </w:r>
    </w:p>
    <w:p w14:paraId="5E395F77" w14:textId="77777777" w:rsidR="00BB5355" w:rsidRDefault="00BB5355" w:rsidP="00421681">
      <w:pPr>
        <w:pStyle w:val="EndnoteText"/>
        <w:tabs>
          <w:tab w:val="clear" w:pos="567"/>
        </w:tabs>
        <w:rPr>
          <w:color w:val="000000"/>
          <w:szCs w:val="22"/>
        </w:rPr>
      </w:pPr>
    </w:p>
    <w:p w14:paraId="5A104986" w14:textId="77777777" w:rsidR="007E65F7" w:rsidRDefault="00BB5355" w:rsidP="00421681">
      <w:pPr>
        <w:pStyle w:val="EndnoteText"/>
        <w:tabs>
          <w:tab w:val="clear" w:pos="567"/>
        </w:tabs>
        <w:rPr>
          <w:color w:val="000000"/>
          <w:szCs w:val="22"/>
        </w:rPr>
      </w:pPr>
      <w:r>
        <w:rPr>
          <w:color w:val="000000"/>
          <w:szCs w:val="22"/>
        </w:rPr>
        <w:lastRenderedPageBreak/>
        <w:t>Et observationelt register</w:t>
      </w:r>
      <w:r w:rsidR="009E0F1B">
        <w:rPr>
          <w:color w:val="000000"/>
          <w:szCs w:val="22"/>
        </w:rPr>
        <w:t>studie</w:t>
      </w:r>
      <w:r>
        <w:rPr>
          <w:color w:val="000000"/>
          <w:szCs w:val="22"/>
        </w:rPr>
        <w:t xml:space="preserve"> (studie L2401) blev udført for at indsamle langsig</w:t>
      </w:r>
      <w:r w:rsidR="00E85238">
        <w:rPr>
          <w:color w:val="000000"/>
          <w:szCs w:val="22"/>
        </w:rPr>
        <w:t>tede sikkerheds- og effektdata for patienter, som lider af myeloproliferative neoplasier med PDGFR- β rearrangement og som blev behandlet med Glivec. De 23</w:t>
      </w:r>
      <w:r w:rsidR="00E94847">
        <w:rPr>
          <w:color w:val="000000"/>
          <w:szCs w:val="22"/>
        </w:rPr>
        <w:t> </w:t>
      </w:r>
      <w:r w:rsidR="00E85238">
        <w:rPr>
          <w:color w:val="000000"/>
          <w:szCs w:val="22"/>
        </w:rPr>
        <w:t>patienter som var inkluderet</w:t>
      </w:r>
      <w:r w:rsidR="00E94847">
        <w:rPr>
          <w:color w:val="000000"/>
          <w:szCs w:val="22"/>
        </w:rPr>
        <w:t xml:space="preserve"> i</w:t>
      </w:r>
      <w:r w:rsidR="00E85238">
        <w:rPr>
          <w:color w:val="000000"/>
          <w:szCs w:val="22"/>
        </w:rPr>
        <w:t xml:space="preserve"> register</w:t>
      </w:r>
      <w:r w:rsidR="007E65F7">
        <w:rPr>
          <w:color w:val="000000"/>
          <w:szCs w:val="22"/>
        </w:rPr>
        <w:t>studie</w:t>
      </w:r>
      <w:r w:rsidR="00635E6B">
        <w:rPr>
          <w:color w:val="000000"/>
          <w:szCs w:val="22"/>
        </w:rPr>
        <w:t>t</w:t>
      </w:r>
      <w:r w:rsidR="00E94847">
        <w:rPr>
          <w:color w:val="000000"/>
          <w:szCs w:val="22"/>
        </w:rPr>
        <w:t>,</w:t>
      </w:r>
      <w:r w:rsidR="00E85238">
        <w:rPr>
          <w:color w:val="000000"/>
          <w:szCs w:val="22"/>
        </w:rPr>
        <w:t xml:space="preserve"> fik Glivec med en daglig </w:t>
      </w:r>
      <w:r w:rsidR="00635E6B">
        <w:rPr>
          <w:color w:val="000000"/>
          <w:szCs w:val="22"/>
        </w:rPr>
        <w:t>median</w:t>
      </w:r>
      <w:r w:rsidR="00E85238">
        <w:rPr>
          <w:color w:val="000000"/>
          <w:szCs w:val="22"/>
        </w:rPr>
        <w:t>dosis på 264</w:t>
      </w:r>
      <w:r w:rsidR="00E94847">
        <w:rPr>
          <w:color w:val="000000"/>
          <w:szCs w:val="22"/>
        </w:rPr>
        <w:t> </w:t>
      </w:r>
      <w:r w:rsidR="00E85238">
        <w:rPr>
          <w:color w:val="000000"/>
          <w:szCs w:val="22"/>
        </w:rPr>
        <w:t>mg (</w:t>
      </w:r>
      <w:r w:rsidR="007E65F7">
        <w:rPr>
          <w:color w:val="000000"/>
          <w:szCs w:val="22"/>
        </w:rPr>
        <w:t>dosisområde</w:t>
      </w:r>
      <w:r w:rsidR="00E85238">
        <w:rPr>
          <w:color w:val="000000"/>
          <w:szCs w:val="22"/>
        </w:rPr>
        <w:t>: 100 til 400</w:t>
      </w:r>
      <w:r w:rsidR="00E94847">
        <w:rPr>
          <w:color w:val="000000"/>
          <w:szCs w:val="22"/>
        </w:rPr>
        <w:t> </w:t>
      </w:r>
      <w:r w:rsidR="00E85238">
        <w:rPr>
          <w:color w:val="000000"/>
          <w:szCs w:val="22"/>
        </w:rPr>
        <w:t xml:space="preserve">mg) </w:t>
      </w:r>
      <w:r w:rsidR="00635E6B">
        <w:rPr>
          <w:color w:val="000000"/>
          <w:szCs w:val="22"/>
        </w:rPr>
        <w:t>med</w:t>
      </w:r>
      <w:r w:rsidR="00E85238">
        <w:rPr>
          <w:color w:val="000000"/>
          <w:szCs w:val="22"/>
        </w:rPr>
        <w:t xml:space="preserve"> en</w:t>
      </w:r>
      <w:r w:rsidR="00ED1608">
        <w:rPr>
          <w:color w:val="000000"/>
          <w:szCs w:val="22"/>
        </w:rPr>
        <w:t xml:space="preserve"> median</w:t>
      </w:r>
      <w:r w:rsidR="00E94847">
        <w:rPr>
          <w:color w:val="000000"/>
          <w:szCs w:val="22"/>
        </w:rPr>
        <w:t xml:space="preserve"> </w:t>
      </w:r>
      <w:r w:rsidR="00E85238">
        <w:rPr>
          <w:color w:val="000000"/>
          <w:szCs w:val="22"/>
        </w:rPr>
        <w:t>varighed på 7,2</w:t>
      </w:r>
      <w:r w:rsidR="00E94847">
        <w:rPr>
          <w:color w:val="000000"/>
          <w:szCs w:val="22"/>
        </w:rPr>
        <w:t> </w:t>
      </w:r>
      <w:r w:rsidR="00E85238">
        <w:rPr>
          <w:color w:val="000000"/>
          <w:szCs w:val="22"/>
        </w:rPr>
        <w:t>år (</w:t>
      </w:r>
      <w:r w:rsidR="007E65F7">
        <w:rPr>
          <w:color w:val="000000"/>
          <w:szCs w:val="22"/>
        </w:rPr>
        <w:t>behandlingstid</w:t>
      </w:r>
      <w:r w:rsidR="00E85238">
        <w:rPr>
          <w:color w:val="000000"/>
          <w:szCs w:val="22"/>
        </w:rPr>
        <w:t xml:space="preserve"> 0,1 til 12,7</w:t>
      </w:r>
      <w:r w:rsidR="00E94847">
        <w:rPr>
          <w:color w:val="000000"/>
          <w:szCs w:val="22"/>
        </w:rPr>
        <w:t> </w:t>
      </w:r>
      <w:r w:rsidR="00E85238">
        <w:rPr>
          <w:color w:val="000000"/>
          <w:szCs w:val="22"/>
        </w:rPr>
        <w:t>år).</w:t>
      </w:r>
      <w:r w:rsidR="007E65F7">
        <w:rPr>
          <w:color w:val="000000"/>
          <w:szCs w:val="22"/>
        </w:rPr>
        <w:t xml:space="preserve"> </w:t>
      </w:r>
      <w:r w:rsidR="002F196C">
        <w:rPr>
          <w:color w:val="000000"/>
          <w:szCs w:val="22"/>
        </w:rPr>
        <w:t>På grund af studiets observationelle karakter var d</w:t>
      </w:r>
      <w:r w:rsidR="007E65F7">
        <w:rPr>
          <w:color w:val="000000"/>
          <w:szCs w:val="22"/>
        </w:rPr>
        <w:t>ata for hæmatologisk, cytogenetisk og molekylær vurdering tilgængelige for henholdvis 22, 9 og 17 af de</w:t>
      </w:r>
      <w:r w:rsidR="004723B4">
        <w:rPr>
          <w:color w:val="000000"/>
          <w:szCs w:val="22"/>
        </w:rPr>
        <w:t xml:space="preserve"> 23</w:t>
      </w:r>
      <w:r w:rsidR="00ED1608">
        <w:rPr>
          <w:color w:val="000000"/>
          <w:szCs w:val="22"/>
        </w:rPr>
        <w:t> </w:t>
      </w:r>
      <w:r w:rsidR="007E65F7">
        <w:rPr>
          <w:color w:val="000000"/>
          <w:szCs w:val="22"/>
        </w:rPr>
        <w:t>inkluderede patienter. V</w:t>
      </w:r>
      <w:r w:rsidR="00EB7188">
        <w:rPr>
          <w:color w:val="000000"/>
          <w:szCs w:val="22"/>
        </w:rPr>
        <w:t>ed en konservativ antagelse af</w:t>
      </w:r>
      <w:r w:rsidR="007E65F7">
        <w:rPr>
          <w:color w:val="000000"/>
          <w:szCs w:val="22"/>
        </w:rPr>
        <w:t xml:space="preserve"> at patienter med manglende data </w:t>
      </w:r>
      <w:r w:rsidR="00EB7188">
        <w:rPr>
          <w:color w:val="000000"/>
          <w:szCs w:val="22"/>
        </w:rPr>
        <w:t>er</w:t>
      </w:r>
      <w:r w:rsidR="007E65F7">
        <w:rPr>
          <w:color w:val="000000"/>
          <w:szCs w:val="22"/>
        </w:rPr>
        <w:t xml:space="preserve"> </w:t>
      </w:r>
      <w:r w:rsidR="002F196C">
        <w:rPr>
          <w:color w:val="000000"/>
          <w:szCs w:val="22"/>
        </w:rPr>
        <w:t>ikke-respondenter</w:t>
      </w:r>
      <w:r w:rsidR="007E65F7">
        <w:rPr>
          <w:color w:val="000000"/>
          <w:szCs w:val="22"/>
        </w:rPr>
        <w:t xml:space="preserve">, </w:t>
      </w:r>
      <w:r w:rsidR="002F196C">
        <w:rPr>
          <w:color w:val="000000"/>
          <w:szCs w:val="22"/>
        </w:rPr>
        <w:t>blev</w:t>
      </w:r>
      <w:r w:rsidR="007E65F7">
        <w:rPr>
          <w:color w:val="000000"/>
          <w:szCs w:val="22"/>
        </w:rPr>
        <w:t xml:space="preserve"> CHR observeret hos 20/23 (87</w:t>
      </w:r>
      <w:r w:rsidR="00E94847">
        <w:rPr>
          <w:color w:val="000000"/>
          <w:szCs w:val="22"/>
        </w:rPr>
        <w:t> </w:t>
      </w:r>
      <w:r w:rsidR="007E65F7">
        <w:rPr>
          <w:color w:val="000000"/>
          <w:szCs w:val="22"/>
        </w:rPr>
        <w:t>%), CCyR hos 9/23 (39,1</w:t>
      </w:r>
      <w:r w:rsidR="00E94847">
        <w:rPr>
          <w:color w:val="000000"/>
          <w:szCs w:val="22"/>
        </w:rPr>
        <w:t> </w:t>
      </w:r>
      <w:r w:rsidR="007E65F7">
        <w:rPr>
          <w:color w:val="000000"/>
          <w:szCs w:val="22"/>
        </w:rPr>
        <w:t>%) og MR hos 11/23 (</w:t>
      </w:r>
      <w:r w:rsidR="00EB7188">
        <w:rPr>
          <w:color w:val="000000"/>
          <w:szCs w:val="22"/>
        </w:rPr>
        <w:t>47,8</w:t>
      </w:r>
      <w:r w:rsidR="00C86884">
        <w:rPr>
          <w:color w:val="000000"/>
          <w:szCs w:val="22"/>
        </w:rPr>
        <w:t> </w:t>
      </w:r>
      <w:r w:rsidR="00EB7188">
        <w:rPr>
          <w:color w:val="000000"/>
          <w:szCs w:val="22"/>
        </w:rPr>
        <w:t xml:space="preserve">%) af patienterne. Hvis responsraten beregnes ud fra patienter med mindst en valid parametervurdering er reponsraten for CHR, CCyr og MR henholdvis </w:t>
      </w:r>
      <w:r w:rsidR="00DF4D85">
        <w:rPr>
          <w:color w:val="000000"/>
          <w:szCs w:val="22"/>
        </w:rPr>
        <w:t>20</w:t>
      </w:r>
      <w:r w:rsidR="00EB7188">
        <w:rPr>
          <w:color w:val="000000"/>
          <w:szCs w:val="22"/>
        </w:rPr>
        <w:t>/22 (90,9</w:t>
      </w:r>
      <w:r w:rsidR="00E94847">
        <w:rPr>
          <w:color w:val="000000"/>
          <w:szCs w:val="22"/>
        </w:rPr>
        <w:t> </w:t>
      </w:r>
      <w:r w:rsidR="00EB7188">
        <w:rPr>
          <w:color w:val="000000"/>
          <w:szCs w:val="22"/>
        </w:rPr>
        <w:t>%), 9/9 (100</w:t>
      </w:r>
      <w:r w:rsidR="00E94847">
        <w:rPr>
          <w:color w:val="000000"/>
          <w:szCs w:val="22"/>
        </w:rPr>
        <w:t> </w:t>
      </w:r>
      <w:r w:rsidR="00EB7188">
        <w:rPr>
          <w:color w:val="000000"/>
          <w:szCs w:val="22"/>
        </w:rPr>
        <w:t>%) og 11/17 (64,7</w:t>
      </w:r>
      <w:r w:rsidR="00E94847">
        <w:rPr>
          <w:color w:val="000000"/>
          <w:szCs w:val="22"/>
        </w:rPr>
        <w:t> </w:t>
      </w:r>
      <w:r w:rsidR="00EB7188">
        <w:rPr>
          <w:color w:val="000000"/>
          <w:szCs w:val="22"/>
        </w:rPr>
        <w:t>%).</w:t>
      </w:r>
    </w:p>
    <w:p w14:paraId="3DE17CBC" w14:textId="77777777" w:rsidR="00BB5355" w:rsidRDefault="00BB5355" w:rsidP="00421681">
      <w:pPr>
        <w:pStyle w:val="EndnoteText"/>
        <w:tabs>
          <w:tab w:val="clear" w:pos="567"/>
        </w:tabs>
        <w:rPr>
          <w:color w:val="000000"/>
          <w:szCs w:val="22"/>
        </w:rPr>
      </w:pPr>
    </w:p>
    <w:p w14:paraId="0E7B1716" w14:textId="77777777" w:rsidR="00F163F6" w:rsidRPr="004C2A59" w:rsidRDefault="00007097" w:rsidP="00421681">
      <w:pPr>
        <w:pStyle w:val="EndnoteText"/>
        <w:tabs>
          <w:tab w:val="clear" w:pos="567"/>
        </w:tabs>
        <w:rPr>
          <w:color w:val="000000"/>
          <w:szCs w:val="22"/>
        </w:rPr>
      </w:pPr>
      <w:r w:rsidRPr="004C2A59">
        <w:rPr>
          <w:color w:val="000000"/>
          <w:szCs w:val="22"/>
        </w:rPr>
        <w:t>Derudover er</w:t>
      </w:r>
      <w:r w:rsidR="00531AF6" w:rsidRPr="004C2A59">
        <w:rPr>
          <w:color w:val="000000"/>
          <w:szCs w:val="22"/>
        </w:rPr>
        <w:t xml:space="preserve"> yderligere 24 patienter med </w:t>
      </w:r>
      <w:smartTag w:uri="urn:schemas-microsoft-com:office:smarttags" w:element="metricconverter">
        <w:r w:rsidR="00531AF6" w:rsidRPr="004C2A59">
          <w:rPr>
            <w:color w:val="000000"/>
            <w:szCs w:val="22"/>
          </w:rPr>
          <w:t>MDS</w:t>
        </w:r>
      </w:smartTag>
      <w:r w:rsidR="00531AF6" w:rsidRPr="004C2A59">
        <w:rPr>
          <w:color w:val="000000"/>
          <w:szCs w:val="22"/>
        </w:rPr>
        <w:t xml:space="preserve">/MPD </w:t>
      </w:r>
      <w:r w:rsidRPr="004C2A59">
        <w:rPr>
          <w:color w:val="000000"/>
          <w:szCs w:val="22"/>
        </w:rPr>
        <w:t xml:space="preserve">beskrevet </w:t>
      </w:r>
      <w:r w:rsidR="00531AF6" w:rsidRPr="004C2A59">
        <w:rPr>
          <w:color w:val="000000"/>
          <w:szCs w:val="22"/>
        </w:rPr>
        <w:t>i 13 publikationer. 21 patienter blev behandlet med 400 mg Glivec daglig</w:t>
      </w:r>
      <w:r w:rsidR="00166763" w:rsidRPr="004C2A59">
        <w:rPr>
          <w:color w:val="000000"/>
          <w:szCs w:val="22"/>
        </w:rPr>
        <w:t>,</w:t>
      </w:r>
      <w:r w:rsidR="00234E95" w:rsidRPr="004C2A59">
        <w:rPr>
          <w:color w:val="000000"/>
          <w:szCs w:val="22"/>
        </w:rPr>
        <w:t xml:space="preserve"> mens 3</w:t>
      </w:r>
      <w:r w:rsidR="00531AF6" w:rsidRPr="004C2A59">
        <w:rPr>
          <w:color w:val="000000"/>
          <w:szCs w:val="22"/>
        </w:rPr>
        <w:t xml:space="preserve"> patienter fik en lavere dosis. Der blev set PDGFR</w:t>
      </w:r>
      <w:r w:rsidR="00471A72" w:rsidRPr="004C2A59">
        <w:rPr>
          <w:color w:val="000000"/>
          <w:szCs w:val="22"/>
        </w:rPr>
        <w:t>-</w:t>
      </w:r>
      <w:r w:rsidR="00874CA5" w:rsidRPr="004C2A59">
        <w:rPr>
          <w:color w:val="000000"/>
          <w:szCs w:val="22"/>
        </w:rPr>
        <w:t>omlejring</w:t>
      </w:r>
      <w:r w:rsidR="00531AF6" w:rsidRPr="004C2A59">
        <w:rPr>
          <w:color w:val="000000"/>
          <w:szCs w:val="22"/>
        </w:rPr>
        <w:t xml:space="preserve"> hos 11 patienter</w:t>
      </w:r>
      <w:r w:rsidR="00166763" w:rsidRPr="004C2A59">
        <w:rPr>
          <w:color w:val="000000"/>
          <w:szCs w:val="22"/>
        </w:rPr>
        <w:t xml:space="preserve">, 9 af disse opnåede </w:t>
      </w:r>
      <w:smartTag w:uri="urn:schemas-microsoft-com:office:smarttags" w:element="metricconverter">
        <w:r w:rsidR="00166763" w:rsidRPr="004C2A59">
          <w:rPr>
            <w:color w:val="000000"/>
            <w:szCs w:val="22"/>
          </w:rPr>
          <w:t>CHR</w:t>
        </w:r>
      </w:smartTag>
      <w:r w:rsidR="00166763" w:rsidRPr="004C2A59">
        <w:rPr>
          <w:color w:val="000000"/>
          <w:szCs w:val="22"/>
        </w:rPr>
        <w:t xml:space="preserve"> og 1 </w:t>
      </w:r>
      <w:smartTag w:uri="urn:schemas-microsoft-com:office:smarttags" w:element="metricconverter">
        <w:r w:rsidR="00166763" w:rsidRPr="004C2A59">
          <w:rPr>
            <w:color w:val="000000"/>
            <w:szCs w:val="22"/>
          </w:rPr>
          <w:t>PHR</w:t>
        </w:r>
      </w:smartTag>
      <w:r w:rsidR="00166763" w:rsidRPr="004C2A59">
        <w:rPr>
          <w:color w:val="000000"/>
          <w:szCs w:val="22"/>
        </w:rPr>
        <w:t>. Alderen hos disse patienter varierede fra 2 til 79 år. Opdaterede oplysninger om 6 af disse 11 patienter, som er publiceret for nylig</w:t>
      </w:r>
      <w:r w:rsidRPr="004C2A59">
        <w:rPr>
          <w:color w:val="000000"/>
          <w:szCs w:val="22"/>
        </w:rPr>
        <w:t>,</w:t>
      </w:r>
      <w:r w:rsidR="00166763" w:rsidRPr="004C2A59">
        <w:rPr>
          <w:color w:val="000000"/>
          <w:szCs w:val="22"/>
        </w:rPr>
        <w:t xml:space="preserve"> viste</w:t>
      </w:r>
      <w:r w:rsidR="00471A72" w:rsidRPr="004C2A59">
        <w:rPr>
          <w:color w:val="000000"/>
          <w:szCs w:val="22"/>
        </w:rPr>
        <w:t>,</w:t>
      </w:r>
      <w:r w:rsidR="00166763" w:rsidRPr="004C2A59">
        <w:rPr>
          <w:color w:val="000000"/>
          <w:szCs w:val="22"/>
        </w:rPr>
        <w:t xml:space="preserve"> at alle disse patienter forblev i cytogenetisk remission ( 32</w:t>
      </w:r>
      <w:r w:rsidR="00680B52" w:rsidRPr="004C2A59">
        <w:rPr>
          <w:color w:val="000000"/>
          <w:szCs w:val="22"/>
        </w:rPr>
        <w:noBreakHyphen/>
      </w:r>
      <w:r w:rsidR="00166763" w:rsidRPr="004C2A59">
        <w:rPr>
          <w:color w:val="000000"/>
          <w:szCs w:val="22"/>
        </w:rPr>
        <w:t xml:space="preserve">38 måneder). Der var i samme publikation oplysning om </w:t>
      </w:r>
      <w:r w:rsidR="00471A72" w:rsidRPr="004C2A59">
        <w:rPr>
          <w:color w:val="000000"/>
          <w:szCs w:val="22"/>
        </w:rPr>
        <w:t xml:space="preserve">længere varende </w:t>
      </w:r>
      <w:r w:rsidR="00166763" w:rsidRPr="004C2A59">
        <w:rPr>
          <w:color w:val="000000"/>
          <w:szCs w:val="22"/>
        </w:rPr>
        <w:t>opfølgningsdata fra 12 </w:t>
      </w:r>
      <w:smartTag w:uri="urn:schemas-microsoft-com:office:smarttags" w:element="metricconverter">
        <w:r w:rsidR="00166763" w:rsidRPr="004C2A59">
          <w:rPr>
            <w:color w:val="000000"/>
            <w:szCs w:val="22"/>
          </w:rPr>
          <w:t>MDS</w:t>
        </w:r>
      </w:smartTag>
      <w:r w:rsidR="00166763" w:rsidRPr="004C2A59">
        <w:rPr>
          <w:color w:val="000000"/>
          <w:szCs w:val="22"/>
        </w:rPr>
        <w:t>/MPD</w:t>
      </w:r>
      <w:r w:rsidR="00471A72" w:rsidRPr="004C2A59">
        <w:rPr>
          <w:color w:val="000000"/>
          <w:szCs w:val="22"/>
        </w:rPr>
        <w:t>-</w:t>
      </w:r>
      <w:r w:rsidR="00166763" w:rsidRPr="004C2A59">
        <w:rPr>
          <w:color w:val="000000"/>
          <w:szCs w:val="22"/>
        </w:rPr>
        <w:t>patienter med PDGFR</w:t>
      </w:r>
      <w:r w:rsidR="00471A72" w:rsidRPr="004C2A59">
        <w:rPr>
          <w:color w:val="000000"/>
          <w:szCs w:val="22"/>
        </w:rPr>
        <w:t>-</w:t>
      </w:r>
      <w:r w:rsidR="00874CA5" w:rsidRPr="004C2A59">
        <w:rPr>
          <w:color w:val="000000"/>
          <w:szCs w:val="22"/>
        </w:rPr>
        <w:t>omlejring</w:t>
      </w:r>
      <w:r w:rsidR="00166763" w:rsidRPr="004C2A59">
        <w:rPr>
          <w:color w:val="000000"/>
          <w:szCs w:val="22"/>
        </w:rPr>
        <w:t xml:space="preserve"> (5 patienter fra studie </w:t>
      </w:r>
      <w:r w:rsidR="00234E95" w:rsidRPr="004C2A59">
        <w:rPr>
          <w:color w:val="000000"/>
          <w:szCs w:val="22"/>
        </w:rPr>
        <w:t>B</w:t>
      </w:r>
      <w:r w:rsidR="00166763" w:rsidRPr="004C2A59">
        <w:rPr>
          <w:color w:val="000000"/>
          <w:szCs w:val="22"/>
        </w:rPr>
        <w:t xml:space="preserve">2225). </w:t>
      </w:r>
      <w:r w:rsidR="00953FAD" w:rsidRPr="004C2A59">
        <w:rPr>
          <w:color w:val="000000"/>
          <w:szCs w:val="22"/>
        </w:rPr>
        <w:t xml:space="preserve">Disse patienter fik Glivec i en periode varierende mellem </w:t>
      </w:r>
      <w:r w:rsidRPr="004C2A59">
        <w:rPr>
          <w:color w:val="000000"/>
          <w:szCs w:val="22"/>
        </w:rPr>
        <w:t xml:space="preserve">24 dage </w:t>
      </w:r>
      <w:r w:rsidR="00953FAD" w:rsidRPr="004C2A59">
        <w:rPr>
          <w:color w:val="000000"/>
          <w:szCs w:val="22"/>
        </w:rPr>
        <w:t xml:space="preserve">og 60 måneder (median 47 måneder). Seks af disse patienter er nu fulgt i mere end 4 år. Elleve patienter opnåede hurtig </w:t>
      </w:r>
      <w:smartTag w:uri="urn:schemas-microsoft-com:office:smarttags" w:element="metricconverter">
        <w:r w:rsidR="00953FAD" w:rsidRPr="004C2A59">
          <w:rPr>
            <w:color w:val="000000"/>
            <w:szCs w:val="22"/>
          </w:rPr>
          <w:t>CHR</w:t>
        </w:r>
      </w:smartTag>
      <w:r w:rsidR="00953FAD" w:rsidRPr="004C2A59">
        <w:rPr>
          <w:color w:val="000000"/>
          <w:szCs w:val="22"/>
        </w:rPr>
        <w:t xml:space="preserve">; hos 10 patienter var cytogenetiske abnormaliteter svundet fuldstændig </w:t>
      </w:r>
      <w:r w:rsidR="00773596" w:rsidRPr="004C2A59">
        <w:rPr>
          <w:color w:val="000000"/>
          <w:szCs w:val="22"/>
        </w:rPr>
        <w:t xml:space="preserve">og </w:t>
      </w:r>
      <w:r w:rsidRPr="004C2A59">
        <w:rPr>
          <w:color w:val="000000"/>
          <w:szCs w:val="22"/>
        </w:rPr>
        <w:t>der sås</w:t>
      </w:r>
      <w:r w:rsidR="00773596" w:rsidRPr="004C2A59">
        <w:rPr>
          <w:color w:val="000000"/>
          <w:szCs w:val="22"/>
        </w:rPr>
        <w:t xml:space="preserve"> mindskning eller </w:t>
      </w:r>
      <w:r w:rsidRPr="004C2A59">
        <w:rPr>
          <w:color w:val="000000"/>
          <w:szCs w:val="22"/>
        </w:rPr>
        <w:t>forsvinden</w:t>
      </w:r>
      <w:r w:rsidR="00773596" w:rsidRPr="004C2A59">
        <w:rPr>
          <w:color w:val="000000"/>
          <w:szCs w:val="22"/>
        </w:rPr>
        <w:t xml:space="preserve"> af fusion</w:t>
      </w:r>
      <w:r w:rsidR="00471A72" w:rsidRPr="004C2A59">
        <w:rPr>
          <w:color w:val="000000"/>
          <w:szCs w:val="22"/>
        </w:rPr>
        <w:t>-</w:t>
      </w:r>
      <w:r w:rsidR="00773596" w:rsidRPr="004C2A59">
        <w:rPr>
          <w:color w:val="000000"/>
          <w:szCs w:val="22"/>
        </w:rPr>
        <w:t xml:space="preserve">transcripts målt </w:t>
      </w:r>
      <w:r w:rsidR="006F71D4" w:rsidRPr="004C2A59">
        <w:rPr>
          <w:color w:val="000000"/>
          <w:szCs w:val="22"/>
        </w:rPr>
        <w:t>med</w:t>
      </w:r>
      <w:r w:rsidR="00773596" w:rsidRPr="004C2A59">
        <w:rPr>
          <w:color w:val="000000"/>
          <w:szCs w:val="22"/>
        </w:rPr>
        <w:t xml:space="preserve"> RT-</w:t>
      </w:r>
      <w:smartTag w:uri="urn:schemas-microsoft-com:office:smarttags" w:element="metricconverter">
        <w:r w:rsidR="00773596" w:rsidRPr="004C2A59">
          <w:rPr>
            <w:color w:val="000000"/>
            <w:szCs w:val="22"/>
          </w:rPr>
          <w:t>PCR</w:t>
        </w:r>
      </w:smartTag>
      <w:r w:rsidR="00773596" w:rsidRPr="004C2A59">
        <w:rPr>
          <w:color w:val="000000"/>
          <w:szCs w:val="22"/>
        </w:rPr>
        <w:t xml:space="preserve">. </w:t>
      </w:r>
      <w:r w:rsidRPr="004C2A59">
        <w:rPr>
          <w:color w:val="000000"/>
          <w:szCs w:val="22"/>
        </w:rPr>
        <w:t>Hæmatologisk</w:t>
      </w:r>
      <w:r w:rsidR="00773596" w:rsidRPr="004C2A59">
        <w:rPr>
          <w:color w:val="000000"/>
          <w:szCs w:val="22"/>
        </w:rPr>
        <w:t xml:space="preserve"> og cy</w:t>
      </w:r>
      <w:r w:rsidRPr="004C2A59">
        <w:rPr>
          <w:color w:val="000000"/>
          <w:szCs w:val="22"/>
        </w:rPr>
        <w:t>togenetisk respons er bibeholdt</w:t>
      </w:r>
      <w:r w:rsidR="00773596" w:rsidRPr="004C2A59">
        <w:rPr>
          <w:color w:val="000000"/>
          <w:szCs w:val="22"/>
        </w:rPr>
        <w:t xml:space="preserve"> i en periode varende fra </w:t>
      </w:r>
      <w:r w:rsidR="00471A72" w:rsidRPr="004C2A59">
        <w:rPr>
          <w:color w:val="000000"/>
          <w:szCs w:val="22"/>
        </w:rPr>
        <w:t xml:space="preserve">henholdsvis </w:t>
      </w:r>
      <w:r w:rsidR="00773596" w:rsidRPr="004C2A59">
        <w:rPr>
          <w:color w:val="000000"/>
          <w:szCs w:val="22"/>
        </w:rPr>
        <w:t>19</w:t>
      </w:r>
      <w:r w:rsidR="00680B52" w:rsidRPr="004C2A59">
        <w:rPr>
          <w:color w:val="000000"/>
          <w:szCs w:val="22"/>
        </w:rPr>
        <w:noBreakHyphen/>
      </w:r>
      <w:r w:rsidR="00773596" w:rsidRPr="004C2A59">
        <w:rPr>
          <w:color w:val="000000"/>
          <w:szCs w:val="22"/>
        </w:rPr>
        <w:t>60 måneder (median 49 måneder)</w:t>
      </w:r>
      <w:r w:rsidRPr="004C2A59">
        <w:rPr>
          <w:color w:val="000000"/>
          <w:szCs w:val="22"/>
        </w:rPr>
        <w:t xml:space="preserve"> </w:t>
      </w:r>
      <w:r w:rsidR="00471A72" w:rsidRPr="004C2A59">
        <w:rPr>
          <w:color w:val="000000"/>
          <w:szCs w:val="22"/>
        </w:rPr>
        <w:t xml:space="preserve">og </w:t>
      </w:r>
      <w:r w:rsidR="00773596" w:rsidRPr="004C2A59">
        <w:rPr>
          <w:color w:val="000000"/>
          <w:szCs w:val="22"/>
        </w:rPr>
        <w:t>16</w:t>
      </w:r>
      <w:r w:rsidR="00680B52" w:rsidRPr="004C2A59">
        <w:rPr>
          <w:color w:val="000000"/>
          <w:szCs w:val="22"/>
        </w:rPr>
        <w:noBreakHyphen/>
      </w:r>
      <w:r w:rsidRPr="004C2A59">
        <w:rPr>
          <w:color w:val="000000"/>
          <w:szCs w:val="22"/>
        </w:rPr>
        <w:t>59 måneder (median 47 måneder)</w:t>
      </w:r>
      <w:r w:rsidR="00773596" w:rsidRPr="004C2A59">
        <w:rPr>
          <w:color w:val="000000"/>
          <w:szCs w:val="22"/>
        </w:rPr>
        <w:t>. Den generelle overlevelse er 65 måneder</w:t>
      </w:r>
      <w:r w:rsidR="00471A72" w:rsidRPr="004C2A59">
        <w:rPr>
          <w:color w:val="000000"/>
          <w:szCs w:val="22"/>
        </w:rPr>
        <w:t>,</w:t>
      </w:r>
      <w:r w:rsidR="00773596" w:rsidRPr="004C2A59">
        <w:rPr>
          <w:color w:val="000000"/>
          <w:szCs w:val="22"/>
        </w:rPr>
        <w:t xml:space="preserve"> </w:t>
      </w:r>
      <w:r w:rsidR="00B1019E" w:rsidRPr="004C2A59">
        <w:rPr>
          <w:color w:val="000000"/>
          <w:szCs w:val="22"/>
        </w:rPr>
        <w:t xml:space="preserve">når </w:t>
      </w:r>
      <w:r w:rsidR="00773596" w:rsidRPr="004C2A59">
        <w:rPr>
          <w:color w:val="000000"/>
          <w:szCs w:val="22"/>
        </w:rPr>
        <w:t>diagnosen er stillet (varierende mellem 25</w:t>
      </w:r>
      <w:r w:rsidR="00680B52" w:rsidRPr="004C2A59">
        <w:rPr>
          <w:color w:val="000000"/>
          <w:szCs w:val="22"/>
        </w:rPr>
        <w:noBreakHyphen/>
      </w:r>
      <w:r w:rsidR="00773596" w:rsidRPr="004C2A59">
        <w:rPr>
          <w:color w:val="000000"/>
          <w:szCs w:val="22"/>
        </w:rPr>
        <w:t>234 måneder. Der ses generelt ingen bedring ved indgift af Glivec til patienter uden genetisk translokation.</w:t>
      </w:r>
    </w:p>
    <w:p w14:paraId="233151DA" w14:textId="77777777" w:rsidR="001D0866" w:rsidRPr="004C2A59" w:rsidRDefault="001D0866" w:rsidP="00421681">
      <w:pPr>
        <w:pStyle w:val="EndnoteText"/>
        <w:tabs>
          <w:tab w:val="clear" w:pos="567"/>
        </w:tabs>
        <w:rPr>
          <w:color w:val="000000"/>
          <w:szCs w:val="22"/>
        </w:rPr>
      </w:pPr>
    </w:p>
    <w:p w14:paraId="361DEE24" w14:textId="77777777" w:rsidR="001D0866" w:rsidRPr="004C2A59" w:rsidRDefault="00F34E9C" w:rsidP="00421681">
      <w:pPr>
        <w:pStyle w:val="EndnoteText"/>
        <w:tabs>
          <w:tab w:val="clear" w:pos="567"/>
        </w:tabs>
        <w:rPr>
          <w:color w:val="000000"/>
          <w:szCs w:val="22"/>
        </w:rPr>
      </w:pPr>
      <w:r w:rsidRPr="004C2A59">
        <w:rPr>
          <w:color w:val="000000"/>
          <w:szCs w:val="22"/>
        </w:rPr>
        <w:t xml:space="preserve">Der er </w:t>
      </w:r>
      <w:r w:rsidR="00FB1D11" w:rsidRPr="004C2A59">
        <w:rPr>
          <w:color w:val="000000"/>
          <w:szCs w:val="22"/>
        </w:rPr>
        <w:t>in</w:t>
      </w:r>
      <w:r w:rsidRPr="004C2A59">
        <w:rPr>
          <w:color w:val="000000"/>
          <w:szCs w:val="22"/>
        </w:rPr>
        <w:t>gen kontrollerede forsøg med pædiatriske patienter med MDS/MPD</w:t>
      </w:r>
      <w:r w:rsidR="005F04BF" w:rsidRPr="004C2A59">
        <w:rPr>
          <w:color w:val="000000"/>
          <w:szCs w:val="22"/>
        </w:rPr>
        <w:t xml:space="preserve">. I fire publikationer var der rapporteret om </w:t>
      </w:r>
      <w:r w:rsidR="00610408" w:rsidRPr="004C2A59">
        <w:rPr>
          <w:color w:val="000000"/>
          <w:szCs w:val="22"/>
        </w:rPr>
        <w:t>fem (</w:t>
      </w:r>
      <w:r w:rsidR="005F04BF" w:rsidRPr="004C2A59">
        <w:rPr>
          <w:color w:val="000000"/>
          <w:szCs w:val="22"/>
        </w:rPr>
        <w:t>5</w:t>
      </w:r>
      <w:r w:rsidR="00610408" w:rsidRPr="004C2A59">
        <w:rPr>
          <w:color w:val="000000"/>
          <w:szCs w:val="22"/>
        </w:rPr>
        <w:t>)</w:t>
      </w:r>
      <w:r w:rsidR="00EF63D4" w:rsidRPr="004C2A59">
        <w:rPr>
          <w:color w:val="000000"/>
          <w:szCs w:val="22"/>
        </w:rPr>
        <w:t> </w:t>
      </w:r>
      <w:r w:rsidR="005F04BF" w:rsidRPr="004C2A59">
        <w:rPr>
          <w:color w:val="000000"/>
          <w:szCs w:val="22"/>
        </w:rPr>
        <w:t>patienter med MDS/MPD forbundet med PDGFR-</w:t>
      </w:r>
      <w:r w:rsidRPr="004C2A59">
        <w:rPr>
          <w:color w:val="000000"/>
          <w:szCs w:val="22"/>
        </w:rPr>
        <w:t xml:space="preserve">omlejring. </w:t>
      </w:r>
      <w:r w:rsidR="005F04BF" w:rsidRPr="004C2A59">
        <w:rPr>
          <w:color w:val="000000"/>
          <w:szCs w:val="22"/>
        </w:rPr>
        <w:t>Alderen på disse patienter rangerede fra 3 måneder til 4 år</w:t>
      </w:r>
      <w:r w:rsidR="00A94FDC" w:rsidRPr="004C2A59">
        <w:rPr>
          <w:color w:val="000000"/>
          <w:szCs w:val="22"/>
        </w:rPr>
        <w:t>,</w:t>
      </w:r>
      <w:r w:rsidR="005F04BF" w:rsidRPr="004C2A59">
        <w:rPr>
          <w:color w:val="000000"/>
          <w:szCs w:val="22"/>
        </w:rPr>
        <w:t xml:space="preserve"> </w:t>
      </w:r>
      <w:r w:rsidR="00610408" w:rsidRPr="004C2A59">
        <w:rPr>
          <w:color w:val="000000"/>
          <w:szCs w:val="22"/>
        </w:rPr>
        <w:t>og imatinib blev givet i en dosis på 50 mg dagligt eller doser,</w:t>
      </w:r>
      <w:r w:rsidR="005F04BF" w:rsidRPr="004C2A59">
        <w:rPr>
          <w:color w:val="000000"/>
          <w:szCs w:val="22"/>
        </w:rPr>
        <w:t xml:space="preserve"> der lå i intervallet fra 92,5 til 340 mg/m</w:t>
      </w:r>
      <w:r w:rsidR="005F04BF" w:rsidRPr="004C2A59">
        <w:rPr>
          <w:color w:val="000000"/>
          <w:szCs w:val="22"/>
          <w:vertAlign w:val="superscript"/>
        </w:rPr>
        <w:t>2</w:t>
      </w:r>
      <w:r w:rsidR="00610408" w:rsidRPr="004C2A59">
        <w:rPr>
          <w:color w:val="000000"/>
          <w:szCs w:val="22"/>
        </w:rPr>
        <w:t xml:space="preserve"> dagligt</w:t>
      </w:r>
      <w:r w:rsidR="005F04BF" w:rsidRPr="004C2A59">
        <w:rPr>
          <w:color w:val="000000"/>
          <w:szCs w:val="22"/>
        </w:rPr>
        <w:t>. Alle patienter opnåede komplet hæmatologisk respons, cytogenetisk repons og/eller klinisk respons.</w:t>
      </w:r>
    </w:p>
    <w:p w14:paraId="35459BAB" w14:textId="77777777" w:rsidR="005E0B66" w:rsidRPr="004C2A59" w:rsidRDefault="005E0B66" w:rsidP="00421681">
      <w:pPr>
        <w:pStyle w:val="EndnoteText"/>
        <w:tabs>
          <w:tab w:val="clear" w:pos="567"/>
        </w:tabs>
        <w:rPr>
          <w:color w:val="000000"/>
          <w:szCs w:val="22"/>
          <w:u w:val="single"/>
        </w:rPr>
      </w:pPr>
    </w:p>
    <w:p w14:paraId="4A71B8A0" w14:textId="77777777" w:rsidR="005E0B66" w:rsidRPr="004C2A59" w:rsidRDefault="000377CD" w:rsidP="00A125B0">
      <w:pPr>
        <w:pStyle w:val="EndnoteText"/>
        <w:keepNext/>
        <w:tabs>
          <w:tab w:val="clear" w:pos="567"/>
        </w:tabs>
        <w:rPr>
          <w:color w:val="000000"/>
          <w:szCs w:val="22"/>
          <w:u w:val="single"/>
        </w:rPr>
      </w:pPr>
      <w:r w:rsidRPr="004C2A59">
        <w:rPr>
          <w:color w:val="000000"/>
          <w:szCs w:val="22"/>
          <w:u w:val="single"/>
        </w:rPr>
        <w:t>Kliniske undersøgelser vedrørende HES/</w:t>
      </w:r>
      <w:smartTag w:uri="urn:schemas-microsoft-com:office:smarttags" w:element="metricconverter">
        <w:r w:rsidRPr="004C2A59">
          <w:rPr>
            <w:color w:val="000000"/>
            <w:szCs w:val="22"/>
            <w:u w:val="single"/>
          </w:rPr>
          <w:t>CEL</w:t>
        </w:r>
      </w:smartTag>
    </w:p>
    <w:p w14:paraId="07C4B33C" w14:textId="77777777" w:rsidR="00F163F6" w:rsidRPr="004C2A59" w:rsidRDefault="000377CD" w:rsidP="00421681">
      <w:pPr>
        <w:pStyle w:val="EndnoteText"/>
        <w:tabs>
          <w:tab w:val="clear" w:pos="567"/>
        </w:tabs>
        <w:rPr>
          <w:color w:val="000000"/>
          <w:szCs w:val="22"/>
          <w:u w:val="single"/>
        </w:rPr>
      </w:pPr>
      <w:r w:rsidRPr="004C2A59">
        <w:rPr>
          <w:color w:val="000000"/>
          <w:szCs w:val="22"/>
        </w:rPr>
        <w:t>Der er udført en åben, multicenter fase II</w:t>
      </w:r>
      <w:r w:rsidR="00B1019E" w:rsidRPr="004C2A59">
        <w:rPr>
          <w:color w:val="000000"/>
          <w:szCs w:val="22"/>
        </w:rPr>
        <w:t>-</w:t>
      </w:r>
      <w:r w:rsidRPr="004C2A59">
        <w:rPr>
          <w:color w:val="000000"/>
          <w:szCs w:val="22"/>
        </w:rPr>
        <w:t>undersøgelse (studie B2225) med henblik på at vurdere Glivec hos en blandet patientpopulation med livstruende sygdomme forbundet med Abl</w:t>
      </w:r>
      <w:r w:rsidR="00B1019E" w:rsidRPr="004C2A59">
        <w:rPr>
          <w:color w:val="000000"/>
          <w:szCs w:val="22"/>
        </w:rPr>
        <w:t>-</w:t>
      </w:r>
      <w:r w:rsidRPr="004C2A59">
        <w:rPr>
          <w:color w:val="000000"/>
          <w:szCs w:val="22"/>
        </w:rPr>
        <w:t>, Kit</w:t>
      </w:r>
      <w:r w:rsidR="00B1019E" w:rsidRPr="004C2A59">
        <w:rPr>
          <w:color w:val="000000"/>
          <w:szCs w:val="22"/>
        </w:rPr>
        <w:t>-</w:t>
      </w:r>
      <w:r w:rsidRPr="004C2A59">
        <w:rPr>
          <w:color w:val="000000"/>
          <w:szCs w:val="22"/>
        </w:rPr>
        <w:t xml:space="preserve"> eller PDGFR</w:t>
      </w:r>
      <w:r w:rsidR="00B1019E" w:rsidRPr="004C2A59">
        <w:rPr>
          <w:color w:val="000000"/>
          <w:szCs w:val="22"/>
        </w:rPr>
        <w:t>-proteintyrosin</w:t>
      </w:r>
      <w:r w:rsidRPr="004C2A59">
        <w:rPr>
          <w:color w:val="000000"/>
          <w:szCs w:val="22"/>
        </w:rPr>
        <w:t>kinaser. I dette studie blev 14 patienter med HES/</w:t>
      </w:r>
      <w:smartTag w:uri="urn:schemas-microsoft-com:office:smarttags" w:element="metricconverter">
        <w:r w:rsidRPr="004C2A59">
          <w:rPr>
            <w:color w:val="000000"/>
            <w:szCs w:val="22"/>
          </w:rPr>
          <w:t>CEL</w:t>
        </w:r>
      </w:smartTag>
      <w:r w:rsidRPr="004C2A59">
        <w:rPr>
          <w:color w:val="000000"/>
          <w:szCs w:val="22"/>
        </w:rPr>
        <w:t xml:space="preserve"> behandlet med 1</w:t>
      </w:r>
      <w:r w:rsidR="00082F48" w:rsidRPr="004C2A59">
        <w:rPr>
          <w:color w:val="000000"/>
          <w:szCs w:val="22"/>
        </w:rPr>
        <w:t>00 mg -</w:t>
      </w:r>
      <w:r w:rsidRPr="004C2A59">
        <w:rPr>
          <w:color w:val="000000"/>
          <w:szCs w:val="22"/>
        </w:rPr>
        <w:t xml:space="preserve"> 1.000 mg Glivec daglig. </w:t>
      </w:r>
      <w:r w:rsidR="00082F48" w:rsidRPr="004C2A59">
        <w:rPr>
          <w:color w:val="000000"/>
          <w:szCs w:val="22"/>
        </w:rPr>
        <w:t xml:space="preserve">Yderligere er </w:t>
      </w:r>
      <w:r w:rsidRPr="004C2A59">
        <w:rPr>
          <w:color w:val="000000"/>
          <w:szCs w:val="22"/>
        </w:rPr>
        <w:t>162 patienter med HES/</w:t>
      </w:r>
      <w:smartTag w:uri="urn:schemas-microsoft-com:office:smarttags" w:element="metricconverter">
        <w:r w:rsidRPr="004C2A59">
          <w:rPr>
            <w:color w:val="000000"/>
            <w:szCs w:val="22"/>
          </w:rPr>
          <w:t>CEL</w:t>
        </w:r>
      </w:smartTag>
      <w:r w:rsidRPr="004C2A59">
        <w:rPr>
          <w:color w:val="000000"/>
          <w:szCs w:val="22"/>
        </w:rPr>
        <w:t xml:space="preserve"> i alderen 11 til 78 år omtalt i 35 publicerede kasuistikker og behandlingsserier</w:t>
      </w:r>
      <w:r w:rsidR="00082F48" w:rsidRPr="004C2A59">
        <w:rPr>
          <w:color w:val="000000"/>
          <w:szCs w:val="22"/>
        </w:rPr>
        <w:t>. De</w:t>
      </w:r>
      <w:r w:rsidRPr="004C2A59">
        <w:rPr>
          <w:color w:val="000000"/>
          <w:szCs w:val="22"/>
        </w:rPr>
        <w:t xml:space="preserve"> blev behandlet med GLivec i doser fra 75 mg til 800 mg daglig.</w:t>
      </w:r>
      <w:r w:rsidR="001C522D" w:rsidRPr="004C2A59">
        <w:rPr>
          <w:color w:val="000000"/>
          <w:szCs w:val="22"/>
        </w:rPr>
        <w:t xml:space="preserve"> Cytogenetiske abnormiteter blev evalueret hos 117 af hele populationen på 176 behandlede patienter. Af disse 117 patienter var 61 positive for FIP1L1-PDGFR</w:t>
      </w:r>
      <w:r w:rsidR="001C522D" w:rsidRPr="004C2A59">
        <w:rPr>
          <w:color w:val="000000"/>
          <w:szCs w:val="22"/>
          <w:lang w:val="en-GB"/>
        </w:rPr>
        <w:t>α</w:t>
      </w:r>
      <w:r w:rsidR="001C522D" w:rsidRPr="004C2A59">
        <w:rPr>
          <w:color w:val="000000"/>
          <w:szCs w:val="22"/>
        </w:rPr>
        <w:t xml:space="preserve"> </w:t>
      </w:r>
      <w:r w:rsidR="00B1019E" w:rsidRPr="004C2A59">
        <w:rPr>
          <w:color w:val="000000"/>
          <w:szCs w:val="22"/>
        </w:rPr>
        <w:t>fusion</w:t>
      </w:r>
      <w:r w:rsidR="001C522D" w:rsidRPr="004C2A59">
        <w:rPr>
          <w:color w:val="000000"/>
          <w:szCs w:val="22"/>
        </w:rPr>
        <w:t>kinase. Yderligere 4 HES patienter blev fundet FIP1L1-PDGFR</w:t>
      </w:r>
      <w:r w:rsidR="001F650F" w:rsidRPr="004C2A59">
        <w:rPr>
          <w:color w:val="000000"/>
          <w:szCs w:val="22"/>
        </w:rPr>
        <w:t>α</w:t>
      </w:r>
      <w:r w:rsidR="00082F48" w:rsidRPr="004C2A59">
        <w:rPr>
          <w:color w:val="000000"/>
          <w:szCs w:val="22"/>
        </w:rPr>
        <w:t xml:space="preserve"> positive</w:t>
      </w:r>
      <w:r w:rsidR="001F650F" w:rsidRPr="004C2A59">
        <w:rPr>
          <w:color w:val="000000"/>
          <w:szCs w:val="22"/>
        </w:rPr>
        <w:t xml:space="preserve"> i 3 andre publicerede </w:t>
      </w:r>
      <w:r w:rsidR="00EB4DDD" w:rsidRPr="004C2A59">
        <w:rPr>
          <w:color w:val="000000"/>
          <w:szCs w:val="22"/>
        </w:rPr>
        <w:t>kasuistikker</w:t>
      </w:r>
      <w:r w:rsidRPr="004C2A59">
        <w:rPr>
          <w:color w:val="000000"/>
          <w:szCs w:val="22"/>
        </w:rPr>
        <w:t>.</w:t>
      </w:r>
      <w:r w:rsidR="001C522D" w:rsidRPr="004C2A59">
        <w:rPr>
          <w:color w:val="000000"/>
          <w:szCs w:val="22"/>
        </w:rPr>
        <w:t xml:space="preserve"> </w:t>
      </w:r>
      <w:r w:rsidR="001F650F" w:rsidRPr="004C2A59">
        <w:rPr>
          <w:color w:val="000000"/>
          <w:szCs w:val="22"/>
        </w:rPr>
        <w:t xml:space="preserve">Alle 65 FIP1L1-PDGFRα </w:t>
      </w:r>
      <w:r w:rsidR="00B1019E" w:rsidRPr="004C2A59">
        <w:rPr>
          <w:color w:val="000000"/>
          <w:szCs w:val="22"/>
        </w:rPr>
        <w:t>fusionkinase-</w:t>
      </w:r>
      <w:r w:rsidR="001F650F" w:rsidRPr="004C2A59">
        <w:rPr>
          <w:color w:val="000000"/>
          <w:szCs w:val="22"/>
        </w:rPr>
        <w:t xml:space="preserve">positive patienter opnåede </w:t>
      </w:r>
      <w:smartTag w:uri="urn:schemas-microsoft-com:office:smarttags" w:element="metricconverter">
        <w:r w:rsidR="001F650F" w:rsidRPr="004C2A59">
          <w:rPr>
            <w:color w:val="000000"/>
            <w:szCs w:val="22"/>
          </w:rPr>
          <w:t>CHR</w:t>
        </w:r>
      </w:smartTag>
      <w:r w:rsidR="00082F48" w:rsidRPr="004C2A59">
        <w:rPr>
          <w:color w:val="000000"/>
          <w:szCs w:val="22"/>
        </w:rPr>
        <w:t>,</w:t>
      </w:r>
      <w:r w:rsidR="001F650F" w:rsidRPr="004C2A59">
        <w:rPr>
          <w:color w:val="000000"/>
          <w:szCs w:val="22"/>
        </w:rPr>
        <w:t xml:space="preserve"> som vedvarede i måneder (varighed fra 1+ til 44+ måneder </w:t>
      </w:r>
      <w:r w:rsidR="00234E95" w:rsidRPr="004C2A59">
        <w:rPr>
          <w:color w:val="000000"/>
          <w:szCs w:val="22"/>
        </w:rPr>
        <w:t>censureret på opgørelsestidpunktet</w:t>
      </w:r>
      <w:r w:rsidR="001F650F" w:rsidRPr="004C2A59">
        <w:rPr>
          <w:color w:val="000000"/>
          <w:szCs w:val="22"/>
        </w:rPr>
        <w:t>). Som beskrevet i en nylig publikation opnåede 21 af disse 65 patienter også komplet molekylær remission med en median opfølgningstid på 28 måneder (varierende fra 13</w:t>
      </w:r>
      <w:r w:rsidR="00680B52" w:rsidRPr="004C2A59">
        <w:rPr>
          <w:color w:val="000000"/>
          <w:szCs w:val="22"/>
        </w:rPr>
        <w:noBreakHyphen/>
      </w:r>
      <w:r w:rsidR="001F650F" w:rsidRPr="004C2A59">
        <w:rPr>
          <w:color w:val="000000"/>
          <w:szCs w:val="22"/>
        </w:rPr>
        <w:t xml:space="preserve">67 måneder). Patienternes alder varierede fra 25 til 72 år. </w:t>
      </w:r>
      <w:r w:rsidR="00082F48" w:rsidRPr="004C2A59">
        <w:rPr>
          <w:color w:val="000000"/>
          <w:szCs w:val="22"/>
        </w:rPr>
        <w:t xml:space="preserve">Derudover angav investigatorene symptomatisk bedring af andre organdysfunktioner i </w:t>
      </w:r>
      <w:r w:rsidR="00EB4DDD" w:rsidRPr="004C2A59">
        <w:rPr>
          <w:color w:val="000000"/>
          <w:szCs w:val="22"/>
        </w:rPr>
        <w:t>kasuistikker</w:t>
      </w:r>
      <w:r w:rsidR="00082F48" w:rsidRPr="004C2A59">
        <w:rPr>
          <w:color w:val="000000"/>
          <w:szCs w:val="22"/>
        </w:rPr>
        <w:t>ne</w:t>
      </w:r>
      <w:r w:rsidR="00EB4DDD" w:rsidRPr="004C2A59">
        <w:rPr>
          <w:color w:val="000000"/>
          <w:szCs w:val="22"/>
        </w:rPr>
        <w:t xml:space="preserve">. </w:t>
      </w:r>
      <w:r w:rsidR="00082F48" w:rsidRPr="004C2A59">
        <w:rPr>
          <w:color w:val="000000"/>
          <w:szCs w:val="22"/>
        </w:rPr>
        <w:t>Bedring blev rapportert for</w:t>
      </w:r>
      <w:r w:rsidR="00EB4DDD" w:rsidRPr="004C2A59">
        <w:rPr>
          <w:color w:val="000000"/>
          <w:szCs w:val="22"/>
        </w:rPr>
        <w:t>: hjerte, nervesystem, hud/</w:t>
      </w:r>
      <w:r w:rsidR="00082F48" w:rsidRPr="004C2A59">
        <w:rPr>
          <w:color w:val="000000"/>
          <w:szCs w:val="22"/>
        </w:rPr>
        <w:t>subkutant væv, respiratoriske/</w:t>
      </w:r>
      <w:r w:rsidR="00EB4DDD" w:rsidRPr="004C2A59">
        <w:rPr>
          <w:color w:val="000000"/>
          <w:szCs w:val="22"/>
        </w:rPr>
        <w:t xml:space="preserve"> </w:t>
      </w:r>
      <w:r w:rsidR="00082F48" w:rsidRPr="004C2A59">
        <w:rPr>
          <w:color w:val="000000"/>
          <w:szCs w:val="22"/>
        </w:rPr>
        <w:t>thorakale/ mediastinale</w:t>
      </w:r>
      <w:r w:rsidR="00EB4DDD" w:rsidRPr="004C2A59">
        <w:rPr>
          <w:color w:val="000000"/>
          <w:szCs w:val="22"/>
        </w:rPr>
        <w:t>, muskuloskeletale</w:t>
      </w:r>
      <w:r w:rsidR="00082F48" w:rsidRPr="004C2A59">
        <w:rPr>
          <w:color w:val="000000"/>
          <w:szCs w:val="22"/>
        </w:rPr>
        <w:t>/</w:t>
      </w:r>
      <w:r w:rsidR="00EB4DDD" w:rsidRPr="004C2A59">
        <w:rPr>
          <w:color w:val="000000"/>
          <w:szCs w:val="22"/>
        </w:rPr>
        <w:t>bindevæv</w:t>
      </w:r>
      <w:r w:rsidR="00082F48" w:rsidRPr="004C2A59">
        <w:rPr>
          <w:color w:val="000000"/>
          <w:szCs w:val="22"/>
        </w:rPr>
        <w:t xml:space="preserve">s/kar </w:t>
      </w:r>
      <w:r w:rsidR="00EB4DDD" w:rsidRPr="004C2A59">
        <w:rPr>
          <w:color w:val="000000"/>
          <w:szCs w:val="22"/>
        </w:rPr>
        <w:t>og gastroentestinal</w:t>
      </w:r>
      <w:r w:rsidR="00082F48" w:rsidRPr="004C2A59">
        <w:rPr>
          <w:color w:val="000000"/>
          <w:szCs w:val="22"/>
        </w:rPr>
        <w:t>e organsystemer.</w:t>
      </w:r>
    </w:p>
    <w:p w14:paraId="201CC7DC" w14:textId="77777777" w:rsidR="000377CD" w:rsidRPr="004C2A59" w:rsidRDefault="000377CD" w:rsidP="00421681">
      <w:pPr>
        <w:pStyle w:val="EndnoteText"/>
        <w:tabs>
          <w:tab w:val="clear" w:pos="567"/>
        </w:tabs>
        <w:rPr>
          <w:color w:val="000000"/>
          <w:szCs w:val="22"/>
          <w:u w:val="single"/>
        </w:rPr>
      </w:pPr>
    </w:p>
    <w:p w14:paraId="0B2C0C35" w14:textId="77777777" w:rsidR="005F04BF" w:rsidRPr="004C2A59" w:rsidRDefault="005F04BF" w:rsidP="00421681">
      <w:pPr>
        <w:pStyle w:val="EndnoteText"/>
        <w:tabs>
          <w:tab w:val="clear" w:pos="567"/>
        </w:tabs>
        <w:rPr>
          <w:color w:val="000000"/>
          <w:szCs w:val="22"/>
        </w:rPr>
      </w:pPr>
      <w:r w:rsidRPr="004C2A59">
        <w:rPr>
          <w:color w:val="000000"/>
          <w:szCs w:val="22"/>
        </w:rPr>
        <w:t xml:space="preserve">Der er </w:t>
      </w:r>
      <w:r w:rsidR="00FB1D11" w:rsidRPr="004C2A59">
        <w:rPr>
          <w:color w:val="000000"/>
          <w:szCs w:val="22"/>
        </w:rPr>
        <w:t>in</w:t>
      </w:r>
      <w:r w:rsidRPr="004C2A59">
        <w:rPr>
          <w:color w:val="000000"/>
          <w:szCs w:val="22"/>
        </w:rPr>
        <w:t xml:space="preserve">gen kontrollerede forsøg med pædiatriske patienter med HES/CEL. I tre publikationer var der rapporteret om </w:t>
      </w:r>
      <w:r w:rsidR="00610408" w:rsidRPr="004C2A59">
        <w:rPr>
          <w:color w:val="000000"/>
          <w:szCs w:val="22"/>
        </w:rPr>
        <w:t>tre (</w:t>
      </w:r>
      <w:r w:rsidRPr="004C2A59">
        <w:rPr>
          <w:color w:val="000000"/>
          <w:szCs w:val="22"/>
        </w:rPr>
        <w:t>3</w:t>
      </w:r>
      <w:r w:rsidR="00610408" w:rsidRPr="004C2A59">
        <w:rPr>
          <w:color w:val="000000"/>
          <w:szCs w:val="22"/>
        </w:rPr>
        <w:t>)</w:t>
      </w:r>
      <w:r w:rsidR="00393458" w:rsidRPr="004C2A59">
        <w:rPr>
          <w:color w:val="000000"/>
          <w:szCs w:val="22"/>
        </w:rPr>
        <w:t> </w:t>
      </w:r>
      <w:r w:rsidRPr="004C2A59">
        <w:rPr>
          <w:color w:val="000000"/>
          <w:szCs w:val="22"/>
        </w:rPr>
        <w:t>patienter med HES</w:t>
      </w:r>
      <w:r w:rsidR="007A578B" w:rsidRPr="004C2A59">
        <w:rPr>
          <w:color w:val="000000"/>
          <w:szCs w:val="22"/>
        </w:rPr>
        <w:t xml:space="preserve"> og CEL </w:t>
      </w:r>
      <w:r w:rsidRPr="004C2A59">
        <w:rPr>
          <w:color w:val="000000"/>
          <w:szCs w:val="22"/>
        </w:rPr>
        <w:t xml:space="preserve">forbundet med PDGFR-omlejring. Alderen på disse patienter rangerede fra </w:t>
      </w:r>
      <w:r w:rsidR="00393458" w:rsidRPr="004C2A59">
        <w:rPr>
          <w:color w:val="000000"/>
          <w:szCs w:val="22"/>
        </w:rPr>
        <w:t>2 </w:t>
      </w:r>
      <w:r w:rsidRPr="004C2A59">
        <w:rPr>
          <w:color w:val="000000"/>
          <w:szCs w:val="22"/>
        </w:rPr>
        <w:t xml:space="preserve">til </w:t>
      </w:r>
      <w:r w:rsidR="00393458" w:rsidRPr="004C2A59">
        <w:rPr>
          <w:color w:val="000000"/>
          <w:szCs w:val="22"/>
        </w:rPr>
        <w:t>16 </w:t>
      </w:r>
      <w:r w:rsidRPr="004C2A59">
        <w:rPr>
          <w:color w:val="000000"/>
          <w:szCs w:val="22"/>
        </w:rPr>
        <w:t>år</w:t>
      </w:r>
      <w:r w:rsidR="00FB1D11" w:rsidRPr="004C2A59">
        <w:rPr>
          <w:color w:val="000000"/>
          <w:szCs w:val="22"/>
        </w:rPr>
        <w:t>,</w:t>
      </w:r>
      <w:r w:rsidRPr="004C2A59">
        <w:rPr>
          <w:color w:val="000000"/>
          <w:szCs w:val="22"/>
        </w:rPr>
        <w:t xml:space="preserve"> og imatinib blev givet </w:t>
      </w:r>
      <w:r w:rsidR="00610408" w:rsidRPr="004C2A59">
        <w:rPr>
          <w:color w:val="000000"/>
          <w:szCs w:val="22"/>
        </w:rPr>
        <w:t>i en</w:t>
      </w:r>
      <w:r w:rsidRPr="004C2A59">
        <w:rPr>
          <w:color w:val="000000"/>
          <w:szCs w:val="22"/>
        </w:rPr>
        <w:t xml:space="preserve"> dos</w:t>
      </w:r>
      <w:r w:rsidR="00610408" w:rsidRPr="004C2A59">
        <w:rPr>
          <w:color w:val="000000"/>
          <w:szCs w:val="22"/>
        </w:rPr>
        <w:t>is på 300 mg/m</w:t>
      </w:r>
      <w:r w:rsidR="00610408" w:rsidRPr="004C2A59">
        <w:rPr>
          <w:color w:val="000000"/>
          <w:szCs w:val="22"/>
          <w:vertAlign w:val="superscript"/>
        </w:rPr>
        <w:t>2</w:t>
      </w:r>
      <w:r w:rsidR="00610408" w:rsidRPr="004C2A59">
        <w:rPr>
          <w:color w:val="000000"/>
          <w:szCs w:val="22"/>
        </w:rPr>
        <w:t xml:space="preserve"> dagligt eller doser</w:t>
      </w:r>
      <w:r w:rsidRPr="004C2A59">
        <w:rPr>
          <w:color w:val="000000"/>
          <w:szCs w:val="22"/>
        </w:rPr>
        <w:t xml:space="preserve">, der lå i intervallet fra </w:t>
      </w:r>
      <w:r w:rsidR="00393458" w:rsidRPr="004C2A59">
        <w:rPr>
          <w:color w:val="000000"/>
          <w:szCs w:val="22"/>
        </w:rPr>
        <w:t>200</w:t>
      </w:r>
      <w:r w:rsidRPr="004C2A59">
        <w:rPr>
          <w:color w:val="000000"/>
          <w:szCs w:val="22"/>
        </w:rPr>
        <w:t xml:space="preserve"> til 40</w:t>
      </w:r>
      <w:r w:rsidR="00393458" w:rsidRPr="004C2A59">
        <w:rPr>
          <w:color w:val="000000"/>
          <w:szCs w:val="22"/>
        </w:rPr>
        <w:t>0 </w:t>
      </w:r>
      <w:r w:rsidR="00610408" w:rsidRPr="004C2A59">
        <w:rPr>
          <w:color w:val="000000"/>
          <w:szCs w:val="22"/>
        </w:rPr>
        <w:t>mg dagligt</w:t>
      </w:r>
      <w:r w:rsidRPr="004C2A59">
        <w:rPr>
          <w:color w:val="000000"/>
          <w:szCs w:val="22"/>
        </w:rPr>
        <w:t xml:space="preserve">. Alle patienter opnåede komplet hæmatologisk respons, </w:t>
      </w:r>
      <w:r w:rsidR="00393458" w:rsidRPr="004C2A59">
        <w:rPr>
          <w:color w:val="000000"/>
          <w:szCs w:val="22"/>
        </w:rPr>
        <w:t xml:space="preserve">komplet </w:t>
      </w:r>
      <w:r w:rsidRPr="004C2A59">
        <w:rPr>
          <w:color w:val="000000"/>
          <w:szCs w:val="22"/>
        </w:rPr>
        <w:t>cytogenetisk repons og/eller</w:t>
      </w:r>
      <w:r w:rsidR="00B8341F" w:rsidRPr="004C2A59">
        <w:rPr>
          <w:color w:val="000000"/>
          <w:szCs w:val="22"/>
        </w:rPr>
        <w:t xml:space="preserve"> komplet molekylær</w:t>
      </w:r>
      <w:r w:rsidR="00FB1D11" w:rsidRPr="004C2A59">
        <w:rPr>
          <w:color w:val="000000"/>
          <w:szCs w:val="22"/>
        </w:rPr>
        <w:t>t</w:t>
      </w:r>
      <w:r w:rsidRPr="004C2A59">
        <w:rPr>
          <w:color w:val="000000"/>
          <w:szCs w:val="22"/>
        </w:rPr>
        <w:t xml:space="preserve"> respons.</w:t>
      </w:r>
    </w:p>
    <w:p w14:paraId="33DCF318" w14:textId="77777777" w:rsidR="005F04BF" w:rsidRPr="004C2A59" w:rsidRDefault="005F04BF" w:rsidP="00421681">
      <w:pPr>
        <w:pStyle w:val="EndnoteText"/>
        <w:tabs>
          <w:tab w:val="clear" w:pos="567"/>
        </w:tabs>
        <w:rPr>
          <w:color w:val="000000"/>
          <w:szCs w:val="22"/>
          <w:u w:val="single"/>
        </w:rPr>
      </w:pPr>
    </w:p>
    <w:p w14:paraId="3E66AF25" w14:textId="77777777" w:rsidR="009313F9" w:rsidRPr="004C2A59" w:rsidRDefault="009313F9" w:rsidP="00A125B0">
      <w:pPr>
        <w:pStyle w:val="EndnoteText"/>
        <w:keepNext/>
        <w:tabs>
          <w:tab w:val="clear" w:pos="567"/>
        </w:tabs>
        <w:rPr>
          <w:color w:val="000000"/>
          <w:szCs w:val="22"/>
          <w:u w:val="single"/>
        </w:rPr>
      </w:pPr>
      <w:r w:rsidRPr="004C2A59">
        <w:rPr>
          <w:color w:val="000000"/>
          <w:szCs w:val="22"/>
          <w:u w:val="single"/>
        </w:rPr>
        <w:lastRenderedPageBreak/>
        <w:t>Kliniske undersøgelser vedrørende inoperabel og/eller metastaserende GIST</w:t>
      </w:r>
    </w:p>
    <w:p w14:paraId="0459E69A" w14:textId="77777777" w:rsidR="00270C5A" w:rsidRPr="004C2A59" w:rsidRDefault="00270C5A" w:rsidP="00421681">
      <w:pPr>
        <w:pStyle w:val="EndnoteText"/>
        <w:tabs>
          <w:tab w:val="clear" w:pos="567"/>
        </w:tabs>
        <w:rPr>
          <w:color w:val="000000"/>
          <w:szCs w:val="22"/>
        </w:rPr>
      </w:pPr>
      <w:r w:rsidRPr="004C2A59">
        <w:rPr>
          <w:color w:val="000000"/>
          <w:szCs w:val="22"/>
        </w:rPr>
        <w:t>Der er udført en åben, randomiseret, ikke-kontrolleret, multinational fase</w:t>
      </w:r>
      <w:r w:rsidR="00B27D9A" w:rsidRPr="004C2A59">
        <w:rPr>
          <w:color w:val="000000"/>
          <w:szCs w:val="22"/>
        </w:rPr>
        <w:t> II</w:t>
      </w:r>
      <w:r w:rsidR="00712029" w:rsidRPr="004C2A59">
        <w:rPr>
          <w:color w:val="000000"/>
          <w:szCs w:val="22"/>
        </w:rPr>
        <w:t>-</w:t>
      </w:r>
      <w:r w:rsidRPr="004C2A59">
        <w:rPr>
          <w:color w:val="000000"/>
          <w:szCs w:val="22"/>
        </w:rPr>
        <w:t>undersøgelse med patienter med inoperable eller metastaserende maligne gastrointestinale bindevævstumorer (GIST). I denne undersøgelse inkluderedes 147 patienter, der randomiseredes til enten 400 mg eller 600 mg oralt</w:t>
      </w:r>
      <w:r w:rsidR="004E49E6" w:rsidRPr="004C2A59">
        <w:rPr>
          <w:color w:val="000000"/>
          <w:szCs w:val="22"/>
        </w:rPr>
        <w:t xml:space="preserve"> en gang daglig</w:t>
      </w:r>
      <w:r w:rsidRPr="004C2A59">
        <w:rPr>
          <w:color w:val="000000"/>
          <w:szCs w:val="22"/>
        </w:rPr>
        <w:t xml:space="preserve">, i op til </w:t>
      </w:r>
      <w:r w:rsidR="005753A4" w:rsidRPr="004C2A59">
        <w:rPr>
          <w:color w:val="000000"/>
          <w:szCs w:val="22"/>
        </w:rPr>
        <w:t>36</w:t>
      </w:r>
      <w:r w:rsidRPr="004C2A59">
        <w:rPr>
          <w:color w:val="000000"/>
          <w:szCs w:val="22"/>
        </w:rPr>
        <w:t> måneder. Disse patienter var i aldersgruppen 18</w:t>
      </w:r>
      <w:r w:rsidR="00ED38CD" w:rsidRPr="004C2A59">
        <w:rPr>
          <w:color w:val="000000"/>
          <w:szCs w:val="22"/>
        </w:rPr>
        <w:t>–</w:t>
      </w:r>
      <w:r w:rsidRPr="004C2A59">
        <w:rPr>
          <w:color w:val="000000"/>
          <w:szCs w:val="22"/>
        </w:rPr>
        <w:t>83</w:t>
      </w:r>
      <w:r w:rsidR="00C02CD8" w:rsidRPr="004C2A59">
        <w:rPr>
          <w:color w:val="000000"/>
          <w:szCs w:val="22"/>
        </w:rPr>
        <w:t> </w:t>
      </w:r>
      <w:r w:rsidRPr="004C2A59">
        <w:rPr>
          <w:color w:val="000000"/>
          <w:szCs w:val="22"/>
        </w:rPr>
        <w:t>år og havde en patologisk diagnose af Kit-positiv malignt GIST, der var inoperabelt og/eller metastaserende. Der udførtes rutinemæssigt immunohistokemi med Kit antistof (A-4502, polyklonalt kaninserum, 1:100; DAKO Corporation, Carpinteria, CA) i overensstemmelse med analyse ved avidin-biotin-peroxidasekompleksmetode efter antigengenfinding.</w:t>
      </w:r>
    </w:p>
    <w:p w14:paraId="07F0525A" w14:textId="77777777" w:rsidR="00270C5A" w:rsidRPr="004C2A59" w:rsidRDefault="00270C5A" w:rsidP="00421681">
      <w:pPr>
        <w:pStyle w:val="EndnoteText"/>
        <w:tabs>
          <w:tab w:val="clear" w:pos="567"/>
        </w:tabs>
        <w:rPr>
          <w:color w:val="000000"/>
          <w:szCs w:val="22"/>
        </w:rPr>
      </w:pPr>
    </w:p>
    <w:p w14:paraId="29940736" w14:textId="77777777" w:rsidR="00270C5A" w:rsidRPr="00F852D1" w:rsidRDefault="00270C5A" w:rsidP="00421681">
      <w:pPr>
        <w:pStyle w:val="EndnoteText"/>
        <w:tabs>
          <w:tab w:val="clear" w:pos="567"/>
        </w:tabs>
        <w:rPr>
          <w:color w:val="000000"/>
          <w:szCs w:val="22"/>
          <w:lang w:val="nb-NO"/>
        </w:rPr>
      </w:pPr>
      <w:r w:rsidRPr="00F852D1">
        <w:rPr>
          <w:color w:val="000000"/>
          <w:szCs w:val="22"/>
          <w:lang w:val="nb-NO"/>
        </w:rPr>
        <w:t>Tegn på effekt baseredes primært på objektive responsrater. Tumorer skulle være målelige i mindst et sygdomsområde og responskarakterisering baseret på SWOG-kriterier (Southwestern Oncology Group). Resultaterne er angivet i Tabel</w:t>
      </w:r>
      <w:r w:rsidR="000F2BB3" w:rsidRPr="00F852D1">
        <w:rPr>
          <w:color w:val="000000"/>
          <w:szCs w:val="22"/>
          <w:lang w:val="nb-NO"/>
        </w:rPr>
        <w:t> </w:t>
      </w:r>
      <w:r w:rsidR="00353FC4" w:rsidRPr="00F852D1">
        <w:rPr>
          <w:color w:val="000000"/>
          <w:szCs w:val="22"/>
          <w:lang w:val="nb-NO"/>
        </w:rPr>
        <w:t>6</w:t>
      </w:r>
      <w:r w:rsidRPr="00F852D1">
        <w:rPr>
          <w:color w:val="000000"/>
          <w:szCs w:val="22"/>
          <w:lang w:val="nb-NO"/>
        </w:rPr>
        <w:t>.</w:t>
      </w:r>
    </w:p>
    <w:p w14:paraId="2EE56528" w14:textId="77777777" w:rsidR="00270C5A" w:rsidRPr="00F852D1" w:rsidRDefault="00270C5A" w:rsidP="00421681">
      <w:pPr>
        <w:pStyle w:val="EndnoteText"/>
        <w:tabs>
          <w:tab w:val="clear" w:pos="567"/>
        </w:tabs>
        <w:rPr>
          <w:color w:val="000000"/>
          <w:szCs w:val="22"/>
          <w:lang w:val="nb-NO"/>
        </w:rPr>
      </w:pPr>
    </w:p>
    <w:p w14:paraId="31666E66" w14:textId="77777777" w:rsidR="00270C5A" w:rsidRPr="004C2A59" w:rsidRDefault="00270C5A" w:rsidP="00A125B0">
      <w:pPr>
        <w:pStyle w:val="EndnoteText"/>
        <w:keepNext/>
        <w:tabs>
          <w:tab w:val="clear" w:pos="567"/>
          <w:tab w:val="left" w:pos="1134"/>
        </w:tabs>
        <w:rPr>
          <w:b/>
          <w:color w:val="000000"/>
          <w:szCs w:val="22"/>
        </w:rPr>
      </w:pPr>
      <w:r w:rsidRPr="004C2A59">
        <w:rPr>
          <w:b/>
          <w:color w:val="000000"/>
          <w:szCs w:val="22"/>
        </w:rPr>
        <w:t>Tabel</w:t>
      </w:r>
      <w:r w:rsidR="000F2BB3" w:rsidRPr="004C2A59">
        <w:rPr>
          <w:b/>
          <w:color w:val="000000"/>
          <w:szCs w:val="22"/>
        </w:rPr>
        <w:t> </w:t>
      </w:r>
      <w:r w:rsidR="00353FC4" w:rsidRPr="004C2A59">
        <w:rPr>
          <w:b/>
          <w:color w:val="000000"/>
          <w:szCs w:val="22"/>
        </w:rPr>
        <w:t>6</w:t>
      </w:r>
      <w:r w:rsidRPr="004C2A59">
        <w:rPr>
          <w:b/>
          <w:color w:val="000000"/>
          <w:szCs w:val="22"/>
        </w:rPr>
        <w:tab/>
        <w:t>Bedste tumorrespons i undersøgelse STIB2222 (GIST)</w:t>
      </w:r>
    </w:p>
    <w:p w14:paraId="41A601BE" w14:textId="77777777" w:rsidR="00270C5A" w:rsidRPr="004C2A59" w:rsidRDefault="00270C5A" w:rsidP="00A125B0">
      <w:pPr>
        <w:pStyle w:val="EndnoteText"/>
        <w:keepNext/>
        <w:tabs>
          <w:tab w:val="clear" w:pos="567"/>
        </w:tab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270C5A" w:rsidRPr="004C2A59" w14:paraId="15AFE880" w14:textId="77777777" w:rsidTr="00A125B0">
        <w:trPr>
          <w:cantSplit/>
        </w:trPr>
        <w:tc>
          <w:tcPr>
            <w:tcW w:w="4643" w:type="dxa"/>
            <w:tcBorders>
              <w:left w:val="nil"/>
              <w:bottom w:val="single" w:sz="4" w:space="0" w:color="auto"/>
              <w:right w:val="nil"/>
            </w:tcBorders>
          </w:tcPr>
          <w:p w14:paraId="189DA2D4" w14:textId="77777777" w:rsidR="00270C5A" w:rsidRPr="004C2A59" w:rsidRDefault="00270C5A" w:rsidP="00A125B0">
            <w:pPr>
              <w:pStyle w:val="EndnoteText"/>
              <w:keepNext/>
              <w:tabs>
                <w:tab w:val="clear" w:pos="567"/>
              </w:tabs>
              <w:rPr>
                <w:color w:val="000000"/>
                <w:szCs w:val="22"/>
              </w:rPr>
            </w:pPr>
          </w:p>
          <w:p w14:paraId="727C5975" w14:textId="77777777" w:rsidR="00270C5A" w:rsidRPr="004C2A59" w:rsidRDefault="00270C5A" w:rsidP="00A125B0">
            <w:pPr>
              <w:pStyle w:val="EndnoteText"/>
              <w:keepNext/>
              <w:tabs>
                <w:tab w:val="clear" w:pos="567"/>
              </w:tabs>
              <w:rPr>
                <w:color w:val="000000"/>
                <w:szCs w:val="22"/>
              </w:rPr>
            </w:pPr>
          </w:p>
          <w:p w14:paraId="2780D16B" w14:textId="77777777" w:rsidR="00270C5A" w:rsidRPr="004C2A59" w:rsidRDefault="00270C5A" w:rsidP="00A125B0">
            <w:pPr>
              <w:pStyle w:val="EndnoteText"/>
              <w:keepNext/>
              <w:tabs>
                <w:tab w:val="clear" w:pos="567"/>
              </w:tabs>
              <w:rPr>
                <w:color w:val="000000"/>
                <w:szCs w:val="22"/>
              </w:rPr>
            </w:pPr>
          </w:p>
          <w:p w14:paraId="13EECFB7" w14:textId="77777777" w:rsidR="00270C5A" w:rsidRPr="004C2A59" w:rsidRDefault="00270C5A" w:rsidP="00A125B0">
            <w:pPr>
              <w:pStyle w:val="EndnoteText"/>
              <w:keepNext/>
              <w:tabs>
                <w:tab w:val="clear" w:pos="567"/>
              </w:tabs>
              <w:rPr>
                <w:color w:val="000000"/>
                <w:szCs w:val="22"/>
              </w:rPr>
            </w:pPr>
            <w:r w:rsidRPr="004C2A59">
              <w:rPr>
                <w:color w:val="000000"/>
                <w:szCs w:val="22"/>
              </w:rPr>
              <w:t>Bedste respons</w:t>
            </w:r>
          </w:p>
        </w:tc>
        <w:tc>
          <w:tcPr>
            <w:tcW w:w="4643" w:type="dxa"/>
            <w:tcBorders>
              <w:left w:val="nil"/>
              <w:bottom w:val="single" w:sz="4" w:space="0" w:color="auto"/>
              <w:right w:val="nil"/>
            </w:tcBorders>
          </w:tcPr>
          <w:p w14:paraId="4BA34ACA" w14:textId="77777777" w:rsidR="00270C5A" w:rsidRPr="00F852D1" w:rsidRDefault="00270C5A" w:rsidP="00A125B0">
            <w:pPr>
              <w:pStyle w:val="EndnoteText"/>
              <w:keepNext/>
              <w:tabs>
                <w:tab w:val="clear" w:pos="567"/>
              </w:tabs>
              <w:jc w:val="center"/>
              <w:rPr>
                <w:color w:val="000000"/>
                <w:szCs w:val="22"/>
                <w:lang w:val="pt-PT"/>
              </w:rPr>
            </w:pPr>
            <w:r w:rsidRPr="00F852D1">
              <w:rPr>
                <w:color w:val="000000"/>
                <w:szCs w:val="22"/>
                <w:lang w:val="pt-PT"/>
              </w:rPr>
              <w:t>Alle doser (n=147)</w:t>
            </w:r>
          </w:p>
          <w:p w14:paraId="527900C5" w14:textId="77777777" w:rsidR="00270C5A" w:rsidRPr="00F852D1" w:rsidRDefault="00270C5A" w:rsidP="00A125B0">
            <w:pPr>
              <w:pStyle w:val="EndnoteText"/>
              <w:keepNext/>
              <w:tabs>
                <w:tab w:val="clear" w:pos="567"/>
              </w:tabs>
              <w:jc w:val="center"/>
              <w:rPr>
                <w:color w:val="000000"/>
                <w:szCs w:val="22"/>
                <w:lang w:val="pt-PT"/>
              </w:rPr>
            </w:pPr>
            <w:r w:rsidRPr="00F852D1">
              <w:rPr>
                <w:color w:val="000000"/>
                <w:szCs w:val="22"/>
                <w:lang w:val="pt-PT"/>
              </w:rPr>
              <w:t>400</w:t>
            </w:r>
            <w:r w:rsidR="00C17108" w:rsidRPr="00F852D1">
              <w:rPr>
                <w:color w:val="000000"/>
                <w:szCs w:val="22"/>
                <w:lang w:val="pt-PT"/>
              </w:rPr>
              <w:t> mg</w:t>
            </w:r>
            <w:r w:rsidRPr="00F852D1">
              <w:rPr>
                <w:color w:val="000000"/>
                <w:szCs w:val="22"/>
                <w:lang w:val="pt-PT"/>
              </w:rPr>
              <w:t xml:space="preserve"> (n=73)</w:t>
            </w:r>
          </w:p>
          <w:p w14:paraId="071F7A29" w14:textId="77777777" w:rsidR="00270C5A" w:rsidRPr="004C2A59" w:rsidRDefault="00270C5A" w:rsidP="00A125B0">
            <w:pPr>
              <w:pStyle w:val="EndnoteText"/>
              <w:keepNext/>
              <w:tabs>
                <w:tab w:val="clear" w:pos="567"/>
              </w:tabs>
              <w:jc w:val="center"/>
              <w:rPr>
                <w:color w:val="000000"/>
                <w:szCs w:val="22"/>
              </w:rPr>
            </w:pPr>
            <w:r w:rsidRPr="004C2A59">
              <w:rPr>
                <w:color w:val="000000"/>
                <w:szCs w:val="22"/>
              </w:rPr>
              <w:t>600</w:t>
            </w:r>
            <w:r w:rsidR="00C17108" w:rsidRPr="004C2A59">
              <w:rPr>
                <w:color w:val="000000"/>
                <w:szCs w:val="22"/>
              </w:rPr>
              <w:t> mg</w:t>
            </w:r>
            <w:r w:rsidRPr="004C2A59">
              <w:rPr>
                <w:color w:val="000000"/>
                <w:szCs w:val="22"/>
              </w:rPr>
              <w:t xml:space="preserve"> (n=74)</w:t>
            </w:r>
          </w:p>
          <w:p w14:paraId="5D9E1C48" w14:textId="77777777" w:rsidR="00270C5A" w:rsidRPr="004C2A59" w:rsidRDefault="00270C5A" w:rsidP="00A125B0">
            <w:pPr>
              <w:pStyle w:val="EndnoteText"/>
              <w:keepNext/>
              <w:tabs>
                <w:tab w:val="clear" w:pos="567"/>
              </w:tabs>
              <w:jc w:val="center"/>
              <w:rPr>
                <w:color w:val="000000"/>
                <w:szCs w:val="22"/>
              </w:rPr>
            </w:pPr>
            <w:r w:rsidRPr="004C2A59">
              <w:rPr>
                <w:color w:val="000000"/>
                <w:szCs w:val="22"/>
              </w:rPr>
              <w:t>n (%)</w:t>
            </w:r>
          </w:p>
        </w:tc>
      </w:tr>
      <w:tr w:rsidR="00270C5A" w:rsidRPr="004C2A59" w14:paraId="36C2F5E3" w14:textId="77777777" w:rsidTr="00A125B0">
        <w:trPr>
          <w:cantSplit/>
        </w:trPr>
        <w:tc>
          <w:tcPr>
            <w:tcW w:w="4643" w:type="dxa"/>
            <w:tcBorders>
              <w:top w:val="nil"/>
              <w:left w:val="nil"/>
              <w:bottom w:val="nil"/>
              <w:right w:val="nil"/>
            </w:tcBorders>
          </w:tcPr>
          <w:p w14:paraId="18773106" w14:textId="77777777" w:rsidR="00270C5A" w:rsidRPr="004C2A59" w:rsidRDefault="00270C5A" w:rsidP="00A125B0">
            <w:pPr>
              <w:pStyle w:val="EndnoteText"/>
              <w:keepNext/>
              <w:tabs>
                <w:tab w:val="clear" w:pos="567"/>
              </w:tabs>
              <w:rPr>
                <w:color w:val="000000"/>
                <w:szCs w:val="22"/>
              </w:rPr>
            </w:pPr>
            <w:r w:rsidRPr="004C2A59">
              <w:rPr>
                <w:color w:val="000000"/>
                <w:szCs w:val="22"/>
              </w:rPr>
              <w:t>Komplet respons</w:t>
            </w:r>
          </w:p>
        </w:tc>
        <w:tc>
          <w:tcPr>
            <w:tcW w:w="4643" w:type="dxa"/>
            <w:tcBorders>
              <w:top w:val="nil"/>
              <w:left w:val="nil"/>
              <w:bottom w:val="nil"/>
              <w:right w:val="nil"/>
            </w:tcBorders>
          </w:tcPr>
          <w:p w14:paraId="2FA06156" w14:textId="77777777" w:rsidR="00270C5A" w:rsidRPr="004C2A59" w:rsidRDefault="005753A4" w:rsidP="00A125B0">
            <w:pPr>
              <w:pStyle w:val="EndnoteText"/>
              <w:keepNext/>
              <w:tabs>
                <w:tab w:val="clear" w:pos="567"/>
              </w:tabs>
              <w:jc w:val="center"/>
              <w:rPr>
                <w:color w:val="000000"/>
                <w:szCs w:val="22"/>
              </w:rPr>
            </w:pPr>
            <w:r w:rsidRPr="004C2A59">
              <w:rPr>
                <w:color w:val="000000"/>
                <w:szCs w:val="22"/>
              </w:rPr>
              <w:t>1 (</w:t>
            </w:r>
            <w:r w:rsidR="00270C5A" w:rsidRPr="004C2A59">
              <w:rPr>
                <w:color w:val="000000"/>
                <w:szCs w:val="22"/>
              </w:rPr>
              <w:t>0</w:t>
            </w:r>
            <w:r w:rsidRPr="004C2A59">
              <w:rPr>
                <w:color w:val="000000"/>
                <w:szCs w:val="22"/>
              </w:rPr>
              <w:t>,7)</w:t>
            </w:r>
          </w:p>
        </w:tc>
      </w:tr>
      <w:tr w:rsidR="00270C5A" w:rsidRPr="004C2A59" w14:paraId="1DF9FABC" w14:textId="77777777" w:rsidTr="00A125B0">
        <w:trPr>
          <w:cantSplit/>
        </w:trPr>
        <w:tc>
          <w:tcPr>
            <w:tcW w:w="4643" w:type="dxa"/>
            <w:tcBorders>
              <w:top w:val="nil"/>
              <w:left w:val="nil"/>
              <w:bottom w:val="nil"/>
              <w:right w:val="nil"/>
            </w:tcBorders>
          </w:tcPr>
          <w:p w14:paraId="705FD08A" w14:textId="77777777" w:rsidR="00270C5A" w:rsidRPr="004C2A59" w:rsidRDefault="00270C5A" w:rsidP="00A125B0">
            <w:pPr>
              <w:pStyle w:val="EndnoteText"/>
              <w:keepNext/>
              <w:tabs>
                <w:tab w:val="clear" w:pos="567"/>
              </w:tabs>
              <w:rPr>
                <w:color w:val="000000"/>
                <w:szCs w:val="22"/>
              </w:rPr>
            </w:pPr>
            <w:r w:rsidRPr="004C2A59">
              <w:rPr>
                <w:color w:val="000000"/>
                <w:szCs w:val="22"/>
              </w:rPr>
              <w:t>Partielt respons</w:t>
            </w:r>
          </w:p>
        </w:tc>
        <w:tc>
          <w:tcPr>
            <w:tcW w:w="4643" w:type="dxa"/>
            <w:tcBorders>
              <w:top w:val="nil"/>
              <w:left w:val="nil"/>
              <w:bottom w:val="nil"/>
              <w:right w:val="nil"/>
            </w:tcBorders>
          </w:tcPr>
          <w:p w14:paraId="26D03E7D" w14:textId="77777777" w:rsidR="00270C5A" w:rsidRPr="004C2A59" w:rsidRDefault="005753A4" w:rsidP="00A125B0">
            <w:pPr>
              <w:pStyle w:val="EndnoteText"/>
              <w:keepNext/>
              <w:tabs>
                <w:tab w:val="clear" w:pos="567"/>
              </w:tabs>
              <w:jc w:val="center"/>
              <w:rPr>
                <w:color w:val="000000"/>
                <w:szCs w:val="22"/>
              </w:rPr>
            </w:pPr>
            <w:r w:rsidRPr="004C2A59">
              <w:rPr>
                <w:color w:val="000000"/>
                <w:szCs w:val="22"/>
              </w:rPr>
              <w:t>98 (66,7)</w:t>
            </w:r>
          </w:p>
        </w:tc>
      </w:tr>
      <w:tr w:rsidR="00270C5A" w:rsidRPr="004C2A59" w14:paraId="2FB9CBDA" w14:textId="77777777" w:rsidTr="00A125B0">
        <w:trPr>
          <w:cantSplit/>
        </w:trPr>
        <w:tc>
          <w:tcPr>
            <w:tcW w:w="4643" w:type="dxa"/>
            <w:tcBorders>
              <w:top w:val="nil"/>
              <w:left w:val="nil"/>
              <w:bottom w:val="nil"/>
              <w:right w:val="nil"/>
            </w:tcBorders>
          </w:tcPr>
          <w:p w14:paraId="1A14B00D" w14:textId="77777777" w:rsidR="00270C5A" w:rsidRPr="004C2A59" w:rsidRDefault="00270C5A" w:rsidP="00A125B0">
            <w:pPr>
              <w:pStyle w:val="EndnoteText"/>
              <w:keepNext/>
              <w:tabs>
                <w:tab w:val="clear" w:pos="567"/>
              </w:tabs>
              <w:rPr>
                <w:color w:val="000000"/>
                <w:szCs w:val="22"/>
              </w:rPr>
            </w:pPr>
            <w:r w:rsidRPr="004C2A59">
              <w:rPr>
                <w:color w:val="000000"/>
                <w:szCs w:val="22"/>
              </w:rPr>
              <w:t>Stabil sygdom</w:t>
            </w:r>
          </w:p>
        </w:tc>
        <w:tc>
          <w:tcPr>
            <w:tcW w:w="4643" w:type="dxa"/>
            <w:tcBorders>
              <w:top w:val="nil"/>
              <w:left w:val="nil"/>
              <w:bottom w:val="nil"/>
              <w:right w:val="nil"/>
            </w:tcBorders>
          </w:tcPr>
          <w:p w14:paraId="26B2AD94" w14:textId="77777777" w:rsidR="00270C5A" w:rsidRPr="004C2A59" w:rsidRDefault="005753A4" w:rsidP="00A125B0">
            <w:pPr>
              <w:pStyle w:val="EndnoteText"/>
              <w:keepNext/>
              <w:tabs>
                <w:tab w:val="clear" w:pos="567"/>
              </w:tabs>
              <w:jc w:val="center"/>
              <w:rPr>
                <w:color w:val="000000"/>
                <w:szCs w:val="22"/>
              </w:rPr>
            </w:pPr>
            <w:r w:rsidRPr="004C2A59">
              <w:rPr>
                <w:color w:val="000000"/>
                <w:szCs w:val="22"/>
              </w:rPr>
              <w:t>23 (15,6)</w:t>
            </w:r>
          </w:p>
        </w:tc>
      </w:tr>
      <w:tr w:rsidR="00270C5A" w:rsidRPr="004C2A59" w14:paraId="4E75EE76" w14:textId="77777777" w:rsidTr="00A125B0">
        <w:trPr>
          <w:cantSplit/>
        </w:trPr>
        <w:tc>
          <w:tcPr>
            <w:tcW w:w="4643" w:type="dxa"/>
            <w:tcBorders>
              <w:top w:val="nil"/>
              <w:left w:val="nil"/>
              <w:bottom w:val="nil"/>
              <w:right w:val="nil"/>
            </w:tcBorders>
          </w:tcPr>
          <w:p w14:paraId="05CE2FCF" w14:textId="77777777" w:rsidR="00270C5A" w:rsidRPr="004C2A59" w:rsidRDefault="00270C5A" w:rsidP="00A125B0">
            <w:pPr>
              <w:pStyle w:val="EndnoteText"/>
              <w:keepNext/>
              <w:tabs>
                <w:tab w:val="clear" w:pos="567"/>
              </w:tabs>
              <w:rPr>
                <w:color w:val="000000"/>
                <w:szCs w:val="22"/>
              </w:rPr>
            </w:pPr>
            <w:r w:rsidRPr="004C2A59">
              <w:rPr>
                <w:color w:val="000000"/>
                <w:szCs w:val="22"/>
              </w:rPr>
              <w:t>Progressiv sygdom</w:t>
            </w:r>
          </w:p>
        </w:tc>
        <w:tc>
          <w:tcPr>
            <w:tcW w:w="4643" w:type="dxa"/>
            <w:tcBorders>
              <w:top w:val="nil"/>
              <w:left w:val="nil"/>
              <w:bottom w:val="nil"/>
              <w:right w:val="nil"/>
            </w:tcBorders>
          </w:tcPr>
          <w:p w14:paraId="520CC1DC" w14:textId="77777777" w:rsidR="00270C5A" w:rsidRPr="004C2A59" w:rsidRDefault="00270C5A" w:rsidP="00A125B0">
            <w:pPr>
              <w:pStyle w:val="EndnoteText"/>
              <w:keepNext/>
              <w:tabs>
                <w:tab w:val="clear" w:pos="567"/>
              </w:tabs>
              <w:jc w:val="center"/>
              <w:rPr>
                <w:color w:val="000000"/>
                <w:szCs w:val="22"/>
              </w:rPr>
            </w:pPr>
            <w:r w:rsidRPr="004C2A59">
              <w:rPr>
                <w:color w:val="000000"/>
                <w:szCs w:val="22"/>
              </w:rPr>
              <w:t>18 (12,2)</w:t>
            </w:r>
          </w:p>
        </w:tc>
      </w:tr>
      <w:tr w:rsidR="00270C5A" w:rsidRPr="004C2A59" w14:paraId="628AFC99" w14:textId="77777777" w:rsidTr="00A125B0">
        <w:trPr>
          <w:cantSplit/>
        </w:trPr>
        <w:tc>
          <w:tcPr>
            <w:tcW w:w="4643" w:type="dxa"/>
            <w:tcBorders>
              <w:top w:val="nil"/>
              <w:left w:val="nil"/>
              <w:bottom w:val="nil"/>
              <w:right w:val="nil"/>
            </w:tcBorders>
          </w:tcPr>
          <w:p w14:paraId="1D4A0108" w14:textId="77777777" w:rsidR="00270C5A" w:rsidRPr="004C2A59" w:rsidRDefault="00270C5A" w:rsidP="00A125B0">
            <w:pPr>
              <w:pStyle w:val="EndnoteText"/>
              <w:keepNext/>
              <w:tabs>
                <w:tab w:val="clear" w:pos="567"/>
              </w:tabs>
              <w:rPr>
                <w:color w:val="000000"/>
                <w:szCs w:val="22"/>
              </w:rPr>
            </w:pPr>
            <w:r w:rsidRPr="004C2A59">
              <w:rPr>
                <w:color w:val="000000"/>
                <w:szCs w:val="22"/>
              </w:rPr>
              <w:t>Kan ikke vurderes</w:t>
            </w:r>
          </w:p>
        </w:tc>
        <w:tc>
          <w:tcPr>
            <w:tcW w:w="4643" w:type="dxa"/>
            <w:tcBorders>
              <w:top w:val="nil"/>
              <w:left w:val="nil"/>
              <w:bottom w:val="nil"/>
              <w:right w:val="nil"/>
            </w:tcBorders>
          </w:tcPr>
          <w:p w14:paraId="3B16536B" w14:textId="77777777" w:rsidR="00270C5A" w:rsidRPr="004C2A59" w:rsidRDefault="005753A4" w:rsidP="00A125B0">
            <w:pPr>
              <w:pStyle w:val="EndnoteText"/>
              <w:keepNext/>
              <w:tabs>
                <w:tab w:val="clear" w:pos="567"/>
              </w:tabs>
              <w:jc w:val="center"/>
              <w:rPr>
                <w:color w:val="000000"/>
                <w:szCs w:val="22"/>
              </w:rPr>
            </w:pPr>
            <w:r w:rsidRPr="004C2A59">
              <w:rPr>
                <w:color w:val="000000"/>
                <w:szCs w:val="22"/>
              </w:rPr>
              <w:t>5 (3,4)</w:t>
            </w:r>
          </w:p>
        </w:tc>
      </w:tr>
      <w:tr w:rsidR="00270C5A" w:rsidRPr="004C2A59" w14:paraId="2A51C8AC" w14:textId="77777777" w:rsidTr="00A125B0">
        <w:trPr>
          <w:cantSplit/>
        </w:trPr>
        <w:tc>
          <w:tcPr>
            <w:tcW w:w="4643" w:type="dxa"/>
            <w:tcBorders>
              <w:top w:val="nil"/>
              <w:left w:val="nil"/>
              <w:right w:val="nil"/>
            </w:tcBorders>
          </w:tcPr>
          <w:p w14:paraId="0909536D" w14:textId="77777777" w:rsidR="00270C5A" w:rsidRPr="004C2A59" w:rsidRDefault="00270C5A" w:rsidP="00421681">
            <w:pPr>
              <w:pStyle w:val="EndnoteText"/>
              <w:tabs>
                <w:tab w:val="clear" w:pos="567"/>
              </w:tabs>
              <w:rPr>
                <w:color w:val="000000"/>
                <w:szCs w:val="22"/>
              </w:rPr>
            </w:pPr>
            <w:r w:rsidRPr="004C2A59">
              <w:rPr>
                <w:color w:val="000000"/>
                <w:szCs w:val="22"/>
              </w:rPr>
              <w:t>Ukendt</w:t>
            </w:r>
          </w:p>
        </w:tc>
        <w:tc>
          <w:tcPr>
            <w:tcW w:w="4643" w:type="dxa"/>
            <w:tcBorders>
              <w:top w:val="nil"/>
              <w:left w:val="nil"/>
              <w:right w:val="nil"/>
            </w:tcBorders>
          </w:tcPr>
          <w:p w14:paraId="45D227E8" w14:textId="77777777" w:rsidR="00270C5A" w:rsidRPr="004C2A59" w:rsidRDefault="00270C5A" w:rsidP="00421681">
            <w:pPr>
              <w:pStyle w:val="EndnoteText"/>
              <w:tabs>
                <w:tab w:val="clear" w:pos="567"/>
              </w:tabs>
              <w:jc w:val="center"/>
              <w:rPr>
                <w:color w:val="000000"/>
                <w:szCs w:val="22"/>
              </w:rPr>
            </w:pPr>
            <w:r w:rsidRPr="004C2A59">
              <w:rPr>
                <w:color w:val="000000"/>
                <w:szCs w:val="22"/>
              </w:rPr>
              <w:t>2 (1,4)</w:t>
            </w:r>
          </w:p>
        </w:tc>
      </w:tr>
    </w:tbl>
    <w:p w14:paraId="1E8C3CB6" w14:textId="77777777" w:rsidR="00270C5A" w:rsidRPr="004C2A59" w:rsidRDefault="00270C5A" w:rsidP="00421681">
      <w:pPr>
        <w:pStyle w:val="EndnoteText"/>
        <w:tabs>
          <w:tab w:val="clear" w:pos="567"/>
        </w:tabs>
        <w:rPr>
          <w:color w:val="000000"/>
          <w:szCs w:val="22"/>
        </w:rPr>
      </w:pPr>
    </w:p>
    <w:p w14:paraId="0501DDE0" w14:textId="77777777" w:rsidR="006C5BF7" w:rsidRPr="004C2A59" w:rsidRDefault="00270C5A" w:rsidP="00421681">
      <w:pPr>
        <w:pStyle w:val="EndnoteText"/>
        <w:tabs>
          <w:tab w:val="clear" w:pos="567"/>
        </w:tabs>
        <w:rPr>
          <w:color w:val="000000"/>
          <w:szCs w:val="22"/>
        </w:rPr>
      </w:pPr>
      <w:r w:rsidRPr="004C2A59">
        <w:rPr>
          <w:color w:val="000000"/>
          <w:szCs w:val="22"/>
        </w:rPr>
        <w:t>Der sås ingen forskelle i responsrater mellem de to doseringsgrupper. En betydelig gruppe patienter</w:t>
      </w:r>
      <w:r w:rsidR="00CF4E26" w:rsidRPr="004C2A59">
        <w:rPr>
          <w:color w:val="000000"/>
          <w:szCs w:val="22"/>
        </w:rPr>
        <w:t>, som</w:t>
      </w:r>
      <w:r w:rsidRPr="004C2A59">
        <w:rPr>
          <w:color w:val="000000"/>
          <w:szCs w:val="22"/>
        </w:rPr>
        <w:t xml:space="preserve"> havde stabil sygdom ved interimsanalysen</w:t>
      </w:r>
      <w:r w:rsidR="00CF4E26" w:rsidRPr="004C2A59">
        <w:rPr>
          <w:color w:val="000000"/>
          <w:szCs w:val="22"/>
        </w:rPr>
        <w:t xml:space="preserve"> opnåede delvis</w:t>
      </w:r>
      <w:r w:rsidR="00762A74" w:rsidRPr="004C2A59">
        <w:rPr>
          <w:color w:val="000000"/>
          <w:szCs w:val="22"/>
        </w:rPr>
        <w:t>t</w:t>
      </w:r>
      <w:r w:rsidR="00CF4E26" w:rsidRPr="004C2A59">
        <w:rPr>
          <w:color w:val="000000"/>
          <w:szCs w:val="22"/>
        </w:rPr>
        <w:t xml:space="preserve"> respons med længere behandling (median opfølgningstid på 31 måneder). Median tid til respons var 13 uger (95% konfidensinterval 12</w:t>
      </w:r>
      <w:r w:rsidR="00CF4E26" w:rsidRPr="004C2A59">
        <w:rPr>
          <w:color w:val="000000"/>
          <w:szCs w:val="22"/>
        </w:rPr>
        <w:noBreakHyphen/>
        <w:t xml:space="preserve">23). Median tid til svigtende behandling </w:t>
      </w:r>
      <w:r w:rsidR="000419FB" w:rsidRPr="004C2A59">
        <w:rPr>
          <w:color w:val="000000"/>
          <w:szCs w:val="22"/>
        </w:rPr>
        <w:t xml:space="preserve">hos respondenter </w:t>
      </w:r>
      <w:r w:rsidR="00CF4E26" w:rsidRPr="004C2A59">
        <w:rPr>
          <w:color w:val="000000"/>
          <w:szCs w:val="22"/>
        </w:rPr>
        <w:t>var 122 uger (95% konfidensinterval 106</w:t>
      </w:r>
      <w:r w:rsidR="00CF4E26" w:rsidRPr="004C2A59">
        <w:rPr>
          <w:color w:val="000000"/>
          <w:szCs w:val="22"/>
        </w:rPr>
        <w:noBreakHyphen/>
        <w:t>147), mens i den overordnede studiepopulation var 84 uger</w:t>
      </w:r>
      <w:r w:rsidR="000419FB" w:rsidRPr="004C2A59">
        <w:rPr>
          <w:color w:val="000000"/>
          <w:szCs w:val="22"/>
        </w:rPr>
        <w:t xml:space="preserve"> </w:t>
      </w:r>
      <w:r w:rsidR="00CF4E26" w:rsidRPr="004C2A59">
        <w:rPr>
          <w:color w:val="000000"/>
          <w:szCs w:val="22"/>
        </w:rPr>
        <w:t>(95% konfidensinterval 71</w:t>
      </w:r>
      <w:r w:rsidR="00CF4E26" w:rsidRPr="004C2A59">
        <w:rPr>
          <w:color w:val="000000"/>
          <w:szCs w:val="22"/>
        </w:rPr>
        <w:noBreakHyphen/>
        <w:t xml:space="preserve">109). Den mediane overordnede </w:t>
      </w:r>
      <w:r w:rsidR="006C5BF7" w:rsidRPr="004C2A59">
        <w:rPr>
          <w:color w:val="000000"/>
          <w:szCs w:val="22"/>
        </w:rPr>
        <w:t>overlevelse er endnu ikke nået. Kaplan-Meier estimatet for overlevelse efter 36 måneders opfølgning er 68%.</w:t>
      </w:r>
    </w:p>
    <w:p w14:paraId="33A97FFD" w14:textId="77777777" w:rsidR="006C5BF7" w:rsidRPr="004C2A59" w:rsidRDefault="006C5BF7" w:rsidP="00421681">
      <w:pPr>
        <w:pStyle w:val="EndnoteText"/>
        <w:tabs>
          <w:tab w:val="clear" w:pos="567"/>
        </w:tabs>
        <w:rPr>
          <w:color w:val="000000"/>
          <w:szCs w:val="22"/>
        </w:rPr>
      </w:pPr>
    </w:p>
    <w:p w14:paraId="089FEDCC" w14:textId="77777777" w:rsidR="00270C5A" w:rsidRPr="004C2A59" w:rsidRDefault="006C5BF7" w:rsidP="00421681">
      <w:pPr>
        <w:pStyle w:val="EndnoteText"/>
        <w:tabs>
          <w:tab w:val="clear" w:pos="567"/>
        </w:tabs>
        <w:rPr>
          <w:color w:val="000000"/>
          <w:szCs w:val="22"/>
        </w:rPr>
      </w:pPr>
      <w:r w:rsidRPr="004C2A59">
        <w:rPr>
          <w:color w:val="000000"/>
          <w:szCs w:val="22"/>
        </w:rPr>
        <w:t>I to kliniske undersøgelser (studie B2222 og e</w:t>
      </w:r>
      <w:r w:rsidR="000419FB" w:rsidRPr="004C2A59">
        <w:rPr>
          <w:color w:val="000000"/>
          <w:szCs w:val="22"/>
        </w:rPr>
        <w:t>t mellemgruppe studie S0033) blev</w:t>
      </w:r>
      <w:r w:rsidRPr="004C2A59">
        <w:rPr>
          <w:color w:val="000000"/>
          <w:szCs w:val="22"/>
        </w:rPr>
        <w:t xml:space="preserve"> den daglige dosis </w:t>
      </w:r>
      <w:r w:rsidR="000419FB" w:rsidRPr="004C2A59">
        <w:rPr>
          <w:color w:val="000000"/>
          <w:szCs w:val="22"/>
        </w:rPr>
        <w:t>optrappet</w:t>
      </w:r>
      <w:r w:rsidRPr="004C2A59">
        <w:rPr>
          <w:color w:val="000000"/>
          <w:szCs w:val="22"/>
        </w:rPr>
        <w:t xml:space="preserve"> til 800 mg hos patienter, hvis sygdom fremskrider ved de lavere daglige doser på 400 mg </w:t>
      </w:r>
      <w:r w:rsidR="00762A74" w:rsidRPr="004C2A59">
        <w:rPr>
          <w:color w:val="000000"/>
          <w:szCs w:val="22"/>
        </w:rPr>
        <w:t>eller</w:t>
      </w:r>
      <w:r w:rsidRPr="004C2A59">
        <w:rPr>
          <w:color w:val="000000"/>
          <w:szCs w:val="22"/>
        </w:rPr>
        <w:t xml:space="preserve"> 600 mg. Den daglige dosis blev opt</w:t>
      </w:r>
      <w:r w:rsidR="000419FB" w:rsidRPr="004C2A59">
        <w:rPr>
          <w:color w:val="000000"/>
          <w:szCs w:val="22"/>
        </w:rPr>
        <w:t>rappet</w:t>
      </w:r>
      <w:r w:rsidRPr="004C2A59">
        <w:rPr>
          <w:color w:val="000000"/>
          <w:szCs w:val="22"/>
        </w:rPr>
        <w:t xml:space="preserve"> til 800 mg hos et total på 103 patienter; 6 patienter opnåede delvist respons</w:t>
      </w:r>
      <w:r w:rsidR="00762A74" w:rsidRPr="004C2A59">
        <w:rPr>
          <w:color w:val="000000"/>
          <w:szCs w:val="22"/>
        </w:rPr>
        <w:t xml:space="preserve"> og 21 patienter opnåede stabilisering af deres sygdom efter optrapning af dosis med et overordnede klinisk fordel på 26%. Fra tilgængelig sikkerhedsdata ser det ikke ud til, at sikkerhedsprofilen for Glivec ændres ved optrapning af dosis til 800 mg daglig til patienter, hvis sygdom fremskrider ved de lavere doser på 400 mg eller 600 mg daglig.</w:t>
      </w:r>
    </w:p>
    <w:p w14:paraId="7A725943" w14:textId="77777777" w:rsidR="005A263B" w:rsidRPr="004C2A59" w:rsidRDefault="005A263B" w:rsidP="00421681">
      <w:pPr>
        <w:pStyle w:val="EndnoteText"/>
        <w:tabs>
          <w:tab w:val="clear" w:pos="567"/>
        </w:tabs>
        <w:rPr>
          <w:color w:val="000000"/>
          <w:szCs w:val="22"/>
          <w:u w:val="single"/>
        </w:rPr>
      </w:pPr>
    </w:p>
    <w:p w14:paraId="0FD75B59" w14:textId="77777777" w:rsidR="009313F9" w:rsidRPr="004C2A59" w:rsidRDefault="009313F9" w:rsidP="00421681">
      <w:pPr>
        <w:pStyle w:val="Nottoc-headings"/>
        <w:spacing w:before="0" w:after="0"/>
        <w:rPr>
          <w:rFonts w:ascii="Times New Roman" w:eastAsia="MS Mincho" w:hAnsi="Times New Roman"/>
          <w:b w:val="0"/>
          <w:color w:val="000000"/>
          <w:sz w:val="22"/>
          <w:szCs w:val="22"/>
          <w:u w:val="single"/>
          <w:lang w:val="da-DK" w:eastAsia="ja-JP"/>
        </w:rPr>
      </w:pPr>
      <w:r w:rsidRPr="004C2A59">
        <w:rPr>
          <w:rFonts w:ascii="Times New Roman" w:eastAsia="MS Mincho" w:hAnsi="Times New Roman"/>
          <w:b w:val="0"/>
          <w:color w:val="000000"/>
          <w:sz w:val="22"/>
          <w:szCs w:val="22"/>
          <w:u w:val="single"/>
          <w:lang w:val="da-DK" w:eastAsia="ja-JP"/>
        </w:rPr>
        <w:t xml:space="preserve">Kliniske </w:t>
      </w:r>
      <w:r w:rsidR="00AB247D" w:rsidRPr="004C2A59">
        <w:rPr>
          <w:rFonts w:ascii="Times New Roman" w:eastAsia="MS Mincho" w:hAnsi="Times New Roman"/>
          <w:b w:val="0"/>
          <w:color w:val="000000"/>
          <w:sz w:val="22"/>
          <w:szCs w:val="22"/>
          <w:u w:val="single"/>
          <w:lang w:val="da-DK" w:eastAsia="ja-JP"/>
        </w:rPr>
        <w:t xml:space="preserve">studier </w:t>
      </w:r>
      <w:r w:rsidRPr="004C2A59">
        <w:rPr>
          <w:rFonts w:ascii="Times New Roman" w:eastAsia="MS Mincho" w:hAnsi="Times New Roman"/>
          <w:b w:val="0"/>
          <w:color w:val="000000"/>
          <w:sz w:val="22"/>
          <w:szCs w:val="22"/>
          <w:u w:val="single"/>
          <w:lang w:val="da-DK" w:eastAsia="ja-JP"/>
        </w:rPr>
        <w:t>vedrørende adjuverende GIST</w:t>
      </w:r>
    </w:p>
    <w:p w14:paraId="53D8307C" w14:textId="77777777" w:rsidR="009313F9" w:rsidRPr="004C2A59" w:rsidRDefault="008F383C" w:rsidP="00421681">
      <w:pPr>
        <w:pStyle w:val="Text"/>
        <w:spacing w:before="0"/>
        <w:jc w:val="left"/>
        <w:rPr>
          <w:rFonts w:eastAsia="MS Mincho"/>
          <w:color w:val="000000"/>
          <w:sz w:val="22"/>
          <w:szCs w:val="22"/>
          <w:lang w:val="da-DK" w:eastAsia="ja-JP"/>
        </w:rPr>
      </w:pPr>
      <w:r w:rsidRPr="004C2A59">
        <w:rPr>
          <w:rFonts w:eastAsia="MS Mincho"/>
          <w:color w:val="000000"/>
          <w:sz w:val="22"/>
          <w:szCs w:val="22"/>
          <w:lang w:val="da-DK" w:eastAsia="ja-JP"/>
        </w:rPr>
        <w:t>Som</w:t>
      </w:r>
      <w:r w:rsidR="009313F9" w:rsidRPr="004C2A59">
        <w:rPr>
          <w:rFonts w:eastAsia="MS Mincho"/>
          <w:color w:val="000000"/>
          <w:sz w:val="22"/>
          <w:szCs w:val="22"/>
          <w:lang w:val="da-DK" w:eastAsia="ja-JP"/>
        </w:rPr>
        <w:t xml:space="preserve"> adjuverende </w:t>
      </w:r>
      <w:r w:rsidRPr="004C2A59">
        <w:rPr>
          <w:rFonts w:eastAsia="MS Mincho"/>
          <w:color w:val="000000"/>
          <w:sz w:val="22"/>
          <w:szCs w:val="22"/>
          <w:lang w:val="da-DK" w:eastAsia="ja-JP"/>
        </w:rPr>
        <w:t>behandling</w:t>
      </w:r>
      <w:r w:rsidR="009313F9" w:rsidRPr="004C2A59">
        <w:rPr>
          <w:rFonts w:eastAsia="MS Mincho"/>
          <w:color w:val="000000"/>
          <w:sz w:val="22"/>
          <w:szCs w:val="22"/>
          <w:lang w:val="da-DK" w:eastAsia="ja-JP"/>
        </w:rPr>
        <w:t xml:space="preserve"> blev Glivec undersøgt i et multicenter, dobbeltblindet, længerevarende placebokontrolleret fase </w:t>
      </w:r>
      <w:smartTag w:uri="urn:schemas-microsoft-com:office:smarttags" w:element="metricconverter">
        <w:r w:rsidR="009313F9" w:rsidRPr="004C2A59">
          <w:rPr>
            <w:rFonts w:eastAsia="MS Mincho"/>
            <w:color w:val="000000"/>
            <w:sz w:val="22"/>
            <w:szCs w:val="22"/>
            <w:lang w:val="da-DK" w:eastAsia="ja-JP"/>
          </w:rPr>
          <w:t>III</w:t>
        </w:r>
      </w:smartTag>
      <w:r w:rsidR="009313F9" w:rsidRPr="004C2A59">
        <w:rPr>
          <w:rFonts w:eastAsia="MS Mincho"/>
          <w:color w:val="000000"/>
          <w:sz w:val="22"/>
          <w:szCs w:val="22"/>
          <w:lang w:val="da-DK" w:eastAsia="ja-JP"/>
        </w:rPr>
        <w:t xml:space="preserve"> klinisk forsøg (Z9001), der involverede 773 patienter. Alderen på denne patientgruppe </w:t>
      </w:r>
      <w:r w:rsidRPr="004C2A59">
        <w:rPr>
          <w:rFonts w:eastAsia="MS Mincho"/>
          <w:color w:val="000000"/>
          <w:sz w:val="22"/>
          <w:szCs w:val="22"/>
          <w:lang w:val="da-DK" w:eastAsia="ja-JP"/>
        </w:rPr>
        <w:t>varierede</w:t>
      </w:r>
      <w:r w:rsidR="009313F9" w:rsidRPr="004C2A59">
        <w:rPr>
          <w:rFonts w:eastAsia="MS Mincho"/>
          <w:color w:val="000000"/>
          <w:sz w:val="22"/>
          <w:szCs w:val="22"/>
          <w:lang w:val="da-DK" w:eastAsia="ja-JP"/>
        </w:rPr>
        <w:t xml:space="preserve"> fra 18 til 91 år. Patienter, der blev inkluderet, havde en histologisk diagnose af primær GIST</w:t>
      </w:r>
      <w:r w:rsidR="005633B7" w:rsidRPr="004C2A59">
        <w:rPr>
          <w:rFonts w:eastAsia="MS Mincho"/>
          <w:color w:val="000000"/>
          <w:sz w:val="22"/>
          <w:szCs w:val="22"/>
          <w:lang w:val="da-DK" w:eastAsia="ja-JP"/>
        </w:rPr>
        <w:t>,</w:t>
      </w:r>
      <w:r w:rsidR="009313F9" w:rsidRPr="004C2A59">
        <w:rPr>
          <w:rFonts w:eastAsia="MS Mincho"/>
          <w:color w:val="000000"/>
          <w:sz w:val="22"/>
          <w:szCs w:val="22"/>
          <w:lang w:val="da-DK" w:eastAsia="ja-JP"/>
        </w:rPr>
        <w:t xml:space="preserve"> udtryk</w:t>
      </w:r>
      <w:r w:rsidR="005633B7" w:rsidRPr="004C2A59">
        <w:rPr>
          <w:rFonts w:eastAsia="MS Mincho"/>
          <w:color w:val="000000"/>
          <w:sz w:val="22"/>
          <w:szCs w:val="22"/>
          <w:lang w:val="da-DK" w:eastAsia="ja-JP"/>
        </w:rPr>
        <w:t>t som</w:t>
      </w:r>
      <w:r w:rsidR="009313F9" w:rsidRPr="004C2A59">
        <w:rPr>
          <w:rFonts w:eastAsia="MS Mincho"/>
          <w:color w:val="000000"/>
          <w:sz w:val="22"/>
          <w:szCs w:val="22"/>
          <w:lang w:val="da-DK" w:eastAsia="ja-JP"/>
        </w:rPr>
        <w:t xml:space="preserve"> Kit protein ved immunokemi og en tumorstørrelse på ≥3 cm med fuldstændig resektion af primær GIST inden for 14</w:t>
      </w:r>
      <w:r w:rsidR="009313F9" w:rsidRPr="004C2A59">
        <w:rPr>
          <w:rFonts w:eastAsia="MS Mincho"/>
          <w:color w:val="000000"/>
          <w:sz w:val="22"/>
          <w:szCs w:val="22"/>
          <w:lang w:val="da-DK" w:eastAsia="ja-JP"/>
        </w:rPr>
        <w:noBreakHyphen/>
        <w:t>70 dage før registrering i studiet. Efter resektion af primær GIST blev patienter</w:t>
      </w:r>
      <w:r w:rsidR="005633B7" w:rsidRPr="004C2A59">
        <w:rPr>
          <w:rFonts w:eastAsia="MS Mincho"/>
          <w:color w:val="000000"/>
          <w:sz w:val="22"/>
          <w:szCs w:val="22"/>
          <w:lang w:val="da-DK" w:eastAsia="ja-JP"/>
        </w:rPr>
        <w:t>ne</w:t>
      </w:r>
      <w:r w:rsidR="009313F9" w:rsidRPr="004C2A59">
        <w:rPr>
          <w:rFonts w:eastAsia="MS Mincho"/>
          <w:color w:val="000000"/>
          <w:sz w:val="22"/>
          <w:szCs w:val="22"/>
          <w:lang w:val="da-DK" w:eastAsia="ja-JP"/>
        </w:rPr>
        <w:t xml:space="preserve"> randomiseret til en af de to behandlingsarme: Glivec 400 mg/dag eller tilsvarende placebo i et år.</w:t>
      </w:r>
    </w:p>
    <w:p w14:paraId="27C8E602" w14:textId="77777777" w:rsidR="009313F9" w:rsidRPr="004C2A59" w:rsidRDefault="009313F9" w:rsidP="00421681">
      <w:pPr>
        <w:pStyle w:val="Text"/>
        <w:spacing w:before="0"/>
        <w:jc w:val="left"/>
        <w:rPr>
          <w:rFonts w:eastAsia="MS Mincho"/>
          <w:color w:val="000000"/>
          <w:sz w:val="22"/>
          <w:szCs w:val="22"/>
          <w:lang w:val="da-DK" w:eastAsia="ja-JP"/>
        </w:rPr>
      </w:pPr>
    </w:p>
    <w:p w14:paraId="612C8FD9" w14:textId="77777777" w:rsidR="009313F9" w:rsidRPr="004C2A59" w:rsidRDefault="009313F9" w:rsidP="00421681">
      <w:pPr>
        <w:pStyle w:val="Text"/>
        <w:spacing w:before="0"/>
        <w:jc w:val="left"/>
        <w:rPr>
          <w:rFonts w:eastAsia="MS Mincho"/>
          <w:color w:val="000000"/>
          <w:sz w:val="22"/>
          <w:szCs w:val="22"/>
          <w:lang w:val="da-DK" w:eastAsia="ja-JP"/>
        </w:rPr>
      </w:pPr>
      <w:r w:rsidRPr="004C2A59">
        <w:rPr>
          <w:rFonts w:eastAsia="MS Mincho"/>
          <w:color w:val="000000"/>
          <w:sz w:val="22"/>
          <w:szCs w:val="22"/>
          <w:lang w:val="da-DK" w:eastAsia="ja-JP"/>
        </w:rPr>
        <w:t>Undersøgelsens primære effektmål var recidivfri overlevelse (</w:t>
      </w:r>
      <w:smartTag w:uri="urn:schemas-microsoft-com:office:smarttags" w:element="metricconverter">
        <w:r w:rsidRPr="004C2A59">
          <w:rPr>
            <w:rFonts w:eastAsia="MS Mincho"/>
            <w:color w:val="000000"/>
            <w:sz w:val="22"/>
            <w:szCs w:val="22"/>
            <w:lang w:val="da-DK" w:eastAsia="ja-JP"/>
          </w:rPr>
          <w:t>RFS</w:t>
        </w:r>
      </w:smartTag>
      <w:r w:rsidRPr="004C2A59">
        <w:rPr>
          <w:rFonts w:eastAsia="MS Mincho"/>
          <w:color w:val="000000"/>
          <w:sz w:val="22"/>
          <w:szCs w:val="22"/>
          <w:lang w:val="da-DK" w:eastAsia="ja-JP"/>
        </w:rPr>
        <w:t>), defineret som tiden fra dato for randomisering til dato for tilbagefald eller død uanset årsag.</w:t>
      </w:r>
    </w:p>
    <w:p w14:paraId="05976FB9" w14:textId="77777777" w:rsidR="009313F9" w:rsidRPr="004C2A59" w:rsidRDefault="009313F9" w:rsidP="00421681">
      <w:pPr>
        <w:pStyle w:val="Text"/>
        <w:spacing w:before="0"/>
        <w:jc w:val="left"/>
        <w:rPr>
          <w:rFonts w:eastAsia="MS Mincho"/>
          <w:color w:val="000000"/>
          <w:sz w:val="22"/>
          <w:szCs w:val="22"/>
          <w:lang w:val="da-DK" w:eastAsia="ja-JP"/>
        </w:rPr>
      </w:pPr>
    </w:p>
    <w:p w14:paraId="1DA5B14D" w14:textId="77777777" w:rsidR="009313F9" w:rsidRPr="004C2A59" w:rsidRDefault="009313F9" w:rsidP="00421681">
      <w:pPr>
        <w:pStyle w:val="Text"/>
        <w:spacing w:before="0"/>
        <w:jc w:val="left"/>
        <w:rPr>
          <w:rFonts w:eastAsia="MS Mincho"/>
          <w:color w:val="000000"/>
          <w:sz w:val="22"/>
          <w:szCs w:val="22"/>
          <w:lang w:val="da-DK" w:eastAsia="ja-JP"/>
        </w:rPr>
      </w:pPr>
      <w:r w:rsidRPr="004C2A59">
        <w:rPr>
          <w:rFonts w:eastAsia="MS Mincho"/>
          <w:color w:val="000000"/>
          <w:sz w:val="22"/>
          <w:szCs w:val="22"/>
          <w:lang w:val="da-DK" w:eastAsia="ja-JP"/>
        </w:rPr>
        <w:t xml:space="preserve">Glivec forlængede signifikant </w:t>
      </w:r>
      <w:smartTag w:uri="urn:schemas-microsoft-com:office:smarttags" w:element="metricconverter">
        <w:r w:rsidRPr="004C2A59">
          <w:rPr>
            <w:rFonts w:eastAsia="MS Mincho"/>
            <w:color w:val="000000"/>
            <w:sz w:val="22"/>
            <w:szCs w:val="22"/>
            <w:lang w:val="da-DK" w:eastAsia="ja-JP"/>
          </w:rPr>
          <w:t>RFS</w:t>
        </w:r>
      </w:smartTag>
      <w:r w:rsidRPr="004C2A59">
        <w:rPr>
          <w:rFonts w:eastAsia="MS Mincho"/>
          <w:color w:val="000000"/>
          <w:sz w:val="22"/>
          <w:szCs w:val="22"/>
          <w:lang w:val="da-DK" w:eastAsia="ja-JP"/>
        </w:rPr>
        <w:t xml:space="preserve">, idet 75% af patienterne var recidivfrie efter 38 måneder i Glivec-gruppen i forhold til efter 20 måneder i placebo-gruppen (95% konfidensinterval, [30 – ikke </w:t>
      </w:r>
      <w:r w:rsidRPr="004C2A59">
        <w:rPr>
          <w:rFonts w:eastAsia="MS Mincho"/>
          <w:color w:val="000000"/>
          <w:sz w:val="22"/>
          <w:szCs w:val="22"/>
          <w:lang w:val="da-DK" w:eastAsia="ja-JP"/>
        </w:rPr>
        <w:lastRenderedPageBreak/>
        <w:t>estimerbare]; [14 – ikke estimerbare]); (hazard ratio = 0,398 [0,259</w:t>
      </w:r>
      <w:r w:rsidRPr="004C2A59">
        <w:rPr>
          <w:rFonts w:eastAsia="MS Mincho"/>
          <w:color w:val="000000"/>
          <w:sz w:val="22"/>
          <w:szCs w:val="22"/>
          <w:lang w:val="da-DK" w:eastAsia="ja-JP"/>
        </w:rPr>
        <w:noBreakHyphen/>
        <w:t xml:space="preserve">0,610], p&lt;0,0001). På et år var den samlede </w:t>
      </w:r>
      <w:smartTag w:uri="urn:schemas-microsoft-com:office:smarttags" w:element="metricconverter">
        <w:r w:rsidRPr="004C2A59">
          <w:rPr>
            <w:rFonts w:eastAsia="MS Mincho"/>
            <w:color w:val="000000"/>
            <w:sz w:val="22"/>
            <w:szCs w:val="22"/>
            <w:lang w:val="da-DK" w:eastAsia="ja-JP"/>
          </w:rPr>
          <w:t>RFS</w:t>
        </w:r>
      </w:smartTag>
      <w:r w:rsidRPr="004C2A59">
        <w:rPr>
          <w:rFonts w:eastAsia="MS Mincho"/>
          <w:color w:val="000000"/>
          <w:sz w:val="22"/>
          <w:szCs w:val="22"/>
          <w:lang w:val="da-DK" w:eastAsia="ja-JP"/>
        </w:rPr>
        <w:t xml:space="preserve"> signifikant bedre for Glivec (97,7%) i forhold til placebo (82,3%), (p&lt;0,0001). Risikoen for tilbagefald var således reduceret med ca. 89% sammenlignet med placebo (hazard ratio = 0,113 [0,049</w:t>
      </w:r>
      <w:r w:rsidRPr="004C2A59">
        <w:rPr>
          <w:rFonts w:eastAsia="MS Mincho"/>
          <w:color w:val="000000"/>
          <w:sz w:val="22"/>
          <w:szCs w:val="22"/>
          <w:lang w:val="da-DK" w:eastAsia="ja-JP"/>
        </w:rPr>
        <w:noBreakHyphen/>
        <w:t>0,264]).</w:t>
      </w:r>
    </w:p>
    <w:p w14:paraId="788F8713" w14:textId="77777777" w:rsidR="009313F9" w:rsidRPr="004C2A59" w:rsidRDefault="009313F9" w:rsidP="00421681">
      <w:pPr>
        <w:pStyle w:val="Text"/>
        <w:spacing w:before="0"/>
        <w:jc w:val="left"/>
        <w:rPr>
          <w:rFonts w:eastAsia="MS Mincho"/>
          <w:color w:val="000000"/>
          <w:sz w:val="22"/>
          <w:szCs w:val="22"/>
          <w:lang w:val="da-DK" w:eastAsia="ja-JP"/>
        </w:rPr>
      </w:pPr>
    </w:p>
    <w:p w14:paraId="353DD545" w14:textId="77777777" w:rsidR="009313F9" w:rsidRPr="004C2A59" w:rsidRDefault="009313F9" w:rsidP="00421681">
      <w:pPr>
        <w:pStyle w:val="Text"/>
        <w:spacing w:before="0"/>
        <w:jc w:val="left"/>
        <w:rPr>
          <w:rFonts w:eastAsia="MS Mincho"/>
          <w:color w:val="000000"/>
          <w:sz w:val="22"/>
          <w:szCs w:val="22"/>
          <w:lang w:val="da-DK" w:eastAsia="ja-JP"/>
        </w:rPr>
      </w:pPr>
      <w:r w:rsidRPr="004C2A59">
        <w:rPr>
          <w:rFonts w:eastAsia="MS Mincho"/>
          <w:color w:val="000000"/>
          <w:sz w:val="22"/>
          <w:szCs w:val="22"/>
          <w:lang w:val="da-DK" w:eastAsia="ja-JP"/>
        </w:rPr>
        <w:t>Risikoen for tilbagefald hos patienter efter operation af deres primære GIST blev retrospektivt vurderet ud fra følgende prognostiske faktorer: tumorstørrelse, mitotisk indeks, tumorplacering. Data fra mitotisk indeks var tilgængelig</w:t>
      </w:r>
      <w:r w:rsidR="005633B7" w:rsidRPr="004C2A59">
        <w:rPr>
          <w:rFonts w:eastAsia="MS Mincho"/>
          <w:color w:val="000000"/>
          <w:sz w:val="22"/>
          <w:szCs w:val="22"/>
          <w:lang w:val="da-DK" w:eastAsia="ja-JP"/>
        </w:rPr>
        <w:t>e</w:t>
      </w:r>
      <w:r w:rsidRPr="004C2A59">
        <w:rPr>
          <w:rFonts w:eastAsia="MS Mincho"/>
          <w:color w:val="000000"/>
          <w:sz w:val="22"/>
          <w:szCs w:val="22"/>
          <w:lang w:val="da-DK" w:eastAsia="ja-JP"/>
        </w:rPr>
        <w:t xml:space="preserve"> for 556 ud af </w:t>
      </w:r>
      <w:r w:rsidR="008F55CC" w:rsidRPr="004C2A59">
        <w:rPr>
          <w:rFonts w:eastAsia="MS Mincho"/>
          <w:color w:val="000000"/>
          <w:sz w:val="22"/>
          <w:szCs w:val="22"/>
          <w:lang w:val="da-DK" w:eastAsia="ja-JP"/>
        </w:rPr>
        <w:t>713</w:t>
      </w:r>
      <w:r w:rsidRPr="004C2A59">
        <w:rPr>
          <w:rFonts w:eastAsia="MS Mincho"/>
          <w:color w:val="000000"/>
          <w:sz w:val="22"/>
          <w:szCs w:val="22"/>
          <w:lang w:val="da-DK" w:eastAsia="ja-JP"/>
        </w:rPr>
        <w:t xml:space="preserve"> i intention-to-treat (</w:t>
      </w:r>
      <w:smartTag w:uri="urn:schemas-microsoft-com:office:smarttags" w:element="metricconverter">
        <w:r w:rsidRPr="004C2A59">
          <w:rPr>
            <w:rFonts w:eastAsia="MS Mincho"/>
            <w:color w:val="000000"/>
            <w:sz w:val="22"/>
            <w:szCs w:val="22"/>
            <w:lang w:val="da-DK" w:eastAsia="ja-JP"/>
          </w:rPr>
          <w:t>ITT</w:t>
        </w:r>
      </w:smartTag>
      <w:r w:rsidRPr="004C2A59">
        <w:rPr>
          <w:rFonts w:eastAsia="MS Mincho"/>
          <w:color w:val="000000"/>
          <w:sz w:val="22"/>
          <w:szCs w:val="22"/>
          <w:lang w:val="da-DK" w:eastAsia="ja-JP"/>
        </w:rPr>
        <w:t>) gruppen. Resultaterne fra undergruppen</w:t>
      </w:r>
      <w:r w:rsidR="00CF03D3" w:rsidRPr="004C2A59">
        <w:rPr>
          <w:rFonts w:eastAsia="MS Mincho"/>
          <w:color w:val="000000"/>
          <w:sz w:val="22"/>
          <w:szCs w:val="22"/>
          <w:lang w:val="da-DK" w:eastAsia="ja-JP"/>
        </w:rPr>
        <w:t>-analysen, der blev</w:t>
      </w:r>
      <w:r w:rsidRPr="004C2A59">
        <w:rPr>
          <w:rFonts w:eastAsia="MS Mincho"/>
          <w:color w:val="000000"/>
          <w:sz w:val="22"/>
          <w:szCs w:val="22"/>
          <w:lang w:val="da-DK" w:eastAsia="ja-JP"/>
        </w:rPr>
        <w:t xml:space="preserve"> </w:t>
      </w:r>
      <w:r w:rsidR="00F70FF8" w:rsidRPr="004C2A59">
        <w:rPr>
          <w:rFonts w:eastAsia="MS Mincho"/>
          <w:color w:val="000000"/>
          <w:sz w:val="22"/>
          <w:szCs w:val="22"/>
          <w:lang w:val="da-DK" w:eastAsia="ja-JP"/>
        </w:rPr>
        <w:t xml:space="preserve">vurderet </w:t>
      </w:r>
      <w:r w:rsidR="005C1692" w:rsidRPr="004C2A59">
        <w:rPr>
          <w:rFonts w:eastAsia="MS Mincho"/>
          <w:color w:val="000000"/>
          <w:sz w:val="22"/>
          <w:szCs w:val="22"/>
          <w:lang w:val="da-DK" w:eastAsia="ja-JP"/>
        </w:rPr>
        <w:t xml:space="preserve">ved risikoklassifikationer ifølge the </w:t>
      </w:r>
      <w:r w:rsidR="009A6F12" w:rsidRPr="004C2A59">
        <w:rPr>
          <w:rFonts w:eastAsia="MS Mincho"/>
          <w:color w:val="000000"/>
          <w:sz w:val="22"/>
          <w:szCs w:val="22"/>
          <w:lang w:val="da-DK" w:eastAsia="ja-JP"/>
        </w:rPr>
        <w:t xml:space="preserve">United States National Institutes of Health (NIH) og </w:t>
      </w:r>
      <w:r w:rsidR="005C1692" w:rsidRPr="004C2A59">
        <w:rPr>
          <w:rFonts w:eastAsia="MS Mincho"/>
          <w:color w:val="000000"/>
          <w:sz w:val="22"/>
          <w:szCs w:val="22"/>
          <w:lang w:val="da-DK" w:eastAsia="ja-JP"/>
        </w:rPr>
        <w:t xml:space="preserve">the </w:t>
      </w:r>
      <w:r w:rsidRPr="004C2A59">
        <w:rPr>
          <w:rFonts w:eastAsia="MS Mincho"/>
          <w:color w:val="000000"/>
          <w:sz w:val="22"/>
          <w:szCs w:val="22"/>
          <w:lang w:val="da-DK" w:eastAsia="ja-JP"/>
        </w:rPr>
        <w:t>Armed Forces Institute of Pathology (AFIP)</w:t>
      </w:r>
      <w:r w:rsidR="00CF03D3" w:rsidRPr="004C2A59">
        <w:rPr>
          <w:rFonts w:eastAsia="MS Mincho"/>
          <w:color w:val="000000"/>
          <w:sz w:val="22"/>
          <w:szCs w:val="22"/>
          <w:lang w:val="da-DK" w:eastAsia="ja-JP"/>
        </w:rPr>
        <w:t>,</w:t>
      </w:r>
      <w:r w:rsidRPr="004C2A59">
        <w:rPr>
          <w:rFonts w:eastAsia="MS Mincho"/>
          <w:color w:val="000000"/>
          <w:sz w:val="22"/>
          <w:szCs w:val="22"/>
          <w:lang w:val="da-DK" w:eastAsia="ja-JP"/>
        </w:rPr>
        <w:t xml:space="preserve"> er vist i Tabel </w:t>
      </w:r>
      <w:r w:rsidR="00353FC4" w:rsidRPr="004C2A59">
        <w:rPr>
          <w:rFonts w:eastAsia="MS Mincho"/>
          <w:color w:val="000000"/>
          <w:sz w:val="22"/>
          <w:szCs w:val="22"/>
          <w:lang w:val="da-DK" w:eastAsia="ja-JP"/>
        </w:rPr>
        <w:t>7</w:t>
      </w:r>
      <w:r w:rsidRPr="004C2A59">
        <w:rPr>
          <w:rFonts w:eastAsia="MS Mincho"/>
          <w:color w:val="000000"/>
          <w:sz w:val="22"/>
          <w:szCs w:val="22"/>
          <w:lang w:val="da-DK" w:eastAsia="ja-JP"/>
        </w:rPr>
        <w:t>.</w:t>
      </w:r>
      <w:r w:rsidR="009A6F12" w:rsidRPr="004C2A59">
        <w:rPr>
          <w:rFonts w:eastAsia="MS Mincho"/>
          <w:color w:val="000000"/>
          <w:sz w:val="22"/>
          <w:szCs w:val="22"/>
          <w:lang w:val="da-DK" w:eastAsia="ja-JP"/>
        </w:rPr>
        <w:t xml:space="preserve"> Der blev ikke </w:t>
      </w:r>
      <w:r w:rsidR="00521FF8" w:rsidRPr="004C2A59">
        <w:rPr>
          <w:rFonts w:eastAsia="MS Mincho"/>
          <w:color w:val="000000"/>
          <w:sz w:val="22"/>
          <w:szCs w:val="22"/>
          <w:lang w:val="da-DK" w:eastAsia="ja-JP"/>
        </w:rPr>
        <w:t xml:space="preserve">observeret nogle fordele i den lave eller meget lave risikogruppe. Der er ikke blevet observeret nogen fordel i </w:t>
      </w:r>
      <w:r w:rsidR="005633B7" w:rsidRPr="004C2A59">
        <w:rPr>
          <w:rFonts w:eastAsia="MS Mincho"/>
          <w:color w:val="000000"/>
          <w:sz w:val="22"/>
          <w:szCs w:val="22"/>
          <w:lang w:val="da-DK" w:eastAsia="ja-JP"/>
        </w:rPr>
        <w:t xml:space="preserve">total </w:t>
      </w:r>
      <w:r w:rsidR="00521FF8" w:rsidRPr="004C2A59">
        <w:rPr>
          <w:rFonts w:eastAsia="MS Mincho"/>
          <w:color w:val="000000"/>
          <w:sz w:val="22"/>
          <w:szCs w:val="22"/>
          <w:lang w:val="da-DK" w:eastAsia="ja-JP"/>
        </w:rPr>
        <w:t>overlevelse.</w:t>
      </w:r>
    </w:p>
    <w:p w14:paraId="202B8B2A" w14:textId="77777777" w:rsidR="009313F9" w:rsidRPr="004C2A59" w:rsidRDefault="009313F9" w:rsidP="00421681">
      <w:pPr>
        <w:pStyle w:val="Text"/>
        <w:spacing w:before="0"/>
        <w:jc w:val="left"/>
        <w:rPr>
          <w:rFonts w:eastAsia="MS Mincho"/>
          <w:color w:val="000000"/>
          <w:sz w:val="22"/>
          <w:szCs w:val="22"/>
          <w:lang w:val="da-DK" w:eastAsia="ja-JP"/>
        </w:rPr>
      </w:pPr>
    </w:p>
    <w:p w14:paraId="41868E98" w14:textId="77777777" w:rsidR="009313F9" w:rsidRPr="004C2A59" w:rsidRDefault="009313F9" w:rsidP="00A125B0">
      <w:pPr>
        <w:pStyle w:val="Heading6"/>
        <w:widowControl w:val="0"/>
        <w:numPr>
          <w:ilvl w:val="0"/>
          <w:numId w:val="0"/>
        </w:numPr>
        <w:tabs>
          <w:tab w:val="clear" w:pos="567"/>
          <w:tab w:val="clear" w:pos="4536"/>
        </w:tabs>
        <w:suppressAutoHyphens w:val="0"/>
        <w:spacing w:line="240" w:lineRule="auto"/>
        <w:ind w:left="1134" w:hanging="1134"/>
        <w:rPr>
          <w:rFonts w:eastAsia="MS Mincho"/>
          <w:b/>
          <w:i w:val="0"/>
          <w:color w:val="000000"/>
          <w:szCs w:val="22"/>
          <w:lang w:val="da-DK" w:eastAsia="ja-JP"/>
        </w:rPr>
      </w:pPr>
      <w:r w:rsidRPr="004C2A59">
        <w:rPr>
          <w:rFonts w:eastAsia="MS Mincho"/>
          <w:b/>
          <w:i w:val="0"/>
          <w:color w:val="000000"/>
          <w:szCs w:val="22"/>
          <w:lang w:val="da-DK" w:eastAsia="ja-JP"/>
        </w:rPr>
        <w:t>Tabel </w:t>
      </w:r>
      <w:r w:rsidR="00353FC4" w:rsidRPr="004C2A59">
        <w:rPr>
          <w:rFonts w:eastAsia="MS Mincho"/>
          <w:b/>
          <w:i w:val="0"/>
          <w:color w:val="000000"/>
          <w:szCs w:val="22"/>
          <w:lang w:val="da-DK" w:eastAsia="ja-JP"/>
        </w:rPr>
        <w:t>7</w:t>
      </w:r>
      <w:r w:rsidRPr="004C2A59">
        <w:rPr>
          <w:rFonts w:eastAsia="MS Mincho"/>
          <w:b/>
          <w:i w:val="0"/>
          <w:color w:val="000000"/>
          <w:szCs w:val="22"/>
          <w:lang w:val="da-DK" w:eastAsia="ja-JP"/>
        </w:rPr>
        <w:tab/>
        <w:t xml:space="preserve">Resumé af </w:t>
      </w:r>
      <w:smartTag w:uri="urn:schemas-microsoft-com:office:smarttags" w:element="metricconverter">
        <w:r w:rsidRPr="004C2A59">
          <w:rPr>
            <w:rFonts w:eastAsia="MS Mincho"/>
            <w:b/>
            <w:i w:val="0"/>
            <w:color w:val="000000"/>
            <w:szCs w:val="22"/>
            <w:lang w:val="da-DK" w:eastAsia="ja-JP"/>
          </w:rPr>
          <w:t>RFS</w:t>
        </w:r>
      </w:smartTag>
      <w:r w:rsidR="00B6601C" w:rsidRPr="004C2A59">
        <w:rPr>
          <w:rFonts w:eastAsia="MS Mincho"/>
          <w:b/>
          <w:i w:val="0"/>
          <w:color w:val="000000"/>
          <w:szCs w:val="22"/>
          <w:lang w:val="da-DK" w:eastAsia="ja-JP"/>
        </w:rPr>
        <w:t>-</w:t>
      </w:r>
      <w:r w:rsidRPr="004C2A59">
        <w:rPr>
          <w:rFonts w:eastAsia="MS Mincho"/>
          <w:b/>
          <w:i w:val="0"/>
          <w:color w:val="000000"/>
          <w:szCs w:val="22"/>
          <w:lang w:val="da-DK" w:eastAsia="ja-JP"/>
        </w:rPr>
        <w:t xml:space="preserve">analyse for det kliniske forsøg Z9001 ved </w:t>
      </w:r>
      <w:r w:rsidR="000A77D4" w:rsidRPr="004C2A59">
        <w:rPr>
          <w:rFonts w:eastAsia="MS Mincho"/>
          <w:b/>
          <w:i w:val="0"/>
          <w:color w:val="000000"/>
          <w:szCs w:val="22"/>
          <w:lang w:val="da-DK" w:eastAsia="ja-JP"/>
        </w:rPr>
        <w:t xml:space="preserve">NIH og </w:t>
      </w:r>
      <w:r w:rsidRPr="004C2A59">
        <w:rPr>
          <w:rFonts w:eastAsia="MS Mincho"/>
          <w:b/>
          <w:i w:val="0"/>
          <w:color w:val="000000"/>
          <w:szCs w:val="22"/>
          <w:lang w:val="da-DK" w:eastAsia="ja-JP"/>
        </w:rPr>
        <w:t>AFIP risikoklassifikation</w:t>
      </w:r>
      <w:r w:rsidR="000A77D4" w:rsidRPr="004C2A59">
        <w:rPr>
          <w:rFonts w:eastAsia="MS Mincho"/>
          <w:b/>
          <w:i w:val="0"/>
          <w:color w:val="000000"/>
          <w:szCs w:val="22"/>
          <w:lang w:val="da-DK" w:eastAsia="ja-JP"/>
        </w:rPr>
        <w:t>er</w:t>
      </w:r>
    </w:p>
    <w:p w14:paraId="621929DE" w14:textId="77777777" w:rsidR="00A92529" w:rsidRPr="004C2A59" w:rsidRDefault="00A92529" w:rsidP="00A125B0">
      <w:pPr>
        <w:pStyle w:val="Text"/>
        <w:keepNext/>
        <w:widowControl w:val="0"/>
        <w:spacing w:before="0"/>
        <w:rPr>
          <w:sz w:val="22"/>
          <w:szCs w:val="22"/>
          <w:lang w:val="da-DK"/>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559"/>
        <w:gridCol w:w="850"/>
        <w:gridCol w:w="1910"/>
        <w:gridCol w:w="1800"/>
        <w:gridCol w:w="1440"/>
        <w:gridCol w:w="1360"/>
      </w:tblGrid>
      <w:tr w:rsidR="00A92529" w:rsidRPr="004C2A59" w14:paraId="641A5358" w14:textId="77777777" w:rsidTr="00A125B0">
        <w:trPr>
          <w:cantSplit/>
        </w:trPr>
        <w:tc>
          <w:tcPr>
            <w:tcW w:w="1101" w:type="dxa"/>
            <w:vMerge w:val="restart"/>
          </w:tcPr>
          <w:p w14:paraId="7A6822E1" w14:textId="77777777" w:rsidR="00A92529" w:rsidRPr="004C2A59" w:rsidRDefault="00A92529" w:rsidP="00A125B0">
            <w:pPr>
              <w:keepNext/>
              <w:widowControl w:val="0"/>
              <w:tabs>
                <w:tab w:val="left" w:pos="567"/>
              </w:tabs>
              <w:jc w:val="center"/>
              <w:rPr>
                <w:b/>
                <w:sz w:val="22"/>
                <w:szCs w:val="22"/>
              </w:rPr>
            </w:pPr>
            <w:r w:rsidRPr="004C2A59">
              <w:rPr>
                <w:b/>
                <w:sz w:val="22"/>
                <w:szCs w:val="22"/>
              </w:rPr>
              <w:t>Risiko-kriterier</w:t>
            </w:r>
          </w:p>
        </w:tc>
        <w:tc>
          <w:tcPr>
            <w:tcW w:w="1559" w:type="dxa"/>
            <w:vMerge w:val="restart"/>
            <w:tcBorders>
              <w:right w:val="single" w:sz="4" w:space="0" w:color="auto"/>
            </w:tcBorders>
          </w:tcPr>
          <w:p w14:paraId="080F0DE6" w14:textId="77777777" w:rsidR="00A92529" w:rsidRPr="004C2A59" w:rsidRDefault="00A92529" w:rsidP="00A125B0">
            <w:pPr>
              <w:keepNext/>
              <w:widowControl w:val="0"/>
              <w:tabs>
                <w:tab w:val="left" w:pos="567"/>
              </w:tabs>
              <w:rPr>
                <w:b/>
                <w:sz w:val="22"/>
                <w:szCs w:val="22"/>
              </w:rPr>
            </w:pPr>
            <w:r w:rsidRPr="004C2A59">
              <w:rPr>
                <w:b/>
                <w:sz w:val="22"/>
                <w:szCs w:val="22"/>
              </w:rPr>
              <w:t>Risikoniveau</w:t>
            </w:r>
          </w:p>
          <w:p w14:paraId="4494E348" w14:textId="77777777" w:rsidR="00A92529" w:rsidRPr="004C2A59" w:rsidRDefault="00A92529" w:rsidP="00A125B0">
            <w:pPr>
              <w:keepNext/>
              <w:widowControl w:val="0"/>
              <w:tabs>
                <w:tab w:val="left" w:pos="567"/>
              </w:tabs>
              <w:rPr>
                <w:b/>
                <w:sz w:val="22"/>
                <w:szCs w:val="22"/>
              </w:rPr>
            </w:pPr>
          </w:p>
        </w:tc>
        <w:tc>
          <w:tcPr>
            <w:tcW w:w="850" w:type="dxa"/>
            <w:vMerge w:val="restart"/>
            <w:tcBorders>
              <w:left w:val="single" w:sz="4" w:space="0" w:color="auto"/>
              <w:right w:val="single" w:sz="4" w:space="0" w:color="auto"/>
            </w:tcBorders>
          </w:tcPr>
          <w:p w14:paraId="1EE019E0" w14:textId="77777777" w:rsidR="00A92529" w:rsidRPr="004C2A59" w:rsidRDefault="00A92529" w:rsidP="00A125B0">
            <w:pPr>
              <w:keepNext/>
              <w:widowControl w:val="0"/>
              <w:tabs>
                <w:tab w:val="left" w:pos="567"/>
              </w:tabs>
              <w:jc w:val="center"/>
              <w:rPr>
                <w:b/>
                <w:sz w:val="22"/>
                <w:szCs w:val="22"/>
              </w:rPr>
            </w:pPr>
            <w:r w:rsidRPr="004C2A59">
              <w:rPr>
                <w:b/>
                <w:sz w:val="22"/>
                <w:szCs w:val="22"/>
              </w:rPr>
              <w:t>% af patien-ter</w:t>
            </w:r>
          </w:p>
        </w:tc>
        <w:tc>
          <w:tcPr>
            <w:tcW w:w="1910" w:type="dxa"/>
            <w:vMerge w:val="restart"/>
            <w:tcBorders>
              <w:left w:val="single" w:sz="4" w:space="0" w:color="auto"/>
              <w:right w:val="single" w:sz="4" w:space="0" w:color="auto"/>
            </w:tcBorders>
          </w:tcPr>
          <w:p w14:paraId="164D5C40" w14:textId="77777777" w:rsidR="00A92529" w:rsidRPr="004C2A59" w:rsidRDefault="00A92529" w:rsidP="00A125B0">
            <w:pPr>
              <w:keepNext/>
              <w:widowControl w:val="0"/>
              <w:tabs>
                <w:tab w:val="left" w:pos="567"/>
              </w:tabs>
              <w:jc w:val="center"/>
              <w:rPr>
                <w:b/>
                <w:sz w:val="22"/>
                <w:szCs w:val="22"/>
              </w:rPr>
            </w:pPr>
            <w:r w:rsidRPr="004C2A59">
              <w:rPr>
                <w:b/>
                <w:sz w:val="22"/>
                <w:szCs w:val="22"/>
              </w:rPr>
              <w:t>Antal tilfælde/</w:t>
            </w:r>
            <w:r w:rsidRPr="004C2A59">
              <w:rPr>
                <w:b/>
                <w:sz w:val="22"/>
                <w:szCs w:val="22"/>
              </w:rPr>
              <w:br/>
              <w:t>Antal patienter</w:t>
            </w:r>
          </w:p>
        </w:tc>
        <w:tc>
          <w:tcPr>
            <w:tcW w:w="1800" w:type="dxa"/>
            <w:vMerge w:val="restart"/>
            <w:tcBorders>
              <w:left w:val="single" w:sz="4" w:space="0" w:color="auto"/>
              <w:right w:val="single" w:sz="4" w:space="0" w:color="auto"/>
            </w:tcBorders>
          </w:tcPr>
          <w:p w14:paraId="30D8CDBB" w14:textId="77777777" w:rsidR="00A92529" w:rsidRPr="004C2A59" w:rsidRDefault="00A92529" w:rsidP="00A125B0">
            <w:pPr>
              <w:keepNext/>
              <w:widowControl w:val="0"/>
              <w:tabs>
                <w:tab w:val="left" w:pos="567"/>
              </w:tabs>
              <w:jc w:val="center"/>
              <w:rPr>
                <w:b/>
                <w:sz w:val="22"/>
                <w:szCs w:val="22"/>
              </w:rPr>
            </w:pPr>
            <w:r w:rsidRPr="004C2A59">
              <w:rPr>
                <w:b/>
                <w:sz w:val="22"/>
                <w:szCs w:val="22"/>
              </w:rPr>
              <w:t>Samlet hazard ratio (95%CI)*</w:t>
            </w:r>
          </w:p>
        </w:tc>
        <w:tc>
          <w:tcPr>
            <w:tcW w:w="2800" w:type="dxa"/>
            <w:gridSpan w:val="2"/>
            <w:tcBorders>
              <w:left w:val="single" w:sz="4" w:space="0" w:color="auto"/>
            </w:tcBorders>
          </w:tcPr>
          <w:p w14:paraId="0859478B" w14:textId="77777777" w:rsidR="00A92529" w:rsidRPr="004C2A59" w:rsidRDefault="00A92529" w:rsidP="00A125B0">
            <w:pPr>
              <w:keepNext/>
              <w:widowControl w:val="0"/>
              <w:tabs>
                <w:tab w:val="left" w:pos="567"/>
              </w:tabs>
              <w:jc w:val="center"/>
              <w:rPr>
                <w:b/>
                <w:sz w:val="22"/>
                <w:szCs w:val="22"/>
              </w:rPr>
            </w:pPr>
            <w:smartTag w:uri="urn:schemas-microsoft-com:office:smarttags" w:element="metricconverter">
              <w:r w:rsidRPr="004C2A59">
                <w:rPr>
                  <w:b/>
                  <w:sz w:val="22"/>
                  <w:szCs w:val="22"/>
                </w:rPr>
                <w:t>RFS</w:t>
              </w:r>
            </w:smartTag>
            <w:r w:rsidRPr="004C2A59">
              <w:rPr>
                <w:b/>
                <w:sz w:val="22"/>
                <w:szCs w:val="22"/>
              </w:rPr>
              <w:t xml:space="preserve"> rater (%)</w:t>
            </w:r>
          </w:p>
        </w:tc>
      </w:tr>
      <w:tr w:rsidR="00A92529" w:rsidRPr="004C2A59" w14:paraId="11FC8804" w14:textId="77777777" w:rsidTr="00A125B0">
        <w:trPr>
          <w:cantSplit/>
        </w:trPr>
        <w:tc>
          <w:tcPr>
            <w:tcW w:w="1101" w:type="dxa"/>
            <w:vMerge/>
          </w:tcPr>
          <w:p w14:paraId="60FC4B7B" w14:textId="77777777" w:rsidR="00A92529" w:rsidRPr="004C2A59" w:rsidRDefault="00A92529" w:rsidP="00A125B0">
            <w:pPr>
              <w:keepNext/>
              <w:widowControl w:val="0"/>
              <w:tabs>
                <w:tab w:val="left" w:pos="567"/>
              </w:tabs>
              <w:rPr>
                <w:b/>
                <w:sz w:val="22"/>
                <w:szCs w:val="22"/>
              </w:rPr>
            </w:pPr>
          </w:p>
        </w:tc>
        <w:tc>
          <w:tcPr>
            <w:tcW w:w="1559" w:type="dxa"/>
            <w:vMerge/>
            <w:tcBorders>
              <w:right w:val="single" w:sz="4" w:space="0" w:color="auto"/>
            </w:tcBorders>
          </w:tcPr>
          <w:p w14:paraId="49E898D5" w14:textId="77777777" w:rsidR="00A92529" w:rsidRPr="004C2A59" w:rsidRDefault="00A92529" w:rsidP="00A125B0">
            <w:pPr>
              <w:keepNext/>
              <w:widowControl w:val="0"/>
              <w:tabs>
                <w:tab w:val="left" w:pos="567"/>
              </w:tabs>
              <w:rPr>
                <w:b/>
                <w:sz w:val="22"/>
                <w:szCs w:val="22"/>
              </w:rPr>
            </w:pPr>
          </w:p>
        </w:tc>
        <w:tc>
          <w:tcPr>
            <w:tcW w:w="850" w:type="dxa"/>
            <w:vMerge/>
            <w:tcBorders>
              <w:left w:val="single" w:sz="4" w:space="0" w:color="auto"/>
              <w:right w:val="single" w:sz="4" w:space="0" w:color="auto"/>
            </w:tcBorders>
          </w:tcPr>
          <w:p w14:paraId="7B3BF379" w14:textId="77777777" w:rsidR="00A92529" w:rsidRPr="004C2A59" w:rsidRDefault="00A92529" w:rsidP="00A125B0">
            <w:pPr>
              <w:keepNext/>
              <w:widowControl w:val="0"/>
              <w:tabs>
                <w:tab w:val="left" w:pos="567"/>
              </w:tabs>
              <w:jc w:val="center"/>
              <w:rPr>
                <w:b/>
                <w:sz w:val="22"/>
                <w:szCs w:val="22"/>
              </w:rPr>
            </w:pPr>
          </w:p>
        </w:tc>
        <w:tc>
          <w:tcPr>
            <w:tcW w:w="1910" w:type="dxa"/>
            <w:vMerge/>
            <w:tcBorders>
              <w:left w:val="single" w:sz="4" w:space="0" w:color="auto"/>
              <w:right w:val="single" w:sz="4" w:space="0" w:color="auto"/>
            </w:tcBorders>
          </w:tcPr>
          <w:p w14:paraId="45F86FD4" w14:textId="77777777" w:rsidR="00A92529" w:rsidRPr="004C2A59" w:rsidRDefault="00A92529" w:rsidP="00A125B0">
            <w:pPr>
              <w:keepNext/>
              <w:widowControl w:val="0"/>
              <w:tabs>
                <w:tab w:val="left" w:pos="567"/>
              </w:tabs>
              <w:jc w:val="center"/>
              <w:rPr>
                <w:b/>
                <w:sz w:val="22"/>
                <w:szCs w:val="22"/>
              </w:rPr>
            </w:pPr>
          </w:p>
        </w:tc>
        <w:tc>
          <w:tcPr>
            <w:tcW w:w="1800" w:type="dxa"/>
            <w:vMerge/>
            <w:tcBorders>
              <w:left w:val="single" w:sz="4" w:space="0" w:color="auto"/>
              <w:right w:val="single" w:sz="4" w:space="0" w:color="auto"/>
            </w:tcBorders>
          </w:tcPr>
          <w:p w14:paraId="66E6F00E" w14:textId="77777777" w:rsidR="00A92529" w:rsidRPr="004C2A59" w:rsidRDefault="00A92529" w:rsidP="00A125B0">
            <w:pPr>
              <w:keepNext/>
              <w:widowControl w:val="0"/>
              <w:tabs>
                <w:tab w:val="left" w:pos="567"/>
              </w:tabs>
              <w:rPr>
                <w:b/>
                <w:sz w:val="22"/>
                <w:szCs w:val="22"/>
              </w:rPr>
            </w:pPr>
          </w:p>
        </w:tc>
        <w:tc>
          <w:tcPr>
            <w:tcW w:w="1440" w:type="dxa"/>
            <w:tcBorders>
              <w:left w:val="single" w:sz="4" w:space="0" w:color="auto"/>
              <w:right w:val="single" w:sz="4" w:space="0" w:color="auto"/>
            </w:tcBorders>
          </w:tcPr>
          <w:p w14:paraId="44943356" w14:textId="77777777" w:rsidR="00A92529" w:rsidRPr="004C2A59" w:rsidRDefault="00A92529" w:rsidP="00A125B0">
            <w:pPr>
              <w:keepNext/>
              <w:widowControl w:val="0"/>
              <w:tabs>
                <w:tab w:val="left" w:pos="567"/>
              </w:tabs>
              <w:jc w:val="center"/>
              <w:rPr>
                <w:b/>
                <w:sz w:val="22"/>
                <w:szCs w:val="22"/>
              </w:rPr>
            </w:pPr>
            <w:r w:rsidRPr="004C2A59">
              <w:rPr>
                <w:b/>
                <w:sz w:val="22"/>
                <w:szCs w:val="22"/>
              </w:rPr>
              <w:t>12 måneder</w:t>
            </w:r>
          </w:p>
        </w:tc>
        <w:tc>
          <w:tcPr>
            <w:tcW w:w="1360" w:type="dxa"/>
            <w:tcBorders>
              <w:left w:val="single" w:sz="4" w:space="0" w:color="auto"/>
            </w:tcBorders>
          </w:tcPr>
          <w:p w14:paraId="04823373" w14:textId="77777777" w:rsidR="00A92529" w:rsidRPr="004C2A59" w:rsidRDefault="00A92529" w:rsidP="00A125B0">
            <w:pPr>
              <w:keepNext/>
              <w:widowControl w:val="0"/>
              <w:tabs>
                <w:tab w:val="left" w:pos="567"/>
              </w:tabs>
              <w:jc w:val="center"/>
              <w:rPr>
                <w:b/>
                <w:sz w:val="22"/>
                <w:szCs w:val="22"/>
              </w:rPr>
            </w:pPr>
            <w:r w:rsidRPr="004C2A59">
              <w:rPr>
                <w:b/>
                <w:sz w:val="22"/>
                <w:szCs w:val="22"/>
              </w:rPr>
              <w:t>24 måneder</w:t>
            </w:r>
          </w:p>
        </w:tc>
      </w:tr>
      <w:tr w:rsidR="00A92529" w:rsidRPr="004C2A59" w14:paraId="551EE0F6" w14:textId="77777777" w:rsidTr="00A125B0">
        <w:trPr>
          <w:cantSplit/>
        </w:trPr>
        <w:tc>
          <w:tcPr>
            <w:tcW w:w="1101" w:type="dxa"/>
            <w:vMerge/>
          </w:tcPr>
          <w:p w14:paraId="1FFAAEA3" w14:textId="77777777" w:rsidR="00A92529" w:rsidRPr="004C2A59" w:rsidRDefault="00A92529" w:rsidP="00A125B0">
            <w:pPr>
              <w:keepNext/>
              <w:widowControl w:val="0"/>
              <w:tabs>
                <w:tab w:val="left" w:pos="567"/>
              </w:tabs>
              <w:rPr>
                <w:b/>
                <w:sz w:val="22"/>
                <w:szCs w:val="22"/>
              </w:rPr>
            </w:pPr>
          </w:p>
        </w:tc>
        <w:tc>
          <w:tcPr>
            <w:tcW w:w="1559" w:type="dxa"/>
            <w:vMerge/>
            <w:tcBorders>
              <w:right w:val="single" w:sz="4" w:space="0" w:color="auto"/>
            </w:tcBorders>
          </w:tcPr>
          <w:p w14:paraId="6F0A6AFE" w14:textId="77777777" w:rsidR="00A92529" w:rsidRPr="004C2A59" w:rsidRDefault="00A92529" w:rsidP="00A125B0">
            <w:pPr>
              <w:keepNext/>
              <w:widowControl w:val="0"/>
              <w:tabs>
                <w:tab w:val="left" w:pos="567"/>
              </w:tabs>
              <w:rPr>
                <w:b/>
                <w:sz w:val="22"/>
                <w:szCs w:val="22"/>
              </w:rPr>
            </w:pPr>
          </w:p>
        </w:tc>
        <w:tc>
          <w:tcPr>
            <w:tcW w:w="850" w:type="dxa"/>
            <w:vMerge/>
            <w:tcBorders>
              <w:left w:val="single" w:sz="4" w:space="0" w:color="auto"/>
              <w:right w:val="single" w:sz="4" w:space="0" w:color="auto"/>
            </w:tcBorders>
          </w:tcPr>
          <w:p w14:paraId="7DB792EC" w14:textId="77777777" w:rsidR="00A92529" w:rsidRPr="004C2A59" w:rsidRDefault="00A92529" w:rsidP="00A125B0">
            <w:pPr>
              <w:keepNext/>
              <w:widowControl w:val="0"/>
              <w:tabs>
                <w:tab w:val="left" w:pos="567"/>
              </w:tabs>
              <w:jc w:val="center"/>
              <w:rPr>
                <w:b/>
                <w:sz w:val="22"/>
                <w:szCs w:val="22"/>
              </w:rPr>
            </w:pPr>
          </w:p>
        </w:tc>
        <w:tc>
          <w:tcPr>
            <w:tcW w:w="1910" w:type="dxa"/>
            <w:tcBorders>
              <w:left w:val="single" w:sz="4" w:space="0" w:color="auto"/>
              <w:bottom w:val="single" w:sz="4" w:space="0" w:color="auto"/>
              <w:right w:val="single" w:sz="4" w:space="0" w:color="auto"/>
            </w:tcBorders>
          </w:tcPr>
          <w:p w14:paraId="068C634C" w14:textId="77777777" w:rsidR="00A92529" w:rsidRPr="004C2A59" w:rsidRDefault="00A92529" w:rsidP="00A125B0">
            <w:pPr>
              <w:keepNext/>
              <w:widowControl w:val="0"/>
              <w:tabs>
                <w:tab w:val="left" w:pos="567"/>
              </w:tabs>
              <w:jc w:val="center"/>
              <w:rPr>
                <w:b/>
                <w:sz w:val="22"/>
                <w:szCs w:val="22"/>
              </w:rPr>
            </w:pPr>
            <w:r w:rsidRPr="004C2A59">
              <w:rPr>
                <w:b/>
                <w:sz w:val="22"/>
                <w:szCs w:val="22"/>
              </w:rPr>
              <w:t xml:space="preserve">Glivec </w:t>
            </w:r>
            <w:r w:rsidR="00AA7270" w:rsidRPr="004C2A59">
              <w:rPr>
                <w:b/>
                <w:i/>
                <w:sz w:val="22"/>
                <w:szCs w:val="22"/>
              </w:rPr>
              <w:t>vs.</w:t>
            </w:r>
            <w:r w:rsidRPr="004C2A59">
              <w:rPr>
                <w:b/>
                <w:sz w:val="22"/>
                <w:szCs w:val="22"/>
              </w:rPr>
              <w:t xml:space="preserve"> placebo</w:t>
            </w:r>
          </w:p>
        </w:tc>
        <w:tc>
          <w:tcPr>
            <w:tcW w:w="1800" w:type="dxa"/>
            <w:vMerge/>
            <w:tcBorders>
              <w:left w:val="single" w:sz="4" w:space="0" w:color="auto"/>
              <w:bottom w:val="single" w:sz="4" w:space="0" w:color="auto"/>
              <w:right w:val="single" w:sz="4" w:space="0" w:color="auto"/>
            </w:tcBorders>
          </w:tcPr>
          <w:p w14:paraId="52C9FBF4" w14:textId="77777777" w:rsidR="00A92529" w:rsidRPr="004C2A59" w:rsidRDefault="00A92529" w:rsidP="00A125B0">
            <w:pPr>
              <w:keepNext/>
              <w:widowControl w:val="0"/>
              <w:tabs>
                <w:tab w:val="left" w:pos="567"/>
              </w:tabs>
              <w:jc w:val="center"/>
              <w:rPr>
                <w:b/>
                <w:sz w:val="22"/>
                <w:szCs w:val="22"/>
              </w:rPr>
            </w:pPr>
          </w:p>
        </w:tc>
        <w:tc>
          <w:tcPr>
            <w:tcW w:w="1440" w:type="dxa"/>
            <w:tcBorders>
              <w:left w:val="single" w:sz="4" w:space="0" w:color="auto"/>
              <w:bottom w:val="single" w:sz="4" w:space="0" w:color="auto"/>
              <w:right w:val="single" w:sz="4" w:space="0" w:color="auto"/>
            </w:tcBorders>
          </w:tcPr>
          <w:p w14:paraId="29D392F6" w14:textId="77777777" w:rsidR="00A92529" w:rsidRPr="004C2A59" w:rsidRDefault="00A92529" w:rsidP="00A125B0">
            <w:pPr>
              <w:keepNext/>
              <w:widowControl w:val="0"/>
              <w:tabs>
                <w:tab w:val="left" w:pos="567"/>
              </w:tabs>
              <w:jc w:val="center"/>
              <w:rPr>
                <w:b/>
                <w:sz w:val="22"/>
                <w:szCs w:val="22"/>
              </w:rPr>
            </w:pPr>
            <w:r w:rsidRPr="004C2A59">
              <w:rPr>
                <w:b/>
                <w:sz w:val="22"/>
                <w:szCs w:val="22"/>
              </w:rPr>
              <w:t xml:space="preserve">Glivec </w:t>
            </w:r>
            <w:r w:rsidR="00B0616E" w:rsidRPr="004C2A59">
              <w:rPr>
                <w:b/>
                <w:i/>
                <w:sz w:val="22"/>
                <w:szCs w:val="22"/>
              </w:rPr>
              <w:t>vs.</w:t>
            </w:r>
            <w:r w:rsidRPr="004C2A59">
              <w:rPr>
                <w:b/>
                <w:sz w:val="22"/>
                <w:szCs w:val="22"/>
              </w:rPr>
              <w:t xml:space="preserve"> placebo</w:t>
            </w:r>
          </w:p>
        </w:tc>
        <w:tc>
          <w:tcPr>
            <w:tcW w:w="1360" w:type="dxa"/>
            <w:tcBorders>
              <w:left w:val="single" w:sz="4" w:space="0" w:color="auto"/>
            </w:tcBorders>
          </w:tcPr>
          <w:p w14:paraId="34B9C09C" w14:textId="77777777" w:rsidR="00A92529" w:rsidRPr="004C2A59" w:rsidRDefault="00A92529" w:rsidP="00A125B0">
            <w:pPr>
              <w:keepNext/>
              <w:widowControl w:val="0"/>
              <w:tabs>
                <w:tab w:val="left" w:pos="567"/>
              </w:tabs>
              <w:jc w:val="center"/>
              <w:rPr>
                <w:b/>
                <w:sz w:val="22"/>
                <w:szCs w:val="22"/>
              </w:rPr>
            </w:pPr>
            <w:r w:rsidRPr="004C2A59">
              <w:rPr>
                <w:b/>
                <w:sz w:val="22"/>
                <w:szCs w:val="22"/>
              </w:rPr>
              <w:t xml:space="preserve">Glivec </w:t>
            </w:r>
            <w:r w:rsidR="00B0616E" w:rsidRPr="004C2A59">
              <w:rPr>
                <w:b/>
                <w:i/>
                <w:sz w:val="22"/>
                <w:szCs w:val="22"/>
              </w:rPr>
              <w:t>vs.</w:t>
            </w:r>
            <w:r w:rsidRPr="004C2A59">
              <w:rPr>
                <w:b/>
                <w:sz w:val="22"/>
                <w:szCs w:val="22"/>
              </w:rPr>
              <w:t xml:space="preserve"> placebo</w:t>
            </w:r>
          </w:p>
        </w:tc>
      </w:tr>
      <w:tr w:rsidR="00A92529" w:rsidRPr="004C2A59" w14:paraId="214A772A" w14:textId="77777777" w:rsidTr="00A125B0">
        <w:trPr>
          <w:cantSplit/>
        </w:trPr>
        <w:tc>
          <w:tcPr>
            <w:tcW w:w="1101" w:type="dxa"/>
            <w:vMerge w:val="restart"/>
            <w:shd w:val="clear" w:color="auto" w:fill="auto"/>
          </w:tcPr>
          <w:p w14:paraId="1CA9115D" w14:textId="77777777" w:rsidR="00A92529" w:rsidRPr="004C2A59" w:rsidRDefault="00A92529" w:rsidP="00A125B0">
            <w:pPr>
              <w:pStyle w:val="Nottoc-headings"/>
              <w:keepLines w:val="0"/>
              <w:widowControl w:val="0"/>
              <w:tabs>
                <w:tab w:val="left" w:pos="567"/>
              </w:tabs>
              <w:spacing w:before="0" w:after="0"/>
              <w:ind w:left="0" w:firstLine="0"/>
              <w:rPr>
                <w:sz w:val="22"/>
                <w:szCs w:val="22"/>
              </w:rPr>
            </w:pPr>
            <w:r w:rsidRPr="004C2A59">
              <w:rPr>
                <w:rFonts w:ascii="Times New Roman" w:hAnsi="Times New Roman"/>
                <w:b w:val="0"/>
                <w:sz w:val="22"/>
                <w:szCs w:val="22"/>
              </w:rPr>
              <w:t>NIH</w:t>
            </w:r>
          </w:p>
        </w:tc>
        <w:tc>
          <w:tcPr>
            <w:tcW w:w="1559" w:type="dxa"/>
            <w:tcBorders>
              <w:bottom w:val="nil"/>
              <w:right w:val="single" w:sz="4" w:space="0" w:color="auto"/>
            </w:tcBorders>
            <w:vAlign w:val="bottom"/>
          </w:tcPr>
          <w:p w14:paraId="1D0BE804" w14:textId="77777777" w:rsidR="00A92529" w:rsidRPr="004C2A59" w:rsidRDefault="00A92529" w:rsidP="00A125B0">
            <w:pPr>
              <w:pStyle w:val="Nottoc-headings"/>
              <w:keepLines w:val="0"/>
              <w:widowControl w:val="0"/>
              <w:tabs>
                <w:tab w:val="left" w:pos="567"/>
              </w:tabs>
              <w:spacing w:before="0" w:after="0"/>
              <w:ind w:left="57" w:hanging="57"/>
              <w:rPr>
                <w:rFonts w:ascii="Times New Roman" w:hAnsi="Times New Roman"/>
                <w:b w:val="0"/>
                <w:sz w:val="22"/>
                <w:szCs w:val="22"/>
              </w:rPr>
            </w:pPr>
            <w:r w:rsidRPr="004C2A59">
              <w:rPr>
                <w:rFonts w:ascii="Times New Roman" w:hAnsi="Times New Roman"/>
                <w:b w:val="0"/>
                <w:sz w:val="22"/>
                <w:szCs w:val="22"/>
              </w:rPr>
              <w:t>Lav</w:t>
            </w:r>
          </w:p>
        </w:tc>
        <w:tc>
          <w:tcPr>
            <w:tcW w:w="850" w:type="dxa"/>
            <w:tcBorders>
              <w:left w:val="single" w:sz="4" w:space="0" w:color="auto"/>
              <w:bottom w:val="nil"/>
              <w:right w:val="single" w:sz="4" w:space="0" w:color="auto"/>
            </w:tcBorders>
            <w:vAlign w:val="bottom"/>
          </w:tcPr>
          <w:p w14:paraId="6CD0A303" w14:textId="77777777" w:rsidR="00A92529" w:rsidRPr="004C2A59" w:rsidRDefault="00A92529" w:rsidP="00A125B0">
            <w:pPr>
              <w:pStyle w:val="Nottoc-headings"/>
              <w:keepLines w:val="0"/>
              <w:widowControl w:val="0"/>
              <w:tabs>
                <w:tab w:val="left" w:pos="567"/>
              </w:tabs>
              <w:spacing w:before="0" w:after="0"/>
              <w:ind w:left="57" w:hanging="57"/>
              <w:jc w:val="center"/>
              <w:rPr>
                <w:rFonts w:ascii="Times New Roman" w:hAnsi="Times New Roman"/>
                <w:b w:val="0"/>
                <w:sz w:val="22"/>
                <w:szCs w:val="22"/>
              </w:rPr>
            </w:pPr>
            <w:r w:rsidRPr="004C2A59">
              <w:rPr>
                <w:rFonts w:ascii="Times New Roman" w:hAnsi="Times New Roman"/>
                <w:b w:val="0"/>
                <w:sz w:val="22"/>
                <w:szCs w:val="22"/>
              </w:rPr>
              <w:t>29,5</w:t>
            </w:r>
          </w:p>
        </w:tc>
        <w:tc>
          <w:tcPr>
            <w:tcW w:w="1910" w:type="dxa"/>
            <w:tcBorders>
              <w:left w:val="single" w:sz="4" w:space="0" w:color="auto"/>
              <w:bottom w:val="nil"/>
              <w:right w:val="single" w:sz="4" w:space="0" w:color="auto"/>
            </w:tcBorders>
            <w:vAlign w:val="bottom"/>
          </w:tcPr>
          <w:p w14:paraId="1B0AA7D2" w14:textId="77777777" w:rsidR="00A92529" w:rsidRPr="004C2A59" w:rsidRDefault="00A92529" w:rsidP="00A125B0">
            <w:pPr>
              <w:pStyle w:val="Nottoc-headings"/>
              <w:keepLines w:val="0"/>
              <w:widowControl w:val="0"/>
              <w:tabs>
                <w:tab w:val="left" w:pos="567"/>
              </w:tabs>
              <w:spacing w:before="0" w:after="0"/>
              <w:ind w:left="57" w:hanging="57"/>
              <w:rPr>
                <w:rFonts w:ascii="Times New Roman" w:hAnsi="Times New Roman"/>
                <w:b w:val="0"/>
                <w:sz w:val="22"/>
                <w:szCs w:val="22"/>
              </w:rPr>
            </w:pPr>
            <w:r w:rsidRPr="004C2A59">
              <w:rPr>
                <w:rFonts w:ascii="Times New Roman" w:hAnsi="Times New Roman"/>
                <w:b w:val="0"/>
                <w:sz w:val="22"/>
                <w:szCs w:val="22"/>
              </w:rPr>
              <w:t xml:space="preserve">0/86 </w:t>
            </w:r>
            <w:r w:rsidR="00AA7270" w:rsidRPr="004C2A59">
              <w:rPr>
                <w:rFonts w:ascii="Times New Roman" w:hAnsi="Times New Roman"/>
                <w:b w:val="0"/>
                <w:i/>
                <w:sz w:val="22"/>
                <w:szCs w:val="22"/>
              </w:rPr>
              <w:t>vs.</w:t>
            </w:r>
            <w:r w:rsidRPr="004C2A59">
              <w:rPr>
                <w:rFonts w:ascii="Times New Roman" w:hAnsi="Times New Roman"/>
                <w:b w:val="0"/>
                <w:sz w:val="22"/>
                <w:szCs w:val="22"/>
              </w:rPr>
              <w:t xml:space="preserve"> 2/90</w:t>
            </w:r>
          </w:p>
        </w:tc>
        <w:tc>
          <w:tcPr>
            <w:tcW w:w="1800" w:type="dxa"/>
            <w:tcBorders>
              <w:left w:val="single" w:sz="4" w:space="0" w:color="auto"/>
              <w:bottom w:val="nil"/>
              <w:right w:val="single" w:sz="4" w:space="0" w:color="auto"/>
            </w:tcBorders>
            <w:vAlign w:val="bottom"/>
          </w:tcPr>
          <w:p w14:paraId="02D4F557" w14:textId="77777777" w:rsidR="00A92529" w:rsidRPr="004C2A59" w:rsidRDefault="00A92529" w:rsidP="00A125B0">
            <w:pPr>
              <w:pStyle w:val="Nottoc-headings"/>
              <w:keepLines w:val="0"/>
              <w:widowControl w:val="0"/>
              <w:tabs>
                <w:tab w:val="left" w:pos="567"/>
              </w:tabs>
              <w:spacing w:before="0" w:after="0"/>
              <w:ind w:left="57" w:hanging="57"/>
              <w:rPr>
                <w:rFonts w:ascii="Times New Roman" w:hAnsi="Times New Roman"/>
                <w:b w:val="0"/>
                <w:sz w:val="22"/>
                <w:szCs w:val="22"/>
              </w:rPr>
            </w:pPr>
            <w:r w:rsidRPr="004C2A59">
              <w:rPr>
                <w:rFonts w:ascii="Times New Roman" w:hAnsi="Times New Roman"/>
                <w:b w:val="0"/>
                <w:sz w:val="22"/>
                <w:szCs w:val="22"/>
              </w:rPr>
              <w:t>I.E.</w:t>
            </w:r>
          </w:p>
        </w:tc>
        <w:tc>
          <w:tcPr>
            <w:tcW w:w="1440" w:type="dxa"/>
            <w:tcBorders>
              <w:left w:val="single" w:sz="4" w:space="0" w:color="auto"/>
              <w:bottom w:val="nil"/>
              <w:right w:val="single" w:sz="4" w:space="0" w:color="auto"/>
            </w:tcBorders>
            <w:vAlign w:val="bottom"/>
          </w:tcPr>
          <w:p w14:paraId="3ED4BA1C" w14:textId="77777777" w:rsidR="00A92529" w:rsidRPr="004C2A59" w:rsidRDefault="00A92529" w:rsidP="00A125B0">
            <w:pPr>
              <w:pStyle w:val="Nottoc-headings"/>
              <w:keepLines w:val="0"/>
              <w:widowControl w:val="0"/>
              <w:tabs>
                <w:tab w:val="left" w:pos="567"/>
              </w:tabs>
              <w:spacing w:before="0" w:after="0"/>
              <w:ind w:left="57" w:hanging="57"/>
              <w:rPr>
                <w:rFonts w:ascii="Times New Roman" w:hAnsi="Times New Roman"/>
                <w:b w:val="0"/>
                <w:sz w:val="22"/>
                <w:szCs w:val="22"/>
              </w:rPr>
            </w:pPr>
            <w:r w:rsidRPr="004C2A59">
              <w:rPr>
                <w:rFonts w:ascii="Times New Roman" w:hAnsi="Times New Roman"/>
                <w:b w:val="0"/>
                <w:sz w:val="22"/>
                <w:szCs w:val="22"/>
              </w:rPr>
              <w:t xml:space="preserve">100 </w:t>
            </w:r>
            <w:r w:rsidR="00AA7270" w:rsidRPr="004C2A59">
              <w:rPr>
                <w:rFonts w:ascii="Times New Roman" w:hAnsi="Times New Roman"/>
                <w:b w:val="0"/>
                <w:i/>
                <w:sz w:val="22"/>
                <w:szCs w:val="22"/>
              </w:rPr>
              <w:t>vs.</w:t>
            </w:r>
            <w:r w:rsidRPr="004C2A59">
              <w:rPr>
                <w:rFonts w:ascii="Times New Roman" w:hAnsi="Times New Roman"/>
                <w:b w:val="0"/>
                <w:sz w:val="22"/>
                <w:szCs w:val="22"/>
              </w:rPr>
              <w:t xml:space="preserve"> 98,7</w:t>
            </w:r>
          </w:p>
        </w:tc>
        <w:tc>
          <w:tcPr>
            <w:tcW w:w="1360" w:type="dxa"/>
            <w:tcBorders>
              <w:left w:val="single" w:sz="4" w:space="0" w:color="auto"/>
              <w:bottom w:val="nil"/>
            </w:tcBorders>
            <w:vAlign w:val="bottom"/>
          </w:tcPr>
          <w:p w14:paraId="01F4A429" w14:textId="77777777" w:rsidR="00A92529" w:rsidRPr="004C2A59" w:rsidRDefault="00A92529" w:rsidP="00A125B0">
            <w:pPr>
              <w:pStyle w:val="Nottoc-headings"/>
              <w:keepLines w:val="0"/>
              <w:widowControl w:val="0"/>
              <w:tabs>
                <w:tab w:val="left" w:pos="567"/>
              </w:tabs>
              <w:spacing w:before="0" w:after="0"/>
              <w:ind w:left="57" w:hanging="57"/>
              <w:rPr>
                <w:rFonts w:ascii="Times New Roman" w:hAnsi="Times New Roman"/>
                <w:b w:val="0"/>
                <w:sz w:val="22"/>
                <w:szCs w:val="22"/>
              </w:rPr>
            </w:pPr>
            <w:r w:rsidRPr="004C2A59">
              <w:rPr>
                <w:rFonts w:ascii="Times New Roman" w:hAnsi="Times New Roman"/>
                <w:b w:val="0"/>
                <w:sz w:val="22"/>
                <w:szCs w:val="22"/>
              </w:rPr>
              <w:t xml:space="preserve">100 </w:t>
            </w:r>
            <w:r w:rsidR="00AA7270" w:rsidRPr="004C2A59">
              <w:rPr>
                <w:rFonts w:ascii="Times New Roman" w:hAnsi="Times New Roman"/>
                <w:b w:val="0"/>
                <w:i/>
                <w:sz w:val="22"/>
                <w:szCs w:val="22"/>
              </w:rPr>
              <w:t>vs.</w:t>
            </w:r>
            <w:r w:rsidR="00AD7EE4" w:rsidRPr="004C2A59">
              <w:rPr>
                <w:rFonts w:ascii="Times New Roman" w:hAnsi="Times New Roman"/>
                <w:b w:val="0"/>
                <w:sz w:val="22"/>
                <w:szCs w:val="22"/>
              </w:rPr>
              <w:t xml:space="preserve"> </w:t>
            </w:r>
            <w:r w:rsidRPr="004C2A59">
              <w:rPr>
                <w:rFonts w:ascii="Times New Roman" w:hAnsi="Times New Roman"/>
                <w:b w:val="0"/>
                <w:sz w:val="22"/>
                <w:szCs w:val="22"/>
              </w:rPr>
              <w:t>95,5</w:t>
            </w:r>
          </w:p>
        </w:tc>
      </w:tr>
      <w:tr w:rsidR="00A92529" w:rsidRPr="004C2A59" w14:paraId="2573C67A" w14:textId="77777777" w:rsidTr="00A125B0">
        <w:trPr>
          <w:cantSplit/>
        </w:trPr>
        <w:tc>
          <w:tcPr>
            <w:tcW w:w="1101" w:type="dxa"/>
            <w:vMerge/>
            <w:shd w:val="clear" w:color="auto" w:fill="auto"/>
          </w:tcPr>
          <w:p w14:paraId="40CA3790" w14:textId="77777777" w:rsidR="00A92529" w:rsidRPr="004C2A59" w:rsidRDefault="00A92529" w:rsidP="00A125B0">
            <w:pPr>
              <w:pStyle w:val="Nottoc-headings"/>
              <w:keepLines w:val="0"/>
              <w:widowControl w:val="0"/>
              <w:tabs>
                <w:tab w:val="left" w:pos="567"/>
              </w:tabs>
              <w:spacing w:before="0" w:after="0"/>
              <w:rPr>
                <w:rFonts w:ascii="Times New Roman" w:hAnsi="Times New Roman"/>
                <w:b w:val="0"/>
                <w:sz w:val="22"/>
                <w:szCs w:val="22"/>
              </w:rPr>
            </w:pPr>
          </w:p>
        </w:tc>
        <w:tc>
          <w:tcPr>
            <w:tcW w:w="1559" w:type="dxa"/>
            <w:tcBorders>
              <w:top w:val="nil"/>
              <w:bottom w:val="nil"/>
              <w:right w:val="single" w:sz="4" w:space="0" w:color="auto"/>
            </w:tcBorders>
            <w:vAlign w:val="bottom"/>
          </w:tcPr>
          <w:p w14:paraId="28C26DB9" w14:textId="77777777" w:rsidR="00A92529" w:rsidRPr="004C2A59" w:rsidRDefault="00A92529" w:rsidP="00A125B0">
            <w:pPr>
              <w:keepNext/>
              <w:widowControl w:val="0"/>
              <w:tabs>
                <w:tab w:val="left" w:pos="567"/>
              </w:tabs>
              <w:rPr>
                <w:sz w:val="22"/>
                <w:szCs w:val="22"/>
              </w:rPr>
            </w:pPr>
            <w:r w:rsidRPr="004C2A59">
              <w:rPr>
                <w:sz w:val="22"/>
                <w:szCs w:val="22"/>
              </w:rPr>
              <w:t>Mellem</w:t>
            </w:r>
          </w:p>
        </w:tc>
        <w:tc>
          <w:tcPr>
            <w:tcW w:w="850" w:type="dxa"/>
            <w:tcBorders>
              <w:top w:val="nil"/>
              <w:left w:val="single" w:sz="4" w:space="0" w:color="auto"/>
              <w:bottom w:val="nil"/>
              <w:right w:val="single" w:sz="4" w:space="0" w:color="auto"/>
            </w:tcBorders>
            <w:vAlign w:val="bottom"/>
          </w:tcPr>
          <w:p w14:paraId="45F826F3" w14:textId="77777777" w:rsidR="00A92529" w:rsidRPr="004C2A59" w:rsidRDefault="00A92529" w:rsidP="00A125B0">
            <w:pPr>
              <w:keepNext/>
              <w:widowControl w:val="0"/>
              <w:tabs>
                <w:tab w:val="left" w:pos="567"/>
              </w:tabs>
              <w:jc w:val="center"/>
              <w:rPr>
                <w:sz w:val="22"/>
                <w:szCs w:val="22"/>
              </w:rPr>
            </w:pPr>
            <w:r w:rsidRPr="004C2A59">
              <w:rPr>
                <w:sz w:val="22"/>
                <w:szCs w:val="22"/>
              </w:rPr>
              <w:t>25,7</w:t>
            </w:r>
          </w:p>
        </w:tc>
        <w:tc>
          <w:tcPr>
            <w:tcW w:w="1910" w:type="dxa"/>
            <w:tcBorders>
              <w:top w:val="nil"/>
              <w:left w:val="single" w:sz="4" w:space="0" w:color="auto"/>
              <w:bottom w:val="nil"/>
              <w:right w:val="single" w:sz="4" w:space="0" w:color="auto"/>
            </w:tcBorders>
            <w:vAlign w:val="bottom"/>
          </w:tcPr>
          <w:p w14:paraId="5BFB22D3" w14:textId="77777777" w:rsidR="00A92529" w:rsidRPr="004C2A59" w:rsidRDefault="00A92529" w:rsidP="00A125B0">
            <w:pPr>
              <w:keepNext/>
              <w:widowControl w:val="0"/>
              <w:tabs>
                <w:tab w:val="left" w:pos="567"/>
              </w:tabs>
              <w:rPr>
                <w:sz w:val="22"/>
                <w:szCs w:val="22"/>
              </w:rPr>
            </w:pPr>
            <w:r w:rsidRPr="004C2A59">
              <w:rPr>
                <w:sz w:val="22"/>
                <w:szCs w:val="22"/>
              </w:rPr>
              <w:t xml:space="preserve">4/75 </w:t>
            </w:r>
            <w:r w:rsidR="00AA7270" w:rsidRPr="004C2A59">
              <w:rPr>
                <w:i/>
                <w:sz w:val="22"/>
                <w:szCs w:val="22"/>
              </w:rPr>
              <w:t>vs.</w:t>
            </w:r>
            <w:r w:rsidRPr="004C2A59">
              <w:rPr>
                <w:sz w:val="22"/>
                <w:szCs w:val="22"/>
              </w:rPr>
              <w:t xml:space="preserve"> 6/78</w:t>
            </w:r>
          </w:p>
        </w:tc>
        <w:tc>
          <w:tcPr>
            <w:tcW w:w="1800" w:type="dxa"/>
            <w:tcBorders>
              <w:top w:val="nil"/>
              <w:left w:val="single" w:sz="4" w:space="0" w:color="auto"/>
              <w:bottom w:val="nil"/>
              <w:right w:val="single" w:sz="4" w:space="0" w:color="auto"/>
            </w:tcBorders>
            <w:vAlign w:val="bottom"/>
          </w:tcPr>
          <w:p w14:paraId="4C73DDBB" w14:textId="77777777" w:rsidR="00A92529" w:rsidRPr="004C2A59" w:rsidRDefault="00A92529" w:rsidP="00A125B0">
            <w:pPr>
              <w:keepNext/>
              <w:widowControl w:val="0"/>
              <w:tabs>
                <w:tab w:val="left" w:pos="567"/>
              </w:tabs>
              <w:rPr>
                <w:sz w:val="22"/>
                <w:szCs w:val="22"/>
              </w:rPr>
            </w:pPr>
            <w:r w:rsidRPr="004C2A59">
              <w:rPr>
                <w:sz w:val="22"/>
                <w:szCs w:val="22"/>
              </w:rPr>
              <w:t>0,59 (0,17; 2,10)</w:t>
            </w:r>
          </w:p>
        </w:tc>
        <w:tc>
          <w:tcPr>
            <w:tcW w:w="1440" w:type="dxa"/>
            <w:tcBorders>
              <w:top w:val="nil"/>
              <w:left w:val="single" w:sz="4" w:space="0" w:color="auto"/>
              <w:bottom w:val="nil"/>
              <w:right w:val="single" w:sz="4" w:space="0" w:color="auto"/>
            </w:tcBorders>
            <w:vAlign w:val="bottom"/>
          </w:tcPr>
          <w:p w14:paraId="140E2A0D" w14:textId="77777777" w:rsidR="00A92529" w:rsidRPr="004C2A59" w:rsidRDefault="00A92529" w:rsidP="00A125B0">
            <w:pPr>
              <w:keepNext/>
              <w:widowControl w:val="0"/>
              <w:tabs>
                <w:tab w:val="left" w:pos="567"/>
              </w:tabs>
              <w:rPr>
                <w:sz w:val="22"/>
                <w:szCs w:val="22"/>
              </w:rPr>
            </w:pPr>
            <w:r w:rsidRPr="004C2A59">
              <w:rPr>
                <w:sz w:val="22"/>
                <w:szCs w:val="22"/>
              </w:rPr>
              <w:t xml:space="preserve">100 </w:t>
            </w:r>
            <w:r w:rsidR="00AA7270" w:rsidRPr="004C2A59">
              <w:rPr>
                <w:i/>
                <w:sz w:val="22"/>
                <w:szCs w:val="22"/>
              </w:rPr>
              <w:t>vs.</w:t>
            </w:r>
            <w:r w:rsidRPr="004C2A59">
              <w:rPr>
                <w:sz w:val="22"/>
                <w:szCs w:val="22"/>
              </w:rPr>
              <w:t xml:space="preserve"> 94,8</w:t>
            </w:r>
          </w:p>
        </w:tc>
        <w:tc>
          <w:tcPr>
            <w:tcW w:w="1360" w:type="dxa"/>
            <w:tcBorders>
              <w:top w:val="nil"/>
              <w:left w:val="single" w:sz="4" w:space="0" w:color="auto"/>
              <w:bottom w:val="nil"/>
            </w:tcBorders>
            <w:vAlign w:val="bottom"/>
          </w:tcPr>
          <w:p w14:paraId="7E6FE366" w14:textId="77777777" w:rsidR="00A92529" w:rsidRPr="004C2A59" w:rsidRDefault="00A92529" w:rsidP="00A125B0">
            <w:pPr>
              <w:keepNext/>
              <w:widowControl w:val="0"/>
              <w:tabs>
                <w:tab w:val="left" w:pos="567"/>
              </w:tabs>
              <w:rPr>
                <w:sz w:val="22"/>
                <w:szCs w:val="22"/>
              </w:rPr>
            </w:pPr>
            <w:r w:rsidRPr="004C2A59">
              <w:rPr>
                <w:sz w:val="22"/>
                <w:szCs w:val="22"/>
              </w:rPr>
              <w:t xml:space="preserve">97,8 </w:t>
            </w:r>
            <w:r w:rsidR="00AA7270" w:rsidRPr="004C2A59">
              <w:rPr>
                <w:i/>
                <w:sz w:val="22"/>
                <w:szCs w:val="22"/>
              </w:rPr>
              <w:t>vs.</w:t>
            </w:r>
            <w:r w:rsidRPr="004C2A59">
              <w:rPr>
                <w:sz w:val="22"/>
                <w:szCs w:val="22"/>
              </w:rPr>
              <w:t xml:space="preserve"> 89,5</w:t>
            </w:r>
          </w:p>
        </w:tc>
      </w:tr>
      <w:tr w:rsidR="00A92529" w:rsidRPr="004C2A59" w14:paraId="7743F8BD" w14:textId="77777777" w:rsidTr="00A125B0">
        <w:trPr>
          <w:cantSplit/>
        </w:trPr>
        <w:tc>
          <w:tcPr>
            <w:tcW w:w="1101" w:type="dxa"/>
            <w:vMerge/>
            <w:shd w:val="clear" w:color="auto" w:fill="auto"/>
          </w:tcPr>
          <w:p w14:paraId="65920B10" w14:textId="77777777" w:rsidR="00A92529" w:rsidRPr="004C2A59" w:rsidRDefault="00A92529" w:rsidP="00A125B0">
            <w:pPr>
              <w:keepNext/>
              <w:widowControl w:val="0"/>
              <w:tabs>
                <w:tab w:val="left" w:pos="567"/>
              </w:tabs>
              <w:rPr>
                <w:sz w:val="22"/>
                <w:szCs w:val="22"/>
              </w:rPr>
            </w:pPr>
          </w:p>
        </w:tc>
        <w:tc>
          <w:tcPr>
            <w:tcW w:w="1559" w:type="dxa"/>
            <w:tcBorders>
              <w:top w:val="nil"/>
              <w:right w:val="single" w:sz="4" w:space="0" w:color="auto"/>
            </w:tcBorders>
            <w:vAlign w:val="bottom"/>
          </w:tcPr>
          <w:p w14:paraId="2EBF4F5D" w14:textId="77777777" w:rsidR="00A92529" w:rsidRPr="004C2A59" w:rsidRDefault="00A92529" w:rsidP="00A125B0">
            <w:pPr>
              <w:keepNext/>
              <w:widowControl w:val="0"/>
              <w:tabs>
                <w:tab w:val="left" w:pos="567"/>
              </w:tabs>
              <w:rPr>
                <w:sz w:val="22"/>
                <w:szCs w:val="22"/>
              </w:rPr>
            </w:pPr>
            <w:r w:rsidRPr="004C2A59">
              <w:rPr>
                <w:sz w:val="22"/>
                <w:szCs w:val="22"/>
              </w:rPr>
              <w:t>Høj</w:t>
            </w:r>
          </w:p>
        </w:tc>
        <w:tc>
          <w:tcPr>
            <w:tcW w:w="850" w:type="dxa"/>
            <w:tcBorders>
              <w:top w:val="nil"/>
              <w:left w:val="single" w:sz="4" w:space="0" w:color="auto"/>
              <w:right w:val="single" w:sz="4" w:space="0" w:color="auto"/>
            </w:tcBorders>
            <w:vAlign w:val="bottom"/>
          </w:tcPr>
          <w:p w14:paraId="7C54617F" w14:textId="77777777" w:rsidR="00A92529" w:rsidRPr="004C2A59" w:rsidRDefault="00A92529" w:rsidP="00A125B0">
            <w:pPr>
              <w:keepNext/>
              <w:widowControl w:val="0"/>
              <w:tabs>
                <w:tab w:val="left" w:pos="567"/>
              </w:tabs>
              <w:jc w:val="center"/>
              <w:rPr>
                <w:sz w:val="22"/>
                <w:szCs w:val="22"/>
              </w:rPr>
            </w:pPr>
            <w:r w:rsidRPr="004C2A59">
              <w:rPr>
                <w:sz w:val="22"/>
                <w:szCs w:val="22"/>
              </w:rPr>
              <w:t>44,8</w:t>
            </w:r>
          </w:p>
        </w:tc>
        <w:tc>
          <w:tcPr>
            <w:tcW w:w="1910" w:type="dxa"/>
            <w:tcBorders>
              <w:top w:val="nil"/>
              <w:left w:val="single" w:sz="4" w:space="0" w:color="auto"/>
              <w:right w:val="single" w:sz="4" w:space="0" w:color="auto"/>
            </w:tcBorders>
            <w:vAlign w:val="bottom"/>
          </w:tcPr>
          <w:p w14:paraId="4C2D469D" w14:textId="77777777" w:rsidR="00A92529" w:rsidRPr="004C2A59" w:rsidRDefault="00A92529" w:rsidP="00A125B0">
            <w:pPr>
              <w:keepNext/>
              <w:widowControl w:val="0"/>
              <w:tabs>
                <w:tab w:val="left" w:pos="567"/>
              </w:tabs>
              <w:rPr>
                <w:sz w:val="22"/>
                <w:szCs w:val="22"/>
              </w:rPr>
            </w:pPr>
            <w:r w:rsidRPr="004C2A59">
              <w:rPr>
                <w:sz w:val="22"/>
                <w:szCs w:val="22"/>
              </w:rPr>
              <w:t xml:space="preserve">21/140 </w:t>
            </w:r>
            <w:r w:rsidR="00AA7270" w:rsidRPr="004C2A59">
              <w:rPr>
                <w:i/>
                <w:sz w:val="22"/>
                <w:szCs w:val="22"/>
              </w:rPr>
              <w:t>vs.</w:t>
            </w:r>
            <w:r w:rsidRPr="004C2A59">
              <w:rPr>
                <w:sz w:val="22"/>
                <w:szCs w:val="22"/>
              </w:rPr>
              <w:t xml:space="preserve"> 51/127</w:t>
            </w:r>
          </w:p>
        </w:tc>
        <w:tc>
          <w:tcPr>
            <w:tcW w:w="1800" w:type="dxa"/>
            <w:tcBorders>
              <w:top w:val="nil"/>
              <w:left w:val="single" w:sz="4" w:space="0" w:color="auto"/>
              <w:right w:val="single" w:sz="4" w:space="0" w:color="auto"/>
            </w:tcBorders>
            <w:vAlign w:val="bottom"/>
          </w:tcPr>
          <w:p w14:paraId="7FFACA13" w14:textId="77777777" w:rsidR="00A92529" w:rsidRPr="004C2A59" w:rsidRDefault="00A92529" w:rsidP="00A125B0">
            <w:pPr>
              <w:keepNext/>
              <w:widowControl w:val="0"/>
              <w:tabs>
                <w:tab w:val="left" w:pos="567"/>
              </w:tabs>
              <w:rPr>
                <w:sz w:val="22"/>
                <w:szCs w:val="22"/>
              </w:rPr>
            </w:pPr>
            <w:r w:rsidRPr="004C2A59">
              <w:rPr>
                <w:sz w:val="22"/>
                <w:szCs w:val="22"/>
              </w:rPr>
              <w:t>0,29 (0,18; 0,49)</w:t>
            </w:r>
          </w:p>
        </w:tc>
        <w:tc>
          <w:tcPr>
            <w:tcW w:w="1440" w:type="dxa"/>
            <w:tcBorders>
              <w:top w:val="nil"/>
              <w:left w:val="single" w:sz="4" w:space="0" w:color="auto"/>
              <w:right w:val="single" w:sz="4" w:space="0" w:color="auto"/>
            </w:tcBorders>
            <w:vAlign w:val="bottom"/>
          </w:tcPr>
          <w:p w14:paraId="53274153" w14:textId="77777777" w:rsidR="00A92529" w:rsidRPr="004C2A59" w:rsidRDefault="00A92529" w:rsidP="00A125B0">
            <w:pPr>
              <w:keepNext/>
              <w:widowControl w:val="0"/>
              <w:tabs>
                <w:tab w:val="left" w:pos="567"/>
              </w:tabs>
              <w:rPr>
                <w:sz w:val="22"/>
                <w:szCs w:val="22"/>
              </w:rPr>
            </w:pPr>
            <w:r w:rsidRPr="004C2A59">
              <w:rPr>
                <w:sz w:val="22"/>
                <w:szCs w:val="22"/>
              </w:rPr>
              <w:t xml:space="preserve">94,8 </w:t>
            </w:r>
            <w:r w:rsidR="00AA7270" w:rsidRPr="004C2A59">
              <w:rPr>
                <w:i/>
                <w:sz w:val="22"/>
                <w:szCs w:val="22"/>
              </w:rPr>
              <w:t>vs.</w:t>
            </w:r>
            <w:r w:rsidRPr="004C2A59">
              <w:rPr>
                <w:sz w:val="22"/>
                <w:szCs w:val="22"/>
              </w:rPr>
              <w:t xml:space="preserve"> 64,0</w:t>
            </w:r>
          </w:p>
        </w:tc>
        <w:tc>
          <w:tcPr>
            <w:tcW w:w="1360" w:type="dxa"/>
            <w:tcBorders>
              <w:top w:val="nil"/>
              <w:left w:val="single" w:sz="4" w:space="0" w:color="auto"/>
            </w:tcBorders>
            <w:vAlign w:val="bottom"/>
          </w:tcPr>
          <w:p w14:paraId="2401E1E6" w14:textId="77777777" w:rsidR="00A92529" w:rsidRPr="004C2A59" w:rsidRDefault="00A92529" w:rsidP="00A125B0">
            <w:pPr>
              <w:keepNext/>
              <w:widowControl w:val="0"/>
              <w:tabs>
                <w:tab w:val="left" w:pos="567"/>
              </w:tabs>
              <w:rPr>
                <w:sz w:val="22"/>
                <w:szCs w:val="22"/>
              </w:rPr>
            </w:pPr>
            <w:r w:rsidRPr="004C2A59">
              <w:rPr>
                <w:sz w:val="22"/>
                <w:szCs w:val="22"/>
              </w:rPr>
              <w:t xml:space="preserve">80,7 </w:t>
            </w:r>
            <w:r w:rsidR="00AA7270" w:rsidRPr="004C2A59">
              <w:rPr>
                <w:i/>
                <w:sz w:val="22"/>
                <w:szCs w:val="22"/>
              </w:rPr>
              <w:t>vs.</w:t>
            </w:r>
            <w:r w:rsidRPr="004C2A59">
              <w:rPr>
                <w:sz w:val="22"/>
                <w:szCs w:val="22"/>
              </w:rPr>
              <w:t xml:space="preserve"> 46,6</w:t>
            </w:r>
          </w:p>
        </w:tc>
      </w:tr>
      <w:tr w:rsidR="00A92529" w:rsidRPr="004C2A59" w14:paraId="12523E66" w14:textId="77777777" w:rsidTr="00A125B0">
        <w:trPr>
          <w:cantSplit/>
        </w:trPr>
        <w:tc>
          <w:tcPr>
            <w:tcW w:w="1101" w:type="dxa"/>
            <w:vMerge w:val="restart"/>
            <w:shd w:val="clear" w:color="auto" w:fill="auto"/>
          </w:tcPr>
          <w:p w14:paraId="05AA4FBE" w14:textId="77777777" w:rsidR="00A92529" w:rsidRPr="004C2A59" w:rsidRDefault="00A92529" w:rsidP="00A125B0">
            <w:pPr>
              <w:keepNext/>
              <w:widowControl w:val="0"/>
              <w:tabs>
                <w:tab w:val="left" w:pos="567"/>
              </w:tabs>
              <w:rPr>
                <w:sz w:val="22"/>
                <w:szCs w:val="22"/>
              </w:rPr>
            </w:pPr>
            <w:r w:rsidRPr="004C2A59">
              <w:rPr>
                <w:sz w:val="22"/>
                <w:szCs w:val="22"/>
              </w:rPr>
              <w:t>AFIP</w:t>
            </w:r>
          </w:p>
        </w:tc>
        <w:tc>
          <w:tcPr>
            <w:tcW w:w="1559" w:type="dxa"/>
            <w:tcBorders>
              <w:bottom w:val="nil"/>
              <w:right w:val="single" w:sz="4" w:space="0" w:color="auto"/>
            </w:tcBorders>
            <w:vAlign w:val="bottom"/>
          </w:tcPr>
          <w:p w14:paraId="71C1E0D8" w14:textId="77777777" w:rsidR="00A92529" w:rsidRPr="004C2A59" w:rsidRDefault="00A92529" w:rsidP="00A125B0">
            <w:pPr>
              <w:keepNext/>
              <w:widowControl w:val="0"/>
              <w:tabs>
                <w:tab w:val="left" w:pos="567"/>
              </w:tabs>
              <w:rPr>
                <w:sz w:val="22"/>
                <w:szCs w:val="22"/>
              </w:rPr>
            </w:pPr>
            <w:r w:rsidRPr="004C2A59">
              <w:rPr>
                <w:sz w:val="22"/>
                <w:szCs w:val="22"/>
              </w:rPr>
              <w:t>Meget lav</w:t>
            </w:r>
          </w:p>
        </w:tc>
        <w:tc>
          <w:tcPr>
            <w:tcW w:w="850" w:type="dxa"/>
            <w:tcBorders>
              <w:left w:val="single" w:sz="4" w:space="0" w:color="auto"/>
              <w:bottom w:val="nil"/>
              <w:right w:val="single" w:sz="4" w:space="0" w:color="auto"/>
            </w:tcBorders>
            <w:vAlign w:val="bottom"/>
          </w:tcPr>
          <w:p w14:paraId="35DBC0D8" w14:textId="77777777" w:rsidR="00A92529" w:rsidRPr="004C2A59" w:rsidRDefault="00A92529" w:rsidP="00A125B0">
            <w:pPr>
              <w:keepNext/>
              <w:widowControl w:val="0"/>
              <w:tabs>
                <w:tab w:val="left" w:pos="567"/>
              </w:tabs>
              <w:jc w:val="center"/>
              <w:rPr>
                <w:sz w:val="22"/>
                <w:szCs w:val="22"/>
              </w:rPr>
            </w:pPr>
            <w:r w:rsidRPr="004C2A59">
              <w:rPr>
                <w:sz w:val="22"/>
                <w:szCs w:val="22"/>
              </w:rPr>
              <w:t>20,7</w:t>
            </w:r>
          </w:p>
        </w:tc>
        <w:tc>
          <w:tcPr>
            <w:tcW w:w="1910" w:type="dxa"/>
            <w:tcBorders>
              <w:left w:val="single" w:sz="4" w:space="0" w:color="auto"/>
              <w:bottom w:val="nil"/>
              <w:right w:val="single" w:sz="4" w:space="0" w:color="auto"/>
            </w:tcBorders>
            <w:vAlign w:val="bottom"/>
          </w:tcPr>
          <w:p w14:paraId="4A81FA68" w14:textId="77777777" w:rsidR="00A92529" w:rsidRPr="004C2A59" w:rsidRDefault="00A92529" w:rsidP="00A125B0">
            <w:pPr>
              <w:keepNext/>
              <w:widowControl w:val="0"/>
              <w:tabs>
                <w:tab w:val="left" w:pos="567"/>
              </w:tabs>
              <w:rPr>
                <w:sz w:val="22"/>
                <w:szCs w:val="22"/>
              </w:rPr>
            </w:pPr>
            <w:r w:rsidRPr="004C2A59">
              <w:rPr>
                <w:sz w:val="22"/>
                <w:szCs w:val="22"/>
              </w:rPr>
              <w:t xml:space="preserve">0/52 </w:t>
            </w:r>
            <w:r w:rsidR="00AA7270" w:rsidRPr="004C2A59">
              <w:rPr>
                <w:i/>
                <w:sz w:val="22"/>
                <w:szCs w:val="22"/>
              </w:rPr>
              <w:t>vs.</w:t>
            </w:r>
            <w:r w:rsidRPr="004C2A59">
              <w:rPr>
                <w:sz w:val="22"/>
                <w:szCs w:val="22"/>
              </w:rPr>
              <w:t xml:space="preserve"> 2/63</w:t>
            </w:r>
          </w:p>
        </w:tc>
        <w:tc>
          <w:tcPr>
            <w:tcW w:w="1800" w:type="dxa"/>
            <w:tcBorders>
              <w:left w:val="single" w:sz="4" w:space="0" w:color="auto"/>
              <w:bottom w:val="nil"/>
              <w:right w:val="single" w:sz="4" w:space="0" w:color="auto"/>
            </w:tcBorders>
            <w:vAlign w:val="bottom"/>
          </w:tcPr>
          <w:p w14:paraId="77703CBF" w14:textId="77777777" w:rsidR="00A92529" w:rsidRPr="004C2A59" w:rsidRDefault="00A92529" w:rsidP="00A125B0">
            <w:pPr>
              <w:keepNext/>
              <w:widowControl w:val="0"/>
              <w:tabs>
                <w:tab w:val="left" w:pos="567"/>
              </w:tabs>
              <w:rPr>
                <w:sz w:val="22"/>
                <w:szCs w:val="22"/>
              </w:rPr>
            </w:pPr>
            <w:r w:rsidRPr="004C2A59">
              <w:rPr>
                <w:sz w:val="22"/>
                <w:szCs w:val="22"/>
              </w:rPr>
              <w:t>I.E.</w:t>
            </w:r>
          </w:p>
        </w:tc>
        <w:tc>
          <w:tcPr>
            <w:tcW w:w="1440" w:type="dxa"/>
            <w:tcBorders>
              <w:left w:val="single" w:sz="4" w:space="0" w:color="auto"/>
              <w:bottom w:val="nil"/>
              <w:right w:val="single" w:sz="4" w:space="0" w:color="auto"/>
            </w:tcBorders>
            <w:vAlign w:val="bottom"/>
          </w:tcPr>
          <w:p w14:paraId="27D76AD7" w14:textId="77777777" w:rsidR="00A92529" w:rsidRPr="004C2A59" w:rsidRDefault="00A92529" w:rsidP="00A125B0">
            <w:pPr>
              <w:keepNext/>
              <w:widowControl w:val="0"/>
              <w:tabs>
                <w:tab w:val="left" w:pos="567"/>
              </w:tabs>
              <w:rPr>
                <w:sz w:val="22"/>
                <w:szCs w:val="22"/>
              </w:rPr>
            </w:pPr>
            <w:r w:rsidRPr="004C2A59">
              <w:rPr>
                <w:sz w:val="22"/>
                <w:szCs w:val="22"/>
              </w:rPr>
              <w:t xml:space="preserve">100 </w:t>
            </w:r>
            <w:r w:rsidR="00AA7270" w:rsidRPr="004C2A59">
              <w:rPr>
                <w:i/>
                <w:sz w:val="22"/>
                <w:szCs w:val="22"/>
              </w:rPr>
              <w:t>vs.</w:t>
            </w:r>
            <w:r w:rsidRPr="004C2A59">
              <w:rPr>
                <w:sz w:val="22"/>
                <w:szCs w:val="22"/>
              </w:rPr>
              <w:t xml:space="preserve"> 98,1</w:t>
            </w:r>
          </w:p>
        </w:tc>
        <w:tc>
          <w:tcPr>
            <w:tcW w:w="1360" w:type="dxa"/>
            <w:tcBorders>
              <w:left w:val="single" w:sz="4" w:space="0" w:color="auto"/>
              <w:bottom w:val="nil"/>
            </w:tcBorders>
            <w:vAlign w:val="bottom"/>
          </w:tcPr>
          <w:p w14:paraId="0E2A92E6" w14:textId="77777777" w:rsidR="00A92529" w:rsidRPr="004C2A59" w:rsidRDefault="00A92529" w:rsidP="00A125B0">
            <w:pPr>
              <w:keepNext/>
              <w:widowControl w:val="0"/>
              <w:tabs>
                <w:tab w:val="left" w:pos="567"/>
              </w:tabs>
              <w:rPr>
                <w:sz w:val="22"/>
                <w:szCs w:val="22"/>
              </w:rPr>
            </w:pPr>
            <w:r w:rsidRPr="004C2A59">
              <w:rPr>
                <w:sz w:val="22"/>
                <w:szCs w:val="22"/>
              </w:rPr>
              <w:t xml:space="preserve">100 </w:t>
            </w:r>
            <w:r w:rsidR="00AA7270" w:rsidRPr="004C2A59">
              <w:rPr>
                <w:i/>
                <w:sz w:val="22"/>
                <w:szCs w:val="22"/>
              </w:rPr>
              <w:t>vs.</w:t>
            </w:r>
            <w:r w:rsidRPr="004C2A59">
              <w:rPr>
                <w:sz w:val="22"/>
                <w:szCs w:val="22"/>
              </w:rPr>
              <w:t xml:space="preserve"> 93,0</w:t>
            </w:r>
          </w:p>
        </w:tc>
      </w:tr>
      <w:tr w:rsidR="00A92529" w:rsidRPr="004C2A59" w14:paraId="3511503D" w14:textId="77777777" w:rsidTr="00A125B0">
        <w:trPr>
          <w:cantSplit/>
        </w:trPr>
        <w:tc>
          <w:tcPr>
            <w:tcW w:w="1101" w:type="dxa"/>
            <w:vMerge/>
            <w:shd w:val="clear" w:color="auto" w:fill="auto"/>
          </w:tcPr>
          <w:p w14:paraId="78309569" w14:textId="77777777" w:rsidR="00A92529" w:rsidRPr="004C2A59" w:rsidRDefault="00A92529" w:rsidP="00A125B0">
            <w:pPr>
              <w:keepNext/>
              <w:widowControl w:val="0"/>
              <w:tabs>
                <w:tab w:val="left" w:pos="567"/>
              </w:tabs>
              <w:rPr>
                <w:sz w:val="22"/>
                <w:szCs w:val="22"/>
              </w:rPr>
            </w:pPr>
          </w:p>
        </w:tc>
        <w:tc>
          <w:tcPr>
            <w:tcW w:w="1559" w:type="dxa"/>
            <w:tcBorders>
              <w:top w:val="nil"/>
              <w:bottom w:val="nil"/>
              <w:right w:val="single" w:sz="4" w:space="0" w:color="auto"/>
            </w:tcBorders>
            <w:vAlign w:val="bottom"/>
          </w:tcPr>
          <w:p w14:paraId="7AE0CC7C" w14:textId="77777777" w:rsidR="00A92529" w:rsidRPr="004C2A59" w:rsidRDefault="00A92529" w:rsidP="00A125B0">
            <w:pPr>
              <w:keepNext/>
              <w:widowControl w:val="0"/>
              <w:tabs>
                <w:tab w:val="left" w:pos="567"/>
              </w:tabs>
              <w:rPr>
                <w:sz w:val="22"/>
                <w:szCs w:val="22"/>
              </w:rPr>
            </w:pPr>
            <w:r w:rsidRPr="004C2A59">
              <w:rPr>
                <w:sz w:val="22"/>
                <w:szCs w:val="22"/>
              </w:rPr>
              <w:t>Lav</w:t>
            </w:r>
          </w:p>
        </w:tc>
        <w:tc>
          <w:tcPr>
            <w:tcW w:w="850" w:type="dxa"/>
            <w:tcBorders>
              <w:top w:val="nil"/>
              <w:left w:val="single" w:sz="4" w:space="0" w:color="auto"/>
              <w:bottom w:val="nil"/>
              <w:right w:val="single" w:sz="4" w:space="0" w:color="auto"/>
            </w:tcBorders>
            <w:vAlign w:val="bottom"/>
          </w:tcPr>
          <w:p w14:paraId="1D11AE41" w14:textId="77777777" w:rsidR="00A92529" w:rsidRPr="004C2A59" w:rsidRDefault="00A92529" w:rsidP="00A125B0">
            <w:pPr>
              <w:keepNext/>
              <w:widowControl w:val="0"/>
              <w:tabs>
                <w:tab w:val="left" w:pos="567"/>
              </w:tabs>
              <w:jc w:val="center"/>
              <w:rPr>
                <w:sz w:val="22"/>
                <w:szCs w:val="22"/>
              </w:rPr>
            </w:pPr>
            <w:r w:rsidRPr="004C2A59">
              <w:rPr>
                <w:sz w:val="22"/>
                <w:szCs w:val="22"/>
              </w:rPr>
              <w:t>25,0</w:t>
            </w:r>
          </w:p>
        </w:tc>
        <w:tc>
          <w:tcPr>
            <w:tcW w:w="1910" w:type="dxa"/>
            <w:tcBorders>
              <w:top w:val="nil"/>
              <w:left w:val="single" w:sz="4" w:space="0" w:color="auto"/>
              <w:bottom w:val="nil"/>
              <w:right w:val="single" w:sz="4" w:space="0" w:color="auto"/>
            </w:tcBorders>
            <w:vAlign w:val="bottom"/>
          </w:tcPr>
          <w:p w14:paraId="4A56BB2B" w14:textId="77777777" w:rsidR="00A92529" w:rsidRPr="004C2A59" w:rsidRDefault="00A92529" w:rsidP="00A125B0">
            <w:pPr>
              <w:keepNext/>
              <w:widowControl w:val="0"/>
              <w:tabs>
                <w:tab w:val="left" w:pos="567"/>
              </w:tabs>
              <w:rPr>
                <w:sz w:val="22"/>
                <w:szCs w:val="22"/>
              </w:rPr>
            </w:pPr>
            <w:r w:rsidRPr="004C2A59">
              <w:rPr>
                <w:sz w:val="22"/>
                <w:szCs w:val="22"/>
              </w:rPr>
              <w:t xml:space="preserve">2/70 </w:t>
            </w:r>
            <w:r w:rsidR="00AA7270" w:rsidRPr="004C2A59">
              <w:rPr>
                <w:i/>
                <w:sz w:val="22"/>
                <w:szCs w:val="22"/>
              </w:rPr>
              <w:t>vs.</w:t>
            </w:r>
            <w:r w:rsidRPr="004C2A59">
              <w:rPr>
                <w:sz w:val="22"/>
                <w:szCs w:val="22"/>
              </w:rPr>
              <w:t xml:space="preserve"> 0/69</w:t>
            </w:r>
          </w:p>
        </w:tc>
        <w:tc>
          <w:tcPr>
            <w:tcW w:w="1800" w:type="dxa"/>
            <w:tcBorders>
              <w:top w:val="nil"/>
              <w:left w:val="single" w:sz="4" w:space="0" w:color="auto"/>
              <w:bottom w:val="nil"/>
              <w:right w:val="single" w:sz="4" w:space="0" w:color="auto"/>
            </w:tcBorders>
            <w:vAlign w:val="bottom"/>
          </w:tcPr>
          <w:p w14:paraId="7C574C5D" w14:textId="77777777" w:rsidR="00A92529" w:rsidRPr="004C2A59" w:rsidRDefault="00A92529" w:rsidP="00A125B0">
            <w:pPr>
              <w:keepNext/>
              <w:widowControl w:val="0"/>
              <w:tabs>
                <w:tab w:val="left" w:pos="567"/>
              </w:tabs>
              <w:rPr>
                <w:sz w:val="22"/>
                <w:szCs w:val="22"/>
              </w:rPr>
            </w:pPr>
            <w:r w:rsidRPr="004C2A59">
              <w:rPr>
                <w:sz w:val="22"/>
                <w:szCs w:val="22"/>
              </w:rPr>
              <w:t>I.E.</w:t>
            </w:r>
          </w:p>
        </w:tc>
        <w:tc>
          <w:tcPr>
            <w:tcW w:w="1440" w:type="dxa"/>
            <w:tcBorders>
              <w:top w:val="nil"/>
              <w:left w:val="single" w:sz="4" w:space="0" w:color="auto"/>
              <w:bottom w:val="nil"/>
              <w:right w:val="single" w:sz="4" w:space="0" w:color="auto"/>
            </w:tcBorders>
            <w:vAlign w:val="bottom"/>
          </w:tcPr>
          <w:p w14:paraId="3C1993A1" w14:textId="77777777" w:rsidR="00A92529" w:rsidRPr="004C2A59" w:rsidRDefault="00A92529" w:rsidP="00A125B0">
            <w:pPr>
              <w:keepNext/>
              <w:widowControl w:val="0"/>
              <w:tabs>
                <w:tab w:val="left" w:pos="567"/>
              </w:tabs>
              <w:rPr>
                <w:sz w:val="22"/>
                <w:szCs w:val="22"/>
              </w:rPr>
            </w:pPr>
            <w:r w:rsidRPr="004C2A59">
              <w:rPr>
                <w:sz w:val="22"/>
                <w:szCs w:val="22"/>
              </w:rPr>
              <w:t xml:space="preserve">100 </w:t>
            </w:r>
            <w:r w:rsidR="00AA7270" w:rsidRPr="004C2A59">
              <w:rPr>
                <w:i/>
                <w:sz w:val="22"/>
                <w:szCs w:val="22"/>
              </w:rPr>
              <w:t>vs.</w:t>
            </w:r>
            <w:r w:rsidRPr="004C2A59">
              <w:rPr>
                <w:sz w:val="22"/>
                <w:szCs w:val="22"/>
              </w:rPr>
              <w:t xml:space="preserve"> 100</w:t>
            </w:r>
          </w:p>
        </w:tc>
        <w:tc>
          <w:tcPr>
            <w:tcW w:w="1360" w:type="dxa"/>
            <w:tcBorders>
              <w:top w:val="nil"/>
              <w:left w:val="single" w:sz="4" w:space="0" w:color="auto"/>
              <w:bottom w:val="nil"/>
            </w:tcBorders>
            <w:vAlign w:val="bottom"/>
          </w:tcPr>
          <w:p w14:paraId="3C416D77" w14:textId="77777777" w:rsidR="00A92529" w:rsidRPr="004C2A59" w:rsidRDefault="00A92529" w:rsidP="00A125B0">
            <w:pPr>
              <w:keepNext/>
              <w:widowControl w:val="0"/>
              <w:tabs>
                <w:tab w:val="left" w:pos="567"/>
              </w:tabs>
              <w:rPr>
                <w:sz w:val="22"/>
                <w:szCs w:val="22"/>
              </w:rPr>
            </w:pPr>
            <w:r w:rsidRPr="004C2A59">
              <w:rPr>
                <w:sz w:val="22"/>
                <w:szCs w:val="22"/>
              </w:rPr>
              <w:t xml:space="preserve">97,8 </w:t>
            </w:r>
            <w:r w:rsidR="00AA7270" w:rsidRPr="004C2A59">
              <w:rPr>
                <w:i/>
                <w:sz w:val="22"/>
                <w:szCs w:val="22"/>
              </w:rPr>
              <w:t>vs.</w:t>
            </w:r>
            <w:r w:rsidRPr="004C2A59">
              <w:rPr>
                <w:sz w:val="22"/>
                <w:szCs w:val="22"/>
              </w:rPr>
              <w:t xml:space="preserve"> 100</w:t>
            </w:r>
          </w:p>
        </w:tc>
      </w:tr>
      <w:tr w:rsidR="00A92529" w:rsidRPr="004C2A59" w14:paraId="7D9DEF47" w14:textId="77777777" w:rsidTr="00A125B0">
        <w:trPr>
          <w:cantSplit/>
        </w:trPr>
        <w:tc>
          <w:tcPr>
            <w:tcW w:w="1101" w:type="dxa"/>
            <w:vMerge/>
            <w:shd w:val="clear" w:color="auto" w:fill="auto"/>
          </w:tcPr>
          <w:p w14:paraId="743FFE1D" w14:textId="77777777" w:rsidR="00A92529" w:rsidRPr="004C2A59" w:rsidRDefault="00A92529" w:rsidP="00A125B0">
            <w:pPr>
              <w:keepNext/>
              <w:widowControl w:val="0"/>
              <w:tabs>
                <w:tab w:val="left" w:pos="567"/>
              </w:tabs>
              <w:rPr>
                <w:b/>
                <w:sz w:val="22"/>
                <w:szCs w:val="22"/>
              </w:rPr>
            </w:pPr>
          </w:p>
        </w:tc>
        <w:tc>
          <w:tcPr>
            <w:tcW w:w="1559" w:type="dxa"/>
            <w:tcBorders>
              <w:top w:val="nil"/>
              <w:bottom w:val="nil"/>
              <w:right w:val="single" w:sz="4" w:space="0" w:color="auto"/>
            </w:tcBorders>
            <w:vAlign w:val="bottom"/>
          </w:tcPr>
          <w:p w14:paraId="56048317" w14:textId="77777777" w:rsidR="00A92529" w:rsidRPr="004C2A59" w:rsidRDefault="00A92529" w:rsidP="00A125B0">
            <w:pPr>
              <w:keepNext/>
              <w:widowControl w:val="0"/>
              <w:tabs>
                <w:tab w:val="left" w:pos="567"/>
              </w:tabs>
              <w:rPr>
                <w:sz w:val="22"/>
                <w:szCs w:val="22"/>
              </w:rPr>
            </w:pPr>
            <w:r w:rsidRPr="004C2A59">
              <w:rPr>
                <w:sz w:val="22"/>
                <w:szCs w:val="22"/>
              </w:rPr>
              <w:t>Moderat</w:t>
            </w:r>
          </w:p>
        </w:tc>
        <w:tc>
          <w:tcPr>
            <w:tcW w:w="850" w:type="dxa"/>
            <w:tcBorders>
              <w:top w:val="nil"/>
              <w:left w:val="single" w:sz="4" w:space="0" w:color="auto"/>
              <w:bottom w:val="nil"/>
              <w:right w:val="single" w:sz="4" w:space="0" w:color="auto"/>
            </w:tcBorders>
            <w:vAlign w:val="bottom"/>
          </w:tcPr>
          <w:p w14:paraId="0625DA35" w14:textId="77777777" w:rsidR="00A92529" w:rsidRPr="004C2A59" w:rsidRDefault="00A92529" w:rsidP="00A125B0">
            <w:pPr>
              <w:keepNext/>
              <w:widowControl w:val="0"/>
              <w:tabs>
                <w:tab w:val="left" w:pos="567"/>
              </w:tabs>
              <w:jc w:val="center"/>
              <w:rPr>
                <w:sz w:val="22"/>
                <w:szCs w:val="22"/>
              </w:rPr>
            </w:pPr>
            <w:r w:rsidRPr="004C2A59">
              <w:rPr>
                <w:sz w:val="22"/>
                <w:szCs w:val="22"/>
              </w:rPr>
              <w:t>24,6</w:t>
            </w:r>
          </w:p>
        </w:tc>
        <w:tc>
          <w:tcPr>
            <w:tcW w:w="1910" w:type="dxa"/>
            <w:tcBorders>
              <w:top w:val="nil"/>
              <w:left w:val="single" w:sz="4" w:space="0" w:color="auto"/>
              <w:bottom w:val="nil"/>
              <w:right w:val="single" w:sz="4" w:space="0" w:color="auto"/>
            </w:tcBorders>
            <w:vAlign w:val="bottom"/>
          </w:tcPr>
          <w:p w14:paraId="7530D65A" w14:textId="77777777" w:rsidR="00A92529" w:rsidRPr="004C2A59" w:rsidRDefault="00A92529" w:rsidP="00A125B0">
            <w:pPr>
              <w:keepNext/>
              <w:widowControl w:val="0"/>
              <w:tabs>
                <w:tab w:val="left" w:pos="567"/>
              </w:tabs>
              <w:rPr>
                <w:sz w:val="22"/>
                <w:szCs w:val="22"/>
              </w:rPr>
            </w:pPr>
            <w:r w:rsidRPr="004C2A59">
              <w:rPr>
                <w:sz w:val="22"/>
                <w:szCs w:val="22"/>
              </w:rPr>
              <w:t xml:space="preserve">2/70 </w:t>
            </w:r>
            <w:r w:rsidR="00AA7270" w:rsidRPr="004C2A59">
              <w:rPr>
                <w:i/>
                <w:sz w:val="22"/>
                <w:szCs w:val="22"/>
              </w:rPr>
              <w:t>vs.</w:t>
            </w:r>
            <w:r w:rsidRPr="004C2A59">
              <w:rPr>
                <w:sz w:val="22"/>
                <w:szCs w:val="22"/>
              </w:rPr>
              <w:t xml:space="preserve"> 11/67</w:t>
            </w:r>
          </w:p>
        </w:tc>
        <w:tc>
          <w:tcPr>
            <w:tcW w:w="1800" w:type="dxa"/>
            <w:tcBorders>
              <w:top w:val="nil"/>
              <w:left w:val="single" w:sz="4" w:space="0" w:color="auto"/>
              <w:bottom w:val="nil"/>
              <w:right w:val="single" w:sz="4" w:space="0" w:color="auto"/>
            </w:tcBorders>
            <w:vAlign w:val="bottom"/>
          </w:tcPr>
          <w:p w14:paraId="6D9C3640" w14:textId="77777777" w:rsidR="00A92529" w:rsidRPr="004C2A59" w:rsidRDefault="00A92529" w:rsidP="00A125B0">
            <w:pPr>
              <w:keepNext/>
              <w:widowControl w:val="0"/>
              <w:tabs>
                <w:tab w:val="left" w:pos="567"/>
              </w:tabs>
              <w:rPr>
                <w:sz w:val="22"/>
                <w:szCs w:val="22"/>
              </w:rPr>
            </w:pPr>
            <w:r w:rsidRPr="004C2A59">
              <w:rPr>
                <w:sz w:val="22"/>
                <w:szCs w:val="22"/>
              </w:rPr>
              <w:t>0,16 (0,03; 0,70)</w:t>
            </w:r>
          </w:p>
        </w:tc>
        <w:tc>
          <w:tcPr>
            <w:tcW w:w="1440" w:type="dxa"/>
            <w:tcBorders>
              <w:top w:val="nil"/>
              <w:left w:val="single" w:sz="4" w:space="0" w:color="auto"/>
              <w:bottom w:val="nil"/>
              <w:right w:val="single" w:sz="4" w:space="0" w:color="auto"/>
            </w:tcBorders>
            <w:vAlign w:val="bottom"/>
          </w:tcPr>
          <w:p w14:paraId="1CDA2352" w14:textId="77777777" w:rsidR="00A92529" w:rsidRPr="004C2A59" w:rsidRDefault="00A92529" w:rsidP="00A125B0">
            <w:pPr>
              <w:keepNext/>
              <w:widowControl w:val="0"/>
              <w:tabs>
                <w:tab w:val="left" w:pos="567"/>
              </w:tabs>
              <w:rPr>
                <w:sz w:val="22"/>
                <w:szCs w:val="22"/>
              </w:rPr>
            </w:pPr>
            <w:r w:rsidRPr="004C2A59">
              <w:rPr>
                <w:sz w:val="22"/>
                <w:szCs w:val="22"/>
              </w:rPr>
              <w:t xml:space="preserve">97,9 </w:t>
            </w:r>
            <w:r w:rsidR="00AA7270" w:rsidRPr="004C2A59">
              <w:rPr>
                <w:i/>
                <w:sz w:val="22"/>
                <w:szCs w:val="22"/>
              </w:rPr>
              <w:t>vs.</w:t>
            </w:r>
            <w:r w:rsidRPr="004C2A59">
              <w:rPr>
                <w:sz w:val="22"/>
                <w:szCs w:val="22"/>
              </w:rPr>
              <w:t xml:space="preserve"> 90,8</w:t>
            </w:r>
          </w:p>
        </w:tc>
        <w:tc>
          <w:tcPr>
            <w:tcW w:w="1360" w:type="dxa"/>
            <w:tcBorders>
              <w:top w:val="nil"/>
              <w:left w:val="single" w:sz="4" w:space="0" w:color="auto"/>
              <w:bottom w:val="nil"/>
            </w:tcBorders>
            <w:vAlign w:val="bottom"/>
          </w:tcPr>
          <w:p w14:paraId="7789D42E" w14:textId="77777777" w:rsidR="00A92529" w:rsidRPr="004C2A59" w:rsidRDefault="00A92529" w:rsidP="00A125B0">
            <w:pPr>
              <w:keepNext/>
              <w:widowControl w:val="0"/>
              <w:tabs>
                <w:tab w:val="left" w:pos="567"/>
              </w:tabs>
              <w:rPr>
                <w:sz w:val="22"/>
                <w:szCs w:val="22"/>
              </w:rPr>
            </w:pPr>
            <w:r w:rsidRPr="004C2A59">
              <w:rPr>
                <w:sz w:val="22"/>
                <w:szCs w:val="22"/>
              </w:rPr>
              <w:t xml:space="preserve">97,9 </w:t>
            </w:r>
            <w:r w:rsidR="00AA7270" w:rsidRPr="004C2A59">
              <w:rPr>
                <w:i/>
                <w:sz w:val="22"/>
                <w:szCs w:val="22"/>
              </w:rPr>
              <w:t>vs.</w:t>
            </w:r>
            <w:r w:rsidRPr="004C2A59">
              <w:rPr>
                <w:sz w:val="22"/>
                <w:szCs w:val="22"/>
              </w:rPr>
              <w:t xml:space="preserve"> 73,3</w:t>
            </w:r>
          </w:p>
        </w:tc>
      </w:tr>
      <w:tr w:rsidR="00A92529" w:rsidRPr="004C2A59" w14:paraId="00AAEAD0" w14:textId="77777777" w:rsidTr="00A125B0">
        <w:trPr>
          <w:cantSplit/>
        </w:trPr>
        <w:tc>
          <w:tcPr>
            <w:tcW w:w="1101" w:type="dxa"/>
            <w:vMerge/>
            <w:tcBorders>
              <w:bottom w:val="single" w:sz="4" w:space="0" w:color="auto"/>
            </w:tcBorders>
            <w:shd w:val="clear" w:color="auto" w:fill="auto"/>
          </w:tcPr>
          <w:p w14:paraId="2EF17FB0" w14:textId="77777777" w:rsidR="00A92529" w:rsidRPr="004C2A59" w:rsidRDefault="00A92529" w:rsidP="00A125B0">
            <w:pPr>
              <w:keepNext/>
              <w:widowControl w:val="0"/>
              <w:tabs>
                <w:tab w:val="left" w:pos="567"/>
              </w:tabs>
              <w:rPr>
                <w:sz w:val="22"/>
                <w:szCs w:val="22"/>
              </w:rPr>
            </w:pPr>
          </w:p>
        </w:tc>
        <w:tc>
          <w:tcPr>
            <w:tcW w:w="1559" w:type="dxa"/>
            <w:tcBorders>
              <w:top w:val="nil"/>
              <w:bottom w:val="single" w:sz="4" w:space="0" w:color="auto"/>
              <w:right w:val="single" w:sz="4" w:space="0" w:color="auto"/>
            </w:tcBorders>
            <w:vAlign w:val="bottom"/>
          </w:tcPr>
          <w:p w14:paraId="01BC5763" w14:textId="77777777" w:rsidR="00A92529" w:rsidRPr="004C2A59" w:rsidRDefault="00A92529" w:rsidP="00A125B0">
            <w:pPr>
              <w:keepNext/>
              <w:widowControl w:val="0"/>
              <w:tabs>
                <w:tab w:val="left" w:pos="567"/>
              </w:tabs>
              <w:rPr>
                <w:sz w:val="22"/>
                <w:szCs w:val="22"/>
              </w:rPr>
            </w:pPr>
            <w:r w:rsidRPr="004C2A59">
              <w:rPr>
                <w:sz w:val="22"/>
                <w:szCs w:val="22"/>
              </w:rPr>
              <w:t>Høj</w:t>
            </w:r>
          </w:p>
        </w:tc>
        <w:tc>
          <w:tcPr>
            <w:tcW w:w="850" w:type="dxa"/>
            <w:tcBorders>
              <w:top w:val="nil"/>
              <w:left w:val="single" w:sz="4" w:space="0" w:color="auto"/>
              <w:bottom w:val="single" w:sz="4" w:space="0" w:color="auto"/>
              <w:right w:val="single" w:sz="4" w:space="0" w:color="auto"/>
            </w:tcBorders>
            <w:vAlign w:val="bottom"/>
          </w:tcPr>
          <w:p w14:paraId="31711947" w14:textId="77777777" w:rsidR="00A92529" w:rsidRPr="004C2A59" w:rsidRDefault="00A92529" w:rsidP="00A125B0">
            <w:pPr>
              <w:keepNext/>
              <w:widowControl w:val="0"/>
              <w:tabs>
                <w:tab w:val="left" w:pos="567"/>
              </w:tabs>
              <w:ind w:right="-3"/>
              <w:jc w:val="center"/>
              <w:rPr>
                <w:sz w:val="22"/>
                <w:szCs w:val="22"/>
              </w:rPr>
            </w:pPr>
            <w:r w:rsidRPr="004C2A59">
              <w:rPr>
                <w:sz w:val="22"/>
                <w:szCs w:val="22"/>
              </w:rPr>
              <w:t>29,7</w:t>
            </w:r>
          </w:p>
        </w:tc>
        <w:tc>
          <w:tcPr>
            <w:tcW w:w="1910" w:type="dxa"/>
            <w:tcBorders>
              <w:top w:val="nil"/>
              <w:left w:val="single" w:sz="4" w:space="0" w:color="auto"/>
              <w:bottom w:val="single" w:sz="4" w:space="0" w:color="auto"/>
              <w:right w:val="single" w:sz="4" w:space="0" w:color="auto"/>
            </w:tcBorders>
            <w:vAlign w:val="bottom"/>
          </w:tcPr>
          <w:p w14:paraId="5AE387FE" w14:textId="77777777" w:rsidR="00A92529" w:rsidRPr="004C2A59" w:rsidRDefault="00A92529" w:rsidP="00A125B0">
            <w:pPr>
              <w:keepNext/>
              <w:widowControl w:val="0"/>
              <w:tabs>
                <w:tab w:val="left" w:pos="567"/>
              </w:tabs>
              <w:rPr>
                <w:sz w:val="22"/>
                <w:szCs w:val="22"/>
              </w:rPr>
            </w:pPr>
            <w:r w:rsidRPr="004C2A59">
              <w:rPr>
                <w:sz w:val="22"/>
                <w:szCs w:val="22"/>
              </w:rPr>
              <w:t xml:space="preserve">16/84 </w:t>
            </w:r>
            <w:r w:rsidR="00AA7270" w:rsidRPr="004C2A59">
              <w:rPr>
                <w:i/>
                <w:sz w:val="22"/>
                <w:szCs w:val="22"/>
              </w:rPr>
              <w:t>vs.</w:t>
            </w:r>
            <w:r w:rsidRPr="004C2A59">
              <w:rPr>
                <w:sz w:val="22"/>
                <w:szCs w:val="22"/>
              </w:rPr>
              <w:t xml:space="preserve"> 39/81</w:t>
            </w:r>
          </w:p>
        </w:tc>
        <w:tc>
          <w:tcPr>
            <w:tcW w:w="1800" w:type="dxa"/>
            <w:tcBorders>
              <w:top w:val="nil"/>
              <w:left w:val="single" w:sz="4" w:space="0" w:color="auto"/>
              <w:bottom w:val="single" w:sz="4" w:space="0" w:color="auto"/>
              <w:right w:val="single" w:sz="4" w:space="0" w:color="auto"/>
            </w:tcBorders>
            <w:vAlign w:val="bottom"/>
          </w:tcPr>
          <w:p w14:paraId="65E50BE3" w14:textId="77777777" w:rsidR="00A92529" w:rsidRPr="004C2A59" w:rsidRDefault="00A92529" w:rsidP="00A125B0">
            <w:pPr>
              <w:keepNext/>
              <w:widowControl w:val="0"/>
              <w:tabs>
                <w:tab w:val="left" w:pos="567"/>
              </w:tabs>
              <w:rPr>
                <w:sz w:val="22"/>
                <w:szCs w:val="22"/>
              </w:rPr>
            </w:pPr>
            <w:r w:rsidRPr="004C2A59">
              <w:rPr>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1F0603E5" w14:textId="77777777" w:rsidR="00A92529" w:rsidRPr="004C2A59" w:rsidRDefault="00A92529" w:rsidP="00A125B0">
            <w:pPr>
              <w:keepNext/>
              <w:widowControl w:val="0"/>
              <w:tabs>
                <w:tab w:val="left" w:pos="567"/>
              </w:tabs>
              <w:rPr>
                <w:sz w:val="22"/>
                <w:szCs w:val="22"/>
              </w:rPr>
            </w:pPr>
            <w:r w:rsidRPr="004C2A59">
              <w:rPr>
                <w:sz w:val="22"/>
                <w:szCs w:val="22"/>
              </w:rPr>
              <w:t xml:space="preserve">98,7 </w:t>
            </w:r>
            <w:r w:rsidR="00AA7270" w:rsidRPr="004C2A59">
              <w:rPr>
                <w:i/>
                <w:sz w:val="22"/>
                <w:szCs w:val="22"/>
              </w:rPr>
              <w:t>vs.</w:t>
            </w:r>
            <w:r w:rsidRPr="004C2A59">
              <w:rPr>
                <w:sz w:val="22"/>
                <w:szCs w:val="22"/>
              </w:rPr>
              <w:t xml:space="preserve"> 56,1</w:t>
            </w:r>
          </w:p>
        </w:tc>
        <w:tc>
          <w:tcPr>
            <w:tcW w:w="1360" w:type="dxa"/>
            <w:tcBorders>
              <w:top w:val="nil"/>
              <w:left w:val="single" w:sz="4" w:space="0" w:color="auto"/>
              <w:bottom w:val="single" w:sz="4" w:space="0" w:color="auto"/>
            </w:tcBorders>
            <w:vAlign w:val="bottom"/>
          </w:tcPr>
          <w:p w14:paraId="44D02868" w14:textId="77777777" w:rsidR="00A92529" w:rsidRPr="004C2A59" w:rsidRDefault="00A92529" w:rsidP="00A125B0">
            <w:pPr>
              <w:keepNext/>
              <w:widowControl w:val="0"/>
              <w:tabs>
                <w:tab w:val="left" w:pos="567"/>
              </w:tabs>
              <w:rPr>
                <w:sz w:val="22"/>
                <w:szCs w:val="22"/>
              </w:rPr>
            </w:pPr>
            <w:r w:rsidRPr="004C2A59">
              <w:rPr>
                <w:sz w:val="22"/>
                <w:szCs w:val="22"/>
              </w:rPr>
              <w:t xml:space="preserve">79,9 </w:t>
            </w:r>
            <w:r w:rsidR="00AA7270" w:rsidRPr="004C2A59">
              <w:rPr>
                <w:i/>
                <w:sz w:val="22"/>
                <w:szCs w:val="22"/>
              </w:rPr>
              <w:t>vs.</w:t>
            </w:r>
            <w:r w:rsidRPr="004C2A59">
              <w:rPr>
                <w:sz w:val="22"/>
                <w:szCs w:val="22"/>
              </w:rPr>
              <w:t xml:space="preserve"> 41,5</w:t>
            </w:r>
          </w:p>
        </w:tc>
      </w:tr>
    </w:tbl>
    <w:p w14:paraId="37FED68D" w14:textId="77777777" w:rsidR="00A92529" w:rsidRPr="004C2A59" w:rsidRDefault="00A92529" w:rsidP="00421681">
      <w:pPr>
        <w:pStyle w:val="Text"/>
        <w:spacing w:before="0"/>
        <w:rPr>
          <w:sz w:val="22"/>
          <w:szCs w:val="22"/>
          <w:lang w:val="da-DK"/>
        </w:rPr>
      </w:pPr>
      <w:r w:rsidRPr="004C2A59">
        <w:rPr>
          <w:sz w:val="22"/>
          <w:szCs w:val="22"/>
          <w:lang w:val="da-DK"/>
        </w:rPr>
        <w:t>* Fuldstændig opfølgningsperiode; IE – Ikke estimerbar</w:t>
      </w:r>
    </w:p>
    <w:p w14:paraId="4679A069" w14:textId="77777777" w:rsidR="005122E6" w:rsidRPr="004C2A59" w:rsidRDefault="005122E6" w:rsidP="00421681">
      <w:pPr>
        <w:pStyle w:val="Text"/>
        <w:spacing w:before="0"/>
        <w:rPr>
          <w:sz w:val="22"/>
          <w:szCs w:val="22"/>
          <w:lang w:val="da-DK"/>
        </w:rPr>
      </w:pPr>
    </w:p>
    <w:p w14:paraId="430BC27F" w14:textId="77777777" w:rsidR="005122E6" w:rsidRPr="004C2A59" w:rsidRDefault="005122E6" w:rsidP="00421681">
      <w:pPr>
        <w:pStyle w:val="Text"/>
        <w:spacing w:before="0"/>
        <w:jc w:val="left"/>
        <w:rPr>
          <w:sz w:val="22"/>
          <w:szCs w:val="22"/>
          <w:lang w:val="da-DK"/>
        </w:rPr>
      </w:pPr>
      <w:r w:rsidRPr="004C2A59">
        <w:rPr>
          <w:sz w:val="22"/>
          <w:szCs w:val="22"/>
          <w:lang w:val="da-DK"/>
        </w:rPr>
        <w:t>Et andet multicenter, åbent fase-III</w:t>
      </w:r>
      <w:r w:rsidR="006D6BB2" w:rsidRPr="004C2A59">
        <w:rPr>
          <w:sz w:val="22"/>
          <w:szCs w:val="22"/>
          <w:lang w:val="da-DK"/>
        </w:rPr>
        <w:t>-</w:t>
      </w:r>
      <w:r w:rsidRPr="004C2A59">
        <w:rPr>
          <w:sz w:val="22"/>
          <w:szCs w:val="22"/>
          <w:lang w:val="da-DK"/>
        </w:rPr>
        <w:t xml:space="preserve">studie (SSG XVIII/AIO) sammenlignede 12 måneders behandling med Glivec 400 mg/dag </w:t>
      </w:r>
      <w:r w:rsidRPr="004C2A59">
        <w:rPr>
          <w:i/>
          <w:sz w:val="22"/>
          <w:szCs w:val="22"/>
          <w:lang w:val="da-DK"/>
        </w:rPr>
        <w:t>vs.</w:t>
      </w:r>
      <w:r w:rsidRPr="004C2A59">
        <w:rPr>
          <w:sz w:val="22"/>
          <w:szCs w:val="22"/>
          <w:lang w:val="da-DK"/>
        </w:rPr>
        <w:t xml:space="preserve"> 36 måneders behandling </w:t>
      </w:r>
      <w:r w:rsidR="006D6BB2" w:rsidRPr="004C2A59">
        <w:rPr>
          <w:sz w:val="22"/>
          <w:szCs w:val="22"/>
          <w:lang w:val="da-DK"/>
        </w:rPr>
        <w:t>hos</w:t>
      </w:r>
      <w:r w:rsidRPr="004C2A59">
        <w:rPr>
          <w:sz w:val="22"/>
          <w:szCs w:val="22"/>
          <w:lang w:val="da-DK"/>
        </w:rPr>
        <w:t xml:space="preserve"> patienter efter kirurgisk resektion af GIST og en af følgende: tumordiameter &gt;5 cm og antal mitoser &gt;5/50 HPF (high power fields); eller tumordiameter &gt;10 cm og uanset antal mitoser</w:t>
      </w:r>
      <w:r w:rsidR="006D6BB2" w:rsidRPr="004C2A59">
        <w:rPr>
          <w:sz w:val="22"/>
          <w:szCs w:val="22"/>
          <w:lang w:val="da-DK"/>
        </w:rPr>
        <w:t>;</w:t>
      </w:r>
      <w:r w:rsidRPr="004C2A59">
        <w:rPr>
          <w:sz w:val="22"/>
          <w:szCs w:val="22"/>
          <w:lang w:val="da-DK"/>
        </w:rPr>
        <w:t xml:space="preserve"> eller tumor af enhver størrelse med antal mitoser &gt;10/50 HPF</w:t>
      </w:r>
      <w:r w:rsidR="006D6BB2" w:rsidRPr="004C2A59">
        <w:rPr>
          <w:sz w:val="22"/>
          <w:szCs w:val="22"/>
          <w:lang w:val="da-DK"/>
        </w:rPr>
        <w:t>;</w:t>
      </w:r>
      <w:r w:rsidRPr="004C2A59">
        <w:rPr>
          <w:sz w:val="22"/>
          <w:szCs w:val="22"/>
          <w:lang w:val="da-DK"/>
        </w:rPr>
        <w:t xml:space="preserve"> eller tumorer, der </w:t>
      </w:r>
      <w:r w:rsidR="006D6BB2" w:rsidRPr="004C2A59">
        <w:rPr>
          <w:sz w:val="22"/>
          <w:szCs w:val="22"/>
          <w:lang w:val="da-DK"/>
        </w:rPr>
        <w:t xml:space="preserve">er </w:t>
      </w:r>
      <w:r w:rsidRPr="004C2A59">
        <w:rPr>
          <w:sz w:val="22"/>
          <w:szCs w:val="22"/>
          <w:lang w:val="da-DK"/>
        </w:rPr>
        <w:t>briste</w:t>
      </w:r>
      <w:r w:rsidR="006D6BB2" w:rsidRPr="004C2A59">
        <w:rPr>
          <w:sz w:val="22"/>
          <w:szCs w:val="22"/>
          <w:lang w:val="da-DK"/>
        </w:rPr>
        <w:t>t</w:t>
      </w:r>
      <w:r w:rsidRPr="004C2A59">
        <w:rPr>
          <w:sz w:val="22"/>
          <w:szCs w:val="22"/>
          <w:lang w:val="da-DK"/>
        </w:rPr>
        <w:t xml:space="preserve"> i bughulen. Der var </w:t>
      </w:r>
      <w:r w:rsidR="006D6BB2" w:rsidRPr="004C2A59">
        <w:rPr>
          <w:sz w:val="22"/>
          <w:szCs w:val="22"/>
          <w:lang w:val="da-DK"/>
        </w:rPr>
        <w:t>i alt</w:t>
      </w:r>
      <w:r w:rsidRPr="004C2A59">
        <w:rPr>
          <w:sz w:val="22"/>
          <w:szCs w:val="22"/>
          <w:lang w:val="da-DK"/>
        </w:rPr>
        <w:t xml:space="preserve"> 397 patienter, der </w:t>
      </w:r>
      <w:r w:rsidR="006D6BB2" w:rsidRPr="004C2A59">
        <w:rPr>
          <w:sz w:val="22"/>
          <w:szCs w:val="22"/>
          <w:lang w:val="da-DK"/>
        </w:rPr>
        <w:t>gav</w:t>
      </w:r>
      <w:r w:rsidRPr="004C2A59">
        <w:rPr>
          <w:sz w:val="22"/>
          <w:szCs w:val="22"/>
          <w:lang w:val="da-DK"/>
        </w:rPr>
        <w:t xml:space="preserve"> samtykke og blev randomiseret til studiet (199 patienter i 12 måneders armen og 198 patienter i 3</w:t>
      </w:r>
      <w:r w:rsidR="000772C0" w:rsidRPr="004C2A59">
        <w:rPr>
          <w:sz w:val="22"/>
          <w:szCs w:val="22"/>
          <w:lang w:val="da-DK"/>
        </w:rPr>
        <w:t>6</w:t>
      </w:r>
      <w:r w:rsidR="00B332DB" w:rsidRPr="004C2A59">
        <w:rPr>
          <w:sz w:val="22"/>
          <w:szCs w:val="22"/>
          <w:lang w:val="da-DK"/>
        </w:rPr>
        <w:t> </w:t>
      </w:r>
      <w:r w:rsidRPr="004C2A59">
        <w:rPr>
          <w:sz w:val="22"/>
          <w:szCs w:val="22"/>
          <w:lang w:val="da-DK"/>
        </w:rPr>
        <w:t xml:space="preserve">måneders armen), medianalderen var 61 år (interval fra 22 til 84 år). Mediantiden til follow-up var 54 måneder (fra dato for randomisering til </w:t>
      </w:r>
      <w:r w:rsidR="006D6BB2" w:rsidRPr="004C2A59">
        <w:rPr>
          <w:sz w:val="22"/>
          <w:szCs w:val="22"/>
          <w:lang w:val="da-DK"/>
        </w:rPr>
        <w:t xml:space="preserve">data </w:t>
      </w:r>
      <w:r w:rsidRPr="004C2A59">
        <w:rPr>
          <w:i/>
          <w:sz w:val="22"/>
          <w:szCs w:val="22"/>
          <w:lang w:val="da-DK"/>
        </w:rPr>
        <w:t>cut-off</w:t>
      </w:r>
      <w:r w:rsidRPr="004C2A59">
        <w:rPr>
          <w:sz w:val="22"/>
          <w:szCs w:val="22"/>
          <w:lang w:val="da-DK"/>
        </w:rPr>
        <w:t xml:space="preserve">) med </w:t>
      </w:r>
      <w:r w:rsidR="006D6BB2" w:rsidRPr="004C2A59">
        <w:rPr>
          <w:sz w:val="22"/>
          <w:szCs w:val="22"/>
          <w:lang w:val="da-DK"/>
        </w:rPr>
        <w:t xml:space="preserve">i </w:t>
      </w:r>
      <w:r w:rsidRPr="004C2A59">
        <w:rPr>
          <w:sz w:val="22"/>
          <w:szCs w:val="22"/>
          <w:lang w:val="da-DK"/>
        </w:rPr>
        <w:t xml:space="preserve">alt 83 måneder mellem den første randomiserede patient og </w:t>
      </w:r>
      <w:r w:rsidRPr="004C2A59">
        <w:rPr>
          <w:i/>
          <w:sz w:val="22"/>
          <w:szCs w:val="22"/>
          <w:lang w:val="da-DK"/>
        </w:rPr>
        <w:t>cut-off</w:t>
      </w:r>
      <w:r w:rsidRPr="004C2A59">
        <w:rPr>
          <w:sz w:val="22"/>
          <w:szCs w:val="22"/>
          <w:lang w:val="da-DK"/>
        </w:rPr>
        <w:t xml:space="preserve"> datoen.</w:t>
      </w:r>
    </w:p>
    <w:p w14:paraId="3531609F" w14:textId="77777777" w:rsidR="005122E6" w:rsidRPr="004C2A59" w:rsidRDefault="005122E6" w:rsidP="00421681">
      <w:pPr>
        <w:pStyle w:val="Text"/>
        <w:spacing w:before="0"/>
        <w:rPr>
          <w:sz w:val="22"/>
          <w:szCs w:val="22"/>
          <w:lang w:val="da-DK"/>
        </w:rPr>
      </w:pPr>
    </w:p>
    <w:p w14:paraId="42548F79" w14:textId="77777777" w:rsidR="005122E6" w:rsidRPr="004C2A59" w:rsidRDefault="005122E6" w:rsidP="00421681">
      <w:pPr>
        <w:pStyle w:val="Text"/>
        <w:spacing w:before="0"/>
        <w:jc w:val="left"/>
        <w:rPr>
          <w:sz w:val="22"/>
          <w:szCs w:val="22"/>
          <w:lang w:val="da-DK"/>
        </w:rPr>
      </w:pPr>
      <w:r w:rsidRPr="004C2A59">
        <w:rPr>
          <w:sz w:val="22"/>
          <w:szCs w:val="22"/>
          <w:lang w:val="da-DK"/>
        </w:rPr>
        <w:t>Studiets primære endepunkt var recidivfri overlevelse (RFS), defineret som tiden fra randomisering til dato for tilbagefald eller død af enhver årsag.</w:t>
      </w:r>
    </w:p>
    <w:p w14:paraId="4110FB62" w14:textId="77777777" w:rsidR="005122E6" w:rsidRPr="004C2A59" w:rsidRDefault="005122E6" w:rsidP="00421681">
      <w:pPr>
        <w:pStyle w:val="Text"/>
        <w:spacing w:before="0"/>
        <w:rPr>
          <w:sz w:val="22"/>
          <w:szCs w:val="22"/>
          <w:lang w:val="da-DK"/>
        </w:rPr>
      </w:pPr>
    </w:p>
    <w:p w14:paraId="4388C40E" w14:textId="77777777" w:rsidR="005122E6" w:rsidRPr="004C2A59" w:rsidRDefault="005122E6" w:rsidP="00421681">
      <w:pPr>
        <w:pStyle w:val="Text"/>
        <w:spacing w:before="0"/>
        <w:jc w:val="left"/>
        <w:rPr>
          <w:sz w:val="22"/>
          <w:szCs w:val="22"/>
          <w:lang w:val="da-DK"/>
        </w:rPr>
      </w:pPr>
      <w:r w:rsidRPr="004C2A59">
        <w:rPr>
          <w:sz w:val="22"/>
          <w:szCs w:val="22"/>
          <w:lang w:val="da-DK"/>
        </w:rPr>
        <w:t>Glivec</w:t>
      </w:r>
      <w:r w:rsidR="006D6BB2" w:rsidRPr="004C2A59">
        <w:rPr>
          <w:sz w:val="22"/>
          <w:szCs w:val="22"/>
          <w:lang w:val="da-DK"/>
        </w:rPr>
        <w:t>-</w:t>
      </w:r>
      <w:r w:rsidRPr="004C2A59">
        <w:rPr>
          <w:sz w:val="22"/>
          <w:szCs w:val="22"/>
          <w:lang w:val="da-DK"/>
        </w:rPr>
        <w:t xml:space="preserve">behandling i 36 måneder forlængede signifikant RFS sammenlignet med 12 måneders </w:t>
      </w:r>
      <w:r w:rsidR="00904874" w:rsidRPr="004C2A59">
        <w:rPr>
          <w:sz w:val="22"/>
          <w:szCs w:val="22"/>
          <w:lang w:val="da-DK"/>
        </w:rPr>
        <w:t>Glivec-</w:t>
      </w:r>
      <w:r w:rsidRPr="004C2A59">
        <w:rPr>
          <w:sz w:val="22"/>
          <w:szCs w:val="22"/>
          <w:lang w:val="da-DK"/>
        </w:rPr>
        <w:t xml:space="preserve">behandling (samlet </w:t>
      </w:r>
      <w:r w:rsidR="00904874" w:rsidRPr="004C2A59">
        <w:rPr>
          <w:sz w:val="22"/>
          <w:szCs w:val="22"/>
          <w:lang w:val="da-DK"/>
        </w:rPr>
        <w:t>h</w:t>
      </w:r>
      <w:r w:rsidRPr="004C2A59">
        <w:rPr>
          <w:sz w:val="22"/>
          <w:szCs w:val="22"/>
          <w:lang w:val="da-DK"/>
        </w:rPr>
        <w:t xml:space="preserve">azard </w:t>
      </w:r>
      <w:r w:rsidR="00904874" w:rsidRPr="004C2A59">
        <w:rPr>
          <w:sz w:val="22"/>
          <w:szCs w:val="22"/>
          <w:lang w:val="da-DK"/>
        </w:rPr>
        <w:t>r</w:t>
      </w:r>
      <w:r w:rsidRPr="004C2A59">
        <w:rPr>
          <w:sz w:val="22"/>
          <w:szCs w:val="22"/>
          <w:lang w:val="da-DK"/>
        </w:rPr>
        <w:t>atio (HR) = 0,46 [0,32</w:t>
      </w:r>
      <w:r w:rsidR="00904874" w:rsidRPr="004C2A59">
        <w:rPr>
          <w:sz w:val="22"/>
          <w:szCs w:val="22"/>
          <w:lang w:val="da-DK"/>
        </w:rPr>
        <w:t>-</w:t>
      </w:r>
      <w:r w:rsidRPr="004C2A59">
        <w:rPr>
          <w:sz w:val="22"/>
          <w:szCs w:val="22"/>
          <w:lang w:val="da-DK"/>
        </w:rPr>
        <w:t>0,65], p&lt;0,0001</w:t>
      </w:r>
      <w:r w:rsidR="0037351A" w:rsidRPr="004C2A59">
        <w:rPr>
          <w:sz w:val="22"/>
          <w:szCs w:val="22"/>
          <w:lang w:val="da-DK"/>
        </w:rPr>
        <w:t>)</w:t>
      </w:r>
      <w:r w:rsidR="000A67F3" w:rsidRPr="004C2A59">
        <w:rPr>
          <w:sz w:val="22"/>
          <w:szCs w:val="22"/>
          <w:lang w:val="da-DK"/>
        </w:rPr>
        <w:t xml:space="preserve"> (Tabel </w:t>
      </w:r>
      <w:r w:rsidR="00353FC4" w:rsidRPr="004C2A59">
        <w:rPr>
          <w:sz w:val="22"/>
          <w:szCs w:val="22"/>
          <w:lang w:val="da-DK"/>
        </w:rPr>
        <w:t>8</w:t>
      </w:r>
      <w:r w:rsidR="000A67F3" w:rsidRPr="004C2A59">
        <w:rPr>
          <w:sz w:val="22"/>
          <w:szCs w:val="22"/>
          <w:lang w:val="da-DK"/>
        </w:rPr>
        <w:t>, Figur 1).</w:t>
      </w:r>
    </w:p>
    <w:p w14:paraId="70D624AD" w14:textId="77777777" w:rsidR="000A67F3" w:rsidRPr="004C2A59" w:rsidRDefault="000A67F3" w:rsidP="00421681">
      <w:pPr>
        <w:pStyle w:val="Text"/>
        <w:spacing w:before="0"/>
        <w:jc w:val="left"/>
        <w:rPr>
          <w:sz w:val="22"/>
          <w:szCs w:val="22"/>
          <w:lang w:val="da-DK"/>
        </w:rPr>
      </w:pPr>
    </w:p>
    <w:p w14:paraId="6249E7A6" w14:textId="77777777" w:rsidR="000A67F3" w:rsidRPr="004C2A59" w:rsidRDefault="005122E6" w:rsidP="00421681">
      <w:pPr>
        <w:pStyle w:val="Text"/>
        <w:spacing w:before="0"/>
        <w:jc w:val="left"/>
        <w:rPr>
          <w:sz w:val="22"/>
          <w:szCs w:val="22"/>
          <w:lang w:val="da-DK"/>
        </w:rPr>
      </w:pPr>
      <w:r w:rsidRPr="004C2A59">
        <w:rPr>
          <w:sz w:val="22"/>
          <w:szCs w:val="22"/>
          <w:lang w:val="da-DK"/>
        </w:rPr>
        <w:t xml:space="preserve">Derudover forlængede 36 måneders Glivec-behandling signifikant </w:t>
      </w:r>
      <w:r w:rsidR="00904874" w:rsidRPr="004C2A59">
        <w:rPr>
          <w:sz w:val="22"/>
          <w:szCs w:val="22"/>
          <w:lang w:val="da-DK"/>
        </w:rPr>
        <w:t xml:space="preserve">den </w:t>
      </w:r>
      <w:r w:rsidR="00C90CAF" w:rsidRPr="004C2A59">
        <w:rPr>
          <w:sz w:val="22"/>
          <w:szCs w:val="22"/>
          <w:lang w:val="da-DK"/>
        </w:rPr>
        <w:t>totale</w:t>
      </w:r>
      <w:r w:rsidRPr="004C2A59">
        <w:rPr>
          <w:sz w:val="22"/>
          <w:szCs w:val="22"/>
          <w:lang w:val="da-DK"/>
        </w:rPr>
        <w:t xml:space="preserve"> overlevelse (OS) sammenlignet med 12 måneders </w:t>
      </w:r>
      <w:r w:rsidR="00904874" w:rsidRPr="004C2A59">
        <w:rPr>
          <w:sz w:val="22"/>
          <w:szCs w:val="22"/>
          <w:lang w:val="da-DK"/>
        </w:rPr>
        <w:t>Glivec-</w:t>
      </w:r>
      <w:r w:rsidRPr="004C2A59">
        <w:rPr>
          <w:sz w:val="22"/>
          <w:szCs w:val="22"/>
          <w:lang w:val="da-DK"/>
        </w:rPr>
        <w:t>behandling (HR = 0,45 [0,22</w:t>
      </w:r>
      <w:r w:rsidR="00904874" w:rsidRPr="004C2A59">
        <w:rPr>
          <w:sz w:val="22"/>
          <w:szCs w:val="22"/>
          <w:lang w:val="da-DK"/>
        </w:rPr>
        <w:t>-</w:t>
      </w:r>
      <w:r w:rsidRPr="004C2A59">
        <w:rPr>
          <w:sz w:val="22"/>
          <w:szCs w:val="22"/>
          <w:lang w:val="da-DK"/>
        </w:rPr>
        <w:t>0,89], p = 0,0187) (Tabel </w:t>
      </w:r>
      <w:r w:rsidR="00353FC4" w:rsidRPr="004C2A59">
        <w:rPr>
          <w:sz w:val="22"/>
          <w:szCs w:val="22"/>
          <w:lang w:val="da-DK"/>
        </w:rPr>
        <w:t>8</w:t>
      </w:r>
      <w:r w:rsidRPr="004C2A59">
        <w:rPr>
          <w:sz w:val="22"/>
          <w:szCs w:val="22"/>
          <w:lang w:val="da-DK"/>
        </w:rPr>
        <w:t>, Figur 2).</w:t>
      </w:r>
    </w:p>
    <w:p w14:paraId="4848AD3C" w14:textId="77777777" w:rsidR="000A67F3" w:rsidRPr="004C2A59" w:rsidRDefault="000A67F3" w:rsidP="00421681">
      <w:pPr>
        <w:pStyle w:val="Text"/>
        <w:spacing w:before="0"/>
        <w:jc w:val="left"/>
        <w:rPr>
          <w:sz w:val="22"/>
          <w:szCs w:val="22"/>
          <w:lang w:val="da-DK"/>
        </w:rPr>
      </w:pPr>
    </w:p>
    <w:p w14:paraId="272AC026" w14:textId="77777777" w:rsidR="000A67F3" w:rsidRPr="004C2A59" w:rsidRDefault="000A67F3" w:rsidP="00421681">
      <w:pPr>
        <w:pStyle w:val="Text"/>
        <w:spacing w:before="0"/>
        <w:jc w:val="left"/>
        <w:rPr>
          <w:sz w:val="22"/>
          <w:szCs w:val="22"/>
          <w:lang w:val="da-DK"/>
        </w:rPr>
      </w:pPr>
      <w:r w:rsidRPr="004C2A59">
        <w:rPr>
          <w:sz w:val="22"/>
          <w:szCs w:val="22"/>
          <w:lang w:val="da-DK"/>
        </w:rPr>
        <w:t xml:space="preserve">Længere behandlingsvarighed (&gt;36 måneder) kan </w:t>
      </w:r>
      <w:r w:rsidR="00F365E1" w:rsidRPr="004C2A59">
        <w:rPr>
          <w:sz w:val="22"/>
          <w:szCs w:val="22"/>
          <w:lang w:val="da-DK"/>
        </w:rPr>
        <w:t xml:space="preserve">muligvis </w:t>
      </w:r>
      <w:r w:rsidRPr="004C2A59">
        <w:rPr>
          <w:sz w:val="22"/>
          <w:szCs w:val="22"/>
          <w:lang w:val="da-DK"/>
        </w:rPr>
        <w:t xml:space="preserve">forsinke </w:t>
      </w:r>
      <w:r w:rsidR="00433756" w:rsidRPr="004C2A59">
        <w:rPr>
          <w:sz w:val="22"/>
          <w:szCs w:val="22"/>
          <w:lang w:val="da-DK"/>
        </w:rPr>
        <w:t xml:space="preserve">yderligere tilbagefald. Det er dog fortsat uvist, </w:t>
      </w:r>
      <w:r w:rsidR="00904874" w:rsidRPr="004C2A59">
        <w:rPr>
          <w:sz w:val="22"/>
          <w:szCs w:val="22"/>
          <w:lang w:val="da-DK"/>
        </w:rPr>
        <w:t>hvilken</w:t>
      </w:r>
      <w:r w:rsidR="00433756" w:rsidRPr="004C2A59">
        <w:rPr>
          <w:sz w:val="22"/>
          <w:szCs w:val="22"/>
          <w:lang w:val="da-DK"/>
        </w:rPr>
        <w:t xml:space="preserve"> indflydelse dette </w:t>
      </w:r>
      <w:r w:rsidR="00904874" w:rsidRPr="004C2A59">
        <w:rPr>
          <w:sz w:val="22"/>
          <w:szCs w:val="22"/>
          <w:lang w:val="da-DK"/>
        </w:rPr>
        <w:t>fund</w:t>
      </w:r>
      <w:r w:rsidR="00433756" w:rsidRPr="004C2A59">
        <w:rPr>
          <w:sz w:val="22"/>
          <w:szCs w:val="22"/>
          <w:lang w:val="da-DK"/>
        </w:rPr>
        <w:t xml:space="preserve"> har på den </w:t>
      </w:r>
      <w:r w:rsidR="00C90CAF" w:rsidRPr="004C2A59">
        <w:rPr>
          <w:sz w:val="22"/>
          <w:szCs w:val="22"/>
          <w:lang w:val="da-DK"/>
        </w:rPr>
        <w:t>totale</w:t>
      </w:r>
      <w:r w:rsidR="00433756" w:rsidRPr="004C2A59">
        <w:rPr>
          <w:sz w:val="22"/>
          <w:szCs w:val="22"/>
          <w:lang w:val="da-DK"/>
        </w:rPr>
        <w:t xml:space="preserve"> overlevelse</w:t>
      </w:r>
      <w:r w:rsidR="001B05DB" w:rsidRPr="004C2A59">
        <w:rPr>
          <w:sz w:val="22"/>
          <w:szCs w:val="22"/>
          <w:lang w:val="da-DK"/>
        </w:rPr>
        <w:t>.</w:t>
      </w:r>
    </w:p>
    <w:p w14:paraId="2E1A341E" w14:textId="77777777" w:rsidR="000A67F3" w:rsidRPr="004C2A59" w:rsidRDefault="000A67F3" w:rsidP="00421681">
      <w:pPr>
        <w:pStyle w:val="Text"/>
        <w:spacing w:before="0"/>
        <w:jc w:val="left"/>
        <w:rPr>
          <w:sz w:val="22"/>
          <w:szCs w:val="22"/>
          <w:lang w:val="da-DK"/>
        </w:rPr>
      </w:pPr>
    </w:p>
    <w:p w14:paraId="3E4E3339" w14:textId="77777777" w:rsidR="005122E6" w:rsidRPr="004C2A59" w:rsidRDefault="005122E6" w:rsidP="00421681">
      <w:pPr>
        <w:pStyle w:val="Text"/>
        <w:spacing w:before="0"/>
        <w:jc w:val="left"/>
        <w:rPr>
          <w:sz w:val="22"/>
          <w:szCs w:val="22"/>
          <w:lang w:val="da-DK"/>
        </w:rPr>
      </w:pPr>
      <w:r w:rsidRPr="004C2A59">
        <w:rPr>
          <w:sz w:val="22"/>
          <w:szCs w:val="22"/>
          <w:lang w:val="da-DK"/>
        </w:rPr>
        <w:t xml:space="preserve">Det totale antal dødsfald var 25 </w:t>
      </w:r>
      <w:r w:rsidR="00C90CAF" w:rsidRPr="004C2A59">
        <w:rPr>
          <w:sz w:val="22"/>
          <w:szCs w:val="22"/>
          <w:lang w:val="da-DK"/>
        </w:rPr>
        <w:t>i</w:t>
      </w:r>
      <w:r w:rsidRPr="004C2A59">
        <w:rPr>
          <w:sz w:val="22"/>
          <w:szCs w:val="22"/>
          <w:lang w:val="da-DK"/>
        </w:rPr>
        <w:t xml:space="preserve"> 12 måneders behandlingsarmen og 12 </w:t>
      </w:r>
      <w:r w:rsidR="00C90CAF" w:rsidRPr="004C2A59">
        <w:rPr>
          <w:sz w:val="22"/>
          <w:szCs w:val="22"/>
          <w:lang w:val="da-DK"/>
        </w:rPr>
        <w:t>i</w:t>
      </w:r>
      <w:r w:rsidRPr="004C2A59">
        <w:rPr>
          <w:sz w:val="22"/>
          <w:szCs w:val="22"/>
          <w:lang w:val="da-DK"/>
        </w:rPr>
        <w:t xml:space="preserve"> 36 måneders behandlingsarmen.</w:t>
      </w:r>
    </w:p>
    <w:p w14:paraId="590FE0C1" w14:textId="77777777" w:rsidR="001B05DB" w:rsidRPr="004C2A59" w:rsidRDefault="001B05DB" w:rsidP="00421681">
      <w:pPr>
        <w:pStyle w:val="Text"/>
        <w:spacing w:before="0"/>
        <w:jc w:val="left"/>
        <w:rPr>
          <w:sz w:val="22"/>
          <w:szCs w:val="22"/>
          <w:lang w:val="da-DK"/>
        </w:rPr>
      </w:pPr>
    </w:p>
    <w:p w14:paraId="512E3E27" w14:textId="77777777" w:rsidR="001B05DB" w:rsidRPr="004C2A59" w:rsidRDefault="001B05DB" w:rsidP="00421681">
      <w:pPr>
        <w:pStyle w:val="Text"/>
        <w:spacing w:before="0"/>
        <w:jc w:val="left"/>
        <w:rPr>
          <w:sz w:val="22"/>
          <w:szCs w:val="22"/>
          <w:lang w:val="da-DK"/>
        </w:rPr>
      </w:pPr>
      <w:r w:rsidRPr="004C2A59">
        <w:rPr>
          <w:sz w:val="22"/>
          <w:szCs w:val="22"/>
          <w:lang w:val="da-DK"/>
        </w:rPr>
        <w:t xml:space="preserve">Behandling med imatinib i 36 måneder var </w:t>
      </w:r>
      <w:r w:rsidR="009A4D16" w:rsidRPr="004C2A59">
        <w:rPr>
          <w:sz w:val="22"/>
          <w:szCs w:val="22"/>
          <w:lang w:val="da-DK"/>
        </w:rPr>
        <w:t>superior til</w:t>
      </w:r>
      <w:r w:rsidRPr="004C2A59">
        <w:rPr>
          <w:sz w:val="22"/>
          <w:szCs w:val="22"/>
          <w:lang w:val="da-DK"/>
        </w:rPr>
        <w:t xml:space="preserve"> behandling i 12 måneder i ITT-analysen, dvs. inklusive hele </w:t>
      </w:r>
      <w:r w:rsidR="009A4D16" w:rsidRPr="004C2A59">
        <w:rPr>
          <w:sz w:val="22"/>
          <w:szCs w:val="22"/>
          <w:lang w:val="da-DK"/>
        </w:rPr>
        <w:t>studie</w:t>
      </w:r>
      <w:r w:rsidRPr="004C2A59">
        <w:rPr>
          <w:sz w:val="22"/>
          <w:szCs w:val="22"/>
          <w:lang w:val="da-DK"/>
        </w:rPr>
        <w:t>populationen. I en planlagt undergruppe-analyse af mutations</w:t>
      </w:r>
      <w:r w:rsidR="002B53F4" w:rsidRPr="004C2A59">
        <w:rPr>
          <w:sz w:val="22"/>
          <w:szCs w:val="22"/>
          <w:lang w:val="da-DK"/>
        </w:rPr>
        <w:t>type</w:t>
      </w:r>
      <w:r w:rsidR="00F11D6B" w:rsidRPr="004C2A59">
        <w:rPr>
          <w:sz w:val="22"/>
          <w:szCs w:val="22"/>
          <w:lang w:val="da-DK"/>
        </w:rPr>
        <w:t xml:space="preserve"> var HR 0,35 </w:t>
      </w:r>
      <w:r w:rsidR="00F11D6B" w:rsidRPr="004C2A59">
        <w:rPr>
          <w:rFonts w:eastAsia="MS Mincho"/>
          <w:iCs/>
          <w:sz w:val="22"/>
          <w:szCs w:val="22"/>
          <w:lang w:val="da-DK" w:eastAsia="ja-JP"/>
        </w:rPr>
        <w:lastRenderedPageBreak/>
        <w:t xml:space="preserve">[95% </w:t>
      </w:r>
      <w:r w:rsidR="00B610B7" w:rsidRPr="004C2A59">
        <w:rPr>
          <w:rFonts w:eastAsia="MS Mincho"/>
          <w:iCs/>
          <w:sz w:val="22"/>
          <w:szCs w:val="22"/>
          <w:lang w:val="da-DK" w:eastAsia="ja-JP"/>
        </w:rPr>
        <w:t>konfidensinterval</w:t>
      </w:r>
      <w:r w:rsidR="00F11D6B" w:rsidRPr="004C2A59">
        <w:rPr>
          <w:rFonts w:eastAsia="MS Mincho"/>
          <w:iCs/>
          <w:sz w:val="22"/>
          <w:szCs w:val="22"/>
          <w:lang w:val="da-DK" w:eastAsia="ja-JP"/>
        </w:rPr>
        <w:t>: 0,</w:t>
      </w:r>
      <w:r w:rsidR="00B610B7" w:rsidRPr="004C2A59">
        <w:rPr>
          <w:rFonts w:eastAsia="MS Mincho"/>
          <w:iCs/>
          <w:sz w:val="22"/>
          <w:szCs w:val="22"/>
          <w:lang w:val="da-DK" w:eastAsia="ja-JP"/>
        </w:rPr>
        <w:t>22</w:t>
      </w:r>
      <w:r w:rsidR="009A4D16" w:rsidRPr="004C2A59">
        <w:rPr>
          <w:rFonts w:eastAsia="MS Mincho"/>
          <w:iCs/>
          <w:sz w:val="22"/>
          <w:szCs w:val="22"/>
          <w:lang w:val="da-DK" w:eastAsia="ja-JP"/>
        </w:rPr>
        <w:t>-</w:t>
      </w:r>
      <w:r w:rsidR="00F11D6B" w:rsidRPr="004C2A59">
        <w:rPr>
          <w:rFonts w:eastAsia="MS Mincho"/>
          <w:iCs/>
          <w:sz w:val="22"/>
          <w:szCs w:val="22"/>
          <w:lang w:val="da-DK" w:eastAsia="ja-JP"/>
        </w:rPr>
        <w:t>0,56]</w:t>
      </w:r>
      <w:r w:rsidR="00F11D6B" w:rsidRPr="004C2A59">
        <w:rPr>
          <w:sz w:val="22"/>
          <w:szCs w:val="22"/>
          <w:lang w:val="da-DK"/>
        </w:rPr>
        <w:t xml:space="preserve"> for RFS </w:t>
      </w:r>
      <w:r w:rsidR="006660F6" w:rsidRPr="004C2A59">
        <w:rPr>
          <w:sz w:val="22"/>
          <w:szCs w:val="22"/>
          <w:lang w:val="da-DK"/>
        </w:rPr>
        <w:t>ved</w:t>
      </w:r>
      <w:r w:rsidR="00F11D6B" w:rsidRPr="004C2A59">
        <w:rPr>
          <w:sz w:val="22"/>
          <w:szCs w:val="22"/>
          <w:lang w:val="da-DK"/>
        </w:rPr>
        <w:t xml:space="preserve"> 36 måneders behandlin</w:t>
      </w:r>
      <w:r w:rsidR="002B53F4" w:rsidRPr="004C2A59">
        <w:rPr>
          <w:sz w:val="22"/>
          <w:szCs w:val="22"/>
          <w:lang w:val="da-DK"/>
        </w:rPr>
        <w:t>g af patienter med mutationer i</w:t>
      </w:r>
      <w:r w:rsidR="00F11D6B" w:rsidRPr="004C2A59">
        <w:rPr>
          <w:sz w:val="22"/>
          <w:szCs w:val="22"/>
          <w:lang w:val="da-DK"/>
        </w:rPr>
        <w:t xml:space="preserve"> exon 11. Der kan ikke drages nogle konklusioner for andre mindre almindelige mutations-undergruppe</w:t>
      </w:r>
      <w:r w:rsidR="009B50D9" w:rsidRPr="004C2A59">
        <w:rPr>
          <w:sz w:val="22"/>
          <w:szCs w:val="22"/>
          <w:lang w:val="da-DK"/>
        </w:rPr>
        <w:t>r</w:t>
      </w:r>
      <w:r w:rsidR="00F11D6B" w:rsidRPr="004C2A59">
        <w:rPr>
          <w:sz w:val="22"/>
          <w:szCs w:val="22"/>
          <w:lang w:val="da-DK"/>
        </w:rPr>
        <w:t xml:space="preserve"> på grund af </w:t>
      </w:r>
      <w:r w:rsidR="009B50D9" w:rsidRPr="004C2A59">
        <w:rPr>
          <w:sz w:val="22"/>
          <w:szCs w:val="22"/>
          <w:lang w:val="da-DK"/>
        </w:rPr>
        <w:t>d</w:t>
      </w:r>
      <w:r w:rsidR="00F11D6B" w:rsidRPr="004C2A59">
        <w:rPr>
          <w:sz w:val="22"/>
          <w:szCs w:val="22"/>
          <w:lang w:val="da-DK"/>
        </w:rPr>
        <w:t xml:space="preserve">et </w:t>
      </w:r>
      <w:r w:rsidR="0026493E" w:rsidRPr="004C2A59">
        <w:rPr>
          <w:sz w:val="22"/>
          <w:szCs w:val="22"/>
          <w:lang w:val="da-DK"/>
        </w:rPr>
        <w:t>lille</w:t>
      </w:r>
      <w:r w:rsidR="00F11D6B" w:rsidRPr="004C2A59">
        <w:rPr>
          <w:sz w:val="22"/>
          <w:szCs w:val="22"/>
          <w:lang w:val="da-DK"/>
        </w:rPr>
        <w:t xml:space="preserve"> antal observerede tilfælde.</w:t>
      </w:r>
    </w:p>
    <w:p w14:paraId="7613498A" w14:textId="77777777" w:rsidR="005122E6" w:rsidRPr="004C2A59" w:rsidRDefault="005122E6" w:rsidP="00421681">
      <w:pPr>
        <w:pStyle w:val="Text"/>
        <w:spacing w:before="0"/>
        <w:rPr>
          <w:sz w:val="22"/>
          <w:szCs w:val="22"/>
          <w:lang w:val="da-DK"/>
        </w:rPr>
      </w:pPr>
    </w:p>
    <w:p w14:paraId="5CF91822" w14:textId="77777777" w:rsidR="005122E6" w:rsidRPr="004C2A59" w:rsidRDefault="005122E6" w:rsidP="00A125B0">
      <w:pPr>
        <w:keepNext/>
        <w:ind w:left="1134" w:hanging="1134"/>
        <w:rPr>
          <w:rFonts w:eastAsia="MS Mincho"/>
          <w:b/>
          <w:sz w:val="22"/>
          <w:szCs w:val="22"/>
          <w:lang w:val="da-DK" w:eastAsia="ja-JP"/>
        </w:rPr>
      </w:pPr>
      <w:r w:rsidRPr="004C2A59">
        <w:rPr>
          <w:rFonts w:eastAsia="MS Mincho"/>
          <w:b/>
          <w:sz w:val="22"/>
          <w:szCs w:val="22"/>
          <w:lang w:val="da-DK"/>
        </w:rPr>
        <w:t>Tabel </w:t>
      </w:r>
      <w:r w:rsidR="00353FC4" w:rsidRPr="004C2A59">
        <w:rPr>
          <w:rFonts w:eastAsia="MS Mincho"/>
          <w:b/>
          <w:sz w:val="22"/>
          <w:szCs w:val="22"/>
          <w:lang w:val="da-DK"/>
        </w:rPr>
        <w:t>8</w:t>
      </w:r>
      <w:r w:rsidRPr="004C2A59">
        <w:rPr>
          <w:rFonts w:eastAsia="MS Mincho"/>
          <w:sz w:val="22"/>
          <w:szCs w:val="22"/>
          <w:lang w:val="da-DK"/>
        </w:rPr>
        <w:tab/>
      </w:r>
      <w:r w:rsidRPr="004C2A59">
        <w:rPr>
          <w:rFonts w:eastAsia="MS Mincho"/>
          <w:b/>
          <w:sz w:val="22"/>
          <w:szCs w:val="22"/>
          <w:lang w:val="da-DK" w:eastAsia="ja-JP"/>
        </w:rPr>
        <w:t>12 måneders og 36 måneders Glivec</w:t>
      </w:r>
      <w:r w:rsidR="0026493E" w:rsidRPr="004C2A59">
        <w:rPr>
          <w:rFonts w:eastAsia="MS Mincho"/>
          <w:b/>
          <w:sz w:val="22"/>
          <w:szCs w:val="22"/>
          <w:lang w:val="da-DK" w:eastAsia="ja-JP"/>
        </w:rPr>
        <w:t>-</w:t>
      </w:r>
      <w:r w:rsidRPr="004C2A59">
        <w:rPr>
          <w:rFonts w:eastAsia="MS Mincho"/>
          <w:b/>
          <w:sz w:val="22"/>
          <w:szCs w:val="22"/>
          <w:lang w:val="da-DK" w:eastAsia="ja-JP"/>
        </w:rPr>
        <w:t>behandling (SSGXVIII/AIO forsøg)</w:t>
      </w:r>
    </w:p>
    <w:p w14:paraId="5B1FCADC" w14:textId="77777777" w:rsidR="005122E6" w:rsidRPr="004C2A59" w:rsidRDefault="005122E6" w:rsidP="00A125B0">
      <w:pPr>
        <w:keepNext/>
        <w:rPr>
          <w:rFonts w:eastAsia="MS Mincho"/>
          <w:sz w:val="22"/>
          <w:szCs w:val="22"/>
          <w:lang w:val="da-DK"/>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5122E6" w:rsidRPr="004C2A59" w14:paraId="0339A476" w14:textId="77777777" w:rsidTr="00A125B0">
        <w:trPr>
          <w:cantSplit/>
        </w:trPr>
        <w:tc>
          <w:tcPr>
            <w:tcW w:w="3099" w:type="dxa"/>
            <w:tcBorders>
              <w:top w:val="single" w:sz="4" w:space="0" w:color="auto"/>
              <w:bottom w:val="nil"/>
            </w:tcBorders>
            <w:shd w:val="clear" w:color="auto" w:fill="auto"/>
          </w:tcPr>
          <w:p w14:paraId="6DB63316" w14:textId="77777777" w:rsidR="005122E6" w:rsidRPr="004C2A59" w:rsidRDefault="005122E6" w:rsidP="00A125B0">
            <w:pPr>
              <w:keepNext/>
              <w:tabs>
                <w:tab w:val="left" w:pos="284"/>
              </w:tabs>
              <w:rPr>
                <w:rFonts w:eastAsia="MS Mincho"/>
                <w:sz w:val="22"/>
                <w:szCs w:val="22"/>
                <w:lang w:val="da-DK"/>
              </w:rPr>
            </w:pPr>
          </w:p>
        </w:tc>
        <w:tc>
          <w:tcPr>
            <w:tcW w:w="3100" w:type="dxa"/>
            <w:tcBorders>
              <w:top w:val="single" w:sz="4" w:space="0" w:color="auto"/>
              <w:bottom w:val="nil"/>
            </w:tcBorders>
            <w:shd w:val="clear" w:color="auto" w:fill="auto"/>
          </w:tcPr>
          <w:p w14:paraId="01D2B2AE" w14:textId="77777777" w:rsidR="005122E6" w:rsidRPr="004C2A59" w:rsidRDefault="005122E6" w:rsidP="00A125B0">
            <w:pPr>
              <w:keepNext/>
              <w:tabs>
                <w:tab w:val="left" w:pos="284"/>
              </w:tabs>
              <w:rPr>
                <w:rFonts w:eastAsia="MS Mincho"/>
                <w:b/>
                <w:sz w:val="22"/>
                <w:szCs w:val="22"/>
              </w:rPr>
            </w:pPr>
            <w:r w:rsidRPr="004C2A59">
              <w:rPr>
                <w:rFonts w:eastAsia="MS Mincho"/>
                <w:b/>
                <w:sz w:val="22"/>
                <w:szCs w:val="22"/>
              </w:rPr>
              <w:t>12 måneders behandlingsarm</w:t>
            </w:r>
          </w:p>
        </w:tc>
        <w:tc>
          <w:tcPr>
            <w:tcW w:w="3100" w:type="dxa"/>
            <w:tcBorders>
              <w:top w:val="single" w:sz="4" w:space="0" w:color="auto"/>
              <w:bottom w:val="nil"/>
            </w:tcBorders>
            <w:shd w:val="clear" w:color="auto" w:fill="auto"/>
          </w:tcPr>
          <w:p w14:paraId="0B1D6F0B" w14:textId="77777777" w:rsidR="005122E6" w:rsidRPr="004C2A59" w:rsidRDefault="005122E6" w:rsidP="00A125B0">
            <w:pPr>
              <w:keepNext/>
              <w:tabs>
                <w:tab w:val="left" w:pos="284"/>
              </w:tabs>
              <w:rPr>
                <w:rFonts w:eastAsia="MS Mincho"/>
                <w:b/>
                <w:sz w:val="22"/>
                <w:szCs w:val="22"/>
              </w:rPr>
            </w:pPr>
            <w:r w:rsidRPr="004C2A59">
              <w:rPr>
                <w:rFonts w:eastAsia="MS Mincho"/>
                <w:b/>
                <w:sz w:val="22"/>
                <w:szCs w:val="22"/>
              </w:rPr>
              <w:t>36 måneders behandlingsarm</w:t>
            </w:r>
          </w:p>
        </w:tc>
      </w:tr>
      <w:tr w:rsidR="005122E6" w:rsidRPr="004C2A59" w14:paraId="7CC24080" w14:textId="77777777" w:rsidTr="00A125B0">
        <w:trPr>
          <w:cantSplit/>
        </w:trPr>
        <w:tc>
          <w:tcPr>
            <w:tcW w:w="3099" w:type="dxa"/>
            <w:tcBorders>
              <w:top w:val="nil"/>
            </w:tcBorders>
            <w:shd w:val="clear" w:color="auto" w:fill="auto"/>
          </w:tcPr>
          <w:p w14:paraId="5566F476" w14:textId="77777777" w:rsidR="005122E6" w:rsidRPr="004C2A59" w:rsidRDefault="005122E6" w:rsidP="00A125B0">
            <w:pPr>
              <w:keepNext/>
              <w:tabs>
                <w:tab w:val="left" w:pos="284"/>
              </w:tabs>
              <w:rPr>
                <w:rFonts w:eastAsia="MS Mincho"/>
                <w:b/>
                <w:sz w:val="22"/>
                <w:szCs w:val="22"/>
              </w:rPr>
            </w:pPr>
            <w:r w:rsidRPr="004C2A59">
              <w:rPr>
                <w:rFonts w:eastAsia="MS Mincho"/>
                <w:b/>
                <w:sz w:val="22"/>
                <w:szCs w:val="22"/>
              </w:rPr>
              <w:t>RFS</w:t>
            </w:r>
          </w:p>
        </w:tc>
        <w:tc>
          <w:tcPr>
            <w:tcW w:w="3100" w:type="dxa"/>
            <w:tcBorders>
              <w:top w:val="nil"/>
            </w:tcBorders>
            <w:shd w:val="clear" w:color="auto" w:fill="auto"/>
          </w:tcPr>
          <w:p w14:paraId="69BD26E4" w14:textId="77777777" w:rsidR="005122E6" w:rsidRPr="004C2A59" w:rsidRDefault="005122E6" w:rsidP="00A125B0">
            <w:pPr>
              <w:keepNext/>
              <w:tabs>
                <w:tab w:val="left" w:pos="284"/>
              </w:tabs>
              <w:rPr>
                <w:rFonts w:eastAsia="MS Mincho"/>
                <w:b/>
                <w:sz w:val="22"/>
                <w:szCs w:val="22"/>
              </w:rPr>
            </w:pPr>
            <w:r w:rsidRPr="004C2A59">
              <w:rPr>
                <w:rFonts w:eastAsia="MS Mincho"/>
                <w:b/>
                <w:sz w:val="22"/>
                <w:szCs w:val="22"/>
              </w:rPr>
              <w:t>%(CI)</w:t>
            </w:r>
          </w:p>
        </w:tc>
        <w:tc>
          <w:tcPr>
            <w:tcW w:w="3100" w:type="dxa"/>
            <w:tcBorders>
              <w:top w:val="nil"/>
            </w:tcBorders>
            <w:shd w:val="clear" w:color="auto" w:fill="auto"/>
          </w:tcPr>
          <w:p w14:paraId="1889E27B" w14:textId="77777777" w:rsidR="005122E6" w:rsidRPr="004C2A59" w:rsidRDefault="005122E6" w:rsidP="00A125B0">
            <w:pPr>
              <w:keepNext/>
              <w:tabs>
                <w:tab w:val="left" w:pos="284"/>
              </w:tabs>
              <w:rPr>
                <w:rFonts w:eastAsia="MS Mincho"/>
                <w:b/>
                <w:sz w:val="22"/>
                <w:szCs w:val="22"/>
              </w:rPr>
            </w:pPr>
            <w:r w:rsidRPr="004C2A59">
              <w:rPr>
                <w:rFonts w:eastAsia="MS Mincho"/>
                <w:b/>
                <w:sz w:val="22"/>
                <w:szCs w:val="22"/>
              </w:rPr>
              <w:t>%(CI)</w:t>
            </w:r>
          </w:p>
        </w:tc>
      </w:tr>
      <w:tr w:rsidR="005122E6" w:rsidRPr="004C2A59" w14:paraId="132CB693" w14:textId="77777777" w:rsidTr="00A125B0">
        <w:trPr>
          <w:cantSplit/>
        </w:trPr>
        <w:tc>
          <w:tcPr>
            <w:tcW w:w="3099" w:type="dxa"/>
            <w:shd w:val="clear" w:color="auto" w:fill="auto"/>
          </w:tcPr>
          <w:p w14:paraId="43317B11" w14:textId="77777777" w:rsidR="005122E6" w:rsidRPr="004C2A59" w:rsidRDefault="005122E6" w:rsidP="00A125B0">
            <w:pPr>
              <w:keepNext/>
              <w:ind w:left="284"/>
              <w:rPr>
                <w:rFonts w:eastAsia="MS Mincho"/>
                <w:sz w:val="22"/>
                <w:szCs w:val="22"/>
              </w:rPr>
            </w:pPr>
            <w:r w:rsidRPr="004C2A59">
              <w:rPr>
                <w:rFonts w:eastAsia="MS Mincho"/>
                <w:sz w:val="22"/>
                <w:szCs w:val="22"/>
              </w:rPr>
              <w:t>12</w:t>
            </w:r>
            <w:r w:rsidRPr="004C2A59">
              <w:rPr>
                <w:rFonts w:eastAsia="MS Mincho"/>
                <w:sz w:val="22"/>
                <w:szCs w:val="22"/>
                <w:lang w:eastAsia="ja-JP"/>
              </w:rPr>
              <w:t> </w:t>
            </w:r>
            <w:r w:rsidRPr="004C2A59">
              <w:rPr>
                <w:rFonts w:eastAsia="MS Mincho"/>
                <w:sz w:val="22"/>
                <w:szCs w:val="22"/>
              </w:rPr>
              <w:t>måneder</w:t>
            </w:r>
          </w:p>
        </w:tc>
        <w:tc>
          <w:tcPr>
            <w:tcW w:w="3100" w:type="dxa"/>
            <w:shd w:val="clear" w:color="auto" w:fill="auto"/>
          </w:tcPr>
          <w:p w14:paraId="5C4B0BB9" w14:textId="77777777" w:rsidR="005122E6" w:rsidRPr="004C2A59" w:rsidRDefault="005122E6" w:rsidP="00A125B0">
            <w:pPr>
              <w:keepNext/>
              <w:tabs>
                <w:tab w:val="left" w:pos="284"/>
              </w:tabs>
              <w:rPr>
                <w:rFonts w:eastAsia="MS Mincho"/>
                <w:sz w:val="22"/>
                <w:szCs w:val="22"/>
              </w:rPr>
            </w:pPr>
            <w:r w:rsidRPr="004C2A59">
              <w:rPr>
                <w:rFonts w:eastAsia="MS Mincho"/>
                <w:sz w:val="22"/>
                <w:szCs w:val="22"/>
              </w:rPr>
              <w:t>93,7 (89,2</w:t>
            </w:r>
            <w:r w:rsidRPr="004C2A59">
              <w:rPr>
                <w:rFonts w:eastAsia="MS Mincho"/>
                <w:sz w:val="22"/>
                <w:szCs w:val="22"/>
              </w:rPr>
              <w:noBreakHyphen/>
              <w:t>96,4)</w:t>
            </w:r>
          </w:p>
        </w:tc>
        <w:tc>
          <w:tcPr>
            <w:tcW w:w="3100" w:type="dxa"/>
            <w:shd w:val="clear" w:color="auto" w:fill="auto"/>
          </w:tcPr>
          <w:p w14:paraId="460D9C29" w14:textId="77777777" w:rsidR="005122E6" w:rsidRPr="004C2A59" w:rsidRDefault="005122E6" w:rsidP="00A125B0">
            <w:pPr>
              <w:keepNext/>
              <w:tabs>
                <w:tab w:val="left" w:pos="284"/>
              </w:tabs>
              <w:rPr>
                <w:rFonts w:eastAsia="MS Mincho"/>
                <w:sz w:val="22"/>
                <w:szCs w:val="22"/>
              </w:rPr>
            </w:pPr>
            <w:r w:rsidRPr="004C2A59">
              <w:rPr>
                <w:rFonts w:eastAsia="MS Mincho"/>
                <w:sz w:val="22"/>
                <w:szCs w:val="22"/>
              </w:rPr>
              <w:t>95,9 (91,9</w:t>
            </w:r>
            <w:r w:rsidRPr="004C2A59">
              <w:rPr>
                <w:rFonts w:eastAsia="MS Mincho"/>
                <w:sz w:val="22"/>
                <w:szCs w:val="22"/>
              </w:rPr>
              <w:noBreakHyphen/>
              <w:t>97,9)</w:t>
            </w:r>
          </w:p>
        </w:tc>
      </w:tr>
      <w:tr w:rsidR="005122E6" w:rsidRPr="004C2A59" w14:paraId="2D4242A3" w14:textId="77777777" w:rsidTr="00A125B0">
        <w:trPr>
          <w:cantSplit/>
        </w:trPr>
        <w:tc>
          <w:tcPr>
            <w:tcW w:w="3099" w:type="dxa"/>
            <w:shd w:val="clear" w:color="auto" w:fill="auto"/>
          </w:tcPr>
          <w:p w14:paraId="3564EB89" w14:textId="77777777" w:rsidR="005122E6" w:rsidRPr="004C2A59" w:rsidRDefault="005122E6" w:rsidP="00A125B0">
            <w:pPr>
              <w:keepNext/>
              <w:ind w:left="284"/>
              <w:rPr>
                <w:rFonts w:eastAsia="MS Mincho"/>
                <w:sz w:val="22"/>
                <w:szCs w:val="22"/>
              </w:rPr>
            </w:pPr>
            <w:r w:rsidRPr="004C2A59">
              <w:rPr>
                <w:rFonts w:eastAsia="MS Mincho"/>
                <w:sz w:val="22"/>
                <w:szCs w:val="22"/>
              </w:rPr>
              <w:t>24</w:t>
            </w:r>
            <w:r w:rsidRPr="004C2A59">
              <w:rPr>
                <w:rFonts w:eastAsia="MS Mincho"/>
                <w:sz w:val="22"/>
                <w:szCs w:val="22"/>
                <w:lang w:eastAsia="ja-JP"/>
              </w:rPr>
              <w:t> </w:t>
            </w:r>
            <w:r w:rsidRPr="004C2A59">
              <w:rPr>
                <w:rFonts w:eastAsia="MS Mincho"/>
                <w:sz w:val="22"/>
                <w:szCs w:val="22"/>
              </w:rPr>
              <w:t>måneder</w:t>
            </w:r>
          </w:p>
        </w:tc>
        <w:tc>
          <w:tcPr>
            <w:tcW w:w="3100" w:type="dxa"/>
            <w:shd w:val="clear" w:color="auto" w:fill="auto"/>
          </w:tcPr>
          <w:p w14:paraId="7BACC134" w14:textId="77777777" w:rsidR="005122E6" w:rsidRPr="004C2A59" w:rsidRDefault="005122E6" w:rsidP="00A125B0">
            <w:pPr>
              <w:keepNext/>
              <w:tabs>
                <w:tab w:val="left" w:pos="284"/>
              </w:tabs>
              <w:rPr>
                <w:rFonts w:eastAsia="MS Mincho"/>
                <w:sz w:val="22"/>
                <w:szCs w:val="22"/>
              </w:rPr>
            </w:pPr>
            <w:r w:rsidRPr="004C2A59">
              <w:rPr>
                <w:rFonts w:eastAsia="MS Mincho"/>
                <w:sz w:val="22"/>
                <w:szCs w:val="22"/>
              </w:rPr>
              <w:t>75,4 (68,6</w:t>
            </w:r>
            <w:r w:rsidRPr="004C2A59">
              <w:rPr>
                <w:rFonts w:eastAsia="MS Mincho"/>
                <w:sz w:val="22"/>
                <w:szCs w:val="22"/>
              </w:rPr>
              <w:noBreakHyphen/>
              <w:t>81,0)</w:t>
            </w:r>
          </w:p>
        </w:tc>
        <w:tc>
          <w:tcPr>
            <w:tcW w:w="3100" w:type="dxa"/>
            <w:shd w:val="clear" w:color="auto" w:fill="auto"/>
          </w:tcPr>
          <w:p w14:paraId="2D7CF150" w14:textId="77777777" w:rsidR="005122E6" w:rsidRPr="004C2A59" w:rsidRDefault="005122E6" w:rsidP="00A125B0">
            <w:pPr>
              <w:keepNext/>
              <w:tabs>
                <w:tab w:val="left" w:pos="284"/>
              </w:tabs>
              <w:rPr>
                <w:rFonts w:eastAsia="MS Mincho"/>
                <w:sz w:val="22"/>
                <w:szCs w:val="22"/>
              </w:rPr>
            </w:pPr>
            <w:r w:rsidRPr="004C2A59">
              <w:rPr>
                <w:rFonts w:eastAsia="MS Mincho"/>
                <w:sz w:val="22"/>
                <w:szCs w:val="22"/>
              </w:rPr>
              <w:t>90,7 (85,6</w:t>
            </w:r>
            <w:r w:rsidRPr="004C2A59">
              <w:rPr>
                <w:rFonts w:eastAsia="MS Mincho"/>
                <w:sz w:val="22"/>
                <w:szCs w:val="22"/>
              </w:rPr>
              <w:noBreakHyphen/>
              <w:t>94</w:t>
            </w:r>
            <w:r w:rsidR="000F5A36" w:rsidRPr="004C2A59">
              <w:rPr>
                <w:rFonts w:eastAsia="MS Mincho"/>
                <w:sz w:val="22"/>
                <w:szCs w:val="22"/>
              </w:rPr>
              <w:t>,0</w:t>
            </w:r>
            <w:r w:rsidRPr="004C2A59">
              <w:rPr>
                <w:rFonts w:eastAsia="MS Mincho"/>
                <w:sz w:val="22"/>
                <w:szCs w:val="22"/>
              </w:rPr>
              <w:t>)</w:t>
            </w:r>
          </w:p>
        </w:tc>
      </w:tr>
      <w:tr w:rsidR="005122E6" w:rsidRPr="004C2A59" w14:paraId="63244774" w14:textId="77777777" w:rsidTr="00A125B0">
        <w:trPr>
          <w:cantSplit/>
        </w:trPr>
        <w:tc>
          <w:tcPr>
            <w:tcW w:w="3099" w:type="dxa"/>
            <w:shd w:val="clear" w:color="auto" w:fill="auto"/>
          </w:tcPr>
          <w:p w14:paraId="62032002" w14:textId="77777777" w:rsidR="005122E6" w:rsidRPr="004C2A59" w:rsidRDefault="005122E6" w:rsidP="00A125B0">
            <w:pPr>
              <w:keepNext/>
              <w:ind w:left="284"/>
              <w:rPr>
                <w:rFonts w:eastAsia="MS Mincho"/>
                <w:sz w:val="22"/>
                <w:szCs w:val="22"/>
              </w:rPr>
            </w:pPr>
            <w:r w:rsidRPr="004C2A59">
              <w:rPr>
                <w:rFonts w:eastAsia="MS Mincho"/>
                <w:sz w:val="22"/>
                <w:szCs w:val="22"/>
              </w:rPr>
              <w:t>36</w:t>
            </w:r>
            <w:r w:rsidRPr="004C2A59">
              <w:rPr>
                <w:rFonts w:eastAsia="MS Mincho"/>
                <w:sz w:val="22"/>
                <w:szCs w:val="22"/>
                <w:lang w:eastAsia="ja-JP"/>
              </w:rPr>
              <w:t> </w:t>
            </w:r>
            <w:r w:rsidRPr="004C2A59">
              <w:rPr>
                <w:rFonts w:eastAsia="MS Mincho"/>
                <w:sz w:val="22"/>
                <w:szCs w:val="22"/>
              </w:rPr>
              <w:t>måneder</w:t>
            </w:r>
          </w:p>
        </w:tc>
        <w:tc>
          <w:tcPr>
            <w:tcW w:w="3100" w:type="dxa"/>
            <w:shd w:val="clear" w:color="auto" w:fill="auto"/>
          </w:tcPr>
          <w:p w14:paraId="2CEFE0CB" w14:textId="77777777" w:rsidR="005122E6" w:rsidRPr="004C2A59" w:rsidRDefault="005122E6" w:rsidP="00A125B0">
            <w:pPr>
              <w:keepNext/>
              <w:tabs>
                <w:tab w:val="left" w:pos="284"/>
              </w:tabs>
              <w:rPr>
                <w:rFonts w:eastAsia="MS Mincho"/>
                <w:sz w:val="22"/>
                <w:szCs w:val="22"/>
              </w:rPr>
            </w:pPr>
            <w:r w:rsidRPr="004C2A59">
              <w:rPr>
                <w:rFonts w:eastAsia="MS Mincho"/>
                <w:sz w:val="22"/>
                <w:szCs w:val="22"/>
              </w:rPr>
              <w:t>60,1 (52,5</w:t>
            </w:r>
            <w:r w:rsidRPr="004C2A59">
              <w:rPr>
                <w:rFonts w:eastAsia="MS Mincho"/>
                <w:sz w:val="22"/>
                <w:szCs w:val="22"/>
              </w:rPr>
              <w:noBreakHyphen/>
              <w:t>66,9)</w:t>
            </w:r>
          </w:p>
        </w:tc>
        <w:tc>
          <w:tcPr>
            <w:tcW w:w="3100" w:type="dxa"/>
            <w:shd w:val="clear" w:color="auto" w:fill="auto"/>
          </w:tcPr>
          <w:p w14:paraId="098F8D16" w14:textId="77777777" w:rsidR="005122E6" w:rsidRPr="004C2A59" w:rsidRDefault="005122E6" w:rsidP="00A125B0">
            <w:pPr>
              <w:keepNext/>
              <w:tabs>
                <w:tab w:val="left" w:pos="284"/>
              </w:tabs>
              <w:rPr>
                <w:rFonts w:eastAsia="MS Mincho"/>
                <w:sz w:val="22"/>
                <w:szCs w:val="22"/>
              </w:rPr>
            </w:pPr>
            <w:r w:rsidRPr="004C2A59">
              <w:rPr>
                <w:rFonts w:eastAsia="MS Mincho"/>
                <w:sz w:val="22"/>
                <w:szCs w:val="22"/>
              </w:rPr>
              <w:t>86,6 (80,8</w:t>
            </w:r>
            <w:r w:rsidRPr="004C2A59">
              <w:rPr>
                <w:rFonts w:eastAsia="MS Mincho"/>
                <w:sz w:val="22"/>
                <w:szCs w:val="22"/>
              </w:rPr>
              <w:noBreakHyphen/>
              <w:t>90,8)</w:t>
            </w:r>
          </w:p>
        </w:tc>
      </w:tr>
      <w:tr w:rsidR="005122E6" w:rsidRPr="004C2A59" w14:paraId="5C470975" w14:textId="77777777" w:rsidTr="00A125B0">
        <w:trPr>
          <w:cantSplit/>
        </w:trPr>
        <w:tc>
          <w:tcPr>
            <w:tcW w:w="3099" w:type="dxa"/>
            <w:shd w:val="clear" w:color="auto" w:fill="auto"/>
          </w:tcPr>
          <w:p w14:paraId="01D60B68" w14:textId="77777777" w:rsidR="005122E6" w:rsidRPr="004C2A59" w:rsidRDefault="005122E6" w:rsidP="00A125B0">
            <w:pPr>
              <w:keepNext/>
              <w:ind w:left="284"/>
              <w:rPr>
                <w:rFonts w:eastAsia="MS Mincho"/>
                <w:sz w:val="22"/>
                <w:szCs w:val="22"/>
              </w:rPr>
            </w:pPr>
            <w:r w:rsidRPr="004C2A59">
              <w:rPr>
                <w:rFonts w:eastAsia="MS Mincho"/>
                <w:sz w:val="22"/>
                <w:szCs w:val="22"/>
              </w:rPr>
              <w:t>48</w:t>
            </w:r>
            <w:r w:rsidRPr="004C2A59">
              <w:rPr>
                <w:rFonts w:eastAsia="MS Mincho"/>
                <w:sz w:val="22"/>
                <w:szCs w:val="22"/>
                <w:lang w:eastAsia="ja-JP"/>
              </w:rPr>
              <w:t> </w:t>
            </w:r>
            <w:r w:rsidRPr="004C2A59">
              <w:rPr>
                <w:rFonts w:eastAsia="MS Mincho"/>
                <w:sz w:val="22"/>
                <w:szCs w:val="22"/>
              </w:rPr>
              <w:t>måneder</w:t>
            </w:r>
          </w:p>
        </w:tc>
        <w:tc>
          <w:tcPr>
            <w:tcW w:w="3100" w:type="dxa"/>
            <w:shd w:val="clear" w:color="auto" w:fill="auto"/>
          </w:tcPr>
          <w:p w14:paraId="0B80353B" w14:textId="77777777" w:rsidR="005122E6" w:rsidRPr="004C2A59" w:rsidRDefault="005122E6" w:rsidP="00A125B0">
            <w:pPr>
              <w:keepNext/>
              <w:tabs>
                <w:tab w:val="left" w:pos="284"/>
              </w:tabs>
              <w:rPr>
                <w:rFonts w:eastAsia="MS Mincho"/>
                <w:sz w:val="22"/>
                <w:szCs w:val="22"/>
              </w:rPr>
            </w:pPr>
            <w:r w:rsidRPr="004C2A59">
              <w:rPr>
                <w:rFonts w:eastAsia="MS Mincho"/>
                <w:sz w:val="22"/>
                <w:szCs w:val="22"/>
              </w:rPr>
              <w:t>52,3 (44,0</w:t>
            </w:r>
            <w:r w:rsidRPr="004C2A59">
              <w:rPr>
                <w:rFonts w:eastAsia="MS Mincho"/>
                <w:sz w:val="22"/>
                <w:szCs w:val="22"/>
              </w:rPr>
              <w:noBreakHyphen/>
              <w:t>59,8)</w:t>
            </w:r>
          </w:p>
        </w:tc>
        <w:tc>
          <w:tcPr>
            <w:tcW w:w="3100" w:type="dxa"/>
            <w:shd w:val="clear" w:color="auto" w:fill="auto"/>
          </w:tcPr>
          <w:p w14:paraId="5086BE80" w14:textId="77777777" w:rsidR="005122E6" w:rsidRPr="004C2A59" w:rsidRDefault="005122E6" w:rsidP="00A125B0">
            <w:pPr>
              <w:keepNext/>
              <w:tabs>
                <w:tab w:val="left" w:pos="284"/>
              </w:tabs>
              <w:rPr>
                <w:rFonts w:eastAsia="MS Mincho"/>
                <w:sz w:val="22"/>
                <w:szCs w:val="22"/>
              </w:rPr>
            </w:pPr>
            <w:r w:rsidRPr="004C2A59">
              <w:rPr>
                <w:rFonts w:eastAsia="MS Mincho"/>
                <w:sz w:val="22"/>
                <w:szCs w:val="22"/>
              </w:rPr>
              <w:t>78,3 (70,8</w:t>
            </w:r>
            <w:r w:rsidRPr="004C2A59">
              <w:rPr>
                <w:rFonts w:eastAsia="MS Mincho"/>
                <w:sz w:val="22"/>
                <w:szCs w:val="22"/>
              </w:rPr>
              <w:noBreakHyphen/>
              <w:t>84,1)</w:t>
            </w:r>
          </w:p>
        </w:tc>
      </w:tr>
      <w:tr w:rsidR="005122E6" w:rsidRPr="004C2A59" w14:paraId="2A949CBF" w14:textId="77777777" w:rsidTr="00A125B0">
        <w:trPr>
          <w:cantSplit/>
        </w:trPr>
        <w:tc>
          <w:tcPr>
            <w:tcW w:w="3099" w:type="dxa"/>
            <w:shd w:val="clear" w:color="auto" w:fill="auto"/>
          </w:tcPr>
          <w:p w14:paraId="2C42BDAC" w14:textId="77777777" w:rsidR="005122E6" w:rsidRPr="004C2A59" w:rsidRDefault="005122E6" w:rsidP="00A125B0">
            <w:pPr>
              <w:keepNext/>
              <w:ind w:left="284"/>
              <w:rPr>
                <w:rFonts w:eastAsia="MS Mincho"/>
                <w:sz w:val="22"/>
                <w:szCs w:val="22"/>
              </w:rPr>
            </w:pPr>
            <w:r w:rsidRPr="004C2A59">
              <w:rPr>
                <w:rFonts w:eastAsia="MS Mincho"/>
                <w:sz w:val="22"/>
                <w:szCs w:val="22"/>
              </w:rPr>
              <w:t>60</w:t>
            </w:r>
            <w:r w:rsidRPr="004C2A59">
              <w:rPr>
                <w:rFonts w:eastAsia="MS Mincho"/>
                <w:sz w:val="22"/>
                <w:szCs w:val="22"/>
                <w:lang w:eastAsia="ja-JP"/>
              </w:rPr>
              <w:t> </w:t>
            </w:r>
            <w:r w:rsidRPr="004C2A59">
              <w:rPr>
                <w:rFonts w:eastAsia="MS Mincho"/>
                <w:sz w:val="22"/>
                <w:szCs w:val="22"/>
              </w:rPr>
              <w:t>måneder</w:t>
            </w:r>
          </w:p>
        </w:tc>
        <w:tc>
          <w:tcPr>
            <w:tcW w:w="3100" w:type="dxa"/>
            <w:shd w:val="clear" w:color="auto" w:fill="auto"/>
          </w:tcPr>
          <w:p w14:paraId="1773461B" w14:textId="77777777" w:rsidR="005122E6" w:rsidRPr="004C2A59" w:rsidRDefault="005122E6" w:rsidP="00A125B0">
            <w:pPr>
              <w:keepNext/>
              <w:tabs>
                <w:tab w:val="left" w:pos="284"/>
              </w:tabs>
              <w:rPr>
                <w:rFonts w:eastAsia="MS Mincho"/>
                <w:sz w:val="22"/>
                <w:szCs w:val="22"/>
              </w:rPr>
            </w:pPr>
            <w:r w:rsidRPr="004C2A59">
              <w:rPr>
                <w:rFonts w:eastAsia="MS Mincho"/>
                <w:sz w:val="22"/>
                <w:szCs w:val="22"/>
              </w:rPr>
              <w:t>47,9 (39,0</w:t>
            </w:r>
            <w:r w:rsidRPr="004C2A59">
              <w:rPr>
                <w:rFonts w:eastAsia="MS Mincho"/>
                <w:sz w:val="22"/>
                <w:szCs w:val="22"/>
              </w:rPr>
              <w:noBreakHyphen/>
              <w:t>56,3)</w:t>
            </w:r>
          </w:p>
        </w:tc>
        <w:tc>
          <w:tcPr>
            <w:tcW w:w="3100" w:type="dxa"/>
            <w:shd w:val="clear" w:color="auto" w:fill="auto"/>
          </w:tcPr>
          <w:p w14:paraId="3C552C63" w14:textId="77777777" w:rsidR="005122E6" w:rsidRPr="004C2A59" w:rsidRDefault="005122E6" w:rsidP="00A125B0">
            <w:pPr>
              <w:keepNext/>
              <w:tabs>
                <w:tab w:val="left" w:pos="284"/>
              </w:tabs>
              <w:rPr>
                <w:rFonts w:eastAsia="MS Mincho"/>
                <w:sz w:val="22"/>
                <w:szCs w:val="22"/>
              </w:rPr>
            </w:pPr>
            <w:r w:rsidRPr="004C2A59">
              <w:rPr>
                <w:rFonts w:eastAsia="MS Mincho"/>
                <w:sz w:val="22"/>
                <w:szCs w:val="22"/>
              </w:rPr>
              <w:t>65,6 (56,1</w:t>
            </w:r>
            <w:r w:rsidRPr="004C2A59">
              <w:rPr>
                <w:rFonts w:eastAsia="MS Mincho"/>
                <w:sz w:val="22"/>
                <w:szCs w:val="22"/>
              </w:rPr>
              <w:noBreakHyphen/>
              <w:t>73,4)</w:t>
            </w:r>
          </w:p>
        </w:tc>
      </w:tr>
      <w:tr w:rsidR="005122E6" w:rsidRPr="004C2A59" w14:paraId="314B5AB6" w14:textId="77777777" w:rsidTr="00A125B0">
        <w:trPr>
          <w:cantSplit/>
        </w:trPr>
        <w:tc>
          <w:tcPr>
            <w:tcW w:w="3099" w:type="dxa"/>
            <w:shd w:val="clear" w:color="auto" w:fill="auto"/>
          </w:tcPr>
          <w:p w14:paraId="224E0981" w14:textId="77777777" w:rsidR="005122E6" w:rsidRPr="004C2A59" w:rsidRDefault="005122E6" w:rsidP="00A125B0">
            <w:pPr>
              <w:keepNext/>
              <w:tabs>
                <w:tab w:val="left" w:pos="284"/>
              </w:tabs>
              <w:rPr>
                <w:rFonts w:eastAsia="MS Mincho"/>
                <w:b/>
                <w:sz w:val="22"/>
                <w:szCs w:val="22"/>
              </w:rPr>
            </w:pPr>
            <w:r w:rsidRPr="004C2A59">
              <w:rPr>
                <w:rFonts w:eastAsia="MS Mincho"/>
                <w:b/>
                <w:sz w:val="22"/>
                <w:szCs w:val="22"/>
              </w:rPr>
              <w:t>Overlevelse</w:t>
            </w:r>
          </w:p>
        </w:tc>
        <w:tc>
          <w:tcPr>
            <w:tcW w:w="3100" w:type="dxa"/>
            <w:shd w:val="clear" w:color="auto" w:fill="auto"/>
          </w:tcPr>
          <w:p w14:paraId="26CF6398" w14:textId="77777777" w:rsidR="005122E6" w:rsidRPr="004C2A59" w:rsidRDefault="005122E6" w:rsidP="00A125B0">
            <w:pPr>
              <w:keepNext/>
              <w:tabs>
                <w:tab w:val="left" w:pos="284"/>
              </w:tabs>
              <w:rPr>
                <w:rFonts w:eastAsia="MS Mincho"/>
                <w:sz w:val="22"/>
                <w:szCs w:val="22"/>
              </w:rPr>
            </w:pPr>
          </w:p>
        </w:tc>
        <w:tc>
          <w:tcPr>
            <w:tcW w:w="3100" w:type="dxa"/>
            <w:shd w:val="clear" w:color="auto" w:fill="auto"/>
          </w:tcPr>
          <w:p w14:paraId="7D2C8DDD" w14:textId="77777777" w:rsidR="005122E6" w:rsidRPr="004C2A59" w:rsidRDefault="005122E6" w:rsidP="00A125B0">
            <w:pPr>
              <w:keepNext/>
              <w:tabs>
                <w:tab w:val="left" w:pos="284"/>
              </w:tabs>
              <w:rPr>
                <w:rFonts w:eastAsia="MS Mincho"/>
                <w:sz w:val="22"/>
                <w:szCs w:val="22"/>
              </w:rPr>
            </w:pPr>
          </w:p>
        </w:tc>
      </w:tr>
      <w:tr w:rsidR="005122E6" w:rsidRPr="004C2A59" w14:paraId="38C6D406" w14:textId="77777777" w:rsidTr="00A125B0">
        <w:trPr>
          <w:cantSplit/>
        </w:trPr>
        <w:tc>
          <w:tcPr>
            <w:tcW w:w="3099" w:type="dxa"/>
            <w:shd w:val="clear" w:color="auto" w:fill="auto"/>
          </w:tcPr>
          <w:p w14:paraId="32E3C2AC" w14:textId="77777777" w:rsidR="005122E6" w:rsidRPr="004C2A59" w:rsidRDefault="005122E6" w:rsidP="00A125B0">
            <w:pPr>
              <w:keepNext/>
              <w:ind w:left="284"/>
              <w:rPr>
                <w:rFonts w:eastAsia="MS Mincho"/>
                <w:sz w:val="22"/>
                <w:szCs w:val="22"/>
              </w:rPr>
            </w:pPr>
            <w:r w:rsidRPr="004C2A59">
              <w:rPr>
                <w:rFonts w:eastAsia="MS Mincho"/>
                <w:sz w:val="22"/>
                <w:szCs w:val="22"/>
              </w:rPr>
              <w:t>36</w:t>
            </w:r>
            <w:r w:rsidRPr="004C2A59">
              <w:rPr>
                <w:rFonts w:eastAsia="MS Mincho"/>
                <w:sz w:val="22"/>
                <w:szCs w:val="22"/>
                <w:lang w:eastAsia="ja-JP"/>
              </w:rPr>
              <w:t> </w:t>
            </w:r>
            <w:r w:rsidR="00A125B0">
              <w:rPr>
                <w:rFonts w:eastAsia="MS Mincho"/>
                <w:sz w:val="22"/>
                <w:szCs w:val="22"/>
              </w:rPr>
              <w:t>måneder</w:t>
            </w:r>
          </w:p>
        </w:tc>
        <w:tc>
          <w:tcPr>
            <w:tcW w:w="3100" w:type="dxa"/>
            <w:shd w:val="clear" w:color="auto" w:fill="auto"/>
          </w:tcPr>
          <w:p w14:paraId="66B0100E" w14:textId="77777777" w:rsidR="005122E6" w:rsidRPr="004C2A59" w:rsidRDefault="005122E6" w:rsidP="00A125B0">
            <w:pPr>
              <w:keepNext/>
              <w:tabs>
                <w:tab w:val="left" w:pos="284"/>
              </w:tabs>
              <w:rPr>
                <w:rFonts w:eastAsia="MS Mincho"/>
                <w:sz w:val="22"/>
                <w:szCs w:val="22"/>
              </w:rPr>
            </w:pPr>
            <w:r w:rsidRPr="004C2A59">
              <w:rPr>
                <w:rFonts w:eastAsia="MS Mincho"/>
                <w:sz w:val="22"/>
                <w:szCs w:val="22"/>
              </w:rPr>
              <w:t>94,0 (89,5</w:t>
            </w:r>
            <w:r w:rsidRPr="004C2A59">
              <w:rPr>
                <w:rFonts w:eastAsia="MS Mincho"/>
                <w:sz w:val="22"/>
                <w:szCs w:val="22"/>
              </w:rPr>
              <w:noBreakHyphen/>
              <w:t>96,7)</w:t>
            </w:r>
          </w:p>
        </w:tc>
        <w:tc>
          <w:tcPr>
            <w:tcW w:w="3100" w:type="dxa"/>
            <w:shd w:val="clear" w:color="auto" w:fill="auto"/>
          </w:tcPr>
          <w:p w14:paraId="0B64E58C" w14:textId="77777777" w:rsidR="005122E6" w:rsidRPr="004C2A59" w:rsidRDefault="005122E6" w:rsidP="00A125B0">
            <w:pPr>
              <w:keepNext/>
              <w:tabs>
                <w:tab w:val="left" w:pos="284"/>
              </w:tabs>
              <w:rPr>
                <w:rFonts w:eastAsia="MS Mincho"/>
                <w:sz w:val="22"/>
                <w:szCs w:val="22"/>
              </w:rPr>
            </w:pPr>
            <w:r w:rsidRPr="004C2A59">
              <w:rPr>
                <w:rFonts w:eastAsia="MS Mincho"/>
                <w:sz w:val="22"/>
                <w:szCs w:val="22"/>
              </w:rPr>
              <w:t>96,3 (92,4</w:t>
            </w:r>
            <w:r w:rsidRPr="004C2A59">
              <w:rPr>
                <w:rFonts w:eastAsia="MS Mincho"/>
                <w:sz w:val="22"/>
                <w:szCs w:val="22"/>
              </w:rPr>
              <w:noBreakHyphen/>
              <w:t>98,2)</w:t>
            </w:r>
          </w:p>
        </w:tc>
      </w:tr>
      <w:tr w:rsidR="005122E6" w:rsidRPr="004C2A59" w14:paraId="3B6D3531" w14:textId="77777777" w:rsidTr="00A125B0">
        <w:trPr>
          <w:cantSplit/>
        </w:trPr>
        <w:tc>
          <w:tcPr>
            <w:tcW w:w="3099" w:type="dxa"/>
            <w:shd w:val="clear" w:color="auto" w:fill="auto"/>
          </w:tcPr>
          <w:p w14:paraId="3EC0AB71" w14:textId="77777777" w:rsidR="005122E6" w:rsidRPr="004C2A59" w:rsidRDefault="005122E6" w:rsidP="00A125B0">
            <w:pPr>
              <w:keepNext/>
              <w:ind w:left="284"/>
              <w:rPr>
                <w:rFonts w:eastAsia="MS Mincho"/>
                <w:sz w:val="22"/>
                <w:szCs w:val="22"/>
              </w:rPr>
            </w:pPr>
            <w:r w:rsidRPr="004C2A59">
              <w:rPr>
                <w:rFonts w:eastAsia="MS Mincho"/>
                <w:sz w:val="22"/>
                <w:szCs w:val="22"/>
              </w:rPr>
              <w:t>48</w:t>
            </w:r>
            <w:r w:rsidRPr="004C2A59">
              <w:rPr>
                <w:rFonts w:eastAsia="MS Mincho"/>
                <w:sz w:val="22"/>
                <w:szCs w:val="22"/>
                <w:lang w:eastAsia="ja-JP"/>
              </w:rPr>
              <w:t> </w:t>
            </w:r>
            <w:r w:rsidRPr="004C2A59">
              <w:rPr>
                <w:rFonts w:eastAsia="MS Mincho"/>
                <w:sz w:val="22"/>
                <w:szCs w:val="22"/>
              </w:rPr>
              <w:t>måneder</w:t>
            </w:r>
          </w:p>
        </w:tc>
        <w:tc>
          <w:tcPr>
            <w:tcW w:w="3100" w:type="dxa"/>
            <w:shd w:val="clear" w:color="auto" w:fill="auto"/>
          </w:tcPr>
          <w:p w14:paraId="007DEFE9" w14:textId="77777777" w:rsidR="005122E6" w:rsidRPr="004C2A59" w:rsidRDefault="005122E6" w:rsidP="00A125B0">
            <w:pPr>
              <w:keepNext/>
              <w:tabs>
                <w:tab w:val="left" w:pos="284"/>
              </w:tabs>
              <w:rPr>
                <w:rFonts w:eastAsia="MS Mincho"/>
                <w:sz w:val="22"/>
                <w:szCs w:val="22"/>
              </w:rPr>
            </w:pPr>
            <w:r w:rsidRPr="004C2A59">
              <w:rPr>
                <w:rFonts w:eastAsia="MS Mincho"/>
                <w:sz w:val="22"/>
                <w:szCs w:val="22"/>
              </w:rPr>
              <w:t>87,9 (81,1</w:t>
            </w:r>
            <w:r w:rsidRPr="004C2A59">
              <w:rPr>
                <w:rFonts w:eastAsia="MS Mincho"/>
                <w:sz w:val="22"/>
                <w:szCs w:val="22"/>
              </w:rPr>
              <w:noBreakHyphen/>
              <w:t>92,3)</w:t>
            </w:r>
          </w:p>
        </w:tc>
        <w:tc>
          <w:tcPr>
            <w:tcW w:w="3100" w:type="dxa"/>
            <w:shd w:val="clear" w:color="auto" w:fill="auto"/>
          </w:tcPr>
          <w:p w14:paraId="7A6979A9" w14:textId="77777777" w:rsidR="005122E6" w:rsidRPr="004C2A59" w:rsidRDefault="005122E6" w:rsidP="00A125B0">
            <w:pPr>
              <w:keepNext/>
              <w:tabs>
                <w:tab w:val="left" w:pos="284"/>
              </w:tabs>
              <w:rPr>
                <w:rFonts w:eastAsia="MS Mincho"/>
                <w:sz w:val="22"/>
                <w:szCs w:val="22"/>
              </w:rPr>
            </w:pPr>
            <w:r w:rsidRPr="004C2A59">
              <w:rPr>
                <w:rFonts w:eastAsia="MS Mincho"/>
                <w:sz w:val="22"/>
                <w:szCs w:val="22"/>
              </w:rPr>
              <w:t>95,6 (91,2</w:t>
            </w:r>
            <w:r w:rsidRPr="004C2A59">
              <w:rPr>
                <w:rFonts w:eastAsia="MS Mincho"/>
                <w:sz w:val="22"/>
                <w:szCs w:val="22"/>
              </w:rPr>
              <w:noBreakHyphen/>
              <w:t>97,8)</w:t>
            </w:r>
          </w:p>
        </w:tc>
      </w:tr>
      <w:tr w:rsidR="005122E6" w:rsidRPr="004C2A59" w14:paraId="1B907D44" w14:textId="77777777" w:rsidTr="00A125B0">
        <w:trPr>
          <w:cantSplit/>
        </w:trPr>
        <w:tc>
          <w:tcPr>
            <w:tcW w:w="3099" w:type="dxa"/>
            <w:shd w:val="clear" w:color="auto" w:fill="auto"/>
          </w:tcPr>
          <w:p w14:paraId="679E7449" w14:textId="77777777" w:rsidR="005122E6" w:rsidRPr="004C2A59" w:rsidRDefault="005122E6" w:rsidP="00A125B0">
            <w:pPr>
              <w:ind w:left="284"/>
              <w:rPr>
                <w:rFonts w:eastAsia="MS Mincho"/>
                <w:sz w:val="22"/>
                <w:szCs w:val="22"/>
              </w:rPr>
            </w:pPr>
            <w:r w:rsidRPr="004C2A59">
              <w:rPr>
                <w:rFonts w:eastAsia="MS Mincho"/>
                <w:sz w:val="22"/>
                <w:szCs w:val="22"/>
              </w:rPr>
              <w:t>60</w:t>
            </w:r>
            <w:r w:rsidRPr="004C2A59">
              <w:rPr>
                <w:rFonts w:eastAsia="MS Mincho"/>
                <w:sz w:val="22"/>
                <w:szCs w:val="22"/>
                <w:lang w:eastAsia="ja-JP"/>
              </w:rPr>
              <w:t> </w:t>
            </w:r>
            <w:r w:rsidRPr="004C2A59">
              <w:rPr>
                <w:rFonts w:eastAsia="MS Mincho"/>
                <w:sz w:val="22"/>
                <w:szCs w:val="22"/>
              </w:rPr>
              <w:t>måneder</w:t>
            </w:r>
          </w:p>
        </w:tc>
        <w:tc>
          <w:tcPr>
            <w:tcW w:w="3100" w:type="dxa"/>
            <w:shd w:val="clear" w:color="auto" w:fill="auto"/>
          </w:tcPr>
          <w:p w14:paraId="44E00C68" w14:textId="77777777" w:rsidR="005122E6" w:rsidRPr="004C2A59" w:rsidRDefault="005122E6" w:rsidP="00A125B0">
            <w:pPr>
              <w:tabs>
                <w:tab w:val="left" w:pos="284"/>
              </w:tabs>
              <w:rPr>
                <w:rFonts w:eastAsia="MS Mincho"/>
                <w:sz w:val="22"/>
                <w:szCs w:val="22"/>
              </w:rPr>
            </w:pPr>
            <w:r w:rsidRPr="004C2A59">
              <w:rPr>
                <w:rFonts w:eastAsia="MS Mincho"/>
                <w:sz w:val="22"/>
                <w:szCs w:val="22"/>
              </w:rPr>
              <w:t>81,7 (73,0</w:t>
            </w:r>
            <w:r w:rsidRPr="004C2A59">
              <w:rPr>
                <w:rFonts w:eastAsia="MS Mincho"/>
                <w:sz w:val="22"/>
                <w:szCs w:val="22"/>
              </w:rPr>
              <w:noBreakHyphen/>
              <w:t>87,8)</w:t>
            </w:r>
          </w:p>
        </w:tc>
        <w:tc>
          <w:tcPr>
            <w:tcW w:w="3100" w:type="dxa"/>
            <w:shd w:val="clear" w:color="auto" w:fill="auto"/>
          </w:tcPr>
          <w:p w14:paraId="6248BD3B" w14:textId="77777777" w:rsidR="005122E6" w:rsidRPr="004C2A59" w:rsidRDefault="005122E6" w:rsidP="00A125B0">
            <w:pPr>
              <w:tabs>
                <w:tab w:val="left" w:pos="284"/>
              </w:tabs>
              <w:rPr>
                <w:rFonts w:eastAsia="MS Mincho"/>
                <w:sz w:val="22"/>
                <w:szCs w:val="22"/>
              </w:rPr>
            </w:pPr>
            <w:r w:rsidRPr="004C2A59">
              <w:rPr>
                <w:rFonts w:eastAsia="MS Mincho"/>
                <w:sz w:val="22"/>
                <w:szCs w:val="22"/>
              </w:rPr>
              <w:t>92,0 (85,3</w:t>
            </w:r>
            <w:r w:rsidRPr="004C2A59">
              <w:rPr>
                <w:rFonts w:eastAsia="MS Mincho"/>
                <w:sz w:val="22"/>
                <w:szCs w:val="22"/>
              </w:rPr>
              <w:noBreakHyphen/>
              <w:t>95,7)</w:t>
            </w:r>
          </w:p>
        </w:tc>
      </w:tr>
    </w:tbl>
    <w:p w14:paraId="112264B6" w14:textId="77777777" w:rsidR="005122E6" w:rsidRPr="004C2A59" w:rsidRDefault="005122E6" w:rsidP="00421681">
      <w:pPr>
        <w:rPr>
          <w:rFonts w:eastAsia="MS Mincho"/>
          <w:sz w:val="22"/>
          <w:szCs w:val="22"/>
        </w:rPr>
      </w:pPr>
    </w:p>
    <w:p w14:paraId="6F7E46C6" w14:textId="77777777" w:rsidR="005122E6" w:rsidRPr="00F852D1" w:rsidRDefault="00127CCC" w:rsidP="00421681">
      <w:pPr>
        <w:keepNext/>
        <w:tabs>
          <w:tab w:val="left" w:pos="1134"/>
        </w:tabs>
        <w:ind w:left="1134" w:hanging="1134"/>
        <w:outlineLvl w:val="6"/>
        <w:rPr>
          <w:rFonts w:eastAsia="MS Mincho"/>
          <w:b/>
          <w:sz w:val="22"/>
          <w:szCs w:val="22"/>
          <w:lang w:val="nb-NO"/>
        </w:rPr>
      </w:pPr>
      <w:r w:rsidRPr="004C2A59">
        <w:rPr>
          <w:noProof/>
          <w:lang w:val="en-GB" w:eastAsia="en-GB"/>
        </w:rPr>
        <mc:AlternateContent>
          <mc:Choice Requires="wps">
            <w:drawing>
              <wp:anchor distT="0" distB="0" distL="114300" distR="114300" simplePos="0" relativeHeight="251652096" behindDoc="0" locked="0" layoutInCell="1" allowOverlap="1" wp14:anchorId="137D0A98" wp14:editId="3F0C36EB">
                <wp:simplePos x="0" y="0"/>
                <wp:positionH relativeFrom="column">
                  <wp:posOffset>-302895</wp:posOffset>
                </wp:positionH>
                <wp:positionV relativeFrom="paragraph">
                  <wp:posOffset>146685</wp:posOffset>
                </wp:positionV>
                <wp:extent cx="335915" cy="29464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C296B2" w14:textId="77777777" w:rsidR="00DA2798" w:rsidRPr="00A33DBA" w:rsidRDefault="00DA2798" w:rsidP="005122E6">
                            <w:pPr>
                              <w:rPr>
                                <w:rFonts w:ascii="Arial" w:hAnsi="Arial" w:cs="Arial"/>
                              </w:rPr>
                            </w:pPr>
                            <w:r>
                              <w:rPr>
                                <w:rFonts w:ascii="Arial" w:hAnsi="Arial" w:cs="Arial"/>
                              </w:rPr>
                              <w:t>Sandsynlighed for recidivfri overlevelse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7D0A98" id="_x0000_t202" coordsize="21600,21600" o:spt="202" path="m,l,21600r21600,l21600,xe">
                <v:stroke joinstyle="miter"/>
                <v:path gradientshapeok="t" o:connecttype="rect"/>
              </v:shapetype>
              <v:shape id="Text Box 2" o:spid="_x0000_s1026" type="#_x0000_t202" style="position:absolute;left:0;text-align:left;margin-left:-23.85pt;margin-top:11.55pt;width:26.45pt;height:2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" stroked="f">
                <v:fill opacity="0"/>
                <v:textbox style="layout-flow:vertical;mso-layout-flow-alt:bottom-to-top">
                  <w:txbxContent>
                    <w:p w14:paraId="10C296B2" w14:textId="77777777" w:rsidR="00DA2798" w:rsidRPr="00A33DBA" w:rsidRDefault="00DA2798" w:rsidP="005122E6">
                      <w:pPr>
                        <w:rPr>
                          <w:rFonts w:ascii="Arial" w:hAnsi="Arial" w:cs="Arial"/>
                        </w:rPr>
                      </w:pPr>
                      <w:r>
                        <w:rPr>
                          <w:rFonts w:ascii="Arial" w:hAnsi="Arial" w:cs="Arial"/>
                        </w:rPr>
                        <w:t>Sandsynlighed for recidivfri overlevelse</w:t>
                      </w:r>
                    </w:p>
                  </w:txbxContent>
                </v:textbox>
              </v:shape>
            </w:pict>
          </mc:Fallback>
        </mc:AlternateContent>
      </w:r>
      <w:r w:rsidR="005122E6" w:rsidRPr="00F852D1">
        <w:rPr>
          <w:rFonts w:eastAsia="MS Mincho"/>
          <w:b/>
          <w:sz w:val="22"/>
          <w:szCs w:val="22"/>
          <w:lang w:val="nb-NO"/>
        </w:rPr>
        <w:t>Figur 1</w:t>
      </w:r>
      <w:r w:rsidR="005122E6" w:rsidRPr="00F852D1">
        <w:rPr>
          <w:rFonts w:eastAsia="MS Mincho"/>
          <w:b/>
          <w:sz w:val="22"/>
          <w:szCs w:val="22"/>
          <w:lang w:val="nb-NO"/>
        </w:rPr>
        <w:tab/>
        <w:t>Kaplan-Meier</w:t>
      </w:r>
      <w:r w:rsidR="0026493E" w:rsidRPr="00F852D1">
        <w:rPr>
          <w:rFonts w:eastAsia="MS Mincho"/>
          <w:b/>
          <w:sz w:val="22"/>
          <w:szCs w:val="22"/>
          <w:lang w:val="nb-NO"/>
        </w:rPr>
        <w:t>-</w:t>
      </w:r>
      <w:r w:rsidR="005122E6" w:rsidRPr="00F852D1">
        <w:rPr>
          <w:rFonts w:eastAsia="MS Mincho"/>
          <w:b/>
          <w:sz w:val="22"/>
          <w:szCs w:val="22"/>
          <w:lang w:val="nb-NO"/>
        </w:rPr>
        <w:t>end</w:t>
      </w:r>
      <w:r w:rsidR="0026493E" w:rsidRPr="00F852D1">
        <w:rPr>
          <w:rFonts w:eastAsia="MS Mincho"/>
          <w:b/>
          <w:sz w:val="22"/>
          <w:szCs w:val="22"/>
          <w:lang w:val="nb-NO"/>
        </w:rPr>
        <w:t>epunkts</w:t>
      </w:r>
      <w:r w:rsidR="005122E6" w:rsidRPr="00F852D1">
        <w:rPr>
          <w:rFonts w:eastAsia="MS Mincho"/>
          <w:b/>
          <w:sz w:val="22"/>
          <w:szCs w:val="22"/>
          <w:lang w:val="nb-NO"/>
        </w:rPr>
        <w:t>-estimater for primær recidivfri overlevelse (ITT</w:t>
      </w:r>
      <w:r w:rsidR="0026493E" w:rsidRPr="00F852D1">
        <w:rPr>
          <w:rFonts w:eastAsia="MS Mincho"/>
          <w:b/>
          <w:sz w:val="22"/>
          <w:szCs w:val="22"/>
          <w:lang w:val="nb-NO"/>
        </w:rPr>
        <w:t>-</w:t>
      </w:r>
      <w:r w:rsidR="005122E6" w:rsidRPr="00F852D1">
        <w:rPr>
          <w:rFonts w:eastAsia="MS Mincho"/>
          <w:b/>
          <w:sz w:val="22"/>
          <w:szCs w:val="22"/>
          <w:lang w:val="nb-NO"/>
        </w:rPr>
        <w:t>population)</w:t>
      </w:r>
    </w:p>
    <w:p w14:paraId="5A6DFDA8" w14:textId="77777777" w:rsidR="005122E6" w:rsidRPr="00F852D1" w:rsidRDefault="005122E6" w:rsidP="00421681">
      <w:pPr>
        <w:keepNext/>
        <w:widowControl w:val="0"/>
        <w:rPr>
          <w:noProof/>
          <w:sz w:val="22"/>
          <w:szCs w:val="22"/>
          <w:lang w:val="nb-NO"/>
        </w:rPr>
      </w:pPr>
    </w:p>
    <w:p w14:paraId="48A90D3E" w14:textId="77777777" w:rsidR="005122E6" w:rsidRPr="004C2A59" w:rsidRDefault="00127CCC" w:rsidP="00421681">
      <w:pPr>
        <w:rPr>
          <w:noProof/>
          <w:sz w:val="22"/>
          <w:szCs w:val="22"/>
        </w:rPr>
      </w:pPr>
      <w:r w:rsidRPr="004C2A59">
        <w:rPr>
          <w:noProof/>
          <w:lang w:val="en-GB" w:eastAsia="en-GB"/>
        </w:rPr>
        <mc:AlternateContent>
          <mc:Choice Requires="wps">
            <w:drawing>
              <wp:anchor distT="0" distB="0" distL="114300" distR="114300" simplePos="0" relativeHeight="251653120" behindDoc="0" locked="0" layoutInCell="1" allowOverlap="1" wp14:anchorId="52A3BD12" wp14:editId="6E99445C">
                <wp:simplePos x="0" y="0"/>
                <wp:positionH relativeFrom="column">
                  <wp:posOffset>350520</wp:posOffset>
                </wp:positionH>
                <wp:positionV relativeFrom="paragraph">
                  <wp:posOffset>1271270</wp:posOffset>
                </wp:positionV>
                <wp:extent cx="4585335" cy="13277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327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229"/>
                              <w:gridCol w:w="851"/>
                              <w:gridCol w:w="709"/>
                              <w:gridCol w:w="850"/>
                            </w:tblGrid>
                            <w:tr w:rsidR="00DA2798" w:rsidRPr="00B332DB" w14:paraId="1CEC8C88" w14:textId="77777777" w:rsidTr="008101B1">
                              <w:trPr>
                                <w:gridAfter w:val="4"/>
                                <w:wAfter w:w="2639" w:type="dxa"/>
                              </w:trPr>
                              <w:tc>
                                <w:tcPr>
                                  <w:tcW w:w="3281" w:type="dxa"/>
                                  <w:gridSpan w:val="2"/>
                                  <w:shd w:val="clear" w:color="auto" w:fill="auto"/>
                                </w:tcPr>
                                <w:p w14:paraId="0E98808F" w14:textId="77777777" w:rsidR="00DA2798" w:rsidRPr="00B332DB" w:rsidRDefault="00DA2798" w:rsidP="008101B1">
                                  <w:pPr>
                                    <w:rPr>
                                      <w:rFonts w:ascii="Arial" w:hAnsi="Arial" w:cs="Arial"/>
                                    </w:rPr>
                                  </w:pPr>
                                  <w:r w:rsidRPr="00B332DB">
                                    <w:rPr>
                                      <w:rFonts w:ascii="Arial" w:hAnsi="Arial" w:cs="Arial"/>
                                    </w:rPr>
                                    <w:t>P &lt; 0,0001</w:t>
                                  </w:r>
                                </w:p>
                                <w:p w14:paraId="0B88B74F" w14:textId="77777777" w:rsidR="00DA2798" w:rsidRPr="00B332DB" w:rsidRDefault="00DA2798" w:rsidP="008101B1">
                                  <w:pPr>
                                    <w:rPr>
                                      <w:rFonts w:ascii="Arial" w:hAnsi="Arial" w:cs="Arial"/>
                                    </w:rPr>
                                  </w:pPr>
                                  <w:r w:rsidRPr="00B332DB">
                                    <w:rPr>
                                      <w:rFonts w:ascii="Arial" w:hAnsi="Arial" w:cs="Arial"/>
                                    </w:rPr>
                                    <w:t>Hazard ratio 0,46</w:t>
                                  </w:r>
                                </w:p>
                                <w:p w14:paraId="16ECFE82" w14:textId="77777777" w:rsidR="00DA2798" w:rsidRPr="00B332DB" w:rsidRDefault="00DA2798" w:rsidP="0026493E">
                                  <w:pPr>
                                    <w:rPr>
                                      <w:rFonts w:ascii="Arial" w:hAnsi="Arial" w:cs="Arial"/>
                                      <w:lang w:val="de-DE"/>
                                    </w:rPr>
                                  </w:pPr>
                                  <w:r w:rsidRPr="00B332DB">
                                    <w:rPr>
                                      <w:rFonts w:ascii="Arial" w:hAnsi="Arial" w:cs="Arial"/>
                                    </w:rPr>
                                    <w:t>(95% Cl 0,32</w:t>
                                  </w:r>
                                  <w:r w:rsidRPr="00B332DB">
                                    <w:rPr>
                                      <w:rFonts w:ascii="Arial" w:hAnsi="Arial" w:cs="Arial"/>
                                    </w:rPr>
                                    <w:noBreakHyphen/>
                                    <w:t>0,65)</w:t>
                                  </w:r>
                                </w:p>
                              </w:tc>
                            </w:tr>
                            <w:tr w:rsidR="00DA2798" w:rsidRPr="0055776F" w14:paraId="13075EF2" w14:textId="77777777" w:rsidTr="004F6388">
                              <w:tc>
                                <w:tcPr>
                                  <w:tcW w:w="817" w:type="dxa"/>
                                  <w:shd w:val="clear" w:color="auto" w:fill="auto"/>
                                </w:tcPr>
                                <w:p w14:paraId="39D805F0" w14:textId="77777777" w:rsidR="00DA2798" w:rsidRPr="0055776F" w:rsidRDefault="00DA2798" w:rsidP="0030775D">
                                  <w:pPr>
                                    <w:rPr>
                                      <w:rFonts w:ascii="Arial" w:hAnsi="Arial" w:cs="Arial"/>
                                    </w:rPr>
                                  </w:pPr>
                                </w:p>
                              </w:tc>
                              <w:tc>
                                <w:tcPr>
                                  <w:tcW w:w="2693" w:type="dxa"/>
                                  <w:gridSpan w:val="2"/>
                                  <w:shd w:val="clear" w:color="auto" w:fill="auto"/>
                                </w:tcPr>
                                <w:p w14:paraId="2F689B6F" w14:textId="77777777" w:rsidR="00DA2798" w:rsidRPr="00B332DB" w:rsidRDefault="00DA2798" w:rsidP="0030775D">
                                  <w:pPr>
                                    <w:rPr>
                                      <w:rFonts w:ascii="Arial" w:hAnsi="Arial" w:cs="Arial"/>
                                    </w:rPr>
                                  </w:pPr>
                                </w:p>
                              </w:tc>
                              <w:tc>
                                <w:tcPr>
                                  <w:tcW w:w="851" w:type="dxa"/>
                                  <w:tcBorders>
                                    <w:bottom w:val="single" w:sz="4" w:space="0" w:color="auto"/>
                                  </w:tcBorders>
                                  <w:shd w:val="clear" w:color="auto" w:fill="auto"/>
                                </w:tcPr>
                                <w:p w14:paraId="5B1FC398" w14:textId="77777777" w:rsidR="00DA2798" w:rsidRPr="0055776F" w:rsidRDefault="00DA2798" w:rsidP="0030775D">
                                  <w:pPr>
                                    <w:rPr>
                                      <w:rFonts w:ascii="Arial" w:hAnsi="Arial" w:cs="Arial"/>
                                    </w:rPr>
                                  </w:pPr>
                                  <w:r w:rsidRPr="0055776F">
                                    <w:rPr>
                                      <w:rFonts w:ascii="Arial" w:hAnsi="Arial" w:cs="Arial"/>
                                      <w:lang w:val="de-DE"/>
                                    </w:rPr>
                                    <w:t>N</w:t>
                                  </w:r>
                                </w:p>
                              </w:tc>
                              <w:tc>
                                <w:tcPr>
                                  <w:tcW w:w="709" w:type="dxa"/>
                                  <w:tcBorders>
                                    <w:bottom w:val="single" w:sz="4" w:space="0" w:color="auto"/>
                                  </w:tcBorders>
                                  <w:shd w:val="clear" w:color="auto" w:fill="auto"/>
                                </w:tcPr>
                                <w:p w14:paraId="6C9F88FD" w14:textId="77777777" w:rsidR="00DA2798" w:rsidRPr="0055776F" w:rsidRDefault="00DA2798" w:rsidP="0030775D">
                                  <w:pPr>
                                    <w:rPr>
                                      <w:rFonts w:ascii="Arial" w:hAnsi="Arial" w:cs="Arial"/>
                                    </w:rPr>
                                  </w:pPr>
                                  <w:r w:rsidRPr="0055776F">
                                    <w:rPr>
                                      <w:rFonts w:ascii="Arial" w:hAnsi="Arial" w:cs="Arial"/>
                                      <w:lang w:val="de-DE"/>
                                    </w:rPr>
                                    <w:t>Evt</w:t>
                                  </w:r>
                                </w:p>
                              </w:tc>
                              <w:tc>
                                <w:tcPr>
                                  <w:tcW w:w="850" w:type="dxa"/>
                                  <w:tcBorders>
                                    <w:bottom w:val="single" w:sz="4" w:space="0" w:color="auto"/>
                                  </w:tcBorders>
                                  <w:shd w:val="clear" w:color="auto" w:fill="auto"/>
                                </w:tcPr>
                                <w:p w14:paraId="3F574BE5" w14:textId="77777777" w:rsidR="00DA2798" w:rsidRPr="0055776F" w:rsidRDefault="00DA2798" w:rsidP="0030775D">
                                  <w:pPr>
                                    <w:rPr>
                                      <w:rFonts w:ascii="Arial" w:hAnsi="Arial" w:cs="Arial"/>
                                    </w:rPr>
                                  </w:pPr>
                                  <w:r w:rsidRPr="0055776F">
                                    <w:rPr>
                                      <w:rFonts w:ascii="Arial" w:hAnsi="Arial" w:cs="Arial"/>
                                      <w:lang w:val="de-DE"/>
                                    </w:rPr>
                                    <w:t>Cen</w:t>
                                  </w:r>
                                </w:p>
                              </w:tc>
                            </w:tr>
                            <w:tr w:rsidR="00DA2798" w:rsidRPr="0055776F" w14:paraId="5BDBCC2A" w14:textId="77777777" w:rsidTr="004F6388">
                              <w:tc>
                                <w:tcPr>
                                  <w:tcW w:w="817" w:type="dxa"/>
                                  <w:shd w:val="clear" w:color="auto" w:fill="auto"/>
                                </w:tcPr>
                                <w:p w14:paraId="1CD219B9" w14:textId="77777777" w:rsidR="00DA2798" w:rsidRPr="0055776F" w:rsidRDefault="00DA2798" w:rsidP="0030775D">
                                  <w:pPr>
                                    <w:rPr>
                                      <w:rFonts w:ascii="Arial" w:hAnsi="Arial" w:cs="Arial"/>
                                    </w:rPr>
                                  </w:pPr>
                                  <w:r w:rsidRPr="0055776F">
                                    <w:rPr>
                                      <w:rFonts w:ascii="Arial" w:hAnsi="Arial" w:cs="Arial"/>
                                      <w:b/>
                                    </w:rPr>
                                    <w:t>——</w:t>
                                  </w:r>
                                </w:p>
                              </w:tc>
                              <w:tc>
                                <w:tcPr>
                                  <w:tcW w:w="2693" w:type="dxa"/>
                                  <w:gridSpan w:val="2"/>
                                  <w:shd w:val="clear" w:color="auto" w:fill="auto"/>
                                </w:tcPr>
                                <w:p w14:paraId="43317D56" w14:textId="77777777" w:rsidR="00DA2798" w:rsidRPr="00B332DB" w:rsidRDefault="00DA2798" w:rsidP="0030775D">
                                  <w:pPr>
                                    <w:rPr>
                                      <w:rFonts w:ascii="Arial" w:hAnsi="Arial" w:cs="Arial"/>
                                    </w:rPr>
                                  </w:pPr>
                                  <w:r w:rsidRPr="00B332DB">
                                    <w:rPr>
                                      <w:rFonts w:ascii="Arial" w:hAnsi="Arial" w:cs="Arial"/>
                                    </w:rPr>
                                    <w:t>(1) Imatinib 12 mdr.</w:t>
                                  </w:r>
                                </w:p>
                              </w:tc>
                              <w:tc>
                                <w:tcPr>
                                  <w:tcW w:w="851" w:type="dxa"/>
                                  <w:tcBorders>
                                    <w:top w:val="single" w:sz="4" w:space="0" w:color="auto"/>
                                  </w:tcBorders>
                                  <w:shd w:val="clear" w:color="auto" w:fill="auto"/>
                                </w:tcPr>
                                <w:p w14:paraId="5CA22FBF" w14:textId="77777777" w:rsidR="00DA2798" w:rsidRPr="0055776F" w:rsidRDefault="00DA2798" w:rsidP="0030775D">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550E949E" w14:textId="77777777" w:rsidR="00DA2798" w:rsidRPr="0055776F" w:rsidRDefault="00DA2798" w:rsidP="0030775D">
                                  <w:pPr>
                                    <w:rPr>
                                      <w:rFonts w:ascii="Arial" w:hAnsi="Arial" w:cs="Arial"/>
                                    </w:rPr>
                                  </w:pPr>
                                  <w:r w:rsidRPr="0055776F">
                                    <w:rPr>
                                      <w:rFonts w:ascii="Arial" w:hAnsi="Arial" w:cs="Arial"/>
                                    </w:rPr>
                                    <w:t>84</w:t>
                                  </w:r>
                                </w:p>
                              </w:tc>
                              <w:tc>
                                <w:tcPr>
                                  <w:tcW w:w="850" w:type="dxa"/>
                                  <w:tcBorders>
                                    <w:top w:val="single" w:sz="4" w:space="0" w:color="auto"/>
                                  </w:tcBorders>
                                  <w:shd w:val="clear" w:color="auto" w:fill="auto"/>
                                </w:tcPr>
                                <w:p w14:paraId="2B685042" w14:textId="77777777" w:rsidR="00DA2798" w:rsidRPr="0055776F" w:rsidRDefault="00DA2798" w:rsidP="0030775D">
                                  <w:pPr>
                                    <w:rPr>
                                      <w:rFonts w:ascii="Arial" w:hAnsi="Arial" w:cs="Arial"/>
                                    </w:rPr>
                                  </w:pPr>
                                  <w:r w:rsidRPr="0055776F">
                                    <w:rPr>
                                      <w:rFonts w:ascii="Arial" w:hAnsi="Arial" w:cs="Arial"/>
                                    </w:rPr>
                                    <w:t>115</w:t>
                                  </w:r>
                                </w:p>
                              </w:tc>
                            </w:tr>
                            <w:tr w:rsidR="00DA2798" w:rsidRPr="0055776F" w14:paraId="215079B9" w14:textId="77777777" w:rsidTr="004F6388">
                              <w:tc>
                                <w:tcPr>
                                  <w:tcW w:w="817" w:type="dxa"/>
                                  <w:shd w:val="clear" w:color="auto" w:fill="auto"/>
                                </w:tcPr>
                                <w:p w14:paraId="1A345F72" w14:textId="77777777" w:rsidR="00DA2798" w:rsidRPr="0055776F" w:rsidRDefault="00DA2798" w:rsidP="0030775D">
                                  <w:pPr>
                                    <w:rPr>
                                      <w:rFonts w:ascii="Arial" w:hAnsi="Arial" w:cs="Arial"/>
                                    </w:rPr>
                                  </w:pPr>
                                  <w:r w:rsidRPr="0055776F">
                                    <w:rPr>
                                      <w:rFonts w:ascii="Arial" w:hAnsi="Arial" w:cs="Arial"/>
                                    </w:rPr>
                                    <w:t>-----</w:t>
                                  </w:r>
                                </w:p>
                              </w:tc>
                              <w:tc>
                                <w:tcPr>
                                  <w:tcW w:w="2693" w:type="dxa"/>
                                  <w:gridSpan w:val="2"/>
                                  <w:shd w:val="clear" w:color="auto" w:fill="auto"/>
                                </w:tcPr>
                                <w:p w14:paraId="663E5960" w14:textId="77777777" w:rsidR="00DA2798" w:rsidRPr="00B332DB" w:rsidRDefault="00DA2798" w:rsidP="0026493E">
                                  <w:pPr>
                                    <w:rPr>
                                      <w:rFonts w:ascii="Arial" w:hAnsi="Arial" w:cs="Arial"/>
                                    </w:rPr>
                                  </w:pPr>
                                  <w:r w:rsidRPr="00B332DB">
                                    <w:rPr>
                                      <w:rFonts w:ascii="Arial" w:hAnsi="Arial" w:cs="Arial"/>
                                    </w:rPr>
                                    <w:t>(2) Imatinib 36 mdr.</w:t>
                                  </w:r>
                                </w:p>
                              </w:tc>
                              <w:tc>
                                <w:tcPr>
                                  <w:tcW w:w="851" w:type="dxa"/>
                                  <w:tcBorders>
                                    <w:bottom w:val="single" w:sz="4" w:space="0" w:color="auto"/>
                                  </w:tcBorders>
                                  <w:shd w:val="clear" w:color="auto" w:fill="auto"/>
                                </w:tcPr>
                                <w:p w14:paraId="00F7A43A" w14:textId="77777777" w:rsidR="00DA2798" w:rsidRPr="0055776F" w:rsidRDefault="00DA2798" w:rsidP="0030775D">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3763EB36" w14:textId="77777777" w:rsidR="00DA2798" w:rsidRPr="0055776F" w:rsidRDefault="00DA2798" w:rsidP="0030775D">
                                  <w:pPr>
                                    <w:rPr>
                                      <w:rFonts w:ascii="Arial" w:hAnsi="Arial" w:cs="Arial"/>
                                    </w:rPr>
                                  </w:pPr>
                                  <w:r w:rsidRPr="0055776F">
                                    <w:rPr>
                                      <w:rFonts w:ascii="Arial" w:hAnsi="Arial" w:cs="Arial"/>
                                    </w:rPr>
                                    <w:t>50</w:t>
                                  </w:r>
                                </w:p>
                              </w:tc>
                              <w:tc>
                                <w:tcPr>
                                  <w:tcW w:w="850" w:type="dxa"/>
                                  <w:tcBorders>
                                    <w:bottom w:val="single" w:sz="4" w:space="0" w:color="auto"/>
                                  </w:tcBorders>
                                  <w:shd w:val="clear" w:color="auto" w:fill="auto"/>
                                </w:tcPr>
                                <w:p w14:paraId="0F433B8E" w14:textId="77777777" w:rsidR="00DA2798" w:rsidRPr="0055776F" w:rsidRDefault="00DA2798" w:rsidP="0030775D">
                                  <w:pPr>
                                    <w:rPr>
                                      <w:rFonts w:ascii="Arial" w:hAnsi="Arial" w:cs="Arial"/>
                                    </w:rPr>
                                  </w:pPr>
                                  <w:r w:rsidRPr="0055776F">
                                    <w:rPr>
                                      <w:rFonts w:ascii="Arial" w:hAnsi="Arial" w:cs="Arial"/>
                                    </w:rPr>
                                    <w:t>148</w:t>
                                  </w:r>
                                </w:p>
                              </w:tc>
                            </w:tr>
                            <w:tr w:rsidR="00DA2798" w:rsidRPr="0055776F" w14:paraId="191B4418" w14:textId="77777777" w:rsidTr="004F6388">
                              <w:tc>
                                <w:tcPr>
                                  <w:tcW w:w="817" w:type="dxa"/>
                                  <w:shd w:val="clear" w:color="auto" w:fill="auto"/>
                                </w:tcPr>
                                <w:p w14:paraId="275A7E75" w14:textId="77777777" w:rsidR="00DA2798" w:rsidRPr="0055776F" w:rsidRDefault="00DA2798" w:rsidP="0030775D">
                                  <w:pPr>
                                    <w:rPr>
                                      <w:rFonts w:ascii="Arial" w:hAnsi="Arial" w:cs="Arial"/>
                                    </w:rPr>
                                  </w:pPr>
                                  <w:r w:rsidRPr="0055776F">
                                    <w:rPr>
                                      <w:rFonts w:ascii="Arial" w:hAnsi="Arial" w:cs="Arial"/>
                                    </w:rPr>
                                    <w:t>│││</w:t>
                                  </w:r>
                                </w:p>
                              </w:tc>
                              <w:tc>
                                <w:tcPr>
                                  <w:tcW w:w="2693" w:type="dxa"/>
                                  <w:gridSpan w:val="2"/>
                                  <w:shd w:val="clear" w:color="auto" w:fill="auto"/>
                                </w:tcPr>
                                <w:p w14:paraId="55B21695" w14:textId="77777777" w:rsidR="00DA2798" w:rsidRPr="0055776F" w:rsidRDefault="00DA2798" w:rsidP="0030775D">
                                  <w:pPr>
                                    <w:rPr>
                                      <w:rFonts w:ascii="Arial" w:hAnsi="Arial" w:cs="Arial"/>
                                    </w:rPr>
                                  </w:pPr>
                                  <w:r w:rsidRPr="00703B82">
                                    <w:rPr>
                                      <w:rFonts w:ascii="Arial" w:hAnsi="Arial" w:cs="Arial"/>
                                    </w:rPr>
                                    <w:t>Censore</w:t>
                                  </w:r>
                                  <w:r>
                                    <w:rPr>
                                      <w:rFonts w:ascii="Arial" w:hAnsi="Arial" w:cs="Arial"/>
                                    </w:rPr>
                                    <w:t>rede</w:t>
                                  </w:r>
                                  <w:r w:rsidRPr="00703B82">
                                    <w:rPr>
                                      <w:rFonts w:ascii="Arial" w:hAnsi="Arial" w:cs="Arial"/>
                                    </w:rPr>
                                    <w:t xml:space="preserve"> observation</w:t>
                                  </w:r>
                                  <w:r>
                                    <w:rPr>
                                      <w:rFonts w:ascii="Arial" w:hAnsi="Arial" w:cs="Arial"/>
                                    </w:rPr>
                                    <w:t>er</w:t>
                                  </w:r>
                                </w:p>
                              </w:tc>
                              <w:tc>
                                <w:tcPr>
                                  <w:tcW w:w="851" w:type="dxa"/>
                                  <w:tcBorders>
                                    <w:top w:val="single" w:sz="4" w:space="0" w:color="auto"/>
                                  </w:tcBorders>
                                  <w:shd w:val="clear" w:color="auto" w:fill="auto"/>
                                </w:tcPr>
                                <w:p w14:paraId="2C19484B" w14:textId="77777777" w:rsidR="00DA2798" w:rsidRPr="0055776F" w:rsidRDefault="00DA2798" w:rsidP="0030775D">
                                  <w:pPr>
                                    <w:rPr>
                                      <w:rFonts w:ascii="Arial" w:hAnsi="Arial" w:cs="Arial"/>
                                    </w:rPr>
                                  </w:pPr>
                                </w:p>
                              </w:tc>
                              <w:tc>
                                <w:tcPr>
                                  <w:tcW w:w="709" w:type="dxa"/>
                                  <w:tcBorders>
                                    <w:top w:val="single" w:sz="4" w:space="0" w:color="auto"/>
                                  </w:tcBorders>
                                  <w:shd w:val="clear" w:color="auto" w:fill="auto"/>
                                </w:tcPr>
                                <w:p w14:paraId="60F729E1" w14:textId="77777777" w:rsidR="00DA2798" w:rsidRPr="0055776F" w:rsidRDefault="00DA2798" w:rsidP="0030775D">
                                  <w:pPr>
                                    <w:rPr>
                                      <w:rFonts w:ascii="Arial" w:hAnsi="Arial" w:cs="Arial"/>
                                    </w:rPr>
                                  </w:pPr>
                                </w:p>
                              </w:tc>
                              <w:tc>
                                <w:tcPr>
                                  <w:tcW w:w="850" w:type="dxa"/>
                                  <w:tcBorders>
                                    <w:top w:val="single" w:sz="4" w:space="0" w:color="auto"/>
                                  </w:tcBorders>
                                  <w:shd w:val="clear" w:color="auto" w:fill="auto"/>
                                </w:tcPr>
                                <w:p w14:paraId="050E8544" w14:textId="77777777" w:rsidR="00DA2798" w:rsidRPr="0055776F" w:rsidRDefault="00DA2798" w:rsidP="0030775D">
                                  <w:pPr>
                                    <w:rPr>
                                      <w:rFonts w:ascii="Arial" w:hAnsi="Arial" w:cs="Arial"/>
                                    </w:rPr>
                                  </w:pPr>
                                </w:p>
                              </w:tc>
                            </w:tr>
                          </w:tbl>
                          <w:p w14:paraId="460FFDA6" w14:textId="77777777" w:rsidR="00DA2798" w:rsidRPr="00A33DBA" w:rsidRDefault="00DA2798" w:rsidP="005122E6">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A3BD12" id="_x0000_s1027" type="#_x0000_t202" style="position:absolute;margin-left:27.6pt;margin-top:100.1pt;width:361.05pt;height:104.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" filled="f" stroked="f">
                <v:textbox>
                  <w:txbxContent>
                    <w:tbl>
                      <w:tblPr>
                        <w:tblW w:w="0" w:type="auto"/>
                        <w:tblLook w:val="04A0" w:firstRow="1" w:lastRow="0" w:firstColumn="1" w:lastColumn="0" w:noHBand="0" w:noVBand="1"/>
                      </w:tblPr>
                      <w:tblGrid>
                        <w:gridCol w:w="817"/>
                        <w:gridCol w:w="2464"/>
                        <w:gridCol w:w="229"/>
                        <w:gridCol w:w="851"/>
                        <w:gridCol w:w="709"/>
                        <w:gridCol w:w="850"/>
                      </w:tblGrid>
                      <w:tr w:rsidR="00DA2798" w:rsidRPr="00B332DB" w14:paraId="1CEC8C88" w14:textId="77777777" w:rsidTr="008101B1">
                        <w:trPr>
                          <w:gridAfter w:val="4"/>
                          <w:wAfter w:w="2639" w:type="dxa"/>
                        </w:trPr>
                        <w:tc>
                          <w:tcPr>
                            <w:tcW w:w="3281" w:type="dxa"/>
                            <w:gridSpan w:val="2"/>
                            <w:shd w:val="clear" w:color="auto" w:fill="auto"/>
                          </w:tcPr>
                          <w:p w14:paraId="0E98808F" w14:textId="77777777" w:rsidR="00DA2798" w:rsidRPr="00B332DB" w:rsidRDefault="00DA2798" w:rsidP="008101B1">
                            <w:pPr>
                              <w:rPr>
                                <w:rFonts w:ascii="Arial" w:hAnsi="Arial" w:cs="Arial"/>
                              </w:rPr>
                            </w:pPr>
                            <w:r w:rsidRPr="00B332DB">
                              <w:rPr>
                                <w:rFonts w:ascii="Arial" w:hAnsi="Arial" w:cs="Arial"/>
                              </w:rPr>
                              <w:t>P &lt; 0,0001</w:t>
                            </w:r>
                          </w:p>
                          <w:p w14:paraId="0B88B74F" w14:textId="77777777" w:rsidR="00DA2798" w:rsidRPr="00B332DB" w:rsidRDefault="00DA2798" w:rsidP="008101B1">
                            <w:pPr>
                              <w:rPr>
                                <w:rFonts w:ascii="Arial" w:hAnsi="Arial" w:cs="Arial"/>
                              </w:rPr>
                            </w:pPr>
                            <w:r w:rsidRPr="00B332DB">
                              <w:rPr>
                                <w:rFonts w:ascii="Arial" w:hAnsi="Arial" w:cs="Arial"/>
                              </w:rPr>
                              <w:t>Hazard ratio 0,46</w:t>
                            </w:r>
                          </w:p>
                          <w:p w14:paraId="16ECFE82" w14:textId="77777777" w:rsidR="00DA2798" w:rsidRPr="00B332DB" w:rsidRDefault="00DA2798" w:rsidP="0026493E">
                            <w:pPr>
                              <w:rPr>
                                <w:rFonts w:ascii="Arial" w:hAnsi="Arial" w:cs="Arial"/>
                                <w:lang w:val="de-DE"/>
                              </w:rPr>
                            </w:pPr>
                            <w:r w:rsidRPr="00B332DB">
                              <w:rPr>
                                <w:rFonts w:ascii="Arial" w:hAnsi="Arial" w:cs="Arial"/>
                              </w:rPr>
                              <w:t>(95% Cl 0,32</w:t>
                            </w:r>
                            <w:r w:rsidRPr="00B332DB">
                              <w:rPr>
                                <w:rFonts w:ascii="Arial" w:hAnsi="Arial" w:cs="Arial"/>
                              </w:rPr>
                              <w:noBreakHyphen/>
                              <w:t>0,65)</w:t>
                            </w:r>
                          </w:p>
                        </w:tc>
                      </w:tr>
                      <w:tr w:rsidR="00DA2798" w:rsidRPr="0055776F" w14:paraId="13075EF2" w14:textId="77777777" w:rsidTr="004F6388">
                        <w:tc>
                          <w:tcPr>
                            <w:tcW w:w="817" w:type="dxa"/>
                            <w:shd w:val="clear" w:color="auto" w:fill="auto"/>
                          </w:tcPr>
                          <w:p w14:paraId="39D805F0" w14:textId="77777777" w:rsidR="00DA2798" w:rsidRPr="0055776F" w:rsidRDefault="00DA2798" w:rsidP="0030775D">
                            <w:pPr>
                              <w:rPr>
                                <w:rFonts w:ascii="Arial" w:hAnsi="Arial" w:cs="Arial"/>
                              </w:rPr>
                            </w:pPr>
                          </w:p>
                        </w:tc>
                        <w:tc>
                          <w:tcPr>
                            <w:tcW w:w="2693" w:type="dxa"/>
                            <w:gridSpan w:val="2"/>
                            <w:shd w:val="clear" w:color="auto" w:fill="auto"/>
                          </w:tcPr>
                          <w:p w14:paraId="2F689B6F" w14:textId="77777777" w:rsidR="00DA2798" w:rsidRPr="00B332DB" w:rsidRDefault="00DA2798" w:rsidP="0030775D">
                            <w:pPr>
                              <w:rPr>
                                <w:rFonts w:ascii="Arial" w:hAnsi="Arial" w:cs="Arial"/>
                              </w:rPr>
                            </w:pPr>
                          </w:p>
                        </w:tc>
                        <w:tc>
                          <w:tcPr>
                            <w:tcW w:w="851" w:type="dxa"/>
                            <w:tcBorders>
                              <w:bottom w:val="single" w:sz="4" w:space="0" w:color="auto"/>
                            </w:tcBorders>
                            <w:shd w:val="clear" w:color="auto" w:fill="auto"/>
                          </w:tcPr>
                          <w:p w14:paraId="5B1FC398" w14:textId="77777777" w:rsidR="00DA2798" w:rsidRPr="0055776F" w:rsidRDefault="00DA2798" w:rsidP="0030775D">
                            <w:pPr>
                              <w:rPr>
                                <w:rFonts w:ascii="Arial" w:hAnsi="Arial" w:cs="Arial"/>
                              </w:rPr>
                            </w:pPr>
                            <w:r w:rsidRPr="0055776F">
                              <w:rPr>
                                <w:rFonts w:ascii="Arial" w:hAnsi="Arial" w:cs="Arial"/>
                                <w:lang w:val="de-DE"/>
                              </w:rPr>
                              <w:t>N</w:t>
                            </w:r>
                          </w:p>
                        </w:tc>
                        <w:tc>
                          <w:tcPr>
                            <w:tcW w:w="709" w:type="dxa"/>
                            <w:tcBorders>
                              <w:bottom w:val="single" w:sz="4" w:space="0" w:color="auto"/>
                            </w:tcBorders>
                            <w:shd w:val="clear" w:color="auto" w:fill="auto"/>
                          </w:tcPr>
                          <w:p w14:paraId="6C9F88FD" w14:textId="77777777" w:rsidR="00DA2798" w:rsidRPr="0055776F" w:rsidRDefault="00DA2798" w:rsidP="0030775D">
                            <w:pPr>
                              <w:rPr>
                                <w:rFonts w:ascii="Arial" w:hAnsi="Arial" w:cs="Arial"/>
                              </w:rPr>
                            </w:pPr>
                            <w:r w:rsidRPr="0055776F">
                              <w:rPr>
                                <w:rFonts w:ascii="Arial" w:hAnsi="Arial" w:cs="Arial"/>
                                <w:lang w:val="de-DE"/>
                              </w:rPr>
                              <w:t>Evt</w:t>
                            </w:r>
                          </w:p>
                        </w:tc>
                        <w:tc>
                          <w:tcPr>
                            <w:tcW w:w="850" w:type="dxa"/>
                            <w:tcBorders>
                              <w:bottom w:val="single" w:sz="4" w:space="0" w:color="auto"/>
                            </w:tcBorders>
                            <w:shd w:val="clear" w:color="auto" w:fill="auto"/>
                          </w:tcPr>
                          <w:p w14:paraId="3F574BE5" w14:textId="77777777" w:rsidR="00DA2798" w:rsidRPr="0055776F" w:rsidRDefault="00DA2798" w:rsidP="0030775D">
                            <w:pPr>
                              <w:rPr>
                                <w:rFonts w:ascii="Arial" w:hAnsi="Arial" w:cs="Arial"/>
                              </w:rPr>
                            </w:pPr>
                            <w:r w:rsidRPr="0055776F">
                              <w:rPr>
                                <w:rFonts w:ascii="Arial" w:hAnsi="Arial" w:cs="Arial"/>
                                <w:lang w:val="de-DE"/>
                              </w:rPr>
                              <w:t>Cen</w:t>
                            </w:r>
                          </w:p>
                        </w:tc>
                      </w:tr>
                      <w:tr w:rsidR="00DA2798" w:rsidRPr="0055776F" w14:paraId="5BDBCC2A" w14:textId="77777777" w:rsidTr="004F6388">
                        <w:tc>
                          <w:tcPr>
                            <w:tcW w:w="817" w:type="dxa"/>
                            <w:shd w:val="clear" w:color="auto" w:fill="auto"/>
                          </w:tcPr>
                          <w:p w14:paraId="1CD219B9" w14:textId="77777777" w:rsidR="00DA2798" w:rsidRPr="0055776F" w:rsidRDefault="00DA2798" w:rsidP="0030775D">
                            <w:pPr>
                              <w:rPr>
                                <w:rFonts w:ascii="Arial" w:hAnsi="Arial" w:cs="Arial"/>
                              </w:rPr>
                            </w:pPr>
                            <w:r w:rsidRPr="0055776F">
                              <w:rPr>
                                <w:rFonts w:ascii="Arial" w:hAnsi="Arial" w:cs="Arial"/>
                                <w:b/>
                              </w:rPr>
                              <w:t>——</w:t>
                            </w:r>
                          </w:p>
                        </w:tc>
                        <w:tc>
                          <w:tcPr>
                            <w:tcW w:w="2693" w:type="dxa"/>
                            <w:gridSpan w:val="2"/>
                            <w:shd w:val="clear" w:color="auto" w:fill="auto"/>
                          </w:tcPr>
                          <w:p w14:paraId="43317D56" w14:textId="77777777" w:rsidR="00DA2798" w:rsidRPr="00B332DB" w:rsidRDefault="00DA2798" w:rsidP="0030775D">
                            <w:pPr>
                              <w:rPr>
                                <w:rFonts w:ascii="Arial" w:hAnsi="Arial" w:cs="Arial"/>
                              </w:rPr>
                            </w:pPr>
                            <w:r w:rsidRPr="00B332DB">
                              <w:rPr>
                                <w:rFonts w:ascii="Arial" w:hAnsi="Arial" w:cs="Arial"/>
                              </w:rPr>
                              <w:t>(1) Imatinib 12 mdr.</w:t>
                            </w:r>
                          </w:p>
                        </w:tc>
                        <w:tc>
                          <w:tcPr>
                            <w:tcW w:w="851" w:type="dxa"/>
                            <w:tcBorders>
                              <w:top w:val="single" w:sz="4" w:space="0" w:color="auto"/>
                            </w:tcBorders>
                            <w:shd w:val="clear" w:color="auto" w:fill="auto"/>
                          </w:tcPr>
                          <w:p w14:paraId="5CA22FBF" w14:textId="77777777" w:rsidR="00DA2798" w:rsidRPr="0055776F" w:rsidRDefault="00DA2798" w:rsidP="0030775D">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550E949E" w14:textId="77777777" w:rsidR="00DA2798" w:rsidRPr="0055776F" w:rsidRDefault="00DA2798" w:rsidP="0030775D">
                            <w:pPr>
                              <w:rPr>
                                <w:rFonts w:ascii="Arial" w:hAnsi="Arial" w:cs="Arial"/>
                              </w:rPr>
                            </w:pPr>
                            <w:r w:rsidRPr="0055776F">
                              <w:rPr>
                                <w:rFonts w:ascii="Arial" w:hAnsi="Arial" w:cs="Arial"/>
                              </w:rPr>
                              <w:t>84</w:t>
                            </w:r>
                          </w:p>
                        </w:tc>
                        <w:tc>
                          <w:tcPr>
                            <w:tcW w:w="850" w:type="dxa"/>
                            <w:tcBorders>
                              <w:top w:val="single" w:sz="4" w:space="0" w:color="auto"/>
                            </w:tcBorders>
                            <w:shd w:val="clear" w:color="auto" w:fill="auto"/>
                          </w:tcPr>
                          <w:p w14:paraId="2B685042" w14:textId="77777777" w:rsidR="00DA2798" w:rsidRPr="0055776F" w:rsidRDefault="00DA2798" w:rsidP="0030775D">
                            <w:pPr>
                              <w:rPr>
                                <w:rFonts w:ascii="Arial" w:hAnsi="Arial" w:cs="Arial"/>
                              </w:rPr>
                            </w:pPr>
                            <w:r w:rsidRPr="0055776F">
                              <w:rPr>
                                <w:rFonts w:ascii="Arial" w:hAnsi="Arial" w:cs="Arial"/>
                              </w:rPr>
                              <w:t>115</w:t>
                            </w:r>
                          </w:p>
                        </w:tc>
                      </w:tr>
                      <w:tr w:rsidR="00DA2798" w:rsidRPr="0055776F" w14:paraId="215079B9" w14:textId="77777777" w:rsidTr="004F6388">
                        <w:tc>
                          <w:tcPr>
                            <w:tcW w:w="817" w:type="dxa"/>
                            <w:shd w:val="clear" w:color="auto" w:fill="auto"/>
                          </w:tcPr>
                          <w:p w14:paraId="1A345F72" w14:textId="77777777" w:rsidR="00DA2798" w:rsidRPr="0055776F" w:rsidRDefault="00DA2798" w:rsidP="0030775D">
                            <w:pPr>
                              <w:rPr>
                                <w:rFonts w:ascii="Arial" w:hAnsi="Arial" w:cs="Arial"/>
                              </w:rPr>
                            </w:pPr>
                            <w:r w:rsidRPr="0055776F">
                              <w:rPr>
                                <w:rFonts w:ascii="Arial" w:hAnsi="Arial" w:cs="Arial"/>
                              </w:rPr>
                              <w:t>-----</w:t>
                            </w:r>
                          </w:p>
                        </w:tc>
                        <w:tc>
                          <w:tcPr>
                            <w:tcW w:w="2693" w:type="dxa"/>
                            <w:gridSpan w:val="2"/>
                            <w:shd w:val="clear" w:color="auto" w:fill="auto"/>
                          </w:tcPr>
                          <w:p w14:paraId="663E5960" w14:textId="77777777" w:rsidR="00DA2798" w:rsidRPr="00B332DB" w:rsidRDefault="00DA2798" w:rsidP="0026493E">
                            <w:pPr>
                              <w:rPr>
                                <w:rFonts w:ascii="Arial" w:hAnsi="Arial" w:cs="Arial"/>
                              </w:rPr>
                            </w:pPr>
                            <w:r w:rsidRPr="00B332DB">
                              <w:rPr>
                                <w:rFonts w:ascii="Arial" w:hAnsi="Arial" w:cs="Arial"/>
                              </w:rPr>
                              <w:t>(2) Imatinib 36 mdr.</w:t>
                            </w:r>
                          </w:p>
                        </w:tc>
                        <w:tc>
                          <w:tcPr>
                            <w:tcW w:w="851" w:type="dxa"/>
                            <w:tcBorders>
                              <w:bottom w:val="single" w:sz="4" w:space="0" w:color="auto"/>
                            </w:tcBorders>
                            <w:shd w:val="clear" w:color="auto" w:fill="auto"/>
                          </w:tcPr>
                          <w:p w14:paraId="00F7A43A" w14:textId="77777777" w:rsidR="00DA2798" w:rsidRPr="0055776F" w:rsidRDefault="00DA2798" w:rsidP="0030775D">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3763EB36" w14:textId="77777777" w:rsidR="00DA2798" w:rsidRPr="0055776F" w:rsidRDefault="00DA2798" w:rsidP="0030775D">
                            <w:pPr>
                              <w:rPr>
                                <w:rFonts w:ascii="Arial" w:hAnsi="Arial" w:cs="Arial"/>
                              </w:rPr>
                            </w:pPr>
                            <w:r w:rsidRPr="0055776F">
                              <w:rPr>
                                <w:rFonts w:ascii="Arial" w:hAnsi="Arial" w:cs="Arial"/>
                              </w:rPr>
                              <w:t>50</w:t>
                            </w:r>
                          </w:p>
                        </w:tc>
                        <w:tc>
                          <w:tcPr>
                            <w:tcW w:w="850" w:type="dxa"/>
                            <w:tcBorders>
                              <w:bottom w:val="single" w:sz="4" w:space="0" w:color="auto"/>
                            </w:tcBorders>
                            <w:shd w:val="clear" w:color="auto" w:fill="auto"/>
                          </w:tcPr>
                          <w:p w14:paraId="0F433B8E" w14:textId="77777777" w:rsidR="00DA2798" w:rsidRPr="0055776F" w:rsidRDefault="00DA2798" w:rsidP="0030775D">
                            <w:pPr>
                              <w:rPr>
                                <w:rFonts w:ascii="Arial" w:hAnsi="Arial" w:cs="Arial"/>
                              </w:rPr>
                            </w:pPr>
                            <w:r w:rsidRPr="0055776F">
                              <w:rPr>
                                <w:rFonts w:ascii="Arial" w:hAnsi="Arial" w:cs="Arial"/>
                              </w:rPr>
                              <w:t>148</w:t>
                            </w:r>
                          </w:p>
                        </w:tc>
                      </w:tr>
                      <w:tr w:rsidR="00DA2798" w:rsidRPr="0055776F" w14:paraId="191B4418" w14:textId="77777777" w:rsidTr="004F6388">
                        <w:tc>
                          <w:tcPr>
                            <w:tcW w:w="817" w:type="dxa"/>
                            <w:shd w:val="clear" w:color="auto" w:fill="auto"/>
                          </w:tcPr>
                          <w:p w14:paraId="275A7E75" w14:textId="77777777" w:rsidR="00DA2798" w:rsidRPr="0055776F" w:rsidRDefault="00DA2798" w:rsidP="0030775D">
                            <w:pPr>
                              <w:rPr>
                                <w:rFonts w:ascii="Arial" w:hAnsi="Arial" w:cs="Arial"/>
                              </w:rPr>
                            </w:pPr>
                            <w:r w:rsidRPr="0055776F">
                              <w:rPr>
                                <w:rFonts w:ascii="Arial" w:hAnsi="Arial" w:cs="Arial"/>
                              </w:rPr>
                              <w:t>│││</w:t>
                            </w:r>
                          </w:p>
                        </w:tc>
                        <w:tc>
                          <w:tcPr>
                            <w:tcW w:w="2693" w:type="dxa"/>
                            <w:gridSpan w:val="2"/>
                            <w:shd w:val="clear" w:color="auto" w:fill="auto"/>
                          </w:tcPr>
                          <w:p w14:paraId="55B21695" w14:textId="77777777" w:rsidR="00DA2798" w:rsidRPr="0055776F" w:rsidRDefault="00DA2798" w:rsidP="0030775D">
                            <w:pPr>
                              <w:rPr>
                                <w:rFonts w:ascii="Arial" w:hAnsi="Arial" w:cs="Arial"/>
                              </w:rPr>
                            </w:pPr>
                            <w:r w:rsidRPr="00703B82">
                              <w:rPr>
                                <w:rFonts w:ascii="Arial" w:hAnsi="Arial" w:cs="Arial"/>
                              </w:rPr>
                              <w:t>Censore</w:t>
                            </w:r>
                            <w:r>
                              <w:rPr>
                                <w:rFonts w:ascii="Arial" w:hAnsi="Arial" w:cs="Arial"/>
                              </w:rPr>
                              <w:t>rede</w:t>
                            </w:r>
                            <w:r w:rsidRPr="00703B82">
                              <w:rPr>
                                <w:rFonts w:ascii="Arial" w:hAnsi="Arial" w:cs="Arial"/>
                              </w:rPr>
                              <w:t xml:space="preserve"> observation</w:t>
                            </w:r>
                            <w:r>
                              <w:rPr>
                                <w:rFonts w:ascii="Arial" w:hAnsi="Arial" w:cs="Arial"/>
                              </w:rPr>
                              <w:t>er</w:t>
                            </w:r>
                          </w:p>
                        </w:tc>
                        <w:tc>
                          <w:tcPr>
                            <w:tcW w:w="851" w:type="dxa"/>
                            <w:tcBorders>
                              <w:top w:val="single" w:sz="4" w:space="0" w:color="auto"/>
                            </w:tcBorders>
                            <w:shd w:val="clear" w:color="auto" w:fill="auto"/>
                          </w:tcPr>
                          <w:p w14:paraId="2C19484B" w14:textId="77777777" w:rsidR="00DA2798" w:rsidRPr="0055776F" w:rsidRDefault="00DA2798" w:rsidP="0030775D">
                            <w:pPr>
                              <w:rPr>
                                <w:rFonts w:ascii="Arial" w:hAnsi="Arial" w:cs="Arial"/>
                              </w:rPr>
                            </w:pPr>
                          </w:p>
                        </w:tc>
                        <w:tc>
                          <w:tcPr>
                            <w:tcW w:w="709" w:type="dxa"/>
                            <w:tcBorders>
                              <w:top w:val="single" w:sz="4" w:space="0" w:color="auto"/>
                            </w:tcBorders>
                            <w:shd w:val="clear" w:color="auto" w:fill="auto"/>
                          </w:tcPr>
                          <w:p w14:paraId="60F729E1" w14:textId="77777777" w:rsidR="00DA2798" w:rsidRPr="0055776F" w:rsidRDefault="00DA2798" w:rsidP="0030775D">
                            <w:pPr>
                              <w:rPr>
                                <w:rFonts w:ascii="Arial" w:hAnsi="Arial" w:cs="Arial"/>
                              </w:rPr>
                            </w:pPr>
                          </w:p>
                        </w:tc>
                        <w:tc>
                          <w:tcPr>
                            <w:tcW w:w="850" w:type="dxa"/>
                            <w:tcBorders>
                              <w:top w:val="single" w:sz="4" w:space="0" w:color="auto"/>
                            </w:tcBorders>
                            <w:shd w:val="clear" w:color="auto" w:fill="auto"/>
                          </w:tcPr>
                          <w:p w14:paraId="050E8544" w14:textId="77777777" w:rsidR="00DA2798" w:rsidRPr="0055776F" w:rsidRDefault="00DA2798" w:rsidP="0030775D">
                            <w:pPr>
                              <w:rPr>
                                <w:rFonts w:ascii="Arial" w:hAnsi="Arial" w:cs="Arial"/>
                              </w:rPr>
                            </w:pPr>
                          </w:p>
                        </w:tc>
                      </w:tr>
                    </w:tbl>
                    <w:p w14:paraId="460FFDA6" w14:textId="77777777" w:rsidR="00DA2798" w:rsidRPr="00A33DBA" w:rsidRDefault="00DA2798" w:rsidP="005122E6">
                      <w:pPr>
                        <w:rPr>
                          <w:rFonts w:ascii="Arial" w:hAnsi="Arial" w:cs="Arial"/>
                        </w:rPr>
                      </w:pPr>
                    </w:p>
                  </w:txbxContent>
                </v:textbox>
              </v:shape>
            </w:pict>
          </mc:Fallback>
        </mc:AlternateContent>
      </w:r>
      <w:r w:rsidRPr="004C2A59">
        <w:rPr>
          <w:noProof/>
          <w:lang w:val="en-GB" w:eastAsia="en-GB"/>
        </w:rPr>
        <w:drawing>
          <wp:inline distT="0" distB="0" distL="0" distR="0" wp14:anchorId="08E0820C" wp14:editId="27E9CD51">
            <wp:extent cx="5939790" cy="2679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186DDCFE" w14:textId="77777777" w:rsidR="005122E6" w:rsidRPr="004C2A59" w:rsidRDefault="00127CCC" w:rsidP="00421681">
      <w:pPr>
        <w:rPr>
          <w:noProof/>
          <w:sz w:val="22"/>
          <w:szCs w:val="22"/>
        </w:rPr>
      </w:pPr>
      <w:r w:rsidRPr="004C2A59">
        <w:rPr>
          <w:noProof/>
          <w:sz w:val="22"/>
          <w:szCs w:val="22"/>
          <w:lang w:val="en-GB" w:eastAsia="en-GB"/>
        </w:rPr>
        <mc:AlternateContent>
          <mc:Choice Requires="wps">
            <w:drawing>
              <wp:anchor distT="0" distB="0" distL="114300" distR="114300" simplePos="0" relativeHeight="251654144" behindDoc="0" locked="0" layoutInCell="1" allowOverlap="1" wp14:anchorId="4F7676CA" wp14:editId="0EB7FF79">
                <wp:simplePos x="0" y="0"/>
                <wp:positionH relativeFrom="column">
                  <wp:posOffset>1863090</wp:posOffset>
                </wp:positionH>
                <wp:positionV relativeFrom="paragraph">
                  <wp:posOffset>26035</wp:posOffset>
                </wp:positionV>
                <wp:extent cx="1722755" cy="31686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755" cy="3168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7D8DDA" w14:textId="77777777" w:rsidR="00DA2798" w:rsidRPr="00A33DBA" w:rsidRDefault="00DA2798" w:rsidP="005122E6">
                            <w:pPr>
                              <w:rPr>
                                <w:rFonts w:ascii="Arial" w:hAnsi="Arial" w:cs="Arial"/>
                              </w:rPr>
                            </w:pPr>
                            <w:r>
                              <w:rPr>
                                <w:rFonts w:ascii="Arial" w:hAnsi="Arial" w:cs="Arial"/>
                                <w:lang w:val="de-DE"/>
                              </w:rPr>
                              <w:t>Overlevelsestid i måneder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7676CA" id="_x0000_s1028" type="#_x0000_t202" style="position:absolute;margin-left:146.7pt;margin-top:2.05pt;width:135.65pt;height:24.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" stroked="f">
                <v:fill opacity="0"/>
                <v:textbox>
                  <w:txbxContent>
                    <w:p w14:paraId="227D8DDA" w14:textId="77777777" w:rsidR="00DA2798" w:rsidRPr="00A33DBA" w:rsidRDefault="00DA2798" w:rsidP="005122E6">
                      <w:pPr>
                        <w:rPr>
                          <w:rFonts w:ascii="Arial" w:hAnsi="Arial" w:cs="Arial"/>
                        </w:rPr>
                      </w:pPr>
                      <w:r>
                        <w:rPr>
                          <w:rFonts w:ascii="Arial" w:hAnsi="Arial" w:cs="Arial"/>
                          <w:lang w:val="de-DE"/>
                        </w:rPr>
                        <w:t>Overlevelsestid i måneder</w:t>
                      </w:r>
                    </w:p>
                  </w:txbxContent>
                </v:textbox>
              </v:shape>
            </w:pict>
          </mc:Fallback>
        </mc:AlternateContent>
      </w:r>
    </w:p>
    <w:p w14:paraId="49C3AB1A" w14:textId="77777777" w:rsidR="005122E6" w:rsidRPr="004C2A59" w:rsidRDefault="005122E6" w:rsidP="00421681">
      <w:pPr>
        <w:rPr>
          <w:noProof/>
          <w:sz w:val="22"/>
          <w:szCs w:val="22"/>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5122E6" w:rsidRPr="004C2A59" w14:paraId="646CA567" w14:textId="77777777" w:rsidTr="003B00BE">
        <w:tc>
          <w:tcPr>
            <w:tcW w:w="10599" w:type="dxa"/>
            <w:gridSpan w:val="16"/>
            <w:shd w:val="clear" w:color="auto" w:fill="auto"/>
          </w:tcPr>
          <w:p w14:paraId="7287F270" w14:textId="77777777" w:rsidR="005122E6" w:rsidRPr="004C2A59" w:rsidRDefault="004F6388" w:rsidP="00421681">
            <w:pPr>
              <w:ind w:left="-27"/>
              <w:rPr>
                <w:rFonts w:ascii="Arial" w:hAnsi="Arial" w:cs="Arial"/>
              </w:rPr>
            </w:pPr>
            <w:r w:rsidRPr="004C2A59">
              <w:rPr>
                <w:rFonts w:ascii="Arial" w:hAnsi="Arial" w:cs="Arial"/>
              </w:rPr>
              <w:t>Risiko : Tilfælde</w:t>
            </w:r>
          </w:p>
        </w:tc>
      </w:tr>
      <w:tr w:rsidR="005122E6" w:rsidRPr="004C2A59" w14:paraId="3D69796A" w14:textId="77777777" w:rsidTr="003B00BE">
        <w:tc>
          <w:tcPr>
            <w:tcW w:w="450" w:type="dxa"/>
            <w:shd w:val="clear" w:color="auto" w:fill="auto"/>
          </w:tcPr>
          <w:p w14:paraId="37123DDB" w14:textId="77777777" w:rsidR="005122E6" w:rsidRPr="004C2A59" w:rsidRDefault="005122E6" w:rsidP="00421681">
            <w:pPr>
              <w:rPr>
                <w:sz w:val="18"/>
                <w:szCs w:val="18"/>
              </w:rPr>
            </w:pPr>
            <w:r w:rsidRPr="004C2A59">
              <w:rPr>
                <w:sz w:val="18"/>
                <w:szCs w:val="18"/>
              </w:rPr>
              <w:t>(1)</w:t>
            </w:r>
          </w:p>
        </w:tc>
        <w:tc>
          <w:tcPr>
            <w:tcW w:w="646" w:type="dxa"/>
            <w:shd w:val="clear" w:color="auto" w:fill="auto"/>
          </w:tcPr>
          <w:p w14:paraId="51DBC171" w14:textId="77777777" w:rsidR="005122E6" w:rsidRPr="004C2A59" w:rsidRDefault="005122E6" w:rsidP="00421681">
            <w:pPr>
              <w:ind w:left="-27"/>
              <w:rPr>
                <w:sz w:val="18"/>
                <w:szCs w:val="18"/>
              </w:rPr>
            </w:pPr>
            <w:r w:rsidRPr="004C2A59">
              <w:rPr>
                <w:sz w:val="18"/>
                <w:szCs w:val="18"/>
              </w:rPr>
              <w:t>199:0</w:t>
            </w:r>
          </w:p>
        </w:tc>
        <w:tc>
          <w:tcPr>
            <w:tcW w:w="645" w:type="dxa"/>
            <w:shd w:val="clear" w:color="auto" w:fill="auto"/>
          </w:tcPr>
          <w:p w14:paraId="7698DF71" w14:textId="77777777" w:rsidR="005122E6" w:rsidRPr="004C2A59" w:rsidRDefault="005122E6" w:rsidP="00421681">
            <w:pPr>
              <w:ind w:left="-27"/>
              <w:rPr>
                <w:sz w:val="18"/>
                <w:szCs w:val="18"/>
              </w:rPr>
            </w:pPr>
            <w:r w:rsidRPr="004C2A59">
              <w:rPr>
                <w:sz w:val="18"/>
                <w:szCs w:val="18"/>
              </w:rPr>
              <w:t>182:8</w:t>
            </w:r>
          </w:p>
        </w:tc>
        <w:tc>
          <w:tcPr>
            <w:tcW w:w="745" w:type="dxa"/>
            <w:shd w:val="clear" w:color="auto" w:fill="auto"/>
          </w:tcPr>
          <w:p w14:paraId="61C0F89F" w14:textId="77777777" w:rsidR="005122E6" w:rsidRPr="004C2A59" w:rsidRDefault="005122E6" w:rsidP="00421681">
            <w:pPr>
              <w:ind w:left="-27"/>
              <w:rPr>
                <w:sz w:val="18"/>
                <w:szCs w:val="18"/>
              </w:rPr>
            </w:pPr>
            <w:r w:rsidRPr="004C2A59">
              <w:rPr>
                <w:sz w:val="18"/>
                <w:szCs w:val="18"/>
              </w:rPr>
              <w:t>177:12</w:t>
            </w:r>
          </w:p>
        </w:tc>
        <w:tc>
          <w:tcPr>
            <w:tcW w:w="745" w:type="dxa"/>
            <w:shd w:val="clear" w:color="auto" w:fill="auto"/>
          </w:tcPr>
          <w:p w14:paraId="430ECE4B" w14:textId="77777777" w:rsidR="005122E6" w:rsidRPr="004C2A59" w:rsidRDefault="005122E6" w:rsidP="00421681">
            <w:pPr>
              <w:ind w:left="-27"/>
              <w:rPr>
                <w:sz w:val="18"/>
                <w:szCs w:val="18"/>
              </w:rPr>
            </w:pPr>
            <w:r w:rsidRPr="004C2A59">
              <w:rPr>
                <w:sz w:val="18"/>
                <w:szCs w:val="18"/>
              </w:rPr>
              <w:t>163:25</w:t>
            </w:r>
          </w:p>
        </w:tc>
        <w:tc>
          <w:tcPr>
            <w:tcW w:w="745" w:type="dxa"/>
            <w:shd w:val="clear" w:color="auto" w:fill="auto"/>
          </w:tcPr>
          <w:p w14:paraId="2A0CE79E" w14:textId="77777777" w:rsidR="005122E6" w:rsidRPr="004C2A59" w:rsidRDefault="005122E6" w:rsidP="00421681">
            <w:pPr>
              <w:ind w:left="-27"/>
              <w:rPr>
                <w:sz w:val="18"/>
                <w:szCs w:val="18"/>
              </w:rPr>
            </w:pPr>
            <w:r w:rsidRPr="004C2A59">
              <w:rPr>
                <w:sz w:val="18"/>
                <w:szCs w:val="18"/>
              </w:rPr>
              <w:t>137:46</w:t>
            </w:r>
          </w:p>
        </w:tc>
        <w:tc>
          <w:tcPr>
            <w:tcW w:w="752" w:type="dxa"/>
            <w:shd w:val="clear" w:color="auto" w:fill="auto"/>
          </w:tcPr>
          <w:p w14:paraId="4C1E601B" w14:textId="77777777" w:rsidR="005122E6" w:rsidRPr="004C2A59" w:rsidRDefault="005122E6" w:rsidP="00421681">
            <w:pPr>
              <w:ind w:left="-27"/>
              <w:rPr>
                <w:sz w:val="18"/>
                <w:szCs w:val="18"/>
              </w:rPr>
            </w:pPr>
            <w:r w:rsidRPr="004C2A59">
              <w:rPr>
                <w:sz w:val="18"/>
                <w:szCs w:val="18"/>
              </w:rPr>
              <w:t>105:65</w:t>
            </w:r>
          </w:p>
        </w:tc>
        <w:tc>
          <w:tcPr>
            <w:tcW w:w="745" w:type="dxa"/>
            <w:shd w:val="clear" w:color="auto" w:fill="auto"/>
          </w:tcPr>
          <w:p w14:paraId="4459BF21" w14:textId="77777777" w:rsidR="005122E6" w:rsidRPr="004C2A59" w:rsidRDefault="005122E6" w:rsidP="00421681">
            <w:pPr>
              <w:ind w:left="-27"/>
              <w:rPr>
                <w:sz w:val="18"/>
                <w:szCs w:val="18"/>
              </w:rPr>
            </w:pPr>
            <w:r w:rsidRPr="004C2A59">
              <w:rPr>
                <w:sz w:val="18"/>
                <w:szCs w:val="18"/>
              </w:rPr>
              <w:t>88:72</w:t>
            </w:r>
          </w:p>
        </w:tc>
        <w:tc>
          <w:tcPr>
            <w:tcW w:w="745" w:type="dxa"/>
            <w:shd w:val="clear" w:color="auto" w:fill="auto"/>
          </w:tcPr>
          <w:p w14:paraId="42062E3A" w14:textId="77777777" w:rsidR="005122E6" w:rsidRPr="004C2A59" w:rsidRDefault="005122E6" w:rsidP="00421681">
            <w:pPr>
              <w:ind w:left="-27"/>
              <w:rPr>
                <w:sz w:val="18"/>
                <w:szCs w:val="18"/>
              </w:rPr>
            </w:pPr>
            <w:r w:rsidRPr="004C2A59">
              <w:rPr>
                <w:sz w:val="18"/>
                <w:szCs w:val="18"/>
              </w:rPr>
              <w:t>61:77</w:t>
            </w:r>
          </w:p>
        </w:tc>
        <w:tc>
          <w:tcPr>
            <w:tcW w:w="652" w:type="dxa"/>
            <w:shd w:val="clear" w:color="auto" w:fill="auto"/>
          </w:tcPr>
          <w:p w14:paraId="02284DBA" w14:textId="77777777" w:rsidR="005122E6" w:rsidRPr="004C2A59" w:rsidRDefault="005122E6" w:rsidP="00421681">
            <w:pPr>
              <w:ind w:left="-27"/>
              <w:rPr>
                <w:sz w:val="18"/>
                <w:szCs w:val="18"/>
              </w:rPr>
            </w:pPr>
            <w:r w:rsidRPr="004C2A59">
              <w:rPr>
                <w:sz w:val="18"/>
                <w:szCs w:val="18"/>
              </w:rPr>
              <w:t>49:81</w:t>
            </w:r>
          </w:p>
        </w:tc>
        <w:tc>
          <w:tcPr>
            <w:tcW w:w="652" w:type="dxa"/>
            <w:shd w:val="clear" w:color="auto" w:fill="auto"/>
          </w:tcPr>
          <w:p w14:paraId="5F3A8633" w14:textId="77777777" w:rsidR="005122E6" w:rsidRPr="004C2A59" w:rsidRDefault="005122E6" w:rsidP="00421681">
            <w:pPr>
              <w:ind w:left="-27"/>
              <w:rPr>
                <w:sz w:val="18"/>
                <w:szCs w:val="18"/>
              </w:rPr>
            </w:pPr>
            <w:r w:rsidRPr="004C2A59">
              <w:rPr>
                <w:sz w:val="18"/>
                <w:szCs w:val="18"/>
              </w:rPr>
              <w:t>36:83</w:t>
            </w:r>
          </w:p>
        </w:tc>
        <w:tc>
          <w:tcPr>
            <w:tcW w:w="649" w:type="dxa"/>
            <w:shd w:val="clear" w:color="auto" w:fill="auto"/>
          </w:tcPr>
          <w:p w14:paraId="633B441F" w14:textId="77777777" w:rsidR="005122E6" w:rsidRPr="004C2A59" w:rsidRDefault="005122E6" w:rsidP="00421681">
            <w:pPr>
              <w:ind w:left="-27"/>
              <w:rPr>
                <w:sz w:val="18"/>
                <w:szCs w:val="18"/>
              </w:rPr>
            </w:pPr>
            <w:r w:rsidRPr="004C2A59">
              <w:rPr>
                <w:sz w:val="18"/>
                <w:szCs w:val="18"/>
              </w:rPr>
              <w:t>27:84</w:t>
            </w:r>
          </w:p>
        </w:tc>
        <w:tc>
          <w:tcPr>
            <w:tcW w:w="660" w:type="dxa"/>
            <w:shd w:val="clear" w:color="auto" w:fill="auto"/>
          </w:tcPr>
          <w:p w14:paraId="73B131D3" w14:textId="77777777" w:rsidR="005122E6" w:rsidRPr="004C2A59" w:rsidRDefault="005122E6" w:rsidP="00421681">
            <w:pPr>
              <w:ind w:left="-27"/>
              <w:rPr>
                <w:sz w:val="18"/>
                <w:szCs w:val="18"/>
              </w:rPr>
            </w:pPr>
            <w:r w:rsidRPr="004C2A59">
              <w:rPr>
                <w:sz w:val="18"/>
                <w:szCs w:val="18"/>
              </w:rPr>
              <w:t>14:84</w:t>
            </w:r>
          </w:p>
        </w:tc>
        <w:tc>
          <w:tcPr>
            <w:tcW w:w="649" w:type="dxa"/>
            <w:shd w:val="clear" w:color="auto" w:fill="auto"/>
          </w:tcPr>
          <w:p w14:paraId="6FD16050" w14:textId="77777777" w:rsidR="005122E6" w:rsidRPr="004C2A59" w:rsidRDefault="005122E6" w:rsidP="00421681">
            <w:pPr>
              <w:ind w:left="-27"/>
              <w:rPr>
                <w:sz w:val="18"/>
                <w:szCs w:val="18"/>
              </w:rPr>
            </w:pPr>
            <w:r w:rsidRPr="004C2A59">
              <w:rPr>
                <w:sz w:val="18"/>
                <w:szCs w:val="18"/>
              </w:rPr>
              <w:t>10:84</w:t>
            </w:r>
          </w:p>
        </w:tc>
        <w:tc>
          <w:tcPr>
            <w:tcW w:w="564" w:type="dxa"/>
            <w:shd w:val="clear" w:color="auto" w:fill="auto"/>
          </w:tcPr>
          <w:p w14:paraId="4E68D639" w14:textId="77777777" w:rsidR="005122E6" w:rsidRPr="004C2A59" w:rsidRDefault="005122E6" w:rsidP="00421681">
            <w:pPr>
              <w:ind w:left="-27"/>
              <w:rPr>
                <w:sz w:val="18"/>
                <w:szCs w:val="18"/>
              </w:rPr>
            </w:pPr>
            <w:r w:rsidRPr="004C2A59">
              <w:rPr>
                <w:sz w:val="18"/>
                <w:szCs w:val="18"/>
              </w:rPr>
              <w:t>2:84</w:t>
            </w:r>
          </w:p>
        </w:tc>
        <w:tc>
          <w:tcPr>
            <w:tcW w:w="555" w:type="dxa"/>
            <w:shd w:val="clear" w:color="auto" w:fill="auto"/>
          </w:tcPr>
          <w:p w14:paraId="26EF179C" w14:textId="77777777" w:rsidR="005122E6" w:rsidRPr="004C2A59" w:rsidRDefault="005122E6" w:rsidP="00421681">
            <w:pPr>
              <w:ind w:left="-27"/>
              <w:rPr>
                <w:sz w:val="18"/>
                <w:szCs w:val="18"/>
              </w:rPr>
            </w:pPr>
            <w:r w:rsidRPr="004C2A59">
              <w:rPr>
                <w:sz w:val="18"/>
                <w:szCs w:val="18"/>
              </w:rPr>
              <w:t>0:84</w:t>
            </w:r>
          </w:p>
        </w:tc>
      </w:tr>
      <w:tr w:rsidR="005122E6" w:rsidRPr="004C2A59" w14:paraId="212E954C" w14:textId="77777777" w:rsidTr="003B00BE">
        <w:tc>
          <w:tcPr>
            <w:tcW w:w="450" w:type="dxa"/>
            <w:shd w:val="clear" w:color="auto" w:fill="auto"/>
          </w:tcPr>
          <w:p w14:paraId="1263A4C3" w14:textId="77777777" w:rsidR="005122E6" w:rsidRPr="004C2A59" w:rsidRDefault="005122E6" w:rsidP="00421681">
            <w:pPr>
              <w:rPr>
                <w:sz w:val="18"/>
                <w:szCs w:val="18"/>
              </w:rPr>
            </w:pPr>
            <w:r w:rsidRPr="004C2A59">
              <w:rPr>
                <w:sz w:val="18"/>
                <w:szCs w:val="18"/>
              </w:rPr>
              <w:t>(2)</w:t>
            </w:r>
          </w:p>
        </w:tc>
        <w:tc>
          <w:tcPr>
            <w:tcW w:w="646" w:type="dxa"/>
            <w:shd w:val="clear" w:color="auto" w:fill="auto"/>
          </w:tcPr>
          <w:p w14:paraId="13B48ABC" w14:textId="77777777" w:rsidR="005122E6" w:rsidRPr="004C2A59" w:rsidRDefault="005122E6" w:rsidP="00421681">
            <w:pPr>
              <w:ind w:left="-27"/>
              <w:rPr>
                <w:sz w:val="18"/>
                <w:szCs w:val="18"/>
              </w:rPr>
            </w:pPr>
            <w:r w:rsidRPr="004C2A59">
              <w:rPr>
                <w:sz w:val="18"/>
                <w:szCs w:val="18"/>
              </w:rPr>
              <w:t>198:0</w:t>
            </w:r>
          </w:p>
        </w:tc>
        <w:tc>
          <w:tcPr>
            <w:tcW w:w="645" w:type="dxa"/>
            <w:shd w:val="clear" w:color="auto" w:fill="auto"/>
          </w:tcPr>
          <w:p w14:paraId="103B0320" w14:textId="77777777" w:rsidR="005122E6" w:rsidRPr="004C2A59" w:rsidRDefault="005122E6" w:rsidP="00421681">
            <w:pPr>
              <w:ind w:left="-27"/>
              <w:rPr>
                <w:sz w:val="18"/>
                <w:szCs w:val="18"/>
              </w:rPr>
            </w:pPr>
            <w:r w:rsidRPr="004C2A59">
              <w:rPr>
                <w:sz w:val="18"/>
                <w:szCs w:val="18"/>
              </w:rPr>
              <w:t>189:5</w:t>
            </w:r>
          </w:p>
        </w:tc>
        <w:tc>
          <w:tcPr>
            <w:tcW w:w="745" w:type="dxa"/>
            <w:shd w:val="clear" w:color="auto" w:fill="auto"/>
          </w:tcPr>
          <w:p w14:paraId="42F39846" w14:textId="77777777" w:rsidR="005122E6" w:rsidRPr="004C2A59" w:rsidRDefault="005122E6" w:rsidP="00421681">
            <w:pPr>
              <w:ind w:left="-27"/>
              <w:rPr>
                <w:sz w:val="18"/>
                <w:szCs w:val="18"/>
              </w:rPr>
            </w:pPr>
            <w:r w:rsidRPr="004C2A59">
              <w:rPr>
                <w:sz w:val="18"/>
                <w:szCs w:val="18"/>
              </w:rPr>
              <w:t>184:8</w:t>
            </w:r>
          </w:p>
        </w:tc>
        <w:tc>
          <w:tcPr>
            <w:tcW w:w="745" w:type="dxa"/>
            <w:shd w:val="clear" w:color="auto" w:fill="auto"/>
          </w:tcPr>
          <w:p w14:paraId="1625915F" w14:textId="77777777" w:rsidR="005122E6" w:rsidRPr="004C2A59" w:rsidRDefault="005122E6" w:rsidP="00421681">
            <w:pPr>
              <w:ind w:left="-27"/>
              <w:rPr>
                <w:sz w:val="18"/>
                <w:szCs w:val="18"/>
              </w:rPr>
            </w:pPr>
            <w:r w:rsidRPr="004C2A59">
              <w:rPr>
                <w:sz w:val="18"/>
                <w:szCs w:val="18"/>
              </w:rPr>
              <w:t>181:11</w:t>
            </w:r>
          </w:p>
        </w:tc>
        <w:tc>
          <w:tcPr>
            <w:tcW w:w="745" w:type="dxa"/>
            <w:shd w:val="clear" w:color="auto" w:fill="auto"/>
          </w:tcPr>
          <w:p w14:paraId="3A46981E" w14:textId="77777777" w:rsidR="005122E6" w:rsidRPr="004C2A59" w:rsidRDefault="005122E6" w:rsidP="00421681">
            <w:pPr>
              <w:ind w:left="-27"/>
              <w:rPr>
                <w:sz w:val="18"/>
                <w:szCs w:val="18"/>
              </w:rPr>
            </w:pPr>
            <w:r w:rsidRPr="004C2A59">
              <w:rPr>
                <w:sz w:val="18"/>
                <w:szCs w:val="18"/>
              </w:rPr>
              <w:t>173:18</w:t>
            </w:r>
          </w:p>
        </w:tc>
        <w:tc>
          <w:tcPr>
            <w:tcW w:w="752" w:type="dxa"/>
            <w:shd w:val="clear" w:color="auto" w:fill="auto"/>
          </w:tcPr>
          <w:p w14:paraId="41468FFD" w14:textId="77777777" w:rsidR="005122E6" w:rsidRPr="004C2A59" w:rsidRDefault="005122E6" w:rsidP="00421681">
            <w:pPr>
              <w:ind w:left="-27"/>
              <w:rPr>
                <w:sz w:val="18"/>
                <w:szCs w:val="18"/>
              </w:rPr>
            </w:pPr>
            <w:r w:rsidRPr="004C2A59">
              <w:rPr>
                <w:sz w:val="18"/>
                <w:szCs w:val="18"/>
              </w:rPr>
              <w:t>152:22</w:t>
            </w:r>
          </w:p>
        </w:tc>
        <w:tc>
          <w:tcPr>
            <w:tcW w:w="745" w:type="dxa"/>
            <w:shd w:val="clear" w:color="auto" w:fill="auto"/>
          </w:tcPr>
          <w:p w14:paraId="4B0EB5A0" w14:textId="77777777" w:rsidR="005122E6" w:rsidRPr="004C2A59" w:rsidRDefault="005122E6" w:rsidP="00421681">
            <w:pPr>
              <w:ind w:left="-27"/>
              <w:rPr>
                <w:sz w:val="18"/>
                <w:szCs w:val="18"/>
              </w:rPr>
            </w:pPr>
            <w:r w:rsidRPr="004C2A59">
              <w:rPr>
                <w:sz w:val="18"/>
                <w:szCs w:val="18"/>
              </w:rPr>
              <w:t>133:25</w:t>
            </w:r>
          </w:p>
        </w:tc>
        <w:tc>
          <w:tcPr>
            <w:tcW w:w="745" w:type="dxa"/>
            <w:shd w:val="clear" w:color="auto" w:fill="auto"/>
          </w:tcPr>
          <w:p w14:paraId="0E5A975D" w14:textId="77777777" w:rsidR="005122E6" w:rsidRPr="004C2A59" w:rsidRDefault="005122E6" w:rsidP="00421681">
            <w:pPr>
              <w:ind w:left="-27"/>
              <w:rPr>
                <w:sz w:val="18"/>
                <w:szCs w:val="18"/>
              </w:rPr>
            </w:pPr>
            <w:r w:rsidRPr="004C2A59">
              <w:rPr>
                <w:sz w:val="18"/>
                <w:szCs w:val="18"/>
              </w:rPr>
              <w:t>102:29</w:t>
            </w:r>
          </w:p>
        </w:tc>
        <w:tc>
          <w:tcPr>
            <w:tcW w:w="652" w:type="dxa"/>
            <w:shd w:val="clear" w:color="auto" w:fill="auto"/>
          </w:tcPr>
          <w:p w14:paraId="446D9544" w14:textId="77777777" w:rsidR="005122E6" w:rsidRPr="004C2A59" w:rsidRDefault="005122E6" w:rsidP="00421681">
            <w:pPr>
              <w:ind w:left="-27"/>
              <w:rPr>
                <w:sz w:val="18"/>
                <w:szCs w:val="18"/>
              </w:rPr>
            </w:pPr>
            <w:r w:rsidRPr="004C2A59">
              <w:rPr>
                <w:sz w:val="18"/>
                <w:szCs w:val="18"/>
              </w:rPr>
              <w:t>82:35</w:t>
            </w:r>
          </w:p>
        </w:tc>
        <w:tc>
          <w:tcPr>
            <w:tcW w:w="652" w:type="dxa"/>
            <w:shd w:val="clear" w:color="auto" w:fill="auto"/>
          </w:tcPr>
          <w:p w14:paraId="3B041A4F" w14:textId="77777777" w:rsidR="005122E6" w:rsidRPr="004C2A59" w:rsidRDefault="005122E6" w:rsidP="00421681">
            <w:pPr>
              <w:ind w:left="-27"/>
              <w:rPr>
                <w:sz w:val="18"/>
                <w:szCs w:val="18"/>
              </w:rPr>
            </w:pPr>
            <w:r w:rsidRPr="004C2A59">
              <w:rPr>
                <w:sz w:val="18"/>
                <w:szCs w:val="18"/>
              </w:rPr>
              <w:t>54:46</w:t>
            </w:r>
          </w:p>
        </w:tc>
        <w:tc>
          <w:tcPr>
            <w:tcW w:w="649" w:type="dxa"/>
            <w:shd w:val="clear" w:color="auto" w:fill="auto"/>
          </w:tcPr>
          <w:p w14:paraId="277222EA" w14:textId="77777777" w:rsidR="005122E6" w:rsidRPr="004C2A59" w:rsidRDefault="005122E6" w:rsidP="00421681">
            <w:pPr>
              <w:ind w:left="-27"/>
              <w:rPr>
                <w:sz w:val="18"/>
                <w:szCs w:val="18"/>
              </w:rPr>
            </w:pPr>
            <w:r w:rsidRPr="004C2A59">
              <w:rPr>
                <w:sz w:val="18"/>
                <w:szCs w:val="18"/>
              </w:rPr>
              <w:t>39:47</w:t>
            </w:r>
          </w:p>
        </w:tc>
        <w:tc>
          <w:tcPr>
            <w:tcW w:w="660" w:type="dxa"/>
            <w:shd w:val="clear" w:color="auto" w:fill="auto"/>
          </w:tcPr>
          <w:p w14:paraId="60B23928" w14:textId="77777777" w:rsidR="005122E6" w:rsidRPr="004C2A59" w:rsidRDefault="005122E6" w:rsidP="00421681">
            <w:pPr>
              <w:ind w:left="-27"/>
              <w:rPr>
                <w:sz w:val="18"/>
                <w:szCs w:val="18"/>
              </w:rPr>
            </w:pPr>
            <w:r w:rsidRPr="004C2A59">
              <w:rPr>
                <w:sz w:val="18"/>
                <w:szCs w:val="18"/>
              </w:rPr>
              <w:t>21:49</w:t>
            </w:r>
          </w:p>
        </w:tc>
        <w:tc>
          <w:tcPr>
            <w:tcW w:w="649" w:type="dxa"/>
            <w:shd w:val="clear" w:color="auto" w:fill="auto"/>
          </w:tcPr>
          <w:p w14:paraId="30479EAE" w14:textId="77777777" w:rsidR="005122E6" w:rsidRPr="004C2A59" w:rsidRDefault="005122E6" w:rsidP="00421681">
            <w:pPr>
              <w:ind w:left="-27"/>
              <w:rPr>
                <w:sz w:val="18"/>
                <w:szCs w:val="18"/>
              </w:rPr>
            </w:pPr>
            <w:r w:rsidRPr="004C2A59">
              <w:rPr>
                <w:sz w:val="18"/>
                <w:szCs w:val="18"/>
              </w:rPr>
              <w:t>8:50</w:t>
            </w:r>
          </w:p>
        </w:tc>
        <w:tc>
          <w:tcPr>
            <w:tcW w:w="564" w:type="dxa"/>
            <w:shd w:val="clear" w:color="auto" w:fill="auto"/>
          </w:tcPr>
          <w:p w14:paraId="469F494F" w14:textId="77777777" w:rsidR="005122E6" w:rsidRPr="004C2A59" w:rsidRDefault="005122E6" w:rsidP="00421681">
            <w:pPr>
              <w:ind w:left="-27"/>
              <w:rPr>
                <w:sz w:val="18"/>
                <w:szCs w:val="18"/>
              </w:rPr>
            </w:pPr>
            <w:r w:rsidRPr="004C2A59">
              <w:rPr>
                <w:sz w:val="18"/>
                <w:szCs w:val="18"/>
              </w:rPr>
              <w:t>0:50</w:t>
            </w:r>
          </w:p>
        </w:tc>
        <w:tc>
          <w:tcPr>
            <w:tcW w:w="555" w:type="dxa"/>
            <w:shd w:val="clear" w:color="auto" w:fill="auto"/>
          </w:tcPr>
          <w:p w14:paraId="67CC3C34" w14:textId="77777777" w:rsidR="005122E6" w:rsidRPr="004C2A59" w:rsidRDefault="005122E6" w:rsidP="00421681">
            <w:pPr>
              <w:ind w:left="-27"/>
              <w:rPr>
                <w:sz w:val="18"/>
                <w:szCs w:val="18"/>
              </w:rPr>
            </w:pPr>
          </w:p>
        </w:tc>
      </w:tr>
    </w:tbl>
    <w:p w14:paraId="1322487F" w14:textId="77777777" w:rsidR="005122E6" w:rsidRPr="004C2A59" w:rsidRDefault="005122E6" w:rsidP="00421681">
      <w:pPr>
        <w:widowControl w:val="0"/>
        <w:ind w:left="1134" w:hanging="1134"/>
        <w:outlineLvl w:val="6"/>
        <w:rPr>
          <w:rFonts w:eastAsia="MS Mincho"/>
          <w:sz w:val="22"/>
          <w:szCs w:val="22"/>
        </w:rPr>
      </w:pPr>
    </w:p>
    <w:p w14:paraId="2543F958" w14:textId="77777777" w:rsidR="005122E6" w:rsidRPr="004C2A59" w:rsidRDefault="005122E6" w:rsidP="00421681">
      <w:pPr>
        <w:keepNext/>
        <w:ind w:left="1134" w:hanging="1134"/>
        <w:outlineLvl w:val="6"/>
        <w:rPr>
          <w:rFonts w:eastAsia="MS Mincho"/>
          <w:b/>
          <w:sz w:val="22"/>
          <w:szCs w:val="22"/>
        </w:rPr>
      </w:pPr>
      <w:r w:rsidRPr="004C2A59">
        <w:rPr>
          <w:rFonts w:eastAsia="MS Mincho"/>
          <w:b/>
          <w:sz w:val="22"/>
          <w:szCs w:val="22"/>
        </w:rPr>
        <w:lastRenderedPageBreak/>
        <w:t>Figur 2</w:t>
      </w:r>
      <w:r w:rsidRPr="004C2A59">
        <w:rPr>
          <w:rFonts w:eastAsia="MS Mincho"/>
          <w:b/>
          <w:sz w:val="22"/>
          <w:szCs w:val="22"/>
        </w:rPr>
        <w:tab/>
        <w:t>Kaplan-Meier</w:t>
      </w:r>
      <w:r w:rsidR="0026493E" w:rsidRPr="004C2A59">
        <w:rPr>
          <w:rFonts w:eastAsia="MS Mincho"/>
          <w:b/>
          <w:sz w:val="22"/>
          <w:szCs w:val="22"/>
        </w:rPr>
        <w:t>-</w:t>
      </w:r>
      <w:r w:rsidRPr="004C2A59">
        <w:rPr>
          <w:rFonts w:eastAsia="MS Mincho"/>
          <w:b/>
          <w:sz w:val="22"/>
          <w:szCs w:val="22"/>
        </w:rPr>
        <w:t xml:space="preserve">estimater for </w:t>
      </w:r>
      <w:r w:rsidR="0026493E" w:rsidRPr="004C2A59">
        <w:rPr>
          <w:rFonts w:eastAsia="MS Mincho"/>
          <w:b/>
          <w:sz w:val="22"/>
          <w:szCs w:val="22"/>
        </w:rPr>
        <w:t>total overlevelse</w:t>
      </w:r>
      <w:r w:rsidRPr="004C2A59">
        <w:rPr>
          <w:rFonts w:eastAsia="MS Mincho"/>
          <w:b/>
          <w:sz w:val="22"/>
          <w:szCs w:val="22"/>
        </w:rPr>
        <w:t xml:space="preserve"> (ITT</w:t>
      </w:r>
      <w:r w:rsidR="0026493E" w:rsidRPr="004C2A59">
        <w:rPr>
          <w:rFonts w:eastAsia="MS Mincho"/>
          <w:b/>
          <w:sz w:val="22"/>
          <w:szCs w:val="22"/>
        </w:rPr>
        <w:t>-</w:t>
      </w:r>
      <w:r w:rsidRPr="004C2A59">
        <w:rPr>
          <w:rFonts w:eastAsia="MS Mincho"/>
          <w:b/>
          <w:sz w:val="22"/>
          <w:szCs w:val="22"/>
        </w:rPr>
        <w:t>population)</w:t>
      </w:r>
    </w:p>
    <w:p w14:paraId="3BC16A34" w14:textId="77777777" w:rsidR="005122E6" w:rsidRPr="004C2A59" w:rsidRDefault="005122E6" w:rsidP="00421681">
      <w:pPr>
        <w:keepNext/>
        <w:rPr>
          <w:noProof/>
          <w:sz w:val="22"/>
          <w:szCs w:val="22"/>
        </w:rPr>
      </w:pPr>
    </w:p>
    <w:p w14:paraId="06142071" w14:textId="77777777" w:rsidR="005122E6" w:rsidRPr="004C2A59" w:rsidRDefault="00127CCC" w:rsidP="00421681">
      <w:pPr>
        <w:rPr>
          <w:noProof/>
          <w:sz w:val="22"/>
          <w:szCs w:val="22"/>
        </w:rPr>
      </w:pPr>
      <w:r w:rsidRPr="004C2A59">
        <w:rPr>
          <w:noProof/>
          <w:lang w:val="en-GB" w:eastAsia="en-GB"/>
        </w:rPr>
        <mc:AlternateContent>
          <mc:Choice Requires="wps">
            <w:drawing>
              <wp:anchor distT="0" distB="0" distL="114300" distR="114300" simplePos="0" relativeHeight="251657216" behindDoc="0" locked="0" layoutInCell="1" allowOverlap="1" wp14:anchorId="43D08180" wp14:editId="3104DC59">
                <wp:simplePos x="0" y="0"/>
                <wp:positionH relativeFrom="column">
                  <wp:posOffset>350520</wp:posOffset>
                </wp:positionH>
                <wp:positionV relativeFrom="paragraph">
                  <wp:posOffset>1028065</wp:posOffset>
                </wp:positionV>
                <wp:extent cx="4585335" cy="14287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EDAD8" w14:textId="77777777" w:rsidR="00DA2798" w:rsidRDefault="00DA2798" w:rsidP="004F6388">
                            <w:pPr>
                              <w:rPr>
                                <w:rFonts w:ascii="Arial" w:hAnsi="Arial" w:cs="Arial"/>
                              </w:rPr>
                            </w:pPr>
                          </w:p>
                          <w:tbl>
                            <w:tblPr>
                              <w:tblW w:w="0" w:type="auto"/>
                              <w:tblLook w:val="04A0" w:firstRow="1" w:lastRow="0" w:firstColumn="1" w:lastColumn="0" w:noHBand="0" w:noVBand="1"/>
                            </w:tblPr>
                            <w:tblGrid>
                              <w:gridCol w:w="817"/>
                              <w:gridCol w:w="2835"/>
                              <w:gridCol w:w="851"/>
                              <w:gridCol w:w="709"/>
                              <w:gridCol w:w="850"/>
                            </w:tblGrid>
                            <w:tr w:rsidR="00DA2798" w:rsidRPr="0055776F" w14:paraId="29B6D1A7" w14:textId="77777777" w:rsidTr="004F6388">
                              <w:tc>
                                <w:tcPr>
                                  <w:tcW w:w="6062" w:type="dxa"/>
                                  <w:gridSpan w:val="5"/>
                                  <w:shd w:val="clear" w:color="auto" w:fill="auto"/>
                                </w:tcPr>
                                <w:p w14:paraId="1EFE625E" w14:textId="77777777" w:rsidR="00DA2798" w:rsidRPr="00B5221C" w:rsidRDefault="00DA2798" w:rsidP="0030775D">
                                  <w:pPr>
                                    <w:rPr>
                                      <w:rFonts w:ascii="Arial" w:hAnsi="Arial" w:cs="Arial"/>
                                    </w:rPr>
                                  </w:pPr>
                                  <w:r w:rsidRPr="00B5221C">
                                    <w:rPr>
                                      <w:rFonts w:ascii="Arial" w:hAnsi="Arial" w:cs="Arial"/>
                                    </w:rPr>
                                    <w:t>P = 0,019</w:t>
                                  </w:r>
                                </w:p>
                                <w:p w14:paraId="20107815" w14:textId="77777777" w:rsidR="00DA2798" w:rsidRPr="00B5221C" w:rsidRDefault="00DA2798" w:rsidP="0030775D">
                                  <w:pPr>
                                    <w:rPr>
                                      <w:rFonts w:ascii="Arial" w:hAnsi="Arial" w:cs="Arial"/>
                                    </w:rPr>
                                  </w:pPr>
                                  <w:r w:rsidRPr="00B5221C">
                                    <w:rPr>
                                      <w:rFonts w:ascii="Arial" w:hAnsi="Arial" w:cs="Arial"/>
                                    </w:rPr>
                                    <w:t>Hazard ratio 0,45</w:t>
                                  </w:r>
                                </w:p>
                                <w:p w14:paraId="32DB7F7E" w14:textId="77777777" w:rsidR="00DA2798" w:rsidRPr="00B5221C" w:rsidRDefault="00DA2798" w:rsidP="0026493E">
                                  <w:pPr>
                                    <w:rPr>
                                      <w:rFonts w:ascii="Arial" w:hAnsi="Arial" w:cs="Arial"/>
                                      <w:lang w:val="de-DE"/>
                                    </w:rPr>
                                  </w:pPr>
                                  <w:r w:rsidRPr="00B5221C">
                                    <w:rPr>
                                      <w:rFonts w:ascii="Arial" w:hAnsi="Arial" w:cs="Arial"/>
                                    </w:rPr>
                                    <w:t>(95% Cl 0,22</w:t>
                                  </w:r>
                                  <w:r w:rsidRPr="00B5221C">
                                    <w:rPr>
                                      <w:rFonts w:ascii="Arial" w:hAnsi="Arial" w:cs="Arial"/>
                                    </w:rPr>
                                    <w:noBreakHyphen/>
                                    <w:t>0,89)</w:t>
                                  </w:r>
                                </w:p>
                              </w:tc>
                            </w:tr>
                            <w:tr w:rsidR="00DA2798" w:rsidRPr="0055776F" w14:paraId="6A197ADB" w14:textId="77777777" w:rsidTr="004F6388">
                              <w:tc>
                                <w:tcPr>
                                  <w:tcW w:w="817" w:type="dxa"/>
                                  <w:shd w:val="clear" w:color="auto" w:fill="auto"/>
                                </w:tcPr>
                                <w:p w14:paraId="6595B514" w14:textId="77777777" w:rsidR="00DA2798" w:rsidRPr="0055776F" w:rsidRDefault="00DA2798" w:rsidP="0030775D">
                                  <w:pPr>
                                    <w:rPr>
                                      <w:rFonts w:ascii="Arial" w:hAnsi="Arial" w:cs="Arial"/>
                                    </w:rPr>
                                  </w:pPr>
                                </w:p>
                              </w:tc>
                              <w:tc>
                                <w:tcPr>
                                  <w:tcW w:w="2835" w:type="dxa"/>
                                  <w:shd w:val="clear" w:color="auto" w:fill="auto"/>
                                </w:tcPr>
                                <w:p w14:paraId="3B50B00F" w14:textId="77777777" w:rsidR="00DA2798" w:rsidRPr="00B5221C" w:rsidRDefault="00DA2798" w:rsidP="0030775D">
                                  <w:pPr>
                                    <w:rPr>
                                      <w:rFonts w:ascii="Arial" w:hAnsi="Arial" w:cs="Arial"/>
                                    </w:rPr>
                                  </w:pPr>
                                </w:p>
                              </w:tc>
                              <w:tc>
                                <w:tcPr>
                                  <w:tcW w:w="851" w:type="dxa"/>
                                  <w:tcBorders>
                                    <w:bottom w:val="single" w:sz="4" w:space="0" w:color="auto"/>
                                  </w:tcBorders>
                                  <w:shd w:val="clear" w:color="auto" w:fill="auto"/>
                                </w:tcPr>
                                <w:p w14:paraId="217F0997" w14:textId="77777777" w:rsidR="00DA2798" w:rsidRPr="0055776F" w:rsidRDefault="00DA2798" w:rsidP="0030775D">
                                  <w:pPr>
                                    <w:rPr>
                                      <w:rFonts w:ascii="Arial" w:hAnsi="Arial" w:cs="Arial"/>
                                    </w:rPr>
                                  </w:pPr>
                                  <w:r w:rsidRPr="0055776F">
                                    <w:rPr>
                                      <w:rFonts w:ascii="Arial" w:hAnsi="Arial" w:cs="Arial"/>
                                      <w:lang w:val="de-DE"/>
                                    </w:rPr>
                                    <w:t>N</w:t>
                                  </w:r>
                                </w:p>
                              </w:tc>
                              <w:tc>
                                <w:tcPr>
                                  <w:tcW w:w="709" w:type="dxa"/>
                                  <w:tcBorders>
                                    <w:bottom w:val="single" w:sz="4" w:space="0" w:color="auto"/>
                                  </w:tcBorders>
                                  <w:shd w:val="clear" w:color="auto" w:fill="auto"/>
                                </w:tcPr>
                                <w:p w14:paraId="219FAD0A" w14:textId="77777777" w:rsidR="00DA2798" w:rsidRPr="0055776F" w:rsidRDefault="00DA2798" w:rsidP="0030775D">
                                  <w:pPr>
                                    <w:rPr>
                                      <w:rFonts w:ascii="Arial" w:hAnsi="Arial" w:cs="Arial"/>
                                    </w:rPr>
                                  </w:pPr>
                                  <w:r w:rsidRPr="0055776F">
                                    <w:rPr>
                                      <w:rFonts w:ascii="Arial" w:hAnsi="Arial" w:cs="Arial"/>
                                      <w:lang w:val="de-DE"/>
                                    </w:rPr>
                                    <w:t>Evt</w:t>
                                  </w:r>
                                </w:p>
                              </w:tc>
                              <w:tc>
                                <w:tcPr>
                                  <w:tcW w:w="850" w:type="dxa"/>
                                  <w:tcBorders>
                                    <w:bottom w:val="single" w:sz="4" w:space="0" w:color="auto"/>
                                  </w:tcBorders>
                                  <w:shd w:val="clear" w:color="auto" w:fill="auto"/>
                                </w:tcPr>
                                <w:p w14:paraId="05BE218B" w14:textId="77777777" w:rsidR="00DA2798" w:rsidRPr="0055776F" w:rsidRDefault="00DA2798" w:rsidP="0030775D">
                                  <w:pPr>
                                    <w:rPr>
                                      <w:rFonts w:ascii="Arial" w:hAnsi="Arial" w:cs="Arial"/>
                                    </w:rPr>
                                  </w:pPr>
                                  <w:r w:rsidRPr="0055776F">
                                    <w:rPr>
                                      <w:rFonts w:ascii="Arial" w:hAnsi="Arial" w:cs="Arial"/>
                                      <w:lang w:val="de-DE"/>
                                    </w:rPr>
                                    <w:t>Cen</w:t>
                                  </w:r>
                                </w:p>
                              </w:tc>
                            </w:tr>
                            <w:tr w:rsidR="00DA2798" w:rsidRPr="0055776F" w14:paraId="645FA030" w14:textId="77777777" w:rsidTr="004F6388">
                              <w:tc>
                                <w:tcPr>
                                  <w:tcW w:w="817" w:type="dxa"/>
                                  <w:shd w:val="clear" w:color="auto" w:fill="auto"/>
                                </w:tcPr>
                                <w:p w14:paraId="6E8B0796" w14:textId="77777777" w:rsidR="00DA2798" w:rsidRPr="0055776F" w:rsidRDefault="00DA2798" w:rsidP="0030775D">
                                  <w:pPr>
                                    <w:rPr>
                                      <w:rFonts w:ascii="Arial" w:hAnsi="Arial" w:cs="Arial"/>
                                    </w:rPr>
                                  </w:pPr>
                                  <w:r w:rsidRPr="0055776F">
                                    <w:rPr>
                                      <w:rFonts w:ascii="Arial" w:hAnsi="Arial" w:cs="Arial"/>
                                      <w:b/>
                                    </w:rPr>
                                    <w:t>——</w:t>
                                  </w:r>
                                </w:p>
                              </w:tc>
                              <w:tc>
                                <w:tcPr>
                                  <w:tcW w:w="2835" w:type="dxa"/>
                                  <w:shd w:val="clear" w:color="auto" w:fill="auto"/>
                                </w:tcPr>
                                <w:p w14:paraId="66AEF223" w14:textId="77777777" w:rsidR="00DA2798" w:rsidRPr="00B5221C" w:rsidRDefault="00DA2798" w:rsidP="0026493E">
                                  <w:pPr>
                                    <w:rPr>
                                      <w:rFonts w:ascii="Arial" w:hAnsi="Arial" w:cs="Arial"/>
                                    </w:rPr>
                                  </w:pPr>
                                  <w:r w:rsidRPr="00B5221C">
                                    <w:rPr>
                                      <w:rFonts w:ascii="Arial" w:hAnsi="Arial" w:cs="Arial"/>
                                    </w:rPr>
                                    <w:t>(1) Imatinib 12 mdr.</w:t>
                                  </w:r>
                                </w:p>
                              </w:tc>
                              <w:tc>
                                <w:tcPr>
                                  <w:tcW w:w="851" w:type="dxa"/>
                                  <w:tcBorders>
                                    <w:top w:val="single" w:sz="4" w:space="0" w:color="auto"/>
                                  </w:tcBorders>
                                  <w:shd w:val="clear" w:color="auto" w:fill="auto"/>
                                </w:tcPr>
                                <w:p w14:paraId="608C113D" w14:textId="77777777" w:rsidR="00DA2798" w:rsidRPr="0055776F" w:rsidRDefault="00DA2798" w:rsidP="0030775D">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787E39E8" w14:textId="77777777" w:rsidR="00DA2798" w:rsidRPr="0055776F" w:rsidRDefault="00DA2798" w:rsidP="0030775D">
                                  <w:pPr>
                                    <w:rPr>
                                      <w:rFonts w:ascii="Arial" w:hAnsi="Arial" w:cs="Arial"/>
                                    </w:rPr>
                                  </w:pPr>
                                  <w:r w:rsidRPr="0055776F">
                                    <w:rPr>
                                      <w:rFonts w:ascii="Arial" w:hAnsi="Arial" w:cs="Arial"/>
                                    </w:rPr>
                                    <w:t>25</w:t>
                                  </w:r>
                                </w:p>
                              </w:tc>
                              <w:tc>
                                <w:tcPr>
                                  <w:tcW w:w="850" w:type="dxa"/>
                                  <w:tcBorders>
                                    <w:top w:val="single" w:sz="4" w:space="0" w:color="auto"/>
                                  </w:tcBorders>
                                  <w:shd w:val="clear" w:color="auto" w:fill="auto"/>
                                </w:tcPr>
                                <w:p w14:paraId="1D8076F0" w14:textId="77777777" w:rsidR="00DA2798" w:rsidRPr="0055776F" w:rsidRDefault="00DA2798" w:rsidP="0030775D">
                                  <w:pPr>
                                    <w:rPr>
                                      <w:rFonts w:ascii="Arial" w:hAnsi="Arial" w:cs="Arial"/>
                                    </w:rPr>
                                  </w:pPr>
                                  <w:r w:rsidRPr="0055776F">
                                    <w:rPr>
                                      <w:rFonts w:ascii="Arial" w:hAnsi="Arial" w:cs="Arial"/>
                                    </w:rPr>
                                    <w:t>174</w:t>
                                  </w:r>
                                </w:p>
                              </w:tc>
                            </w:tr>
                            <w:tr w:rsidR="00DA2798" w:rsidRPr="0055776F" w14:paraId="07F7315A" w14:textId="77777777" w:rsidTr="004F6388">
                              <w:tc>
                                <w:tcPr>
                                  <w:tcW w:w="817" w:type="dxa"/>
                                  <w:shd w:val="clear" w:color="auto" w:fill="auto"/>
                                </w:tcPr>
                                <w:p w14:paraId="43914AD2" w14:textId="77777777" w:rsidR="00DA2798" w:rsidRPr="0055776F" w:rsidRDefault="00DA2798" w:rsidP="0030775D">
                                  <w:pPr>
                                    <w:rPr>
                                      <w:rFonts w:ascii="Arial" w:hAnsi="Arial" w:cs="Arial"/>
                                    </w:rPr>
                                  </w:pPr>
                                  <w:r w:rsidRPr="0055776F">
                                    <w:rPr>
                                      <w:rFonts w:ascii="Arial" w:hAnsi="Arial" w:cs="Arial"/>
                                    </w:rPr>
                                    <w:t>-----</w:t>
                                  </w:r>
                                </w:p>
                              </w:tc>
                              <w:tc>
                                <w:tcPr>
                                  <w:tcW w:w="2835" w:type="dxa"/>
                                  <w:shd w:val="clear" w:color="auto" w:fill="auto"/>
                                </w:tcPr>
                                <w:p w14:paraId="37F03E05" w14:textId="77777777" w:rsidR="00DA2798" w:rsidRPr="00B5221C" w:rsidRDefault="00DA2798" w:rsidP="0026493E">
                                  <w:pPr>
                                    <w:rPr>
                                      <w:rFonts w:ascii="Arial" w:hAnsi="Arial" w:cs="Arial"/>
                                    </w:rPr>
                                  </w:pPr>
                                  <w:r w:rsidRPr="00B5221C">
                                    <w:rPr>
                                      <w:rFonts w:ascii="Arial" w:hAnsi="Arial" w:cs="Arial"/>
                                    </w:rPr>
                                    <w:t>(2) Imatinib 36 mdr.</w:t>
                                  </w:r>
                                </w:p>
                              </w:tc>
                              <w:tc>
                                <w:tcPr>
                                  <w:tcW w:w="851" w:type="dxa"/>
                                  <w:tcBorders>
                                    <w:bottom w:val="single" w:sz="4" w:space="0" w:color="auto"/>
                                  </w:tcBorders>
                                  <w:shd w:val="clear" w:color="auto" w:fill="auto"/>
                                </w:tcPr>
                                <w:p w14:paraId="16881698" w14:textId="77777777" w:rsidR="00DA2798" w:rsidRPr="0055776F" w:rsidRDefault="00DA2798" w:rsidP="0030775D">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7DD77159" w14:textId="77777777" w:rsidR="00DA2798" w:rsidRPr="0055776F" w:rsidRDefault="00DA2798" w:rsidP="0030775D">
                                  <w:pPr>
                                    <w:rPr>
                                      <w:rFonts w:ascii="Arial" w:hAnsi="Arial" w:cs="Arial"/>
                                    </w:rPr>
                                  </w:pPr>
                                  <w:r w:rsidRPr="0055776F">
                                    <w:rPr>
                                      <w:rFonts w:ascii="Arial" w:hAnsi="Arial" w:cs="Arial"/>
                                    </w:rPr>
                                    <w:t>12</w:t>
                                  </w:r>
                                </w:p>
                              </w:tc>
                              <w:tc>
                                <w:tcPr>
                                  <w:tcW w:w="850" w:type="dxa"/>
                                  <w:tcBorders>
                                    <w:bottom w:val="single" w:sz="4" w:space="0" w:color="auto"/>
                                  </w:tcBorders>
                                  <w:shd w:val="clear" w:color="auto" w:fill="auto"/>
                                </w:tcPr>
                                <w:p w14:paraId="4D246302" w14:textId="77777777" w:rsidR="00DA2798" w:rsidRPr="0055776F" w:rsidRDefault="00DA2798" w:rsidP="0030775D">
                                  <w:pPr>
                                    <w:rPr>
                                      <w:rFonts w:ascii="Arial" w:hAnsi="Arial" w:cs="Arial"/>
                                    </w:rPr>
                                  </w:pPr>
                                  <w:r w:rsidRPr="0055776F">
                                    <w:rPr>
                                      <w:rFonts w:ascii="Arial" w:hAnsi="Arial" w:cs="Arial"/>
                                    </w:rPr>
                                    <w:t>186</w:t>
                                  </w:r>
                                </w:p>
                              </w:tc>
                            </w:tr>
                            <w:tr w:rsidR="00DA2798" w:rsidRPr="0055776F" w14:paraId="10B5E456" w14:textId="77777777" w:rsidTr="004F6388">
                              <w:tc>
                                <w:tcPr>
                                  <w:tcW w:w="817" w:type="dxa"/>
                                  <w:shd w:val="clear" w:color="auto" w:fill="auto"/>
                                </w:tcPr>
                                <w:p w14:paraId="312CF335" w14:textId="77777777" w:rsidR="00DA2798" w:rsidRPr="0055776F" w:rsidRDefault="00DA2798" w:rsidP="0030775D">
                                  <w:pPr>
                                    <w:rPr>
                                      <w:rFonts w:ascii="Arial" w:hAnsi="Arial" w:cs="Arial"/>
                                    </w:rPr>
                                  </w:pPr>
                                  <w:r w:rsidRPr="0055776F">
                                    <w:rPr>
                                      <w:rFonts w:ascii="Arial" w:hAnsi="Arial" w:cs="Arial"/>
                                    </w:rPr>
                                    <w:t>│││</w:t>
                                  </w:r>
                                </w:p>
                              </w:tc>
                              <w:tc>
                                <w:tcPr>
                                  <w:tcW w:w="2835" w:type="dxa"/>
                                  <w:shd w:val="clear" w:color="auto" w:fill="auto"/>
                                </w:tcPr>
                                <w:p w14:paraId="247B03DC" w14:textId="77777777" w:rsidR="00DA2798" w:rsidRPr="0055776F" w:rsidRDefault="00DA2798" w:rsidP="0030775D">
                                  <w:pPr>
                                    <w:rPr>
                                      <w:rFonts w:ascii="Arial" w:hAnsi="Arial" w:cs="Arial"/>
                                    </w:rPr>
                                  </w:pPr>
                                  <w:r w:rsidRPr="00A33DBA">
                                    <w:rPr>
                                      <w:rFonts w:ascii="Arial" w:hAnsi="Arial" w:cs="Arial"/>
                                    </w:rPr>
                                    <w:t>Censore</w:t>
                                  </w:r>
                                  <w:r>
                                    <w:rPr>
                                      <w:rFonts w:ascii="Arial" w:hAnsi="Arial" w:cs="Arial"/>
                                    </w:rPr>
                                    <w:t>rede</w:t>
                                  </w:r>
                                  <w:r w:rsidRPr="00A33DBA">
                                    <w:rPr>
                                      <w:rFonts w:ascii="Arial" w:hAnsi="Arial" w:cs="Arial"/>
                                    </w:rPr>
                                    <w:t xml:space="preserve"> observation</w:t>
                                  </w:r>
                                  <w:r>
                                    <w:rPr>
                                      <w:rFonts w:ascii="Arial" w:hAnsi="Arial" w:cs="Arial"/>
                                    </w:rPr>
                                    <w:t>er</w:t>
                                  </w:r>
                                </w:p>
                              </w:tc>
                              <w:tc>
                                <w:tcPr>
                                  <w:tcW w:w="851" w:type="dxa"/>
                                  <w:tcBorders>
                                    <w:top w:val="single" w:sz="4" w:space="0" w:color="auto"/>
                                  </w:tcBorders>
                                  <w:shd w:val="clear" w:color="auto" w:fill="auto"/>
                                </w:tcPr>
                                <w:p w14:paraId="1E4FCCF7" w14:textId="77777777" w:rsidR="00DA2798" w:rsidRPr="0055776F" w:rsidRDefault="00DA2798" w:rsidP="0030775D">
                                  <w:pPr>
                                    <w:rPr>
                                      <w:rFonts w:ascii="Arial" w:hAnsi="Arial" w:cs="Arial"/>
                                    </w:rPr>
                                  </w:pPr>
                                </w:p>
                              </w:tc>
                              <w:tc>
                                <w:tcPr>
                                  <w:tcW w:w="709" w:type="dxa"/>
                                  <w:tcBorders>
                                    <w:top w:val="single" w:sz="4" w:space="0" w:color="auto"/>
                                  </w:tcBorders>
                                  <w:shd w:val="clear" w:color="auto" w:fill="auto"/>
                                </w:tcPr>
                                <w:p w14:paraId="7676E27D" w14:textId="77777777" w:rsidR="00DA2798" w:rsidRPr="0055776F" w:rsidRDefault="00DA2798" w:rsidP="0030775D">
                                  <w:pPr>
                                    <w:rPr>
                                      <w:rFonts w:ascii="Arial" w:hAnsi="Arial" w:cs="Arial"/>
                                    </w:rPr>
                                  </w:pPr>
                                </w:p>
                              </w:tc>
                              <w:tc>
                                <w:tcPr>
                                  <w:tcW w:w="850" w:type="dxa"/>
                                  <w:tcBorders>
                                    <w:top w:val="single" w:sz="4" w:space="0" w:color="auto"/>
                                  </w:tcBorders>
                                  <w:shd w:val="clear" w:color="auto" w:fill="auto"/>
                                </w:tcPr>
                                <w:p w14:paraId="49DBCF8B" w14:textId="77777777" w:rsidR="00DA2798" w:rsidRPr="0055776F" w:rsidRDefault="00DA2798" w:rsidP="0030775D">
                                  <w:pPr>
                                    <w:rPr>
                                      <w:rFonts w:ascii="Arial" w:hAnsi="Arial" w:cs="Arial"/>
                                    </w:rPr>
                                  </w:pPr>
                                </w:p>
                              </w:tc>
                            </w:tr>
                          </w:tbl>
                          <w:p w14:paraId="2D056CBE" w14:textId="77777777" w:rsidR="00DA2798" w:rsidRPr="00A33DBA" w:rsidRDefault="00DA2798" w:rsidP="005122E6">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D08180" id="_x0000_s1029" type="#_x0000_t202" style="position:absolute;margin-left:27.6pt;margin-top:80.95pt;width:361.05pt;height:1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" filled="f" stroked="f">
                <v:textbox>
                  <w:txbxContent>
                    <w:p w14:paraId="315EDAD8" w14:textId="77777777" w:rsidR="00DA2798" w:rsidRDefault="00DA2798" w:rsidP="004F6388">
                      <w:pPr>
                        <w:rPr>
                          <w:rFonts w:ascii="Arial" w:hAnsi="Arial" w:cs="Arial"/>
                        </w:rPr>
                      </w:pPr>
                    </w:p>
                    <w:tbl>
                      <w:tblPr>
                        <w:tblW w:w="0" w:type="auto"/>
                        <w:tblLook w:val="04A0" w:firstRow="1" w:lastRow="0" w:firstColumn="1" w:lastColumn="0" w:noHBand="0" w:noVBand="1"/>
                      </w:tblPr>
                      <w:tblGrid>
                        <w:gridCol w:w="817"/>
                        <w:gridCol w:w="2835"/>
                        <w:gridCol w:w="851"/>
                        <w:gridCol w:w="709"/>
                        <w:gridCol w:w="850"/>
                      </w:tblGrid>
                      <w:tr w:rsidR="00DA2798" w:rsidRPr="0055776F" w14:paraId="29B6D1A7" w14:textId="77777777" w:rsidTr="004F6388">
                        <w:tc>
                          <w:tcPr>
                            <w:tcW w:w="6062" w:type="dxa"/>
                            <w:gridSpan w:val="5"/>
                            <w:shd w:val="clear" w:color="auto" w:fill="auto"/>
                          </w:tcPr>
                          <w:p w14:paraId="1EFE625E" w14:textId="77777777" w:rsidR="00DA2798" w:rsidRPr="00B5221C" w:rsidRDefault="00DA2798" w:rsidP="0030775D">
                            <w:pPr>
                              <w:rPr>
                                <w:rFonts w:ascii="Arial" w:hAnsi="Arial" w:cs="Arial"/>
                              </w:rPr>
                            </w:pPr>
                            <w:r w:rsidRPr="00B5221C">
                              <w:rPr>
                                <w:rFonts w:ascii="Arial" w:hAnsi="Arial" w:cs="Arial"/>
                              </w:rPr>
                              <w:t>P = 0,019</w:t>
                            </w:r>
                          </w:p>
                          <w:p w14:paraId="20107815" w14:textId="77777777" w:rsidR="00DA2798" w:rsidRPr="00B5221C" w:rsidRDefault="00DA2798" w:rsidP="0030775D">
                            <w:pPr>
                              <w:rPr>
                                <w:rFonts w:ascii="Arial" w:hAnsi="Arial" w:cs="Arial"/>
                              </w:rPr>
                            </w:pPr>
                            <w:r w:rsidRPr="00B5221C">
                              <w:rPr>
                                <w:rFonts w:ascii="Arial" w:hAnsi="Arial" w:cs="Arial"/>
                              </w:rPr>
                              <w:t>Hazard ratio 0,45</w:t>
                            </w:r>
                          </w:p>
                          <w:p w14:paraId="32DB7F7E" w14:textId="77777777" w:rsidR="00DA2798" w:rsidRPr="00B5221C" w:rsidRDefault="00DA2798" w:rsidP="0026493E">
                            <w:pPr>
                              <w:rPr>
                                <w:rFonts w:ascii="Arial" w:hAnsi="Arial" w:cs="Arial"/>
                                <w:lang w:val="de-DE"/>
                              </w:rPr>
                            </w:pPr>
                            <w:r w:rsidRPr="00B5221C">
                              <w:rPr>
                                <w:rFonts w:ascii="Arial" w:hAnsi="Arial" w:cs="Arial"/>
                              </w:rPr>
                              <w:t>(95% Cl 0,22</w:t>
                            </w:r>
                            <w:r w:rsidRPr="00B5221C">
                              <w:rPr>
                                <w:rFonts w:ascii="Arial" w:hAnsi="Arial" w:cs="Arial"/>
                              </w:rPr>
                              <w:noBreakHyphen/>
                              <w:t>0,89)</w:t>
                            </w:r>
                          </w:p>
                        </w:tc>
                      </w:tr>
                      <w:tr w:rsidR="00DA2798" w:rsidRPr="0055776F" w14:paraId="6A197ADB" w14:textId="77777777" w:rsidTr="004F6388">
                        <w:tc>
                          <w:tcPr>
                            <w:tcW w:w="817" w:type="dxa"/>
                            <w:shd w:val="clear" w:color="auto" w:fill="auto"/>
                          </w:tcPr>
                          <w:p w14:paraId="6595B514" w14:textId="77777777" w:rsidR="00DA2798" w:rsidRPr="0055776F" w:rsidRDefault="00DA2798" w:rsidP="0030775D">
                            <w:pPr>
                              <w:rPr>
                                <w:rFonts w:ascii="Arial" w:hAnsi="Arial" w:cs="Arial"/>
                              </w:rPr>
                            </w:pPr>
                          </w:p>
                        </w:tc>
                        <w:tc>
                          <w:tcPr>
                            <w:tcW w:w="2835" w:type="dxa"/>
                            <w:shd w:val="clear" w:color="auto" w:fill="auto"/>
                          </w:tcPr>
                          <w:p w14:paraId="3B50B00F" w14:textId="77777777" w:rsidR="00DA2798" w:rsidRPr="00B5221C" w:rsidRDefault="00DA2798" w:rsidP="0030775D">
                            <w:pPr>
                              <w:rPr>
                                <w:rFonts w:ascii="Arial" w:hAnsi="Arial" w:cs="Arial"/>
                              </w:rPr>
                            </w:pPr>
                          </w:p>
                        </w:tc>
                        <w:tc>
                          <w:tcPr>
                            <w:tcW w:w="851" w:type="dxa"/>
                            <w:tcBorders>
                              <w:bottom w:val="single" w:sz="4" w:space="0" w:color="auto"/>
                            </w:tcBorders>
                            <w:shd w:val="clear" w:color="auto" w:fill="auto"/>
                          </w:tcPr>
                          <w:p w14:paraId="217F0997" w14:textId="77777777" w:rsidR="00DA2798" w:rsidRPr="0055776F" w:rsidRDefault="00DA2798" w:rsidP="0030775D">
                            <w:pPr>
                              <w:rPr>
                                <w:rFonts w:ascii="Arial" w:hAnsi="Arial" w:cs="Arial"/>
                              </w:rPr>
                            </w:pPr>
                            <w:r w:rsidRPr="0055776F">
                              <w:rPr>
                                <w:rFonts w:ascii="Arial" w:hAnsi="Arial" w:cs="Arial"/>
                                <w:lang w:val="de-DE"/>
                              </w:rPr>
                              <w:t>N</w:t>
                            </w:r>
                          </w:p>
                        </w:tc>
                        <w:tc>
                          <w:tcPr>
                            <w:tcW w:w="709" w:type="dxa"/>
                            <w:tcBorders>
                              <w:bottom w:val="single" w:sz="4" w:space="0" w:color="auto"/>
                            </w:tcBorders>
                            <w:shd w:val="clear" w:color="auto" w:fill="auto"/>
                          </w:tcPr>
                          <w:p w14:paraId="219FAD0A" w14:textId="77777777" w:rsidR="00DA2798" w:rsidRPr="0055776F" w:rsidRDefault="00DA2798" w:rsidP="0030775D">
                            <w:pPr>
                              <w:rPr>
                                <w:rFonts w:ascii="Arial" w:hAnsi="Arial" w:cs="Arial"/>
                              </w:rPr>
                            </w:pPr>
                            <w:r w:rsidRPr="0055776F">
                              <w:rPr>
                                <w:rFonts w:ascii="Arial" w:hAnsi="Arial" w:cs="Arial"/>
                                <w:lang w:val="de-DE"/>
                              </w:rPr>
                              <w:t>Evt</w:t>
                            </w:r>
                          </w:p>
                        </w:tc>
                        <w:tc>
                          <w:tcPr>
                            <w:tcW w:w="850" w:type="dxa"/>
                            <w:tcBorders>
                              <w:bottom w:val="single" w:sz="4" w:space="0" w:color="auto"/>
                            </w:tcBorders>
                            <w:shd w:val="clear" w:color="auto" w:fill="auto"/>
                          </w:tcPr>
                          <w:p w14:paraId="05BE218B" w14:textId="77777777" w:rsidR="00DA2798" w:rsidRPr="0055776F" w:rsidRDefault="00DA2798" w:rsidP="0030775D">
                            <w:pPr>
                              <w:rPr>
                                <w:rFonts w:ascii="Arial" w:hAnsi="Arial" w:cs="Arial"/>
                              </w:rPr>
                            </w:pPr>
                            <w:r w:rsidRPr="0055776F">
                              <w:rPr>
                                <w:rFonts w:ascii="Arial" w:hAnsi="Arial" w:cs="Arial"/>
                                <w:lang w:val="de-DE"/>
                              </w:rPr>
                              <w:t>Cen</w:t>
                            </w:r>
                          </w:p>
                        </w:tc>
                      </w:tr>
                      <w:tr w:rsidR="00DA2798" w:rsidRPr="0055776F" w14:paraId="645FA030" w14:textId="77777777" w:rsidTr="004F6388">
                        <w:tc>
                          <w:tcPr>
                            <w:tcW w:w="817" w:type="dxa"/>
                            <w:shd w:val="clear" w:color="auto" w:fill="auto"/>
                          </w:tcPr>
                          <w:p w14:paraId="6E8B0796" w14:textId="77777777" w:rsidR="00DA2798" w:rsidRPr="0055776F" w:rsidRDefault="00DA2798" w:rsidP="0030775D">
                            <w:pPr>
                              <w:rPr>
                                <w:rFonts w:ascii="Arial" w:hAnsi="Arial" w:cs="Arial"/>
                              </w:rPr>
                            </w:pPr>
                            <w:r w:rsidRPr="0055776F">
                              <w:rPr>
                                <w:rFonts w:ascii="Arial" w:hAnsi="Arial" w:cs="Arial"/>
                                <w:b/>
                              </w:rPr>
                              <w:t>——</w:t>
                            </w:r>
                          </w:p>
                        </w:tc>
                        <w:tc>
                          <w:tcPr>
                            <w:tcW w:w="2835" w:type="dxa"/>
                            <w:shd w:val="clear" w:color="auto" w:fill="auto"/>
                          </w:tcPr>
                          <w:p w14:paraId="66AEF223" w14:textId="77777777" w:rsidR="00DA2798" w:rsidRPr="00B5221C" w:rsidRDefault="00DA2798" w:rsidP="0026493E">
                            <w:pPr>
                              <w:rPr>
                                <w:rFonts w:ascii="Arial" w:hAnsi="Arial" w:cs="Arial"/>
                              </w:rPr>
                            </w:pPr>
                            <w:r w:rsidRPr="00B5221C">
                              <w:rPr>
                                <w:rFonts w:ascii="Arial" w:hAnsi="Arial" w:cs="Arial"/>
                              </w:rPr>
                              <w:t>(1) Imatinib 12 mdr.</w:t>
                            </w:r>
                          </w:p>
                        </w:tc>
                        <w:tc>
                          <w:tcPr>
                            <w:tcW w:w="851" w:type="dxa"/>
                            <w:tcBorders>
                              <w:top w:val="single" w:sz="4" w:space="0" w:color="auto"/>
                            </w:tcBorders>
                            <w:shd w:val="clear" w:color="auto" w:fill="auto"/>
                          </w:tcPr>
                          <w:p w14:paraId="608C113D" w14:textId="77777777" w:rsidR="00DA2798" w:rsidRPr="0055776F" w:rsidRDefault="00DA2798" w:rsidP="0030775D">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787E39E8" w14:textId="77777777" w:rsidR="00DA2798" w:rsidRPr="0055776F" w:rsidRDefault="00DA2798" w:rsidP="0030775D">
                            <w:pPr>
                              <w:rPr>
                                <w:rFonts w:ascii="Arial" w:hAnsi="Arial" w:cs="Arial"/>
                              </w:rPr>
                            </w:pPr>
                            <w:r w:rsidRPr="0055776F">
                              <w:rPr>
                                <w:rFonts w:ascii="Arial" w:hAnsi="Arial" w:cs="Arial"/>
                              </w:rPr>
                              <w:t>25</w:t>
                            </w:r>
                          </w:p>
                        </w:tc>
                        <w:tc>
                          <w:tcPr>
                            <w:tcW w:w="850" w:type="dxa"/>
                            <w:tcBorders>
                              <w:top w:val="single" w:sz="4" w:space="0" w:color="auto"/>
                            </w:tcBorders>
                            <w:shd w:val="clear" w:color="auto" w:fill="auto"/>
                          </w:tcPr>
                          <w:p w14:paraId="1D8076F0" w14:textId="77777777" w:rsidR="00DA2798" w:rsidRPr="0055776F" w:rsidRDefault="00DA2798" w:rsidP="0030775D">
                            <w:pPr>
                              <w:rPr>
                                <w:rFonts w:ascii="Arial" w:hAnsi="Arial" w:cs="Arial"/>
                              </w:rPr>
                            </w:pPr>
                            <w:r w:rsidRPr="0055776F">
                              <w:rPr>
                                <w:rFonts w:ascii="Arial" w:hAnsi="Arial" w:cs="Arial"/>
                              </w:rPr>
                              <w:t>174</w:t>
                            </w:r>
                          </w:p>
                        </w:tc>
                      </w:tr>
                      <w:tr w:rsidR="00DA2798" w:rsidRPr="0055776F" w14:paraId="07F7315A" w14:textId="77777777" w:rsidTr="004F6388">
                        <w:tc>
                          <w:tcPr>
                            <w:tcW w:w="817" w:type="dxa"/>
                            <w:shd w:val="clear" w:color="auto" w:fill="auto"/>
                          </w:tcPr>
                          <w:p w14:paraId="43914AD2" w14:textId="77777777" w:rsidR="00DA2798" w:rsidRPr="0055776F" w:rsidRDefault="00DA2798" w:rsidP="0030775D">
                            <w:pPr>
                              <w:rPr>
                                <w:rFonts w:ascii="Arial" w:hAnsi="Arial" w:cs="Arial"/>
                              </w:rPr>
                            </w:pPr>
                            <w:r w:rsidRPr="0055776F">
                              <w:rPr>
                                <w:rFonts w:ascii="Arial" w:hAnsi="Arial" w:cs="Arial"/>
                              </w:rPr>
                              <w:t>-----</w:t>
                            </w:r>
                          </w:p>
                        </w:tc>
                        <w:tc>
                          <w:tcPr>
                            <w:tcW w:w="2835" w:type="dxa"/>
                            <w:shd w:val="clear" w:color="auto" w:fill="auto"/>
                          </w:tcPr>
                          <w:p w14:paraId="37F03E05" w14:textId="77777777" w:rsidR="00DA2798" w:rsidRPr="00B5221C" w:rsidRDefault="00DA2798" w:rsidP="0026493E">
                            <w:pPr>
                              <w:rPr>
                                <w:rFonts w:ascii="Arial" w:hAnsi="Arial" w:cs="Arial"/>
                              </w:rPr>
                            </w:pPr>
                            <w:r w:rsidRPr="00B5221C">
                              <w:rPr>
                                <w:rFonts w:ascii="Arial" w:hAnsi="Arial" w:cs="Arial"/>
                              </w:rPr>
                              <w:t>(2) Imatinib 36 mdr.</w:t>
                            </w:r>
                          </w:p>
                        </w:tc>
                        <w:tc>
                          <w:tcPr>
                            <w:tcW w:w="851" w:type="dxa"/>
                            <w:tcBorders>
                              <w:bottom w:val="single" w:sz="4" w:space="0" w:color="auto"/>
                            </w:tcBorders>
                            <w:shd w:val="clear" w:color="auto" w:fill="auto"/>
                          </w:tcPr>
                          <w:p w14:paraId="16881698" w14:textId="77777777" w:rsidR="00DA2798" w:rsidRPr="0055776F" w:rsidRDefault="00DA2798" w:rsidP="0030775D">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7DD77159" w14:textId="77777777" w:rsidR="00DA2798" w:rsidRPr="0055776F" w:rsidRDefault="00DA2798" w:rsidP="0030775D">
                            <w:pPr>
                              <w:rPr>
                                <w:rFonts w:ascii="Arial" w:hAnsi="Arial" w:cs="Arial"/>
                              </w:rPr>
                            </w:pPr>
                            <w:r w:rsidRPr="0055776F">
                              <w:rPr>
                                <w:rFonts w:ascii="Arial" w:hAnsi="Arial" w:cs="Arial"/>
                              </w:rPr>
                              <w:t>12</w:t>
                            </w:r>
                          </w:p>
                        </w:tc>
                        <w:tc>
                          <w:tcPr>
                            <w:tcW w:w="850" w:type="dxa"/>
                            <w:tcBorders>
                              <w:bottom w:val="single" w:sz="4" w:space="0" w:color="auto"/>
                            </w:tcBorders>
                            <w:shd w:val="clear" w:color="auto" w:fill="auto"/>
                          </w:tcPr>
                          <w:p w14:paraId="4D246302" w14:textId="77777777" w:rsidR="00DA2798" w:rsidRPr="0055776F" w:rsidRDefault="00DA2798" w:rsidP="0030775D">
                            <w:pPr>
                              <w:rPr>
                                <w:rFonts w:ascii="Arial" w:hAnsi="Arial" w:cs="Arial"/>
                              </w:rPr>
                            </w:pPr>
                            <w:r w:rsidRPr="0055776F">
                              <w:rPr>
                                <w:rFonts w:ascii="Arial" w:hAnsi="Arial" w:cs="Arial"/>
                              </w:rPr>
                              <w:t>186</w:t>
                            </w:r>
                          </w:p>
                        </w:tc>
                      </w:tr>
                      <w:tr w:rsidR="00DA2798" w:rsidRPr="0055776F" w14:paraId="10B5E456" w14:textId="77777777" w:rsidTr="004F6388">
                        <w:tc>
                          <w:tcPr>
                            <w:tcW w:w="817" w:type="dxa"/>
                            <w:shd w:val="clear" w:color="auto" w:fill="auto"/>
                          </w:tcPr>
                          <w:p w14:paraId="312CF335" w14:textId="77777777" w:rsidR="00DA2798" w:rsidRPr="0055776F" w:rsidRDefault="00DA2798" w:rsidP="0030775D">
                            <w:pPr>
                              <w:rPr>
                                <w:rFonts w:ascii="Arial" w:hAnsi="Arial" w:cs="Arial"/>
                              </w:rPr>
                            </w:pPr>
                            <w:r w:rsidRPr="0055776F">
                              <w:rPr>
                                <w:rFonts w:ascii="Arial" w:hAnsi="Arial" w:cs="Arial"/>
                              </w:rPr>
                              <w:t>│││</w:t>
                            </w:r>
                          </w:p>
                        </w:tc>
                        <w:tc>
                          <w:tcPr>
                            <w:tcW w:w="2835" w:type="dxa"/>
                            <w:shd w:val="clear" w:color="auto" w:fill="auto"/>
                          </w:tcPr>
                          <w:p w14:paraId="247B03DC" w14:textId="77777777" w:rsidR="00DA2798" w:rsidRPr="0055776F" w:rsidRDefault="00DA2798" w:rsidP="0030775D">
                            <w:pPr>
                              <w:rPr>
                                <w:rFonts w:ascii="Arial" w:hAnsi="Arial" w:cs="Arial"/>
                              </w:rPr>
                            </w:pPr>
                            <w:r w:rsidRPr="00A33DBA">
                              <w:rPr>
                                <w:rFonts w:ascii="Arial" w:hAnsi="Arial" w:cs="Arial"/>
                              </w:rPr>
                              <w:t>Censore</w:t>
                            </w:r>
                            <w:r>
                              <w:rPr>
                                <w:rFonts w:ascii="Arial" w:hAnsi="Arial" w:cs="Arial"/>
                              </w:rPr>
                              <w:t>rede</w:t>
                            </w:r>
                            <w:r w:rsidRPr="00A33DBA">
                              <w:rPr>
                                <w:rFonts w:ascii="Arial" w:hAnsi="Arial" w:cs="Arial"/>
                              </w:rPr>
                              <w:t xml:space="preserve"> observation</w:t>
                            </w:r>
                            <w:r>
                              <w:rPr>
                                <w:rFonts w:ascii="Arial" w:hAnsi="Arial" w:cs="Arial"/>
                              </w:rPr>
                              <w:t>er</w:t>
                            </w:r>
                          </w:p>
                        </w:tc>
                        <w:tc>
                          <w:tcPr>
                            <w:tcW w:w="851" w:type="dxa"/>
                            <w:tcBorders>
                              <w:top w:val="single" w:sz="4" w:space="0" w:color="auto"/>
                            </w:tcBorders>
                            <w:shd w:val="clear" w:color="auto" w:fill="auto"/>
                          </w:tcPr>
                          <w:p w14:paraId="1E4FCCF7" w14:textId="77777777" w:rsidR="00DA2798" w:rsidRPr="0055776F" w:rsidRDefault="00DA2798" w:rsidP="0030775D">
                            <w:pPr>
                              <w:rPr>
                                <w:rFonts w:ascii="Arial" w:hAnsi="Arial" w:cs="Arial"/>
                              </w:rPr>
                            </w:pPr>
                          </w:p>
                        </w:tc>
                        <w:tc>
                          <w:tcPr>
                            <w:tcW w:w="709" w:type="dxa"/>
                            <w:tcBorders>
                              <w:top w:val="single" w:sz="4" w:space="0" w:color="auto"/>
                            </w:tcBorders>
                            <w:shd w:val="clear" w:color="auto" w:fill="auto"/>
                          </w:tcPr>
                          <w:p w14:paraId="7676E27D" w14:textId="77777777" w:rsidR="00DA2798" w:rsidRPr="0055776F" w:rsidRDefault="00DA2798" w:rsidP="0030775D">
                            <w:pPr>
                              <w:rPr>
                                <w:rFonts w:ascii="Arial" w:hAnsi="Arial" w:cs="Arial"/>
                              </w:rPr>
                            </w:pPr>
                          </w:p>
                        </w:tc>
                        <w:tc>
                          <w:tcPr>
                            <w:tcW w:w="850" w:type="dxa"/>
                            <w:tcBorders>
                              <w:top w:val="single" w:sz="4" w:space="0" w:color="auto"/>
                            </w:tcBorders>
                            <w:shd w:val="clear" w:color="auto" w:fill="auto"/>
                          </w:tcPr>
                          <w:p w14:paraId="49DBCF8B" w14:textId="77777777" w:rsidR="00DA2798" w:rsidRPr="0055776F" w:rsidRDefault="00DA2798" w:rsidP="0030775D">
                            <w:pPr>
                              <w:rPr>
                                <w:rFonts w:ascii="Arial" w:hAnsi="Arial" w:cs="Arial"/>
                              </w:rPr>
                            </w:pPr>
                          </w:p>
                        </w:tc>
                      </w:tr>
                    </w:tbl>
                    <w:p w14:paraId="2D056CBE" w14:textId="77777777" w:rsidR="00DA2798" w:rsidRPr="00A33DBA" w:rsidRDefault="00DA2798" w:rsidP="005122E6">
                      <w:pPr>
                        <w:rPr>
                          <w:rFonts w:ascii="Arial" w:hAnsi="Arial" w:cs="Arial"/>
                        </w:rPr>
                      </w:pPr>
                    </w:p>
                  </w:txbxContent>
                </v:textbox>
              </v:shape>
            </w:pict>
          </mc:Fallback>
        </mc:AlternateContent>
      </w:r>
      <w:r w:rsidRPr="004C2A59">
        <w:rPr>
          <w:noProof/>
          <w:lang w:val="en-GB" w:eastAsia="en-GB"/>
        </w:rPr>
        <mc:AlternateContent>
          <mc:Choice Requires="wps">
            <w:drawing>
              <wp:anchor distT="0" distB="0" distL="114300" distR="114300" simplePos="0" relativeHeight="251655168" behindDoc="0" locked="0" layoutInCell="1" allowOverlap="1" wp14:anchorId="22861BCC" wp14:editId="0DE5364E">
                <wp:simplePos x="0" y="0"/>
                <wp:positionH relativeFrom="column">
                  <wp:posOffset>-302895</wp:posOffset>
                </wp:positionH>
                <wp:positionV relativeFrom="paragraph">
                  <wp:posOffset>29845</wp:posOffset>
                </wp:positionV>
                <wp:extent cx="335915" cy="223266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945A65" w14:textId="77777777" w:rsidR="00DA2798" w:rsidRPr="00A33DBA" w:rsidRDefault="00DA2798" w:rsidP="004F6388">
                            <w:pPr>
                              <w:rPr>
                                <w:rFonts w:ascii="Arial" w:hAnsi="Arial" w:cs="Arial"/>
                              </w:rPr>
                            </w:pPr>
                            <w:r>
                              <w:rPr>
                                <w:rFonts w:ascii="Arial" w:hAnsi="Arial" w:cs="Arial"/>
                              </w:rPr>
                              <w:t>Sandsynlighed for</w:t>
                            </w:r>
                            <w:r w:rsidRPr="00A33DBA">
                              <w:rPr>
                                <w:rFonts w:ascii="Arial" w:hAnsi="Arial" w:cs="Arial"/>
                              </w:rPr>
                              <w:t xml:space="preserve"> overall survival</w:t>
                            </w:r>
                          </w:p>
                          <w:p w14:paraId="615C86AB" w14:textId="77777777" w:rsidR="00DA2798" w:rsidRPr="00A33DBA" w:rsidRDefault="00DA2798" w:rsidP="005122E6">
                            <w:pPr>
                              <w:rPr>
                                <w:rFonts w:ascii="Arial" w:hAnsi="Arial" w:cs="Arial"/>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861BCC" id="_x0000_s1030" type="#_x0000_t202" style="position:absolute;margin-left:-23.85pt;margin-top:2.35pt;width:26.45pt;height:17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" stroked="f">
                <v:fill opacity="0"/>
                <v:textbox style="layout-flow:vertical;mso-layout-flow-alt:bottom-to-top">
                  <w:txbxContent>
                    <w:p w14:paraId="07945A65" w14:textId="77777777" w:rsidR="00DA2798" w:rsidRPr="00A33DBA" w:rsidRDefault="00DA2798" w:rsidP="004F6388">
                      <w:pPr>
                        <w:rPr>
                          <w:rFonts w:ascii="Arial" w:hAnsi="Arial" w:cs="Arial"/>
                        </w:rPr>
                      </w:pPr>
                      <w:r>
                        <w:rPr>
                          <w:rFonts w:ascii="Arial" w:hAnsi="Arial" w:cs="Arial"/>
                        </w:rPr>
                        <w:t>Sandsynlighed for</w:t>
                      </w:r>
                      <w:r w:rsidRPr="00A33DBA">
                        <w:rPr>
                          <w:rFonts w:ascii="Arial" w:hAnsi="Arial" w:cs="Arial"/>
                        </w:rPr>
                        <w:t xml:space="preserve"> overall survival</w:t>
                      </w:r>
                    </w:p>
                    <w:p w14:paraId="615C86AB" w14:textId="77777777" w:rsidR="00DA2798" w:rsidRPr="00A33DBA" w:rsidRDefault="00DA2798" w:rsidP="005122E6">
                      <w:pPr>
                        <w:rPr>
                          <w:rFonts w:ascii="Arial" w:hAnsi="Arial" w:cs="Arial"/>
                        </w:rPr>
                      </w:pPr>
                    </w:p>
                  </w:txbxContent>
                </v:textbox>
              </v:shape>
            </w:pict>
          </mc:Fallback>
        </mc:AlternateContent>
      </w:r>
      <w:r w:rsidRPr="004C2A59">
        <w:rPr>
          <w:noProof/>
          <w:lang w:val="en-GB" w:eastAsia="en-GB"/>
        </w:rPr>
        <w:drawing>
          <wp:inline distT="0" distB="0" distL="0" distR="0" wp14:anchorId="2D6115F8" wp14:editId="00949773">
            <wp:extent cx="5947410" cy="26320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4D2D3078" w14:textId="77777777" w:rsidR="005122E6" w:rsidRPr="004C2A59" w:rsidRDefault="00127CCC" w:rsidP="00421681">
      <w:pPr>
        <w:rPr>
          <w:noProof/>
          <w:sz w:val="22"/>
          <w:szCs w:val="22"/>
        </w:rPr>
      </w:pPr>
      <w:r w:rsidRPr="004C2A59">
        <w:rPr>
          <w:noProof/>
          <w:lang w:val="en-GB" w:eastAsia="en-GB"/>
        </w:rPr>
        <mc:AlternateContent>
          <mc:Choice Requires="wps">
            <w:drawing>
              <wp:anchor distT="0" distB="0" distL="114300" distR="114300" simplePos="0" relativeHeight="251656192" behindDoc="0" locked="0" layoutInCell="1" allowOverlap="1" wp14:anchorId="5F82CDC6" wp14:editId="381D0B35">
                <wp:simplePos x="0" y="0"/>
                <wp:positionH relativeFrom="column">
                  <wp:posOffset>2320290</wp:posOffset>
                </wp:positionH>
                <wp:positionV relativeFrom="paragraph">
                  <wp:posOffset>45720</wp:posOffset>
                </wp:positionV>
                <wp:extent cx="1619250" cy="21971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19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7EFD2" w14:textId="77777777" w:rsidR="00DA2798" w:rsidRPr="00A33DBA" w:rsidRDefault="00DA2798" w:rsidP="004F6388">
                            <w:pPr>
                              <w:rPr>
                                <w:rFonts w:ascii="Arial" w:hAnsi="Arial" w:cs="Arial"/>
                              </w:rPr>
                            </w:pPr>
                            <w:r>
                              <w:rPr>
                                <w:rFonts w:ascii="Arial" w:hAnsi="Arial" w:cs="Arial"/>
                                <w:lang w:val="de-DE"/>
                              </w:rPr>
                              <w:t>Overlevelse i måneder</w:t>
                            </w:r>
                          </w:p>
                          <w:p w14:paraId="04D83863" w14:textId="77777777" w:rsidR="00DA2798" w:rsidRPr="00A33DBA" w:rsidRDefault="00DA2798" w:rsidP="005122E6">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82CDC6" id="_x0000_s1031" type="#_x0000_t202" style="position:absolute;margin-left:182.7pt;margin-top:3.6pt;width:127.5pt;height:17.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" stroked="f">
                <v:fill opacity="0"/>
                <v:textbox>
                  <w:txbxContent>
                    <w:p w14:paraId="6997EFD2" w14:textId="77777777" w:rsidR="00DA2798" w:rsidRPr="00A33DBA" w:rsidRDefault="00DA2798" w:rsidP="004F6388">
                      <w:pPr>
                        <w:rPr>
                          <w:rFonts w:ascii="Arial" w:hAnsi="Arial" w:cs="Arial"/>
                        </w:rPr>
                      </w:pPr>
                      <w:r>
                        <w:rPr>
                          <w:rFonts w:ascii="Arial" w:hAnsi="Arial" w:cs="Arial"/>
                          <w:lang w:val="de-DE"/>
                        </w:rPr>
                        <w:t>Overlevelse i måneder</w:t>
                      </w:r>
                    </w:p>
                    <w:p w14:paraId="04D83863" w14:textId="77777777" w:rsidR="00DA2798" w:rsidRPr="00A33DBA" w:rsidRDefault="00DA2798" w:rsidP="005122E6">
                      <w:pPr>
                        <w:rPr>
                          <w:rFonts w:ascii="Arial" w:hAnsi="Arial" w:cs="Arial"/>
                        </w:rPr>
                      </w:pPr>
                    </w:p>
                  </w:txbxContent>
                </v:textbox>
              </v:shape>
            </w:pict>
          </mc:Fallback>
        </mc:AlternateContent>
      </w:r>
    </w:p>
    <w:p w14:paraId="59A945E2" w14:textId="77777777" w:rsidR="005122E6" w:rsidRPr="004C2A59" w:rsidRDefault="005122E6" w:rsidP="00421681">
      <w:pPr>
        <w:rPr>
          <w:noProof/>
          <w:sz w:val="22"/>
          <w:szCs w:val="22"/>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5122E6" w:rsidRPr="004C2A59" w14:paraId="42767F5F" w14:textId="77777777" w:rsidTr="003B00BE">
        <w:tc>
          <w:tcPr>
            <w:tcW w:w="10632" w:type="dxa"/>
            <w:gridSpan w:val="16"/>
            <w:shd w:val="clear" w:color="auto" w:fill="auto"/>
          </w:tcPr>
          <w:p w14:paraId="4DEAC438" w14:textId="77777777" w:rsidR="005122E6" w:rsidRPr="004C2A59" w:rsidRDefault="004F6388" w:rsidP="00421681">
            <w:pPr>
              <w:ind w:left="-27"/>
              <w:rPr>
                <w:rFonts w:ascii="Arial" w:hAnsi="Arial" w:cs="Arial"/>
                <w:sz w:val="16"/>
                <w:szCs w:val="16"/>
              </w:rPr>
            </w:pPr>
            <w:r w:rsidRPr="004C2A59">
              <w:rPr>
                <w:rFonts w:ascii="Arial" w:hAnsi="Arial" w:cs="Arial"/>
              </w:rPr>
              <w:t>Risiko : Tilfælde</w:t>
            </w:r>
          </w:p>
        </w:tc>
      </w:tr>
      <w:tr w:rsidR="005122E6" w:rsidRPr="004C2A59" w14:paraId="34D4EA92" w14:textId="77777777" w:rsidTr="005122E6">
        <w:tc>
          <w:tcPr>
            <w:tcW w:w="450" w:type="dxa"/>
            <w:shd w:val="clear" w:color="auto" w:fill="auto"/>
          </w:tcPr>
          <w:p w14:paraId="57012FFC" w14:textId="77777777" w:rsidR="005122E6" w:rsidRPr="004C2A59" w:rsidRDefault="005122E6" w:rsidP="00421681">
            <w:r w:rsidRPr="004C2A59">
              <w:t>(1)</w:t>
            </w:r>
          </w:p>
        </w:tc>
        <w:tc>
          <w:tcPr>
            <w:tcW w:w="687" w:type="dxa"/>
            <w:shd w:val="clear" w:color="auto" w:fill="auto"/>
          </w:tcPr>
          <w:p w14:paraId="639AB388" w14:textId="77777777" w:rsidR="005122E6" w:rsidRPr="004C2A59" w:rsidRDefault="005122E6" w:rsidP="00421681">
            <w:pPr>
              <w:ind w:left="-45"/>
            </w:pPr>
            <w:r w:rsidRPr="004C2A59">
              <w:t>199:0</w:t>
            </w:r>
          </w:p>
        </w:tc>
        <w:tc>
          <w:tcPr>
            <w:tcW w:w="670" w:type="dxa"/>
            <w:shd w:val="clear" w:color="auto" w:fill="auto"/>
          </w:tcPr>
          <w:p w14:paraId="40E65235" w14:textId="77777777" w:rsidR="005122E6" w:rsidRPr="004C2A59" w:rsidRDefault="005122E6" w:rsidP="00421681">
            <w:pPr>
              <w:ind w:left="-45"/>
            </w:pPr>
            <w:r w:rsidRPr="004C2A59">
              <w:t>190:2</w:t>
            </w:r>
          </w:p>
        </w:tc>
        <w:tc>
          <w:tcPr>
            <w:tcW w:w="710" w:type="dxa"/>
            <w:shd w:val="clear" w:color="auto" w:fill="auto"/>
          </w:tcPr>
          <w:p w14:paraId="5EEC8103" w14:textId="77777777" w:rsidR="005122E6" w:rsidRPr="004C2A59" w:rsidRDefault="005122E6" w:rsidP="00421681">
            <w:pPr>
              <w:ind w:left="-45"/>
            </w:pPr>
            <w:r w:rsidRPr="004C2A59">
              <w:t>188:2</w:t>
            </w:r>
          </w:p>
        </w:tc>
        <w:tc>
          <w:tcPr>
            <w:tcW w:w="717" w:type="dxa"/>
            <w:shd w:val="clear" w:color="auto" w:fill="auto"/>
          </w:tcPr>
          <w:p w14:paraId="321E2E0D" w14:textId="77777777" w:rsidR="005122E6" w:rsidRPr="004C2A59" w:rsidRDefault="005122E6" w:rsidP="00421681">
            <w:pPr>
              <w:ind w:left="-45"/>
            </w:pPr>
            <w:r w:rsidRPr="004C2A59">
              <w:t>183:6</w:t>
            </w:r>
          </w:p>
        </w:tc>
        <w:tc>
          <w:tcPr>
            <w:tcW w:w="691" w:type="dxa"/>
            <w:shd w:val="clear" w:color="auto" w:fill="auto"/>
          </w:tcPr>
          <w:p w14:paraId="4AD97A05" w14:textId="77777777" w:rsidR="005122E6" w:rsidRPr="004C2A59" w:rsidRDefault="005122E6" w:rsidP="00421681">
            <w:pPr>
              <w:ind w:left="-45"/>
            </w:pPr>
            <w:r w:rsidRPr="004C2A59">
              <w:t>176:8</w:t>
            </w:r>
          </w:p>
        </w:tc>
        <w:tc>
          <w:tcPr>
            <w:tcW w:w="770" w:type="dxa"/>
            <w:shd w:val="clear" w:color="auto" w:fill="auto"/>
          </w:tcPr>
          <w:p w14:paraId="142AEEBB" w14:textId="77777777" w:rsidR="005122E6" w:rsidRPr="004C2A59" w:rsidRDefault="005122E6" w:rsidP="00421681">
            <w:pPr>
              <w:ind w:left="-45"/>
            </w:pPr>
            <w:r w:rsidRPr="004C2A59">
              <w:t>156:10</w:t>
            </w:r>
          </w:p>
        </w:tc>
        <w:tc>
          <w:tcPr>
            <w:tcW w:w="779" w:type="dxa"/>
            <w:shd w:val="clear" w:color="auto" w:fill="auto"/>
          </w:tcPr>
          <w:p w14:paraId="4E153866" w14:textId="77777777" w:rsidR="005122E6" w:rsidRPr="004C2A59" w:rsidRDefault="005122E6" w:rsidP="00421681">
            <w:pPr>
              <w:ind w:left="-45"/>
            </w:pPr>
            <w:r w:rsidRPr="004C2A59">
              <w:t>140:11</w:t>
            </w:r>
          </w:p>
        </w:tc>
        <w:tc>
          <w:tcPr>
            <w:tcW w:w="794" w:type="dxa"/>
            <w:shd w:val="clear" w:color="auto" w:fill="auto"/>
          </w:tcPr>
          <w:p w14:paraId="1F21914D" w14:textId="77777777" w:rsidR="005122E6" w:rsidRPr="004C2A59" w:rsidRDefault="005122E6" w:rsidP="00421681">
            <w:pPr>
              <w:ind w:left="-45"/>
            </w:pPr>
            <w:r w:rsidRPr="004C2A59">
              <w:t>105:14</w:t>
            </w:r>
          </w:p>
        </w:tc>
        <w:tc>
          <w:tcPr>
            <w:tcW w:w="653" w:type="dxa"/>
            <w:shd w:val="clear" w:color="auto" w:fill="auto"/>
          </w:tcPr>
          <w:p w14:paraId="65CFEE31" w14:textId="77777777" w:rsidR="005122E6" w:rsidRPr="004C2A59" w:rsidRDefault="005122E6" w:rsidP="00421681">
            <w:pPr>
              <w:ind w:left="-45"/>
            </w:pPr>
            <w:r w:rsidRPr="004C2A59">
              <w:t>87:18</w:t>
            </w:r>
          </w:p>
        </w:tc>
        <w:tc>
          <w:tcPr>
            <w:tcW w:w="630" w:type="dxa"/>
            <w:shd w:val="clear" w:color="auto" w:fill="auto"/>
          </w:tcPr>
          <w:p w14:paraId="74F1C8FB" w14:textId="77777777" w:rsidR="005122E6" w:rsidRPr="004C2A59" w:rsidRDefault="005122E6" w:rsidP="00421681">
            <w:pPr>
              <w:ind w:left="-45"/>
            </w:pPr>
            <w:r w:rsidRPr="004C2A59">
              <w:t>64:22</w:t>
            </w:r>
          </w:p>
        </w:tc>
        <w:tc>
          <w:tcPr>
            <w:tcW w:w="643" w:type="dxa"/>
            <w:shd w:val="clear" w:color="auto" w:fill="auto"/>
          </w:tcPr>
          <w:p w14:paraId="7AB836B2" w14:textId="77777777" w:rsidR="005122E6" w:rsidRPr="004C2A59" w:rsidRDefault="005122E6" w:rsidP="00421681">
            <w:pPr>
              <w:ind w:left="-45"/>
            </w:pPr>
            <w:r w:rsidRPr="004C2A59">
              <w:t>46:23</w:t>
            </w:r>
          </w:p>
        </w:tc>
        <w:tc>
          <w:tcPr>
            <w:tcW w:w="670" w:type="dxa"/>
            <w:shd w:val="clear" w:color="auto" w:fill="auto"/>
          </w:tcPr>
          <w:p w14:paraId="08175210" w14:textId="77777777" w:rsidR="005122E6" w:rsidRPr="004C2A59" w:rsidRDefault="005122E6" w:rsidP="00421681">
            <w:pPr>
              <w:ind w:left="-45"/>
            </w:pPr>
            <w:r w:rsidRPr="004C2A59">
              <w:t>27:25</w:t>
            </w:r>
          </w:p>
        </w:tc>
        <w:tc>
          <w:tcPr>
            <w:tcW w:w="683" w:type="dxa"/>
            <w:shd w:val="clear" w:color="auto" w:fill="auto"/>
          </w:tcPr>
          <w:p w14:paraId="01B3EBFC" w14:textId="77777777" w:rsidR="005122E6" w:rsidRPr="004C2A59" w:rsidRDefault="005122E6" w:rsidP="00421681">
            <w:pPr>
              <w:ind w:left="-45"/>
            </w:pPr>
            <w:r w:rsidRPr="004C2A59">
              <w:t>20:25</w:t>
            </w:r>
          </w:p>
        </w:tc>
        <w:tc>
          <w:tcPr>
            <w:tcW w:w="558" w:type="dxa"/>
            <w:shd w:val="clear" w:color="auto" w:fill="auto"/>
          </w:tcPr>
          <w:p w14:paraId="6E70D08D" w14:textId="77777777" w:rsidR="005122E6" w:rsidRPr="004C2A59" w:rsidRDefault="005122E6" w:rsidP="00421681">
            <w:pPr>
              <w:ind w:left="-45"/>
            </w:pPr>
            <w:r w:rsidRPr="004C2A59">
              <w:t>2:25</w:t>
            </w:r>
          </w:p>
        </w:tc>
        <w:tc>
          <w:tcPr>
            <w:tcW w:w="527" w:type="dxa"/>
            <w:shd w:val="clear" w:color="auto" w:fill="auto"/>
          </w:tcPr>
          <w:p w14:paraId="78FD9F4B" w14:textId="77777777" w:rsidR="005122E6" w:rsidRPr="004C2A59" w:rsidRDefault="005122E6" w:rsidP="00421681">
            <w:pPr>
              <w:ind w:left="-45"/>
            </w:pPr>
            <w:r w:rsidRPr="004C2A59">
              <w:t>0:25</w:t>
            </w:r>
          </w:p>
        </w:tc>
      </w:tr>
      <w:tr w:rsidR="005122E6" w:rsidRPr="004C2A59" w14:paraId="19E55D56" w14:textId="77777777" w:rsidTr="005122E6">
        <w:tc>
          <w:tcPr>
            <w:tcW w:w="450" w:type="dxa"/>
            <w:shd w:val="clear" w:color="auto" w:fill="auto"/>
          </w:tcPr>
          <w:p w14:paraId="6737B349" w14:textId="77777777" w:rsidR="005122E6" w:rsidRPr="004C2A59" w:rsidRDefault="005122E6" w:rsidP="00421681">
            <w:r w:rsidRPr="004C2A59">
              <w:t>(2)</w:t>
            </w:r>
          </w:p>
        </w:tc>
        <w:tc>
          <w:tcPr>
            <w:tcW w:w="687" w:type="dxa"/>
            <w:shd w:val="clear" w:color="auto" w:fill="auto"/>
          </w:tcPr>
          <w:p w14:paraId="5EE5E5F6" w14:textId="77777777" w:rsidR="005122E6" w:rsidRPr="004C2A59" w:rsidRDefault="005122E6" w:rsidP="00421681">
            <w:pPr>
              <w:ind w:left="-45"/>
            </w:pPr>
            <w:r w:rsidRPr="004C2A59">
              <w:t>198:0</w:t>
            </w:r>
          </w:p>
        </w:tc>
        <w:tc>
          <w:tcPr>
            <w:tcW w:w="670" w:type="dxa"/>
            <w:shd w:val="clear" w:color="auto" w:fill="auto"/>
          </w:tcPr>
          <w:p w14:paraId="34B40488" w14:textId="77777777" w:rsidR="005122E6" w:rsidRPr="004C2A59" w:rsidRDefault="005122E6" w:rsidP="00421681">
            <w:pPr>
              <w:ind w:left="-45"/>
            </w:pPr>
            <w:r w:rsidRPr="004C2A59">
              <w:t>196:0</w:t>
            </w:r>
          </w:p>
        </w:tc>
        <w:tc>
          <w:tcPr>
            <w:tcW w:w="710" w:type="dxa"/>
            <w:shd w:val="clear" w:color="auto" w:fill="auto"/>
          </w:tcPr>
          <w:p w14:paraId="791E9A0A" w14:textId="77777777" w:rsidR="005122E6" w:rsidRPr="004C2A59" w:rsidRDefault="005122E6" w:rsidP="00421681">
            <w:pPr>
              <w:ind w:left="-45"/>
            </w:pPr>
            <w:r w:rsidRPr="004C2A59">
              <w:t>192:0</w:t>
            </w:r>
          </w:p>
        </w:tc>
        <w:tc>
          <w:tcPr>
            <w:tcW w:w="717" w:type="dxa"/>
            <w:shd w:val="clear" w:color="auto" w:fill="auto"/>
          </w:tcPr>
          <w:p w14:paraId="26085A29" w14:textId="77777777" w:rsidR="005122E6" w:rsidRPr="004C2A59" w:rsidRDefault="005122E6" w:rsidP="00421681">
            <w:pPr>
              <w:ind w:left="-45"/>
            </w:pPr>
            <w:r w:rsidRPr="004C2A59">
              <w:t>187:4</w:t>
            </w:r>
          </w:p>
        </w:tc>
        <w:tc>
          <w:tcPr>
            <w:tcW w:w="691" w:type="dxa"/>
            <w:shd w:val="clear" w:color="auto" w:fill="auto"/>
          </w:tcPr>
          <w:p w14:paraId="2977995C" w14:textId="77777777" w:rsidR="005122E6" w:rsidRPr="004C2A59" w:rsidRDefault="005122E6" w:rsidP="00421681">
            <w:pPr>
              <w:ind w:left="-45"/>
            </w:pPr>
            <w:r w:rsidRPr="004C2A59">
              <w:t>184:5</w:t>
            </w:r>
          </w:p>
        </w:tc>
        <w:tc>
          <w:tcPr>
            <w:tcW w:w="770" w:type="dxa"/>
            <w:shd w:val="clear" w:color="auto" w:fill="auto"/>
          </w:tcPr>
          <w:p w14:paraId="6C431651" w14:textId="77777777" w:rsidR="005122E6" w:rsidRPr="004C2A59" w:rsidRDefault="005122E6" w:rsidP="00421681">
            <w:pPr>
              <w:ind w:left="-45"/>
            </w:pPr>
            <w:r w:rsidRPr="004C2A59">
              <w:t>164:7</w:t>
            </w:r>
          </w:p>
        </w:tc>
        <w:tc>
          <w:tcPr>
            <w:tcW w:w="779" w:type="dxa"/>
            <w:shd w:val="clear" w:color="auto" w:fill="auto"/>
          </w:tcPr>
          <w:p w14:paraId="64BC0E98" w14:textId="77777777" w:rsidR="005122E6" w:rsidRPr="004C2A59" w:rsidRDefault="005122E6" w:rsidP="00421681">
            <w:pPr>
              <w:ind w:left="-45"/>
            </w:pPr>
            <w:r w:rsidRPr="004C2A59">
              <w:t>152:7</w:t>
            </w:r>
          </w:p>
        </w:tc>
        <w:tc>
          <w:tcPr>
            <w:tcW w:w="794" w:type="dxa"/>
            <w:shd w:val="clear" w:color="auto" w:fill="auto"/>
          </w:tcPr>
          <w:p w14:paraId="1D88D016" w14:textId="77777777" w:rsidR="005122E6" w:rsidRPr="004C2A59" w:rsidRDefault="005122E6" w:rsidP="00421681">
            <w:pPr>
              <w:ind w:left="-45"/>
            </w:pPr>
            <w:r w:rsidRPr="004C2A59">
              <w:t>119:8</w:t>
            </w:r>
          </w:p>
        </w:tc>
        <w:tc>
          <w:tcPr>
            <w:tcW w:w="653" w:type="dxa"/>
            <w:shd w:val="clear" w:color="auto" w:fill="auto"/>
          </w:tcPr>
          <w:p w14:paraId="24A3A0EE" w14:textId="77777777" w:rsidR="005122E6" w:rsidRPr="004C2A59" w:rsidRDefault="005122E6" w:rsidP="00421681">
            <w:pPr>
              <w:ind w:left="-45"/>
            </w:pPr>
            <w:r w:rsidRPr="004C2A59">
              <w:t>100:8</w:t>
            </w:r>
          </w:p>
        </w:tc>
        <w:tc>
          <w:tcPr>
            <w:tcW w:w="630" w:type="dxa"/>
            <w:shd w:val="clear" w:color="auto" w:fill="auto"/>
          </w:tcPr>
          <w:p w14:paraId="34618222" w14:textId="77777777" w:rsidR="005122E6" w:rsidRPr="004C2A59" w:rsidRDefault="005122E6" w:rsidP="00421681">
            <w:pPr>
              <w:ind w:left="-45"/>
            </w:pPr>
            <w:r w:rsidRPr="004C2A59">
              <w:t>76:10</w:t>
            </w:r>
          </w:p>
        </w:tc>
        <w:tc>
          <w:tcPr>
            <w:tcW w:w="643" w:type="dxa"/>
            <w:shd w:val="clear" w:color="auto" w:fill="auto"/>
          </w:tcPr>
          <w:p w14:paraId="1BCA2A9F" w14:textId="77777777" w:rsidR="005122E6" w:rsidRPr="004C2A59" w:rsidRDefault="005122E6" w:rsidP="00421681">
            <w:pPr>
              <w:ind w:left="-45"/>
            </w:pPr>
            <w:r w:rsidRPr="004C2A59">
              <w:t>56:11</w:t>
            </w:r>
          </w:p>
        </w:tc>
        <w:tc>
          <w:tcPr>
            <w:tcW w:w="670" w:type="dxa"/>
            <w:shd w:val="clear" w:color="auto" w:fill="auto"/>
          </w:tcPr>
          <w:p w14:paraId="35D1C830" w14:textId="77777777" w:rsidR="005122E6" w:rsidRPr="004C2A59" w:rsidRDefault="005122E6" w:rsidP="00421681">
            <w:pPr>
              <w:ind w:left="-45"/>
            </w:pPr>
            <w:r w:rsidRPr="004C2A59">
              <w:t>31:11</w:t>
            </w:r>
          </w:p>
        </w:tc>
        <w:tc>
          <w:tcPr>
            <w:tcW w:w="683" w:type="dxa"/>
            <w:shd w:val="clear" w:color="auto" w:fill="auto"/>
          </w:tcPr>
          <w:p w14:paraId="4BF9BCA4" w14:textId="77777777" w:rsidR="005122E6" w:rsidRPr="004C2A59" w:rsidRDefault="005122E6" w:rsidP="00421681">
            <w:pPr>
              <w:ind w:left="-45"/>
            </w:pPr>
            <w:r w:rsidRPr="004C2A59">
              <w:t>13:12</w:t>
            </w:r>
          </w:p>
        </w:tc>
        <w:tc>
          <w:tcPr>
            <w:tcW w:w="558" w:type="dxa"/>
            <w:shd w:val="clear" w:color="auto" w:fill="auto"/>
          </w:tcPr>
          <w:p w14:paraId="46C6CC4D" w14:textId="77777777" w:rsidR="005122E6" w:rsidRPr="004C2A59" w:rsidRDefault="00EA5B1A" w:rsidP="00421681">
            <w:pPr>
              <w:ind w:left="-45"/>
            </w:pPr>
            <w:r w:rsidRPr="004C2A59">
              <w:t>0</w:t>
            </w:r>
            <w:r w:rsidR="005122E6" w:rsidRPr="004C2A59">
              <w:t>:12</w:t>
            </w:r>
          </w:p>
        </w:tc>
        <w:tc>
          <w:tcPr>
            <w:tcW w:w="527" w:type="dxa"/>
            <w:shd w:val="clear" w:color="auto" w:fill="auto"/>
          </w:tcPr>
          <w:p w14:paraId="53986EF4" w14:textId="77777777" w:rsidR="005122E6" w:rsidRPr="004C2A59" w:rsidRDefault="005122E6" w:rsidP="00421681">
            <w:pPr>
              <w:ind w:left="-45"/>
            </w:pPr>
          </w:p>
        </w:tc>
      </w:tr>
    </w:tbl>
    <w:p w14:paraId="0F3A65CA" w14:textId="77777777" w:rsidR="00A92529" w:rsidRPr="004C2A59" w:rsidRDefault="00A92529" w:rsidP="00421681">
      <w:pPr>
        <w:pStyle w:val="Text"/>
        <w:spacing w:before="0"/>
        <w:rPr>
          <w:sz w:val="22"/>
          <w:szCs w:val="22"/>
          <w:lang w:val="da-DK"/>
        </w:rPr>
      </w:pPr>
    </w:p>
    <w:p w14:paraId="4E5FBD0A" w14:textId="77777777" w:rsidR="00B8341F" w:rsidRPr="004C2A59" w:rsidRDefault="00B8341F" w:rsidP="00421681">
      <w:pPr>
        <w:pStyle w:val="EndnoteText"/>
        <w:tabs>
          <w:tab w:val="clear" w:pos="567"/>
        </w:tabs>
        <w:rPr>
          <w:color w:val="000000"/>
          <w:szCs w:val="22"/>
        </w:rPr>
      </w:pPr>
      <w:r w:rsidRPr="004C2A59">
        <w:rPr>
          <w:color w:val="000000"/>
          <w:szCs w:val="22"/>
        </w:rPr>
        <w:t xml:space="preserve">Der er </w:t>
      </w:r>
      <w:r w:rsidR="00FB1D11" w:rsidRPr="004C2A59">
        <w:rPr>
          <w:color w:val="000000"/>
          <w:szCs w:val="22"/>
        </w:rPr>
        <w:t>in</w:t>
      </w:r>
      <w:r w:rsidRPr="004C2A59">
        <w:rPr>
          <w:color w:val="000000"/>
          <w:szCs w:val="22"/>
        </w:rPr>
        <w:t>gen kontrollerede forsøg med pædiatriske patienter med c-</w:t>
      </w:r>
      <w:r w:rsidR="00C32F2C" w:rsidRPr="004C2A59">
        <w:rPr>
          <w:color w:val="000000"/>
          <w:szCs w:val="22"/>
        </w:rPr>
        <w:t>K</w:t>
      </w:r>
      <w:r w:rsidRPr="004C2A59">
        <w:rPr>
          <w:color w:val="000000"/>
          <w:szCs w:val="22"/>
        </w:rPr>
        <w:t>it</w:t>
      </w:r>
      <w:r w:rsidR="00732EA7" w:rsidRPr="004C2A59">
        <w:rPr>
          <w:color w:val="000000"/>
          <w:szCs w:val="22"/>
        </w:rPr>
        <w:t>-</w:t>
      </w:r>
      <w:r w:rsidRPr="004C2A59">
        <w:rPr>
          <w:color w:val="000000"/>
          <w:szCs w:val="22"/>
        </w:rPr>
        <w:t xml:space="preserve">positiv GIST. I syv publikationer var der rapporteret om </w:t>
      </w:r>
      <w:r w:rsidR="001C6852" w:rsidRPr="004C2A59">
        <w:rPr>
          <w:color w:val="000000"/>
          <w:szCs w:val="22"/>
        </w:rPr>
        <w:t>sytten (</w:t>
      </w:r>
      <w:r w:rsidRPr="004C2A59">
        <w:rPr>
          <w:color w:val="000000"/>
          <w:szCs w:val="22"/>
        </w:rPr>
        <w:t>17</w:t>
      </w:r>
      <w:r w:rsidR="001C6852" w:rsidRPr="004C2A59">
        <w:rPr>
          <w:color w:val="000000"/>
          <w:szCs w:val="22"/>
        </w:rPr>
        <w:t>)</w:t>
      </w:r>
      <w:r w:rsidR="00D214AF" w:rsidRPr="004C2A59">
        <w:rPr>
          <w:color w:val="000000"/>
          <w:szCs w:val="22"/>
        </w:rPr>
        <w:t> </w:t>
      </w:r>
      <w:r w:rsidRPr="004C2A59">
        <w:rPr>
          <w:color w:val="000000"/>
          <w:szCs w:val="22"/>
        </w:rPr>
        <w:t>patienter med GIST (med eller uden Kit og PDGFR-mutationer)</w:t>
      </w:r>
      <w:r w:rsidR="001C02CC" w:rsidRPr="004C2A59">
        <w:rPr>
          <w:color w:val="000000"/>
          <w:szCs w:val="22"/>
        </w:rPr>
        <w:t>.</w:t>
      </w:r>
      <w:r w:rsidRPr="004C2A59">
        <w:rPr>
          <w:color w:val="000000"/>
          <w:szCs w:val="22"/>
        </w:rPr>
        <w:t xml:space="preserve"> Alderen på disse patienter rangerede fra </w:t>
      </w:r>
      <w:r w:rsidR="001C02CC" w:rsidRPr="004C2A59">
        <w:rPr>
          <w:color w:val="000000"/>
          <w:szCs w:val="22"/>
        </w:rPr>
        <w:t>8</w:t>
      </w:r>
      <w:r w:rsidRPr="004C2A59">
        <w:rPr>
          <w:color w:val="000000"/>
          <w:szCs w:val="22"/>
        </w:rPr>
        <w:t> til 1</w:t>
      </w:r>
      <w:r w:rsidR="001C02CC" w:rsidRPr="004C2A59">
        <w:rPr>
          <w:color w:val="000000"/>
          <w:szCs w:val="22"/>
        </w:rPr>
        <w:t>8</w:t>
      </w:r>
      <w:r w:rsidRPr="004C2A59">
        <w:rPr>
          <w:color w:val="000000"/>
          <w:szCs w:val="22"/>
        </w:rPr>
        <w:t> år</w:t>
      </w:r>
      <w:r w:rsidR="00FB1D11" w:rsidRPr="004C2A59">
        <w:rPr>
          <w:color w:val="000000"/>
          <w:szCs w:val="22"/>
        </w:rPr>
        <w:t>,</w:t>
      </w:r>
      <w:r w:rsidRPr="004C2A59">
        <w:rPr>
          <w:color w:val="000000"/>
          <w:szCs w:val="22"/>
        </w:rPr>
        <w:t xml:space="preserve"> og imatinib blev givet ved </w:t>
      </w:r>
      <w:r w:rsidR="001C02CC" w:rsidRPr="004C2A59">
        <w:rPr>
          <w:color w:val="000000"/>
          <w:szCs w:val="22"/>
        </w:rPr>
        <w:t xml:space="preserve">både adjuverende og metastatiske forhold i </w:t>
      </w:r>
      <w:r w:rsidRPr="004C2A59">
        <w:rPr>
          <w:color w:val="000000"/>
          <w:szCs w:val="22"/>
        </w:rPr>
        <w:t>doser, der lå i intervallet fra</w:t>
      </w:r>
      <w:r w:rsidR="001C02CC" w:rsidRPr="004C2A59">
        <w:rPr>
          <w:color w:val="000000"/>
          <w:szCs w:val="22"/>
        </w:rPr>
        <w:t xml:space="preserve"> 3</w:t>
      </w:r>
      <w:r w:rsidRPr="004C2A59">
        <w:rPr>
          <w:color w:val="000000"/>
          <w:szCs w:val="22"/>
        </w:rPr>
        <w:t xml:space="preserve">00 til </w:t>
      </w:r>
      <w:r w:rsidR="001C02CC" w:rsidRPr="004C2A59">
        <w:rPr>
          <w:color w:val="000000"/>
          <w:szCs w:val="22"/>
        </w:rPr>
        <w:t>8</w:t>
      </w:r>
      <w:r w:rsidRPr="004C2A59">
        <w:rPr>
          <w:color w:val="000000"/>
          <w:szCs w:val="22"/>
        </w:rPr>
        <w:t>00 mg</w:t>
      </w:r>
      <w:r w:rsidR="001C02CC" w:rsidRPr="004C2A59">
        <w:rPr>
          <w:color w:val="000000"/>
          <w:szCs w:val="22"/>
        </w:rPr>
        <w:t xml:space="preserve"> daglig. Hovedparten af</w:t>
      </w:r>
      <w:r w:rsidR="00C32F2C" w:rsidRPr="004C2A59">
        <w:rPr>
          <w:color w:val="000000"/>
          <w:szCs w:val="22"/>
        </w:rPr>
        <w:t xml:space="preserve"> de</w:t>
      </w:r>
      <w:r w:rsidR="001C02CC" w:rsidRPr="004C2A59">
        <w:rPr>
          <w:color w:val="000000"/>
          <w:szCs w:val="22"/>
        </w:rPr>
        <w:t xml:space="preserve"> pædiatriske patienter, der blev behandlet for GIST</w:t>
      </w:r>
      <w:r w:rsidR="00D214AF" w:rsidRPr="004C2A59">
        <w:rPr>
          <w:color w:val="000000"/>
          <w:szCs w:val="22"/>
        </w:rPr>
        <w:t>,</w:t>
      </w:r>
      <w:r w:rsidR="001C02CC" w:rsidRPr="004C2A59">
        <w:rPr>
          <w:color w:val="000000"/>
          <w:szCs w:val="22"/>
        </w:rPr>
        <w:t xml:space="preserve"> </w:t>
      </w:r>
      <w:r w:rsidR="00C32F2C" w:rsidRPr="004C2A59">
        <w:rPr>
          <w:color w:val="000000"/>
          <w:szCs w:val="22"/>
        </w:rPr>
        <w:t>manglede data</w:t>
      </w:r>
      <w:r w:rsidR="00FB1D11" w:rsidRPr="004C2A59">
        <w:rPr>
          <w:color w:val="000000"/>
          <w:szCs w:val="22"/>
        </w:rPr>
        <w:t>,</w:t>
      </w:r>
      <w:r w:rsidR="00C32F2C" w:rsidRPr="004C2A59">
        <w:rPr>
          <w:color w:val="000000"/>
          <w:szCs w:val="22"/>
        </w:rPr>
        <w:t xml:space="preserve"> der bekræftede c-K</w:t>
      </w:r>
      <w:r w:rsidR="001C02CC" w:rsidRPr="004C2A59">
        <w:rPr>
          <w:color w:val="000000"/>
          <w:szCs w:val="22"/>
        </w:rPr>
        <w:t>it eller PDGFR</w:t>
      </w:r>
      <w:r w:rsidR="00D214AF" w:rsidRPr="004C2A59">
        <w:rPr>
          <w:color w:val="000000"/>
          <w:szCs w:val="22"/>
        </w:rPr>
        <w:t>-</w:t>
      </w:r>
      <w:r w:rsidR="001C02CC" w:rsidRPr="004C2A59">
        <w:rPr>
          <w:color w:val="000000"/>
          <w:szCs w:val="22"/>
        </w:rPr>
        <w:t xml:space="preserve">mutationer, </w:t>
      </w:r>
      <w:r w:rsidR="00C32F2C" w:rsidRPr="004C2A59">
        <w:rPr>
          <w:color w:val="000000"/>
          <w:szCs w:val="22"/>
        </w:rPr>
        <w:t>hvilket</w:t>
      </w:r>
      <w:r w:rsidR="001C02CC" w:rsidRPr="004C2A59">
        <w:rPr>
          <w:color w:val="000000"/>
          <w:szCs w:val="22"/>
        </w:rPr>
        <w:t xml:space="preserve"> kan have ført til varierende kliniske udfald.</w:t>
      </w:r>
    </w:p>
    <w:p w14:paraId="49E40D7C" w14:textId="77777777" w:rsidR="00B8341F" w:rsidRPr="004C2A59" w:rsidRDefault="00B8341F" w:rsidP="00421681">
      <w:pPr>
        <w:pStyle w:val="Text"/>
        <w:spacing w:before="0"/>
        <w:rPr>
          <w:sz w:val="22"/>
          <w:szCs w:val="22"/>
          <w:lang w:val="da-DK"/>
        </w:rPr>
      </w:pPr>
    </w:p>
    <w:p w14:paraId="4CE63A9E" w14:textId="77777777" w:rsidR="005A263B" w:rsidRPr="004C2A59" w:rsidRDefault="005A263B" w:rsidP="00A125B0">
      <w:pPr>
        <w:pStyle w:val="EndnoteText"/>
        <w:keepNext/>
        <w:tabs>
          <w:tab w:val="clear" w:pos="567"/>
        </w:tabs>
        <w:rPr>
          <w:color w:val="000000"/>
          <w:szCs w:val="22"/>
          <w:u w:val="single"/>
        </w:rPr>
      </w:pPr>
      <w:r w:rsidRPr="004C2A59">
        <w:rPr>
          <w:color w:val="000000"/>
          <w:szCs w:val="22"/>
          <w:u w:val="single"/>
        </w:rPr>
        <w:t>Kliniske studier ved DFSP</w:t>
      </w:r>
    </w:p>
    <w:p w14:paraId="3763A0CE" w14:textId="77777777" w:rsidR="005A263B" w:rsidRPr="004C2A59" w:rsidRDefault="005A263B" w:rsidP="00421681">
      <w:pPr>
        <w:pStyle w:val="EndnoteText"/>
        <w:tabs>
          <w:tab w:val="clear" w:pos="567"/>
        </w:tabs>
        <w:rPr>
          <w:color w:val="000000"/>
          <w:szCs w:val="22"/>
        </w:rPr>
      </w:pPr>
      <w:r w:rsidRPr="004C2A59">
        <w:rPr>
          <w:color w:val="000000"/>
          <w:szCs w:val="22"/>
        </w:rPr>
        <w:t>Der er udført et åbent multicenter fase II</w:t>
      </w:r>
      <w:r w:rsidR="006D7A63" w:rsidRPr="004C2A59">
        <w:rPr>
          <w:color w:val="000000"/>
          <w:szCs w:val="22"/>
        </w:rPr>
        <w:t>-</w:t>
      </w:r>
      <w:r w:rsidRPr="004C2A59">
        <w:rPr>
          <w:color w:val="000000"/>
          <w:szCs w:val="22"/>
        </w:rPr>
        <w:t xml:space="preserve">klinisk forsøg (studie B2225) med inklusion af 12 patienter med DFSP, som blev behandlet med Glivec 800 mg daglig. Alderen hos patienterne med DFSP varierede fra 23 til 75 år; DFSP var på tidspunktet for inklusion i studiet metastaseret, recidiveret lokalt efter initial resektionskirurgi og vurderet som ikke modtagelig for yderligere resekterende kirurgi. Det primære bevis for effekt var baseret på onjektive responsrater. Af de 12 inkluderede patienter responderede 9, en komplet og 8 partielt. Tre af de partielt responderende blev sygdomsfri efter kirurgi. Den mediane varighed af behandlingen i studie B2225 var 6,2 måneder med en maksimum varighed på 24,3 måneder. Yderligere seks patienter, behandlet med Glivec, er blevet beskrevet i 5 publicerede kasuistikker, alderen varierede fra 18 måneder til 49 år. De voksne patienter, som er beskrevet i publiceret litteratur blev behandlet med enten 400 mg (fire tilfælde) eller 800 mg (et tilfælde) Glivec daglig. Fem </w:t>
      </w:r>
      <w:r w:rsidR="00467347" w:rsidRPr="004C2A59">
        <w:rPr>
          <w:color w:val="000000"/>
          <w:szCs w:val="22"/>
        </w:rPr>
        <w:t xml:space="preserve">(5) </w:t>
      </w:r>
      <w:r w:rsidRPr="004C2A59">
        <w:rPr>
          <w:color w:val="000000"/>
          <w:szCs w:val="22"/>
        </w:rPr>
        <w:t>patienter responderede, 3 komplet og 2 partielt. Den mediane behandlingsvarighed i publiceret litteratur varierede mellem 4 uger og mere end 20 måneder. Translokationen t(17:22)</w:t>
      </w:r>
      <w:r w:rsidRPr="004C2A59">
        <w:rPr>
          <w:color w:val="000000"/>
          <w:szCs w:val="22"/>
          <w:lang w:eastAsia="ja-JP"/>
        </w:rPr>
        <w:t xml:space="preserve"> [(q22:q13)], eller dets gen-produkt, var til stede i næsten alle respons på Glivec</w:t>
      </w:r>
      <w:r w:rsidR="000772C0" w:rsidRPr="004C2A59">
        <w:rPr>
          <w:color w:val="000000"/>
          <w:szCs w:val="22"/>
          <w:lang w:eastAsia="ja-JP"/>
        </w:rPr>
        <w:t>-</w:t>
      </w:r>
      <w:r w:rsidRPr="004C2A59">
        <w:rPr>
          <w:color w:val="000000"/>
          <w:szCs w:val="22"/>
          <w:lang w:eastAsia="ja-JP"/>
        </w:rPr>
        <w:t>behandling.</w:t>
      </w:r>
    </w:p>
    <w:p w14:paraId="041CDDC6" w14:textId="77777777" w:rsidR="00C143A3" w:rsidRPr="004C2A59" w:rsidRDefault="00C143A3" w:rsidP="00421681">
      <w:pPr>
        <w:pStyle w:val="EndnoteText"/>
        <w:tabs>
          <w:tab w:val="clear" w:pos="567"/>
        </w:tabs>
        <w:rPr>
          <w:color w:val="000000"/>
          <w:szCs w:val="22"/>
          <w:lang w:eastAsia="ja-JP"/>
        </w:rPr>
      </w:pPr>
    </w:p>
    <w:p w14:paraId="6274ADB9" w14:textId="77777777" w:rsidR="00231EA0" w:rsidRPr="004C2A59" w:rsidRDefault="00231EA0" w:rsidP="00421681">
      <w:pPr>
        <w:pStyle w:val="EndnoteText"/>
        <w:tabs>
          <w:tab w:val="clear" w:pos="567"/>
        </w:tabs>
        <w:rPr>
          <w:color w:val="000000"/>
          <w:szCs w:val="22"/>
        </w:rPr>
      </w:pPr>
      <w:r w:rsidRPr="004C2A59">
        <w:rPr>
          <w:color w:val="000000"/>
          <w:szCs w:val="22"/>
        </w:rPr>
        <w:t xml:space="preserve">Der er </w:t>
      </w:r>
      <w:r w:rsidR="00FB1D11" w:rsidRPr="004C2A59">
        <w:rPr>
          <w:color w:val="000000"/>
          <w:szCs w:val="22"/>
        </w:rPr>
        <w:t>in</w:t>
      </w:r>
      <w:r w:rsidRPr="004C2A59">
        <w:rPr>
          <w:color w:val="000000"/>
          <w:szCs w:val="22"/>
        </w:rPr>
        <w:t xml:space="preserve">gen kontrollerede forsøg med pædiatriske patienter </w:t>
      </w:r>
      <w:r w:rsidR="00AD44E7" w:rsidRPr="004C2A59">
        <w:rPr>
          <w:color w:val="000000"/>
          <w:szCs w:val="22"/>
        </w:rPr>
        <w:t xml:space="preserve">med </w:t>
      </w:r>
      <w:r w:rsidRPr="004C2A59">
        <w:rPr>
          <w:color w:val="000000"/>
          <w:szCs w:val="22"/>
        </w:rPr>
        <w:t xml:space="preserve">DFSP. I tre publikationer var der rapporteret om </w:t>
      </w:r>
      <w:r w:rsidR="001C6852" w:rsidRPr="004C2A59">
        <w:rPr>
          <w:color w:val="000000"/>
          <w:szCs w:val="22"/>
        </w:rPr>
        <w:t>fem (</w:t>
      </w:r>
      <w:r w:rsidRPr="004C2A59">
        <w:rPr>
          <w:color w:val="000000"/>
          <w:szCs w:val="22"/>
        </w:rPr>
        <w:t>5</w:t>
      </w:r>
      <w:r w:rsidR="001C6852" w:rsidRPr="004C2A59">
        <w:rPr>
          <w:color w:val="000000"/>
          <w:szCs w:val="22"/>
        </w:rPr>
        <w:t>)</w:t>
      </w:r>
      <w:r w:rsidRPr="004C2A59">
        <w:rPr>
          <w:color w:val="000000"/>
          <w:szCs w:val="22"/>
        </w:rPr>
        <w:t xml:space="preserve"> patienter med </w:t>
      </w:r>
      <w:r w:rsidR="00BD21F5" w:rsidRPr="004C2A59">
        <w:rPr>
          <w:color w:val="000000"/>
          <w:szCs w:val="22"/>
        </w:rPr>
        <w:t>DFSP og PDGFR-omlejringer.</w:t>
      </w:r>
      <w:r w:rsidRPr="004C2A59">
        <w:rPr>
          <w:color w:val="000000"/>
          <w:szCs w:val="22"/>
        </w:rPr>
        <w:t xml:space="preserve"> Alderen på disse patienter rangerede fra </w:t>
      </w:r>
      <w:r w:rsidR="00BD21F5" w:rsidRPr="004C2A59">
        <w:rPr>
          <w:color w:val="000000"/>
          <w:szCs w:val="22"/>
        </w:rPr>
        <w:t>nyfødt</w:t>
      </w:r>
      <w:r w:rsidRPr="004C2A59">
        <w:rPr>
          <w:color w:val="000000"/>
          <w:szCs w:val="22"/>
        </w:rPr>
        <w:t> til 1</w:t>
      </w:r>
      <w:r w:rsidR="00BD21F5" w:rsidRPr="004C2A59">
        <w:rPr>
          <w:color w:val="000000"/>
          <w:szCs w:val="22"/>
        </w:rPr>
        <w:t>4</w:t>
      </w:r>
      <w:r w:rsidRPr="004C2A59">
        <w:rPr>
          <w:color w:val="000000"/>
          <w:szCs w:val="22"/>
        </w:rPr>
        <w:t> år</w:t>
      </w:r>
      <w:r w:rsidR="00FB1D11" w:rsidRPr="004C2A59">
        <w:rPr>
          <w:color w:val="000000"/>
          <w:szCs w:val="22"/>
        </w:rPr>
        <w:t>,</w:t>
      </w:r>
      <w:r w:rsidRPr="004C2A59">
        <w:rPr>
          <w:color w:val="000000"/>
          <w:szCs w:val="22"/>
        </w:rPr>
        <w:t xml:space="preserve"> og imatinib blev givet </w:t>
      </w:r>
      <w:r w:rsidR="001C6852" w:rsidRPr="004C2A59">
        <w:rPr>
          <w:color w:val="000000"/>
          <w:szCs w:val="22"/>
        </w:rPr>
        <w:t xml:space="preserve">i en </w:t>
      </w:r>
      <w:r w:rsidRPr="004C2A59">
        <w:rPr>
          <w:color w:val="000000"/>
          <w:szCs w:val="22"/>
        </w:rPr>
        <w:t>dos</w:t>
      </w:r>
      <w:r w:rsidR="001C6852" w:rsidRPr="004C2A59">
        <w:rPr>
          <w:color w:val="000000"/>
          <w:szCs w:val="22"/>
        </w:rPr>
        <w:t>is på 50 mg dagligt eller doser,</w:t>
      </w:r>
      <w:r w:rsidRPr="004C2A59">
        <w:rPr>
          <w:color w:val="000000"/>
          <w:szCs w:val="22"/>
        </w:rPr>
        <w:t xml:space="preserve"> der lå i intervallet fra </w:t>
      </w:r>
      <w:r w:rsidR="00BD21F5" w:rsidRPr="004C2A59">
        <w:rPr>
          <w:color w:val="000000"/>
          <w:szCs w:val="22"/>
        </w:rPr>
        <w:t>4</w:t>
      </w:r>
      <w:r w:rsidRPr="004C2A59">
        <w:rPr>
          <w:color w:val="000000"/>
          <w:szCs w:val="22"/>
        </w:rPr>
        <w:t>00</w:t>
      </w:r>
      <w:r w:rsidR="00BD21F5" w:rsidRPr="004C2A59">
        <w:rPr>
          <w:color w:val="000000"/>
          <w:szCs w:val="22"/>
        </w:rPr>
        <w:t> </w:t>
      </w:r>
      <w:r w:rsidRPr="004C2A59">
        <w:rPr>
          <w:color w:val="000000"/>
          <w:szCs w:val="22"/>
        </w:rPr>
        <w:t xml:space="preserve">til </w:t>
      </w:r>
      <w:r w:rsidR="00BD21F5" w:rsidRPr="004C2A59">
        <w:rPr>
          <w:color w:val="000000"/>
          <w:szCs w:val="22"/>
        </w:rPr>
        <w:t>52</w:t>
      </w:r>
      <w:r w:rsidRPr="004C2A59">
        <w:rPr>
          <w:color w:val="000000"/>
          <w:szCs w:val="22"/>
        </w:rPr>
        <w:t>0</w:t>
      </w:r>
      <w:r w:rsidR="00BD21F5" w:rsidRPr="004C2A59">
        <w:rPr>
          <w:color w:val="000000"/>
          <w:szCs w:val="22"/>
        </w:rPr>
        <w:t> </w:t>
      </w:r>
      <w:r w:rsidRPr="004C2A59">
        <w:rPr>
          <w:color w:val="000000"/>
          <w:szCs w:val="22"/>
        </w:rPr>
        <w:t>mg</w:t>
      </w:r>
      <w:r w:rsidR="00BD21F5" w:rsidRPr="004C2A59">
        <w:rPr>
          <w:color w:val="000000"/>
          <w:szCs w:val="22"/>
        </w:rPr>
        <w:t>/m</w:t>
      </w:r>
      <w:r w:rsidR="00BD21F5" w:rsidRPr="004C2A59">
        <w:rPr>
          <w:color w:val="000000"/>
          <w:szCs w:val="22"/>
          <w:vertAlign w:val="superscript"/>
        </w:rPr>
        <w:t>2</w:t>
      </w:r>
      <w:r w:rsidRPr="004C2A59">
        <w:rPr>
          <w:color w:val="000000"/>
          <w:szCs w:val="22"/>
        </w:rPr>
        <w:t xml:space="preserve"> daglig</w:t>
      </w:r>
      <w:r w:rsidR="001C6852" w:rsidRPr="004C2A59">
        <w:rPr>
          <w:color w:val="000000"/>
          <w:szCs w:val="22"/>
        </w:rPr>
        <w:t>t</w:t>
      </w:r>
      <w:r w:rsidRPr="004C2A59">
        <w:rPr>
          <w:color w:val="000000"/>
          <w:szCs w:val="22"/>
        </w:rPr>
        <w:t xml:space="preserve">. </w:t>
      </w:r>
      <w:r w:rsidR="00BD21F5" w:rsidRPr="004C2A59">
        <w:rPr>
          <w:color w:val="000000"/>
          <w:szCs w:val="22"/>
        </w:rPr>
        <w:t>Alle patienter opnåede delvis</w:t>
      </w:r>
      <w:r w:rsidR="00732EA7" w:rsidRPr="004C2A59">
        <w:rPr>
          <w:color w:val="000000"/>
          <w:szCs w:val="22"/>
        </w:rPr>
        <w:t>t</w:t>
      </w:r>
      <w:r w:rsidR="00BD21F5" w:rsidRPr="004C2A59">
        <w:rPr>
          <w:color w:val="000000"/>
          <w:szCs w:val="22"/>
        </w:rPr>
        <w:t xml:space="preserve"> og/eller komplet respons.</w:t>
      </w:r>
    </w:p>
    <w:p w14:paraId="31398646" w14:textId="77777777" w:rsidR="00231EA0" w:rsidRPr="004C2A59" w:rsidRDefault="00231EA0" w:rsidP="00421681">
      <w:pPr>
        <w:pStyle w:val="EndnoteText"/>
        <w:tabs>
          <w:tab w:val="clear" w:pos="567"/>
        </w:tabs>
        <w:rPr>
          <w:color w:val="000000"/>
          <w:szCs w:val="22"/>
          <w:lang w:eastAsia="ja-JP"/>
        </w:rPr>
      </w:pPr>
    </w:p>
    <w:p w14:paraId="06E0ECC5" w14:textId="77777777" w:rsidR="00270C5A" w:rsidRPr="004C2A59" w:rsidRDefault="005C10A4" w:rsidP="00A125B0">
      <w:pPr>
        <w:keepNext/>
        <w:widowControl w:val="0"/>
        <w:suppressAutoHyphens/>
        <w:ind w:left="567" w:hanging="567"/>
        <w:rPr>
          <w:b/>
          <w:color w:val="000000"/>
          <w:sz w:val="22"/>
          <w:szCs w:val="22"/>
          <w:lang w:val="da-DK"/>
        </w:rPr>
      </w:pPr>
      <w:r w:rsidRPr="004C2A59">
        <w:rPr>
          <w:b/>
          <w:color w:val="000000"/>
          <w:sz w:val="22"/>
          <w:szCs w:val="22"/>
          <w:lang w:val="da-DK"/>
        </w:rPr>
        <w:t>5.2</w:t>
      </w:r>
      <w:r w:rsidRPr="004C2A59">
        <w:rPr>
          <w:b/>
          <w:color w:val="000000"/>
          <w:sz w:val="22"/>
          <w:szCs w:val="22"/>
          <w:lang w:val="da-DK"/>
        </w:rPr>
        <w:tab/>
      </w:r>
      <w:r w:rsidR="00270C5A" w:rsidRPr="004C2A59">
        <w:rPr>
          <w:b/>
          <w:color w:val="000000"/>
          <w:sz w:val="22"/>
          <w:szCs w:val="22"/>
          <w:lang w:val="da-DK"/>
        </w:rPr>
        <w:t>Farmakokinetiske egenskaber</w:t>
      </w:r>
    </w:p>
    <w:p w14:paraId="7DE80406" w14:textId="77777777" w:rsidR="00270C5A" w:rsidRPr="004C2A59" w:rsidRDefault="00270C5A" w:rsidP="00A125B0">
      <w:pPr>
        <w:keepNext/>
        <w:widowControl w:val="0"/>
        <w:suppressAutoHyphens/>
        <w:rPr>
          <w:color w:val="000000"/>
          <w:sz w:val="22"/>
          <w:szCs w:val="22"/>
          <w:lang w:val="da-DK"/>
        </w:rPr>
      </w:pPr>
    </w:p>
    <w:p w14:paraId="48EF5ECD" w14:textId="77777777" w:rsidR="00270C5A" w:rsidRPr="004C2A59" w:rsidRDefault="00270C5A" w:rsidP="00A125B0">
      <w:pPr>
        <w:keepNext/>
        <w:widowControl w:val="0"/>
        <w:suppressAutoHyphens/>
        <w:rPr>
          <w:color w:val="000000"/>
          <w:sz w:val="22"/>
          <w:szCs w:val="22"/>
          <w:u w:val="single"/>
          <w:lang w:val="da-DK"/>
        </w:rPr>
      </w:pPr>
      <w:r w:rsidRPr="004C2A59">
        <w:rPr>
          <w:color w:val="000000"/>
          <w:sz w:val="22"/>
          <w:szCs w:val="22"/>
          <w:u w:val="single"/>
          <w:lang w:val="da-DK"/>
        </w:rPr>
        <w:t>Glivecs farmakokinetik</w:t>
      </w:r>
    </w:p>
    <w:p w14:paraId="2214CBCC" w14:textId="77777777" w:rsidR="00270C5A" w:rsidRPr="004C2A59" w:rsidRDefault="00270C5A" w:rsidP="00421681">
      <w:pPr>
        <w:widowControl w:val="0"/>
        <w:suppressAutoHyphens/>
        <w:rPr>
          <w:color w:val="000000"/>
          <w:sz w:val="22"/>
          <w:szCs w:val="22"/>
          <w:lang w:val="da-DK"/>
        </w:rPr>
      </w:pPr>
      <w:r w:rsidRPr="004C2A59">
        <w:rPr>
          <w:color w:val="000000"/>
          <w:sz w:val="22"/>
          <w:szCs w:val="22"/>
          <w:lang w:val="da-DK"/>
        </w:rPr>
        <w:t>Glivecs farmakokinetik er evalueret i dosisintervallet: 25</w:t>
      </w:r>
      <w:r w:rsidR="00ED38CD" w:rsidRPr="004C2A59">
        <w:rPr>
          <w:color w:val="000000"/>
          <w:sz w:val="22"/>
          <w:szCs w:val="22"/>
          <w:lang w:val="da-DK"/>
        </w:rPr>
        <w:t>–</w:t>
      </w:r>
      <w:r w:rsidRPr="004C2A59">
        <w:rPr>
          <w:color w:val="000000"/>
          <w:sz w:val="22"/>
          <w:szCs w:val="22"/>
          <w:lang w:val="da-DK"/>
        </w:rPr>
        <w:t>1</w:t>
      </w:r>
      <w:r w:rsidR="00EE3B34" w:rsidRPr="004C2A59">
        <w:rPr>
          <w:color w:val="000000"/>
          <w:sz w:val="22"/>
          <w:szCs w:val="22"/>
          <w:lang w:val="da-DK"/>
        </w:rPr>
        <w:t>.</w:t>
      </w:r>
      <w:r w:rsidRPr="004C2A59">
        <w:rPr>
          <w:color w:val="000000"/>
          <w:sz w:val="22"/>
          <w:szCs w:val="22"/>
          <w:lang w:val="da-DK"/>
        </w:rPr>
        <w:t>000</w:t>
      </w:r>
      <w:r w:rsidR="00C17108" w:rsidRPr="004C2A59">
        <w:rPr>
          <w:color w:val="000000"/>
          <w:sz w:val="22"/>
          <w:szCs w:val="22"/>
          <w:lang w:val="da-DK"/>
        </w:rPr>
        <w:t> mg</w:t>
      </w:r>
      <w:r w:rsidRPr="004C2A59">
        <w:rPr>
          <w:color w:val="000000"/>
          <w:sz w:val="22"/>
          <w:szCs w:val="22"/>
          <w:lang w:val="da-DK"/>
        </w:rPr>
        <w:t>. Plasmafarmakokinetiske profiler blev analyseret på dag</w:t>
      </w:r>
      <w:r w:rsidR="00D36EF2" w:rsidRPr="004C2A59">
        <w:rPr>
          <w:color w:val="000000"/>
          <w:sz w:val="22"/>
          <w:szCs w:val="22"/>
          <w:lang w:val="da-DK"/>
        </w:rPr>
        <w:t> </w:t>
      </w:r>
      <w:r w:rsidRPr="004C2A59">
        <w:rPr>
          <w:color w:val="000000"/>
          <w:sz w:val="22"/>
          <w:szCs w:val="22"/>
          <w:lang w:val="da-DK"/>
        </w:rPr>
        <w:t>1 og på enten dag</w:t>
      </w:r>
      <w:r w:rsidR="00D36EF2" w:rsidRPr="004C2A59">
        <w:rPr>
          <w:color w:val="000000"/>
          <w:sz w:val="22"/>
          <w:szCs w:val="22"/>
          <w:lang w:val="da-DK"/>
        </w:rPr>
        <w:t> </w:t>
      </w:r>
      <w:r w:rsidRPr="004C2A59">
        <w:rPr>
          <w:color w:val="000000"/>
          <w:sz w:val="22"/>
          <w:szCs w:val="22"/>
          <w:lang w:val="da-DK"/>
        </w:rPr>
        <w:t>7 eller dag</w:t>
      </w:r>
      <w:r w:rsidR="00D36EF2" w:rsidRPr="004C2A59">
        <w:rPr>
          <w:color w:val="000000"/>
          <w:sz w:val="22"/>
          <w:szCs w:val="22"/>
          <w:lang w:val="da-DK"/>
        </w:rPr>
        <w:t> </w:t>
      </w:r>
      <w:r w:rsidRPr="004C2A59">
        <w:rPr>
          <w:color w:val="000000"/>
          <w:sz w:val="22"/>
          <w:szCs w:val="22"/>
          <w:lang w:val="da-DK"/>
        </w:rPr>
        <w:t xml:space="preserve">28, hvor plasmakoncentrationerne havde nået </w:t>
      </w:r>
      <w:r w:rsidRPr="004C2A59">
        <w:rPr>
          <w:color w:val="000000"/>
          <w:sz w:val="22"/>
          <w:szCs w:val="22"/>
          <w:lang w:val="da-DK"/>
        </w:rPr>
        <w:lastRenderedPageBreak/>
        <w:t>steady-state.</w:t>
      </w:r>
    </w:p>
    <w:p w14:paraId="12DB051D" w14:textId="77777777" w:rsidR="00270C5A" w:rsidRPr="004C2A59" w:rsidRDefault="00270C5A" w:rsidP="00421681">
      <w:pPr>
        <w:widowControl w:val="0"/>
        <w:suppressAutoHyphens/>
        <w:rPr>
          <w:color w:val="000000"/>
          <w:sz w:val="22"/>
          <w:szCs w:val="22"/>
          <w:lang w:val="da-DK"/>
        </w:rPr>
      </w:pPr>
    </w:p>
    <w:p w14:paraId="775FDF41" w14:textId="77777777" w:rsidR="00270C5A" w:rsidRPr="004C2A59" w:rsidRDefault="00270C5A" w:rsidP="00A125B0">
      <w:pPr>
        <w:keepNext/>
        <w:widowControl w:val="0"/>
        <w:suppressAutoHyphens/>
        <w:rPr>
          <w:color w:val="000000"/>
          <w:sz w:val="22"/>
          <w:szCs w:val="22"/>
          <w:u w:val="single"/>
          <w:lang w:val="da-DK"/>
        </w:rPr>
      </w:pPr>
      <w:r w:rsidRPr="004C2A59">
        <w:rPr>
          <w:color w:val="000000"/>
          <w:sz w:val="22"/>
          <w:szCs w:val="22"/>
          <w:u w:val="single"/>
          <w:lang w:val="da-DK"/>
        </w:rPr>
        <w:t>Absorption</w:t>
      </w:r>
    </w:p>
    <w:p w14:paraId="3404C9E2" w14:textId="77777777" w:rsidR="00270C5A" w:rsidRPr="004C2A59" w:rsidRDefault="00270C5A" w:rsidP="00421681">
      <w:pPr>
        <w:widowControl w:val="0"/>
        <w:suppressAutoHyphens/>
        <w:rPr>
          <w:color w:val="000000"/>
          <w:sz w:val="22"/>
          <w:szCs w:val="22"/>
          <w:lang w:val="da-DK"/>
        </w:rPr>
      </w:pPr>
      <w:r w:rsidRPr="004C2A59">
        <w:rPr>
          <w:color w:val="000000"/>
          <w:sz w:val="22"/>
          <w:szCs w:val="22"/>
          <w:lang w:val="da-DK"/>
        </w:rPr>
        <w:t>Den gennemsnitlige absolutte biotilgængelighed for kapselformuleringen er 98%. Der var stor variabilitet patienterne i mellem i plasmaimatinib AUC efter en oral dosis. Når imatinib indtages i forbindelse med et måltid med høj fedtprocent, reduceres absorptionen af imatinib minimalt (11%’s fald i C</w:t>
      </w:r>
      <w:r w:rsidRPr="004C2A59">
        <w:rPr>
          <w:color w:val="000000"/>
          <w:sz w:val="22"/>
          <w:szCs w:val="22"/>
          <w:vertAlign w:val="subscript"/>
          <w:lang w:val="da-DK"/>
        </w:rPr>
        <w:t>max</w:t>
      </w:r>
      <w:r w:rsidRPr="004C2A59">
        <w:rPr>
          <w:color w:val="000000"/>
          <w:sz w:val="22"/>
          <w:szCs w:val="22"/>
          <w:lang w:val="da-DK"/>
        </w:rPr>
        <w:t xml:space="preserve"> og forlængelse af t</w:t>
      </w:r>
      <w:r w:rsidRPr="004C2A59">
        <w:rPr>
          <w:color w:val="000000"/>
          <w:sz w:val="22"/>
          <w:szCs w:val="22"/>
          <w:vertAlign w:val="subscript"/>
          <w:lang w:val="da-DK"/>
        </w:rPr>
        <w:t>max</w:t>
      </w:r>
      <w:r w:rsidRPr="004C2A59">
        <w:rPr>
          <w:color w:val="000000"/>
          <w:sz w:val="22"/>
          <w:szCs w:val="22"/>
          <w:lang w:val="da-DK"/>
        </w:rPr>
        <w:t xml:space="preserve"> med 1,5</w:t>
      </w:r>
      <w:r w:rsidR="00C02CD8" w:rsidRPr="004C2A59">
        <w:rPr>
          <w:color w:val="000000"/>
          <w:sz w:val="22"/>
          <w:szCs w:val="22"/>
          <w:lang w:val="da-DK"/>
        </w:rPr>
        <w:t> </w:t>
      </w:r>
      <w:r w:rsidRPr="004C2A59">
        <w:rPr>
          <w:color w:val="000000"/>
          <w:sz w:val="22"/>
          <w:szCs w:val="22"/>
          <w:lang w:val="da-DK"/>
        </w:rPr>
        <w:t>time), med et lille fald i AUC (7,4%) sammenlignet med fastende. Tidligere gastrointestinale indgrebs påvirkning af lægemiddelabsorptionen er ikke undersøgt.</w:t>
      </w:r>
    </w:p>
    <w:p w14:paraId="36C1B3F3" w14:textId="77777777" w:rsidR="00270C5A" w:rsidRPr="004C2A59" w:rsidRDefault="00270C5A" w:rsidP="00421681">
      <w:pPr>
        <w:widowControl w:val="0"/>
        <w:suppressAutoHyphens/>
        <w:rPr>
          <w:color w:val="000000"/>
          <w:sz w:val="22"/>
          <w:szCs w:val="22"/>
          <w:lang w:val="da-DK"/>
        </w:rPr>
      </w:pPr>
    </w:p>
    <w:p w14:paraId="40214ABE" w14:textId="77777777" w:rsidR="00270C5A" w:rsidRPr="004C2A59" w:rsidRDefault="009847F0" w:rsidP="00A125B0">
      <w:pPr>
        <w:keepNext/>
        <w:widowControl w:val="0"/>
        <w:suppressAutoHyphens/>
        <w:rPr>
          <w:color w:val="000000"/>
          <w:sz w:val="22"/>
          <w:szCs w:val="22"/>
          <w:u w:val="single"/>
          <w:lang w:val="da-DK"/>
        </w:rPr>
      </w:pPr>
      <w:r w:rsidRPr="004C2A59">
        <w:rPr>
          <w:color w:val="000000"/>
          <w:sz w:val="22"/>
          <w:szCs w:val="22"/>
          <w:u w:val="single"/>
          <w:lang w:val="da-DK"/>
        </w:rPr>
        <w:t>Fordeling</w:t>
      </w:r>
    </w:p>
    <w:p w14:paraId="583D3037" w14:textId="77777777" w:rsidR="00270C5A" w:rsidRPr="004C2A59" w:rsidRDefault="00270C5A" w:rsidP="00421681">
      <w:pPr>
        <w:widowControl w:val="0"/>
        <w:suppressAutoHyphens/>
        <w:rPr>
          <w:color w:val="000000"/>
          <w:sz w:val="22"/>
          <w:szCs w:val="22"/>
          <w:lang w:val="da-DK"/>
        </w:rPr>
      </w:pPr>
      <w:r w:rsidRPr="004C2A59">
        <w:rPr>
          <w:color w:val="000000"/>
          <w:sz w:val="22"/>
          <w:szCs w:val="22"/>
          <w:lang w:val="da-DK"/>
        </w:rPr>
        <w:t xml:space="preserve">Baseret på </w:t>
      </w:r>
      <w:r w:rsidRPr="004C2A59">
        <w:rPr>
          <w:i/>
          <w:color w:val="000000"/>
          <w:sz w:val="22"/>
          <w:szCs w:val="22"/>
          <w:lang w:val="da-DK"/>
        </w:rPr>
        <w:t xml:space="preserve">in vitro </w:t>
      </w:r>
      <w:r w:rsidRPr="004C2A59">
        <w:rPr>
          <w:color w:val="000000"/>
          <w:sz w:val="22"/>
          <w:szCs w:val="22"/>
          <w:lang w:val="da-DK"/>
        </w:rPr>
        <w:t>undersøgelser, bindes, ved kliniske relevante koncentrationer af imatinib, ca. 95% til plasmaproteiner, hovedsagelig albumin og alfa-syre-glycoprotein, med en mindre binding til lipoproteiner.</w:t>
      </w:r>
    </w:p>
    <w:p w14:paraId="3E6F9BFA" w14:textId="77777777" w:rsidR="00270C5A" w:rsidRPr="004C2A59" w:rsidRDefault="00270C5A" w:rsidP="00421681">
      <w:pPr>
        <w:widowControl w:val="0"/>
        <w:suppressAutoHyphens/>
        <w:rPr>
          <w:color w:val="000000"/>
          <w:sz w:val="22"/>
          <w:szCs w:val="22"/>
          <w:lang w:val="da-DK"/>
        </w:rPr>
      </w:pPr>
    </w:p>
    <w:p w14:paraId="5ABF922C" w14:textId="77777777" w:rsidR="00270C5A" w:rsidRPr="004C2A59" w:rsidRDefault="00435663" w:rsidP="00A125B0">
      <w:pPr>
        <w:keepNext/>
        <w:widowControl w:val="0"/>
        <w:suppressAutoHyphens/>
        <w:rPr>
          <w:color w:val="000000"/>
          <w:sz w:val="22"/>
          <w:szCs w:val="22"/>
          <w:u w:val="single"/>
          <w:lang w:val="da-DK"/>
        </w:rPr>
      </w:pPr>
      <w:r w:rsidRPr="004C2A59">
        <w:rPr>
          <w:color w:val="000000"/>
          <w:sz w:val="22"/>
          <w:szCs w:val="22"/>
          <w:u w:val="single"/>
          <w:lang w:val="da-DK"/>
        </w:rPr>
        <w:t>Biotransformation</w:t>
      </w:r>
    </w:p>
    <w:p w14:paraId="02577F59" w14:textId="77777777" w:rsidR="00270C5A" w:rsidRPr="004C2A59" w:rsidRDefault="00270C5A" w:rsidP="00421681">
      <w:pPr>
        <w:widowControl w:val="0"/>
        <w:suppressAutoHyphens/>
        <w:rPr>
          <w:color w:val="000000"/>
          <w:sz w:val="22"/>
          <w:szCs w:val="22"/>
          <w:lang w:val="da-DK"/>
        </w:rPr>
      </w:pPr>
      <w:r w:rsidRPr="004C2A59">
        <w:rPr>
          <w:color w:val="000000"/>
          <w:sz w:val="22"/>
          <w:szCs w:val="22"/>
          <w:lang w:val="da-DK"/>
        </w:rPr>
        <w:t xml:space="preserve">Den cirkulerende hovedmetabolit i mennesker er N-demethyl-piperazinderivatet, som udviser samme potens </w:t>
      </w:r>
      <w:r w:rsidRPr="004C2A59">
        <w:rPr>
          <w:i/>
          <w:color w:val="000000"/>
          <w:sz w:val="22"/>
          <w:szCs w:val="22"/>
          <w:lang w:val="da-DK"/>
        </w:rPr>
        <w:t>in vitro</w:t>
      </w:r>
      <w:r w:rsidRPr="004C2A59">
        <w:rPr>
          <w:color w:val="000000"/>
          <w:sz w:val="22"/>
          <w:szCs w:val="22"/>
          <w:lang w:val="da-DK"/>
        </w:rPr>
        <w:t xml:space="preserve"> som det stof, den er afledt af. Plasma AUC for denne metabolit blev kun fundet at være 16% af AUC for imatinib.</w:t>
      </w:r>
      <w:r w:rsidR="000F4889" w:rsidRPr="004C2A59">
        <w:rPr>
          <w:color w:val="000000"/>
          <w:sz w:val="22"/>
          <w:szCs w:val="22"/>
          <w:lang w:val="da-DK"/>
        </w:rPr>
        <w:t xml:space="preserve"> </w:t>
      </w:r>
      <w:r w:rsidR="005753A4" w:rsidRPr="004C2A59">
        <w:rPr>
          <w:color w:val="000000"/>
          <w:sz w:val="22"/>
          <w:szCs w:val="22"/>
          <w:lang w:val="da-DK"/>
        </w:rPr>
        <w:t>Plasmaproteinbindingen af den N-demethylerede metabolit er sammenlignlig med den for hovedkomponenten.</w:t>
      </w:r>
    </w:p>
    <w:p w14:paraId="71BD393E" w14:textId="77777777" w:rsidR="00270C5A" w:rsidRPr="004C2A59" w:rsidRDefault="00270C5A" w:rsidP="00421681">
      <w:pPr>
        <w:suppressAutoHyphens/>
        <w:rPr>
          <w:color w:val="000000"/>
          <w:sz w:val="22"/>
          <w:szCs w:val="22"/>
          <w:lang w:val="da-DK"/>
        </w:rPr>
      </w:pPr>
    </w:p>
    <w:p w14:paraId="0349FD69" w14:textId="77777777" w:rsidR="00610A3A" w:rsidRPr="004C2A59" w:rsidRDefault="00270C5A" w:rsidP="00421681">
      <w:pPr>
        <w:pStyle w:val="Text"/>
        <w:spacing w:before="0"/>
        <w:jc w:val="left"/>
        <w:rPr>
          <w:color w:val="000000"/>
          <w:sz w:val="22"/>
          <w:szCs w:val="22"/>
          <w:lang w:val="da-DK"/>
        </w:rPr>
      </w:pPr>
      <w:r w:rsidRPr="004C2A59">
        <w:rPr>
          <w:color w:val="000000"/>
          <w:sz w:val="22"/>
          <w:szCs w:val="22"/>
          <w:lang w:val="da-DK"/>
        </w:rPr>
        <w:t>Imatinib og N-demethylmetabolitten udgjorde tilsammen ca. 65% af den cirkulerende radioaktivitet (AUC</w:t>
      </w:r>
      <w:r w:rsidRPr="004C2A59">
        <w:rPr>
          <w:color w:val="000000"/>
          <w:sz w:val="22"/>
          <w:szCs w:val="22"/>
          <w:vertAlign w:val="subscript"/>
          <w:lang w:val="da-DK"/>
        </w:rPr>
        <w:t>(0-48t)</w:t>
      </w:r>
      <w:r w:rsidRPr="004C2A59">
        <w:rPr>
          <w:color w:val="000000"/>
          <w:sz w:val="22"/>
          <w:szCs w:val="22"/>
          <w:lang w:val="da-DK"/>
        </w:rPr>
        <w:t>). Den resterende cirkulerende radioaktivitet bestod af en række mindre metabolitter.</w:t>
      </w:r>
    </w:p>
    <w:p w14:paraId="488B4F54" w14:textId="77777777" w:rsidR="00270C5A" w:rsidRPr="004C2A59" w:rsidRDefault="00270C5A" w:rsidP="00421681">
      <w:pPr>
        <w:pStyle w:val="Text"/>
        <w:spacing w:before="0"/>
        <w:jc w:val="left"/>
        <w:rPr>
          <w:color w:val="000000"/>
          <w:sz w:val="22"/>
          <w:szCs w:val="22"/>
          <w:lang w:val="da-DK"/>
        </w:rPr>
      </w:pPr>
    </w:p>
    <w:p w14:paraId="236F2D79" w14:textId="77777777" w:rsidR="00270C5A" w:rsidRPr="004C2A59" w:rsidRDefault="00270C5A" w:rsidP="00421681">
      <w:pPr>
        <w:pStyle w:val="Text"/>
        <w:spacing w:before="0"/>
        <w:jc w:val="left"/>
        <w:rPr>
          <w:color w:val="000000"/>
          <w:sz w:val="22"/>
          <w:szCs w:val="22"/>
          <w:lang w:val="da-DK"/>
        </w:rPr>
      </w:pPr>
      <w:r w:rsidRPr="004C2A59">
        <w:rPr>
          <w:i/>
          <w:color w:val="000000"/>
          <w:sz w:val="22"/>
          <w:szCs w:val="22"/>
          <w:lang w:val="da-DK"/>
        </w:rPr>
        <w:t>In vitro</w:t>
      </w:r>
      <w:r w:rsidRPr="004C2A59">
        <w:rPr>
          <w:color w:val="000000"/>
          <w:sz w:val="22"/>
          <w:szCs w:val="22"/>
          <w:lang w:val="da-DK"/>
        </w:rPr>
        <w:t xml:space="preserve"> resultater viste, at CYP3A4 var det primære </w:t>
      </w:r>
      <w:r w:rsidR="00551273" w:rsidRPr="004C2A59">
        <w:rPr>
          <w:color w:val="000000"/>
          <w:sz w:val="22"/>
          <w:szCs w:val="22"/>
          <w:lang w:val="da-DK"/>
        </w:rPr>
        <w:t>CYP-</w:t>
      </w:r>
      <w:r w:rsidRPr="004C2A59">
        <w:rPr>
          <w:color w:val="000000"/>
          <w:sz w:val="22"/>
          <w:szCs w:val="22"/>
          <w:lang w:val="da-DK"/>
        </w:rPr>
        <w:t xml:space="preserve">enzym </w:t>
      </w:r>
      <w:r w:rsidR="00A26F6B" w:rsidRPr="004C2A59">
        <w:rPr>
          <w:color w:val="000000"/>
          <w:sz w:val="22"/>
          <w:szCs w:val="22"/>
          <w:lang w:val="da-DK"/>
        </w:rPr>
        <w:t>som</w:t>
      </w:r>
      <w:r w:rsidRPr="004C2A59">
        <w:rPr>
          <w:color w:val="000000"/>
          <w:sz w:val="22"/>
          <w:szCs w:val="22"/>
          <w:lang w:val="da-DK"/>
        </w:rPr>
        <w:t xml:space="preserve"> katalys</w:t>
      </w:r>
      <w:r w:rsidR="00A26F6B" w:rsidRPr="004C2A59">
        <w:rPr>
          <w:color w:val="000000"/>
          <w:sz w:val="22"/>
          <w:szCs w:val="22"/>
          <w:lang w:val="da-DK"/>
        </w:rPr>
        <w:t>ator</w:t>
      </w:r>
      <w:r w:rsidRPr="004C2A59">
        <w:rPr>
          <w:color w:val="000000"/>
          <w:sz w:val="22"/>
          <w:szCs w:val="22"/>
          <w:lang w:val="da-DK"/>
        </w:rPr>
        <w:t xml:space="preserve"> af biotransformationen af imatinib. Af en række potentiel</w:t>
      </w:r>
      <w:r w:rsidR="00A26F6B" w:rsidRPr="004C2A59">
        <w:rPr>
          <w:color w:val="000000"/>
          <w:sz w:val="22"/>
          <w:szCs w:val="22"/>
          <w:lang w:val="da-DK"/>
        </w:rPr>
        <w:t>t</w:t>
      </w:r>
      <w:r w:rsidRPr="004C2A59">
        <w:rPr>
          <w:color w:val="000000"/>
          <w:sz w:val="22"/>
          <w:szCs w:val="22"/>
          <w:lang w:val="da-DK"/>
        </w:rPr>
        <w:t xml:space="preserve"> samtidigt administrerede lægemidler (acetaminophen, acicl</w:t>
      </w:r>
      <w:r w:rsidR="00A26F6B" w:rsidRPr="004C2A59">
        <w:rPr>
          <w:color w:val="000000"/>
          <w:sz w:val="22"/>
          <w:szCs w:val="22"/>
          <w:lang w:val="da-DK"/>
        </w:rPr>
        <w:t>o</w:t>
      </w:r>
      <w:r w:rsidRPr="004C2A59">
        <w:rPr>
          <w:color w:val="000000"/>
          <w:sz w:val="22"/>
          <w:szCs w:val="22"/>
          <w:lang w:val="da-DK"/>
        </w:rPr>
        <w:t xml:space="preserve">vir, allopurinol, amphotericin, cytarabin, erythromycin, fluconazol, hydroxyurea, norfloxacin, </w:t>
      </w:r>
      <w:r w:rsidR="00551273" w:rsidRPr="004C2A59">
        <w:rPr>
          <w:color w:val="000000"/>
          <w:sz w:val="22"/>
          <w:szCs w:val="22"/>
          <w:lang w:val="da-DK"/>
        </w:rPr>
        <w:t>phenoxymethyl</w:t>
      </w:r>
      <w:r w:rsidRPr="004C2A59">
        <w:rPr>
          <w:color w:val="000000"/>
          <w:sz w:val="22"/>
          <w:szCs w:val="22"/>
          <w:lang w:val="da-DK"/>
        </w:rPr>
        <w:t xml:space="preserve">penicillin) </w:t>
      </w:r>
      <w:r w:rsidR="00A26F6B" w:rsidRPr="004C2A59">
        <w:rPr>
          <w:color w:val="000000"/>
          <w:sz w:val="22"/>
          <w:szCs w:val="22"/>
          <w:lang w:val="da-DK"/>
        </w:rPr>
        <w:t>hæmmede</w:t>
      </w:r>
      <w:r w:rsidRPr="004C2A59">
        <w:rPr>
          <w:color w:val="000000"/>
          <w:sz w:val="22"/>
          <w:szCs w:val="22"/>
          <w:lang w:val="da-DK"/>
        </w:rPr>
        <w:t xml:space="preserve"> kun erythromycin (IC</w:t>
      </w:r>
      <w:r w:rsidRPr="004C2A59">
        <w:rPr>
          <w:color w:val="000000"/>
          <w:sz w:val="22"/>
          <w:szCs w:val="22"/>
          <w:vertAlign w:val="subscript"/>
          <w:lang w:val="da-DK"/>
        </w:rPr>
        <w:t>50</w:t>
      </w:r>
      <w:r w:rsidRPr="004C2A59">
        <w:rPr>
          <w:color w:val="000000"/>
          <w:sz w:val="22"/>
          <w:szCs w:val="22"/>
          <w:lang w:val="da-DK"/>
        </w:rPr>
        <w:t xml:space="preserve"> 50 µm) og fluconazol (IC</w:t>
      </w:r>
      <w:r w:rsidRPr="004C2A59">
        <w:rPr>
          <w:color w:val="000000"/>
          <w:sz w:val="22"/>
          <w:szCs w:val="22"/>
          <w:vertAlign w:val="subscript"/>
          <w:lang w:val="da-DK"/>
        </w:rPr>
        <w:t>50</w:t>
      </w:r>
      <w:r w:rsidRPr="004C2A59">
        <w:rPr>
          <w:color w:val="000000"/>
          <w:sz w:val="22"/>
          <w:szCs w:val="22"/>
          <w:lang w:val="da-DK"/>
        </w:rPr>
        <w:t xml:space="preserve"> 118 µm) imatinib</w:t>
      </w:r>
      <w:r w:rsidR="0078117F" w:rsidRPr="004C2A59">
        <w:rPr>
          <w:color w:val="000000"/>
          <w:sz w:val="22"/>
          <w:szCs w:val="22"/>
          <w:lang w:val="da-DK"/>
        </w:rPr>
        <w:t>-</w:t>
      </w:r>
      <w:r w:rsidRPr="004C2A59">
        <w:rPr>
          <w:color w:val="000000"/>
          <w:sz w:val="22"/>
          <w:szCs w:val="22"/>
          <w:lang w:val="da-DK"/>
        </w:rPr>
        <w:t>metabolismen i et omfang</w:t>
      </w:r>
      <w:r w:rsidR="00A26F6B" w:rsidRPr="004C2A59">
        <w:rPr>
          <w:color w:val="000000"/>
          <w:sz w:val="22"/>
          <w:szCs w:val="22"/>
          <w:lang w:val="da-DK"/>
        </w:rPr>
        <w:t>,</w:t>
      </w:r>
      <w:r w:rsidRPr="004C2A59">
        <w:rPr>
          <w:color w:val="000000"/>
          <w:sz w:val="22"/>
          <w:szCs w:val="22"/>
          <w:lang w:val="da-DK"/>
        </w:rPr>
        <w:t xml:space="preserve"> der kunne have klinisk betydning.</w:t>
      </w:r>
    </w:p>
    <w:p w14:paraId="7B305145" w14:textId="77777777" w:rsidR="00270C5A" w:rsidRPr="004C2A59" w:rsidRDefault="00270C5A" w:rsidP="00421681">
      <w:pPr>
        <w:pStyle w:val="Text"/>
        <w:spacing w:before="0"/>
        <w:jc w:val="left"/>
        <w:rPr>
          <w:color w:val="000000"/>
          <w:sz w:val="22"/>
          <w:szCs w:val="22"/>
          <w:lang w:val="da-DK"/>
        </w:rPr>
      </w:pPr>
    </w:p>
    <w:p w14:paraId="07AACDDD" w14:textId="77777777" w:rsidR="00270C5A" w:rsidRPr="004C2A59" w:rsidRDefault="00270C5A" w:rsidP="00421681">
      <w:pPr>
        <w:pStyle w:val="Text"/>
        <w:spacing w:before="0"/>
        <w:jc w:val="left"/>
        <w:rPr>
          <w:color w:val="000000"/>
          <w:sz w:val="22"/>
          <w:szCs w:val="22"/>
          <w:lang w:val="da-DK"/>
        </w:rPr>
      </w:pPr>
      <w:r w:rsidRPr="004C2A59">
        <w:rPr>
          <w:color w:val="000000"/>
          <w:sz w:val="22"/>
          <w:szCs w:val="22"/>
          <w:lang w:val="da-DK"/>
        </w:rPr>
        <w:t xml:space="preserve">Imatinib blev </w:t>
      </w:r>
      <w:r w:rsidRPr="004C2A59">
        <w:rPr>
          <w:i/>
          <w:color w:val="000000"/>
          <w:sz w:val="22"/>
          <w:szCs w:val="22"/>
          <w:lang w:val="da-DK"/>
        </w:rPr>
        <w:t>in vitro</w:t>
      </w:r>
      <w:r w:rsidRPr="004C2A59">
        <w:rPr>
          <w:color w:val="000000"/>
          <w:sz w:val="22"/>
          <w:szCs w:val="22"/>
          <w:lang w:val="da-DK"/>
        </w:rPr>
        <w:t xml:space="preserve"> vist at være en kompetitiv hæmmer af markørsubstrater for CYP2C9, CYP2D6 og CYP3A4/5. K</w:t>
      </w:r>
      <w:r w:rsidRPr="004C2A59">
        <w:rPr>
          <w:color w:val="000000"/>
          <w:sz w:val="22"/>
          <w:szCs w:val="22"/>
          <w:vertAlign w:val="subscript"/>
          <w:lang w:val="da-DK"/>
        </w:rPr>
        <w:t>i</w:t>
      </w:r>
      <w:r w:rsidRPr="004C2A59">
        <w:rPr>
          <w:color w:val="000000"/>
          <w:sz w:val="22"/>
          <w:szCs w:val="22"/>
          <w:lang w:val="da-DK"/>
        </w:rPr>
        <w:t xml:space="preserve"> værdier i humane levermikrosomer var henholdsvis 27; 7,5 og 7,9</w:t>
      </w:r>
      <w:r w:rsidR="00C02CD8" w:rsidRPr="004C2A59">
        <w:rPr>
          <w:color w:val="000000"/>
          <w:sz w:val="22"/>
          <w:szCs w:val="22"/>
          <w:lang w:val="da-DK"/>
        </w:rPr>
        <w:t> </w:t>
      </w:r>
      <w:r w:rsidRPr="004C2A59">
        <w:rPr>
          <w:color w:val="000000"/>
          <w:sz w:val="22"/>
          <w:szCs w:val="22"/>
          <w:lang w:val="da-DK"/>
        </w:rPr>
        <w:sym w:font="Symbol" w:char="F06D"/>
      </w:r>
      <w:r w:rsidRPr="004C2A59">
        <w:rPr>
          <w:color w:val="000000"/>
          <w:sz w:val="22"/>
          <w:szCs w:val="22"/>
          <w:lang w:val="da-DK"/>
        </w:rPr>
        <w:t>mol/l. Maksimale plasmakoncentrationer af imatinib er hos patienter 2</w:t>
      </w:r>
      <w:r w:rsidR="00ED38CD" w:rsidRPr="004C2A59">
        <w:rPr>
          <w:color w:val="000000"/>
          <w:sz w:val="22"/>
          <w:szCs w:val="22"/>
          <w:lang w:val="da-DK"/>
        </w:rPr>
        <w:t>–</w:t>
      </w:r>
      <w:r w:rsidRPr="004C2A59">
        <w:rPr>
          <w:color w:val="000000"/>
          <w:sz w:val="22"/>
          <w:szCs w:val="22"/>
          <w:lang w:val="da-DK"/>
        </w:rPr>
        <w:t>4 </w:t>
      </w:r>
      <w:r w:rsidRPr="004C2A59">
        <w:rPr>
          <w:color w:val="000000"/>
          <w:sz w:val="22"/>
          <w:szCs w:val="22"/>
          <w:lang w:val="da-DK"/>
        </w:rPr>
        <w:sym w:font="Symbol" w:char="F06D"/>
      </w:r>
      <w:r w:rsidRPr="004C2A59">
        <w:rPr>
          <w:color w:val="000000"/>
          <w:sz w:val="22"/>
          <w:szCs w:val="22"/>
          <w:lang w:val="da-DK"/>
        </w:rPr>
        <w:t>mol/l, og hæmning af CYP2D6 og/eller CYP3A4/5-medieret metabolisme af samtidigt administrerede lægemidler er derfor mulig. Imatinib interfererede ikke med biotransformationen af 5-fluorouracil, men hæmmede paclitaxelmetabolismen på grund af kompetitiv hæmning af CYP2C8 (K</w:t>
      </w:r>
      <w:r w:rsidRPr="004C2A59">
        <w:rPr>
          <w:color w:val="000000"/>
          <w:sz w:val="22"/>
          <w:szCs w:val="22"/>
          <w:vertAlign w:val="subscript"/>
          <w:lang w:val="da-DK"/>
        </w:rPr>
        <w:t>i</w:t>
      </w:r>
      <w:r w:rsidRPr="004C2A59">
        <w:rPr>
          <w:color w:val="000000"/>
          <w:sz w:val="22"/>
          <w:szCs w:val="22"/>
          <w:lang w:val="da-DK"/>
        </w:rPr>
        <w:t xml:space="preserve"> = 34,7</w:t>
      </w:r>
      <w:r w:rsidR="00C02CD8" w:rsidRPr="004C2A59">
        <w:rPr>
          <w:color w:val="000000"/>
          <w:sz w:val="22"/>
          <w:szCs w:val="22"/>
          <w:lang w:val="da-DK"/>
        </w:rPr>
        <w:t> </w:t>
      </w:r>
      <w:r w:rsidRPr="004C2A59">
        <w:rPr>
          <w:color w:val="000000"/>
          <w:sz w:val="22"/>
          <w:szCs w:val="22"/>
          <w:lang w:val="da-DK"/>
        </w:rPr>
        <w:t>µm). Denne K</w:t>
      </w:r>
      <w:r w:rsidRPr="004C2A59">
        <w:rPr>
          <w:color w:val="000000"/>
          <w:sz w:val="22"/>
          <w:szCs w:val="22"/>
          <w:vertAlign w:val="subscript"/>
          <w:lang w:val="da-DK"/>
        </w:rPr>
        <w:t>i</w:t>
      </w:r>
      <w:r w:rsidRPr="004C2A59">
        <w:rPr>
          <w:color w:val="000000"/>
          <w:sz w:val="22"/>
          <w:szCs w:val="22"/>
          <w:lang w:val="da-DK"/>
        </w:rPr>
        <w:t xml:space="preserve"> værdi er langt højere end de forventede plasmaniveauer af imatinib hos patienter, og der forventes derfor ingen interaktion i forbindelse med samtidig administration af hverken 5-fluorouracil eller paclitaxel og imatinib.</w:t>
      </w:r>
    </w:p>
    <w:p w14:paraId="3EA84C43" w14:textId="77777777" w:rsidR="00270C5A" w:rsidRPr="004C2A59" w:rsidRDefault="00270C5A" w:rsidP="00421681">
      <w:pPr>
        <w:widowControl w:val="0"/>
        <w:suppressAutoHyphens/>
        <w:rPr>
          <w:color w:val="000000"/>
          <w:sz w:val="22"/>
          <w:szCs w:val="22"/>
          <w:lang w:val="da-DK"/>
        </w:rPr>
      </w:pPr>
    </w:p>
    <w:p w14:paraId="598269ED" w14:textId="77777777" w:rsidR="00270C5A" w:rsidRPr="004C2A59" w:rsidRDefault="00270C5A" w:rsidP="00A125B0">
      <w:pPr>
        <w:keepNext/>
        <w:widowControl w:val="0"/>
        <w:suppressAutoHyphens/>
        <w:rPr>
          <w:color w:val="000000"/>
          <w:sz w:val="22"/>
          <w:szCs w:val="22"/>
          <w:u w:val="single"/>
          <w:lang w:val="da-DK"/>
        </w:rPr>
      </w:pPr>
      <w:r w:rsidRPr="004C2A59">
        <w:rPr>
          <w:color w:val="000000"/>
          <w:sz w:val="22"/>
          <w:szCs w:val="22"/>
          <w:u w:val="single"/>
          <w:lang w:val="da-DK"/>
        </w:rPr>
        <w:t>Elimination</w:t>
      </w:r>
    </w:p>
    <w:p w14:paraId="7B267CCA" w14:textId="77777777" w:rsidR="00270C5A" w:rsidRPr="004C2A59" w:rsidRDefault="00270C5A" w:rsidP="00421681">
      <w:pPr>
        <w:widowControl w:val="0"/>
        <w:suppressAutoHyphens/>
        <w:rPr>
          <w:color w:val="000000"/>
          <w:sz w:val="22"/>
          <w:szCs w:val="22"/>
          <w:lang w:val="da-DK"/>
        </w:rPr>
      </w:pPr>
      <w:r w:rsidRPr="004C2A59">
        <w:rPr>
          <w:color w:val="000000"/>
          <w:sz w:val="22"/>
          <w:szCs w:val="22"/>
          <w:lang w:val="da-DK"/>
        </w:rPr>
        <w:t xml:space="preserve">Baseret på fremkomne stof(fer) efter oral dosis af </w:t>
      </w:r>
      <w:r w:rsidRPr="004C2A59">
        <w:rPr>
          <w:color w:val="000000"/>
          <w:sz w:val="22"/>
          <w:szCs w:val="22"/>
          <w:vertAlign w:val="superscript"/>
          <w:lang w:val="da-DK"/>
        </w:rPr>
        <w:t>14</w:t>
      </w:r>
      <w:r w:rsidRPr="004C2A59">
        <w:rPr>
          <w:color w:val="000000"/>
          <w:sz w:val="22"/>
          <w:szCs w:val="22"/>
          <w:lang w:val="da-DK"/>
        </w:rPr>
        <w:t>C-mærket imatinib, genfandtes ca. 81% af dosis inden for 7</w:t>
      </w:r>
      <w:r w:rsidR="00C02CD8" w:rsidRPr="004C2A59">
        <w:rPr>
          <w:color w:val="000000"/>
          <w:sz w:val="22"/>
          <w:szCs w:val="22"/>
          <w:lang w:val="da-DK"/>
        </w:rPr>
        <w:t> </w:t>
      </w:r>
      <w:r w:rsidRPr="004C2A59">
        <w:rPr>
          <w:color w:val="000000"/>
          <w:sz w:val="22"/>
          <w:szCs w:val="22"/>
          <w:lang w:val="da-DK"/>
        </w:rPr>
        <w:t>dage i fæces (68% af dosis) og urin (13% af dosis). Uomdannet imatinib er ansvarlig for ca. 25% af dosis (5% urin og 20% fæces), resten er metabolitter.</w:t>
      </w:r>
    </w:p>
    <w:p w14:paraId="0E8E4D78" w14:textId="77777777" w:rsidR="00270C5A" w:rsidRPr="004C2A59" w:rsidRDefault="00270C5A" w:rsidP="00421681">
      <w:pPr>
        <w:widowControl w:val="0"/>
        <w:suppressAutoHyphens/>
        <w:rPr>
          <w:color w:val="000000"/>
          <w:sz w:val="22"/>
          <w:szCs w:val="22"/>
          <w:lang w:val="da-DK"/>
        </w:rPr>
      </w:pPr>
    </w:p>
    <w:p w14:paraId="043EA048" w14:textId="77777777" w:rsidR="00270C5A" w:rsidRPr="004C2A59" w:rsidRDefault="00270C5A" w:rsidP="00A125B0">
      <w:pPr>
        <w:keepNext/>
        <w:widowControl w:val="0"/>
        <w:suppressAutoHyphens/>
        <w:rPr>
          <w:color w:val="000000"/>
          <w:sz w:val="22"/>
          <w:szCs w:val="22"/>
          <w:u w:val="single"/>
          <w:lang w:val="da-DK"/>
        </w:rPr>
      </w:pPr>
      <w:r w:rsidRPr="004C2A59">
        <w:rPr>
          <w:color w:val="000000"/>
          <w:sz w:val="22"/>
          <w:szCs w:val="22"/>
          <w:u w:val="single"/>
          <w:lang w:val="da-DK"/>
        </w:rPr>
        <w:t>Plasmafarmakokinetik</w:t>
      </w:r>
    </w:p>
    <w:p w14:paraId="719799A8" w14:textId="77777777" w:rsidR="00270C5A" w:rsidRPr="004C2A59" w:rsidRDefault="00270C5A" w:rsidP="00421681">
      <w:pPr>
        <w:widowControl w:val="0"/>
        <w:suppressAutoHyphens/>
        <w:rPr>
          <w:color w:val="000000"/>
          <w:sz w:val="22"/>
          <w:szCs w:val="22"/>
          <w:lang w:val="da-DK"/>
        </w:rPr>
      </w:pPr>
      <w:r w:rsidRPr="004C2A59">
        <w:rPr>
          <w:color w:val="000000"/>
          <w:sz w:val="22"/>
          <w:szCs w:val="22"/>
          <w:lang w:val="da-DK"/>
        </w:rPr>
        <w:t>Efter oral administration til raske frivillige var t</w:t>
      </w:r>
      <w:r w:rsidRPr="004C2A59">
        <w:rPr>
          <w:color w:val="000000"/>
          <w:sz w:val="22"/>
          <w:szCs w:val="22"/>
          <w:vertAlign w:val="subscript"/>
          <w:lang w:val="da-DK"/>
        </w:rPr>
        <w:t>½</w:t>
      </w:r>
      <w:r w:rsidRPr="004C2A59">
        <w:rPr>
          <w:color w:val="000000"/>
          <w:sz w:val="22"/>
          <w:szCs w:val="22"/>
          <w:lang w:val="da-DK"/>
        </w:rPr>
        <w:t xml:space="preserve"> ca. 18</w:t>
      </w:r>
      <w:r w:rsidR="00C02CD8" w:rsidRPr="004C2A59">
        <w:rPr>
          <w:color w:val="000000"/>
          <w:sz w:val="22"/>
          <w:szCs w:val="22"/>
          <w:lang w:val="da-DK"/>
        </w:rPr>
        <w:t> </w:t>
      </w:r>
      <w:r w:rsidRPr="004C2A59">
        <w:rPr>
          <w:color w:val="000000"/>
          <w:sz w:val="22"/>
          <w:szCs w:val="22"/>
          <w:lang w:val="da-DK"/>
        </w:rPr>
        <w:t>timer, hvilket indikerer, at dosering 1</w:t>
      </w:r>
      <w:r w:rsidR="00C02CD8" w:rsidRPr="004C2A59">
        <w:rPr>
          <w:color w:val="000000"/>
          <w:sz w:val="22"/>
          <w:szCs w:val="22"/>
          <w:lang w:val="da-DK"/>
        </w:rPr>
        <w:t> </w:t>
      </w:r>
      <w:r w:rsidRPr="004C2A59">
        <w:rPr>
          <w:color w:val="000000"/>
          <w:sz w:val="22"/>
          <w:szCs w:val="22"/>
          <w:lang w:val="da-DK"/>
        </w:rPr>
        <w:t>gang daglig er passende. Øgningen i gennemsnitlig AUC ved dosisøgning efter oral administration var lineær og dosisproportional i intervallet 25</w:t>
      </w:r>
      <w:r w:rsidR="00ED38CD" w:rsidRPr="004C2A59">
        <w:rPr>
          <w:color w:val="000000"/>
          <w:sz w:val="22"/>
          <w:szCs w:val="22"/>
          <w:lang w:val="da-DK"/>
        </w:rPr>
        <w:t>–</w:t>
      </w:r>
      <w:r w:rsidRPr="004C2A59">
        <w:rPr>
          <w:color w:val="000000"/>
          <w:sz w:val="22"/>
          <w:szCs w:val="22"/>
          <w:lang w:val="da-DK"/>
        </w:rPr>
        <w:t>1</w:t>
      </w:r>
      <w:r w:rsidR="00EE3B34" w:rsidRPr="004C2A59">
        <w:rPr>
          <w:color w:val="000000"/>
          <w:sz w:val="22"/>
          <w:szCs w:val="22"/>
          <w:lang w:val="da-DK"/>
        </w:rPr>
        <w:t>.</w:t>
      </w:r>
      <w:r w:rsidRPr="004C2A59">
        <w:rPr>
          <w:color w:val="000000"/>
          <w:sz w:val="22"/>
          <w:szCs w:val="22"/>
          <w:lang w:val="da-DK"/>
        </w:rPr>
        <w:t>000</w:t>
      </w:r>
      <w:r w:rsidR="00C17108" w:rsidRPr="004C2A59">
        <w:rPr>
          <w:color w:val="000000"/>
          <w:sz w:val="22"/>
          <w:szCs w:val="22"/>
          <w:lang w:val="da-DK"/>
        </w:rPr>
        <w:t> mg</w:t>
      </w:r>
      <w:r w:rsidRPr="004C2A59">
        <w:rPr>
          <w:color w:val="000000"/>
          <w:sz w:val="22"/>
          <w:szCs w:val="22"/>
          <w:lang w:val="da-DK"/>
        </w:rPr>
        <w:t xml:space="preserve"> imatinib. Der var ingen ændringer i imatinibs kinetik ved gentagen dosering, og akkumulering var 1,5</w:t>
      </w:r>
      <w:r w:rsidR="00ED38CD" w:rsidRPr="004C2A59">
        <w:rPr>
          <w:color w:val="000000"/>
          <w:sz w:val="22"/>
          <w:szCs w:val="22"/>
          <w:lang w:val="da-DK"/>
        </w:rPr>
        <w:t>–</w:t>
      </w:r>
      <w:r w:rsidRPr="004C2A59">
        <w:rPr>
          <w:color w:val="000000"/>
          <w:sz w:val="22"/>
          <w:szCs w:val="22"/>
          <w:lang w:val="da-DK"/>
        </w:rPr>
        <w:t>2,5</w:t>
      </w:r>
      <w:r w:rsidR="00C02CD8" w:rsidRPr="004C2A59">
        <w:rPr>
          <w:color w:val="000000"/>
          <w:sz w:val="22"/>
          <w:szCs w:val="22"/>
          <w:lang w:val="da-DK"/>
        </w:rPr>
        <w:t> </w:t>
      </w:r>
      <w:r w:rsidRPr="004C2A59">
        <w:rPr>
          <w:color w:val="000000"/>
          <w:sz w:val="22"/>
          <w:szCs w:val="22"/>
          <w:lang w:val="da-DK"/>
        </w:rPr>
        <w:t>gange ved steady-state ved dosering 1 gang daglig.</w:t>
      </w:r>
    </w:p>
    <w:p w14:paraId="5FEEC860" w14:textId="77777777" w:rsidR="00270C5A" w:rsidRPr="004C2A59" w:rsidRDefault="00270C5A" w:rsidP="00421681">
      <w:pPr>
        <w:widowControl w:val="0"/>
        <w:suppressAutoHyphens/>
        <w:rPr>
          <w:color w:val="000000"/>
          <w:sz w:val="22"/>
          <w:szCs w:val="22"/>
          <w:lang w:val="da-DK"/>
        </w:rPr>
      </w:pPr>
    </w:p>
    <w:p w14:paraId="6689FEF0" w14:textId="77777777" w:rsidR="00270C5A" w:rsidRPr="004C2A59" w:rsidRDefault="00270C5A" w:rsidP="00A125B0">
      <w:pPr>
        <w:keepNext/>
        <w:widowControl w:val="0"/>
        <w:suppressAutoHyphens/>
        <w:rPr>
          <w:color w:val="000000"/>
          <w:sz w:val="22"/>
          <w:szCs w:val="22"/>
          <w:u w:val="single"/>
          <w:lang w:val="da-DK"/>
        </w:rPr>
      </w:pPr>
      <w:r w:rsidRPr="004C2A59">
        <w:rPr>
          <w:color w:val="000000"/>
          <w:sz w:val="22"/>
          <w:szCs w:val="22"/>
          <w:u w:val="single"/>
          <w:lang w:val="da-DK"/>
        </w:rPr>
        <w:t>Farmakokinetik hos GIST-patienter</w:t>
      </w:r>
    </w:p>
    <w:p w14:paraId="570624E3" w14:textId="77777777" w:rsidR="00270C5A" w:rsidRPr="004C2A59" w:rsidRDefault="00270C5A" w:rsidP="00421681">
      <w:pPr>
        <w:widowControl w:val="0"/>
        <w:suppressAutoHyphens/>
        <w:rPr>
          <w:color w:val="000000"/>
          <w:sz w:val="22"/>
          <w:szCs w:val="22"/>
          <w:lang w:val="da-DK"/>
        </w:rPr>
      </w:pPr>
      <w:r w:rsidRPr="004C2A59">
        <w:rPr>
          <w:color w:val="000000"/>
          <w:sz w:val="22"/>
          <w:szCs w:val="22"/>
          <w:lang w:val="da-DK"/>
        </w:rPr>
        <w:t>Hos GIST-patienter var optagelsen ved steady-state 1,5</w:t>
      </w:r>
      <w:r w:rsidR="00C02CD8" w:rsidRPr="004C2A59">
        <w:rPr>
          <w:color w:val="000000"/>
          <w:sz w:val="22"/>
          <w:szCs w:val="22"/>
          <w:lang w:val="da-DK"/>
        </w:rPr>
        <w:t> </w:t>
      </w:r>
      <w:r w:rsidRPr="004C2A59">
        <w:rPr>
          <w:color w:val="000000"/>
          <w:sz w:val="22"/>
          <w:szCs w:val="22"/>
          <w:lang w:val="da-DK"/>
        </w:rPr>
        <w:t>gange højere end den observeret hos CML-patienter ved samme dosis (400</w:t>
      </w:r>
      <w:r w:rsidR="00C17108" w:rsidRPr="004C2A59">
        <w:rPr>
          <w:color w:val="000000"/>
          <w:sz w:val="22"/>
          <w:szCs w:val="22"/>
          <w:lang w:val="da-DK"/>
        </w:rPr>
        <w:t> mg</w:t>
      </w:r>
      <w:r w:rsidRPr="004C2A59">
        <w:rPr>
          <w:color w:val="000000"/>
          <w:sz w:val="22"/>
          <w:szCs w:val="22"/>
          <w:lang w:val="da-DK"/>
        </w:rPr>
        <w:t xml:space="preserve"> daglig). Ved præliminær populationsfarmakokinetikanalyse hos GIST-patienter fandtes 3</w:t>
      </w:r>
      <w:r w:rsidR="00C02CD8" w:rsidRPr="004C2A59">
        <w:rPr>
          <w:color w:val="000000"/>
          <w:sz w:val="22"/>
          <w:szCs w:val="22"/>
          <w:lang w:val="da-DK"/>
        </w:rPr>
        <w:t> </w:t>
      </w:r>
      <w:r w:rsidRPr="004C2A59">
        <w:rPr>
          <w:color w:val="000000"/>
          <w:sz w:val="22"/>
          <w:szCs w:val="22"/>
          <w:lang w:val="da-DK"/>
        </w:rPr>
        <w:t xml:space="preserve">variable (albumin, leukocytter og bilirubin) at have statistisk signifikant indflydelse på imatinibs farmakokinetik. Fald i albuminværdier forårsagede nedsat clearance (CL/f); og stigninger i leukocyttal forårsagede fald i Cl/f. Disse associationer er dog ikke tilstrækkeligt udtalte </w:t>
      </w:r>
      <w:r w:rsidRPr="004C2A59">
        <w:rPr>
          <w:color w:val="000000"/>
          <w:sz w:val="22"/>
          <w:szCs w:val="22"/>
          <w:lang w:val="da-DK"/>
        </w:rPr>
        <w:lastRenderedPageBreak/>
        <w:t>til at udløse dosisjusteringer. I denne patientpopulation kan levermetastaser potentielt medføre leverinsufficiens og nedsat metabolisme.</w:t>
      </w:r>
    </w:p>
    <w:p w14:paraId="21C2014B" w14:textId="77777777" w:rsidR="00270C5A" w:rsidRPr="004C2A59" w:rsidRDefault="00270C5A" w:rsidP="00421681">
      <w:pPr>
        <w:widowControl w:val="0"/>
        <w:suppressAutoHyphens/>
        <w:rPr>
          <w:color w:val="000000"/>
          <w:sz w:val="22"/>
          <w:szCs w:val="22"/>
          <w:lang w:val="da-DK"/>
        </w:rPr>
      </w:pPr>
    </w:p>
    <w:p w14:paraId="2AB85225" w14:textId="77777777" w:rsidR="00270C5A" w:rsidRPr="004C2A59" w:rsidRDefault="00270C5A" w:rsidP="00A125B0">
      <w:pPr>
        <w:keepNext/>
        <w:widowControl w:val="0"/>
        <w:suppressAutoHyphens/>
        <w:rPr>
          <w:color w:val="000000"/>
          <w:sz w:val="22"/>
          <w:szCs w:val="22"/>
          <w:u w:val="single"/>
          <w:lang w:val="da-DK"/>
        </w:rPr>
      </w:pPr>
      <w:r w:rsidRPr="004C2A59">
        <w:rPr>
          <w:color w:val="000000"/>
          <w:sz w:val="22"/>
          <w:szCs w:val="22"/>
          <w:u w:val="single"/>
          <w:lang w:val="da-DK"/>
        </w:rPr>
        <w:t>Populationsfarmakokinetik</w:t>
      </w:r>
    </w:p>
    <w:p w14:paraId="7C341C3F" w14:textId="77777777" w:rsidR="00270C5A" w:rsidRPr="004C2A59" w:rsidRDefault="00270C5A" w:rsidP="00421681">
      <w:pPr>
        <w:widowControl w:val="0"/>
        <w:suppressAutoHyphens/>
        <w:rPr>
          <w:color w:val="000000"/>
          <w:sz w:val="22"/>
          <w:szCs w:val="22"/>
          <w:lang w:val="da-DK"/>
        </w:rPr>
      </w:pPr>
      <w:r w:rsidRPr="004C2A59">
        <w:rPr>
          <w:color w:val="000000"/>
          <w:sz w:val="22"/>
          <w:szCs w:val="22"/>
          <w:lang w:val="da-DK"/>
        </w:rPr>
        <w:t xml:space="preserve">Populationsfarmakokinetiske analyser hos </w:t>
      </w:r>
      <w:r w:rsidR="000E2F8A" w:rsidRPr="004C2A59">
        <w:rPr>
          <w:color w:val="000000"/>
          <w:sz w:val="22"/>
          <w:szCs w:val="22"/>
          <w:lang w:val="da-DK"/>
        </w:rPr>
        <w:t>CML-patienter</w:t>
      </w:r>
      <w:r w:rsidRPr="004C2A59">
        <w:rPr>
          <w:color w:val="000000"/>
          <w:sz w:val="22"/>
          <w:szCs w:val="22"/>
          <w:lang w:val="da-DK"/>
        </w:rPr>
        <w:t xml:space="preserve"> har vist, at alder har en lille effekt på fordelingsvolumen (12% stigning hos patienter </w:t>
      </w:r>
      <w:r w:rsidRPr="004C2A59">
        <w:rPr>
          <w:color w:val="000000"/>
          <w:sz w:val="22"/>
          <w:szCs w:val="22"/>
          <w:lang w:val="da-DK"/>
        </w:rPr>
        <w:sym w:font="Symbol" w:char="F03E"/>
      </w:r>
      <w:r w:rsidRPr="004C2A59">
        <w:rPr>
          <w:color w:val="000000"/>
          <w:sz w:val="22"/>
          <w:szCs w:val="22"/>
          <w:lang w:val="da-DK"/>
        </w:rPr>
        <w:t>65</w:t>
      </w:r>
      <w:r w:rsidR="00C02CD8" w:rsidRPr="004C2A59">
        <w:rPr>
          <w:color w:val="000000"/>
          <w:sz w:val="22"/>
          <w:szCs w:val="22"/>
          <w:lang w:val="da-DK"/>
        </w:rPr>
        <w:t> </w:t>
      </w:r>
      <w:r w:rsidRPr="004C2A59">
        <w:rPr>
          <w:color w:val="000000"/>
          <w:sz w:val="22"/>
          <w:szCs w:val="22"/>
          <w:lang w:val="da-DK"/>
        </w:rPr>
        <w:t>år). Denne ændring menes ikke at være klinisk signifikant. Kropsvægtens betydning for clearance af imatinib er således, at for patienter, der vejer 50</w:t>
      </w:r>
      <w:r w:rsidR="00ED38CD" w:rsidRPr="004C2A59">
        <w:rPr>
          <w:color w:val="000000"/>
          <w:sz w:val="22"/>
          <w:szCs w:val="22"/>
          <w:lang w:val="da-DK"/>
        </w:rPr>
        <w:t> kg</w:t>
      </w:r>
      <w:r w:rsidRPr="004C2A59">
        <w:rPr>
          <w:color w:val="000000"/>
          <w:sz w:val="22"/>
          <w:szCs w:val="22"/>
          <w:lang w:val="da-DK"/>
        </w:rPr>
        <w:t>, forventes den gennemsnitlige clearance at være 8,5</w:t>
      </w:r>
      <w:r w:rsidR="00C02CD8" w:rsidRPr="004C2A59">
        <w:rPr>
          <w:color w:val="000000"/>
          <w:sz w:val="22"/>
          <w:szCs w:val="22"/>
          <w:lang w:val="da-DK"/>
        </w:rPr>
        <w:t> </w:t>
      </w:r>
      <w:r w:rsidRPr="004C2A59">
        <w:rPr>
          <w:color w:val="000000"/>
          <w:sz w:val="22"/>
          <w:szCs w:val="22"/>
          <w:lang w:val="da-DK"/>
        </w:rPr>
        <w:t>l/t, mens den for patienter, der vejer 100</w:t>
      </w:r>
      <w:r w:rsidR="00ED38CD" w:rsidRPr="004C2A59">
        <w:rPr>
          <w:color w:val="000000"/>
          <w:sz w:val="22"/>
          <w:szCs w:val="22"/>
          <w:lang w:val="da-DK"/>
        </w:rPr>
        <w:t> kg</w:t>
      </w:r>
      <w:r w:rsidRPr="004C2A59">
        <w:rPr>
          <w:color w:val="000000"/>
          <w:sz w:val="22"/>
          <w:szCs w:val="22"/>
          <w:lang w:val="da-DK"/>
        </w:rPr>
        <w:t>, vil stige til 11,8</w:t>
      </w:r>
      <w:r w:rsidR="00C02CD8" w:rsidRPr="004C2A59">
        <w:rPr>
          <w:color w:val="000000"/>
          <w:sz w:val="22"/>
          <w:szCs w:val="22"/>
          <w:lang w:val="da-DK"/>
        </w:rPr>
        <w:t> </w:t>
      </w:r>
      <w:r w:rsidRPr="004C2A59">
        <w:rPr>
          <w:color w:val="000000"/>
          <w:sz w:val="22"/>
          <w:szCs w:val="22"/>
          <w:lang w:val="da-DK"/>
        </w:rPr>
        <w:t>l/t. Disse ændringer anses ikke for at være tilstrækkelige til at indføre dosisjusteringer på basis af kg kropsvægt. Køn har ingen betydning for imatinib’s kinetik.</w:t>
      </w:r>
    </w:p>
    <w:p w14:paraId="762C8FAD" w14:textId="77777777" w:rsidR="00270C5A" w:rsidRPr="004C2A59" w:rsidRDefault="00270C5A" w:rsidP="00421681">
      <w:pPr>
        <w:pStyle w:val="EndnoteText"/>
        <w:tabs>
          <w:tab w:val="clear" w:pos="567"/>
        </w:tabs>
        <w:suppressAutoHyphens/>
        <w:rPr>
          <w:color w:val="000000"/>
          <w:szCs w:val="22"/>
        </w:rPr>
      </w:pPr>
    </w:p>
    <w:p w14:paraId="2690C42E" w14:textId="77777777" w:rsidR="00270C5A" w:rsidRPr="004C2A59" w:rsidRDefault="00270C5A" w:rsidP="00A125B0">
      <w:pPr>
        <w:pStyle w:val="EndnoteText"/>
        <w:keepNext/>
        <w:tabs>
          <w:tab w:val="clear" w:pos="567"/>
        </w:tabs>
        <w:rPr>
          <w:color w:val="000000"/>
          <w:szCs w:val="22"/>
          <w:u w:val="single"/>
        </w:rPr>
      </w:pPr>
      <w:r w:rsidRPr="004C2A59">
        <w:rPr>
          <w:color w:val="000000"/>
          <w:szCs w:val="22"/>
          <w:u w:val="single"/>
        </w:rPr>
        <w:t>Farmakokinetik hos børn</w:t>
      </w:r>
    </w:p>
    <w:p w14:paraId="1AC2D495" w14:textId="77777777" w:rsidR="00270C5A" w:rsidRPr="004C2A59" w:rsidRDefault="00270C5A" w:rsidP="00421681">
      <w:pPr>
        <w:pStyle w:val="EndnoteText"/>
        <w:rPr>
          <w:color w:val="000000"/>
          <w:szCs w:val="22"/>
        </w:rPr>
      </w:pPr>
      <w:r w:rsidRPr="004C2A59">
        <w:rPr>
          <w:color w:val="000000"/>
          <w:szCs w:val="22"/>
        </w:rPr>
        <w:t xml:space="preserve">Ligesom hos voksne absorberedes imatinib hurtigt hos pædiatriske patienter efter oral administration i </w:t>
      </w:r>
      <w:r w:rsidR="004B45AB" w:rsidRPr="004C2A59">
        <w:rPr>
          <w:color w:val="000000"/>
          <w:szCs w:val="22"/>
        </w:rPr>
        <w:t>både</w:t>
      </w:r>
      <w:r w:rsidRPr="004C2A59">
        <w:rPr>
          <w:color w:val="000000"/>
          <w:szCs w:val="22"/>
        </w:rPr>
        <w:t xml:space="preserve"> fase</w:t>
      </w:r>
      <w:r w:rsidR="00B27D9A" w:rsidRPr="004C2A59">
        <w:rPr>
          <w:color w:val="000000"/>
          <w:szCs w:val="22"/>
        </w:rPr>
        <w:t> </w:t>
      </w:r>
      <w:r w:rsidRPr="004C2A59">
        <w:rPr>
          <w:color w:val="000000"/>
          <w:szCs w:val="22"/>
        </w:rPr>
        <w:t>I</w:t>
      </w:r>
      <w:r w:rsidR="006D7A63" w:rsidRPr="004C2A59">
        <w:rPr>
          <w:color w:val="000000"/>
          <w:szCs w:val="22"/>
        </w:rPr>
        <w:t>-</w:t>
      </w:r>
      <w:r w:rsidRPr="004C2A59">
        <w:rPr>
          <w:color w:val="000000"/>
          <w:szCs w:val="22"/>
        </w:rPr>
        <w:t xml:space="preserve"> </w:t>
      </w:r>
      <w:r w:rsidR="004B45AB" w:rsidRPr="004C2A59">
        <w:rPr>
          <w:color w:val="000000"/>
          <w:szCs w:val="22"/>
        </w:rPr>
        <w:t>og fase II</w:t>
      </w:r>
      <w:r w:rsidR="009A16B4" w:rsidRPr="004C2A59">
        <w:rPr>
          <w:color w:val="000000"/>
          <w:szCs w:val="22"/>
        </w:rPr>
        <w:t>-</w:t>
      </w:r>
      <w:r w:rsidRPr="004C2A59">
        <w:rPr>
          <w:color w:val="000000"/>
          <w:szCs w:val="22"/>
        </w:rPr>
        <w:t>undersøgelse</w:t>
      </w:r>
      <w:r w:rsidR="004B45AB" w:rsidRPr="004C2A59">
        <w:rPr>
          <w:color w:val="000000"/>
          <w:szCs w:val="22"/>
        </w:rPr>
        <w:t>r</w:t>
      </w:r>
      <w:r w:rsidRPr="004C2A59">
        <w:rPr>
          <w:color w:val="000000"/>
          <w:szCs w:val="22"/>
        </w:rPr>
        <w:t>. Doser på 260 og 340 mg/m</w:t>
      </w:r>
      <w:r w:rsidRPr="004C2A59">
        <w:rPr>
          <w:color w:val="000000"/>
          <w:szCs w:val="22"/>
          <w:vertAlign w:val="superscript"/>
        </w:rPr>
        <w:t>2</w:t>
      </w:r>
      <w:r w:rsidRPr="004C2A59">
        <w:rPr>
          <w:color w:val="000000"/>
          <w:szCs w:val="22"/>
        </w:rPr>
        <w:t>/dag til børn gav samme optagelse som doser på henholdsvis 400 mg og 600 mg til voksne. Sammenligningen af AUC</w:t>
      </w:r>
      <w:r w:rsidRPr="004C2A59">
        <w:rPr>
          <w:color w:val="000000"/>
          <w:szCs w:val="22"/>
          <w:vertAlign w:val="subscript"/>
        </w:rPr>
        <w:t>(0-24)</w:t>
      </w:r>
      <w:r w:rsidRPr="004C2A59">
        <w:rPr>
          <w:color w:val="000000"/>
          <w:szCs w:val="22"/>
        </w:rPr>
        <w:t xml:space="preserve"> på dag 8 og dag 1 ved 340 mg/m</w:t>
      </w:r>
      <w:r w:rsidRPr="004C2A59">
        <w:rPr>
          <w:color w:val="000000"/>
          <w:szCs w:val="22"/>
          <w:vertAlign w:val="superscript"/>
        </w:rPr>
        <w:t>2</w:t>
      </w:r>
      <w:r w:rsidRPr="004C2A59">
        <w:rPr>
          <w:color w:val="000000"/>
          <w:szCs w:val="22"/>
        </w:rPr>
        <w:t>/dag dosisniveauet viste en 1,7</w:t>
      </w:r>
      <w:r w:rsidR="00C02CD8" w:rsidRPr="004C2A59">
        <w:rPr>
          <w:color w:val="000000"/>
          <w:szCs w:val="22"/>
        </w:rPr>
        <w:t> </w:t>
      </w:r>
      <w:r w:rsidRPr="004C2A59">
        <w:rPr>
          <w:color w:val="000000"/>
          <w:szCs w:val="22"/>
        </w:rPr>
        <w:t>gang højere lægemiddelakkumulering efter gentagen dosering, én gang daglig.</w:t>
      </w:r>
    </w:p>
    <w:p w14:paraId="3F6210A0" w14:textId="77777777" w:rsidR="00270C5A" w:rsidRPr="004C2A59" w:rsidRDefault="00270C5A" w:rsidP="00421681">
      <w:pPr>
        <w:widowControl w:val="0"/>
        <w:suppressAutoHyphens/>
        <w:rPr>
          <w:color w:val="000000"/>
          <w:sz w:val="22"/>
          <w:szCs w:val="22"/>
          <w:lang w:val="da-DK"/>
        </w:rPr>
      </w:pPr>
    </w:p>
    <w:p w14:paraId="3024A251" w14:textId="77777777" w:rsidR="00B009A8" w:rsidRPr="004C2A59" w:rsidRDefault="00B009A8" w:rsidP="00421681">
      <w:pPr>
        <w:widowControl w:val="0"/>
        <w:suppressAutoHyphens/>
        <w:rPr>
          <w:color w:val="000000"/>
          <w:sz w:val="22"/>
          <w:szCs w:val="22"/>
          <w:lang w:val="da-DK"/>
        </w:rPr>
      </w:pPr>
      <w:r w:rsidRPr="004C2A59">
        <w:rPr>
          <w:color w:val="000000"/>
          <w:sz w:val="22"/>
          <w:szCs w:val="22"/>
          <w:lang w:val="da-DK"/>
        </w:rPr>
        <w:t xml:space="preserve">Baseret på den </w:t>
      </w:r>
      <w:r w:rsidR="00C210C0" w:rsidRPr="004C2A59">
        <w:rPr>
          <w:color w:val="000000"/>
          <w:sz w:val="22"/>
          <w:szCs w:val="22"/>
          <w:lang w:val="da-DK"/>
        </w:rPr>
        <w:t>poolede</w:t>
      </w:r>
      <w:r w:rsidRPr="004C2A59">
        <w:rPr>
          <w:color w:val="000000"/>
          <w:sz w:val="22"/>
          <w:szCs w:val="22"/>
          <w:lang w:val="da-DK"/>
        </w:rPr>
        <w:t xml:space="preserve"> farmakokineti</w:t>
      </w:r>
      <w:r w:rsidR="00C210C0" w:rsidRPr="004C2A59">
        <w:rPr>
          <w:color w:val="000000"/>
          <w:sz w:val="22"/>
          <w:szCs w:val="22"/>
          <w:lang w:val="da-DK"/>
        </w:rPr>
        <w:t>s</w:t>
      </w:r>
      <w:r w:rsidRPr="004C2A59">
        <w:rPr>
          <w:color w:val="000000"/>
          <w:sz w:val="22"/>
          <w:szCs w:val="22"/>
          <w:lang w:val="da-DK"/>
        </w:rPr>
        <w:t>k</w:t>
      </w:r>
      <w:r w:rsidR="00C210C0" w:rsidRPr="004C2A59">
        <w:rPr>
          <w:color w:val="000000"/>
          <w:sz w:val="22"/>
          <w:szCs w:val="22"/>
          <w:lang w:val="da-DK"/>
        </w:rPr>
        <w:t xml:space="preserve">e </w:t>
      </w:r>
      <w:r w:rsidR="00B20C0F" w:rsidRPr="004C2A59">
        <w:rPr>
          <w:color w:val="000000"/>
          <w:sz w:val="22"/>
          <w:szCs w:val="22"/>
          <w:lang w:val="da-DK"/>
        </w:rPr>
        <w:t>populations</w:t>
      </w:r>
      <w:r w:rsidRPr="004C2A59">
        <w:rPr>
          <w:color w:val="000000"/>
          <w:sz w:val="22"/>
          <w:szCs w:val="22"/>
          <w:lang w:val="da-DK"/>
        </w:rPr>
        <w:t>analyse</w:t>
      </w:r>
      <w:r w:rsidR="005F6094" w:rsidRPr="004C2A59">
        <w:rPr>
          <w:color w:val="000000"/>
          <w:sz w:val="22"/>
          <w:szCs w:val="22"/>
          <w:lang w:val="da-DK"/>
        </w:rPr>
        <w:t xml:space="preserve"> hos børn med hæmatologiske sygdomme (CML, Ph+ ALL eller andre</w:t>
      </w:r>
      <w:r w:rsidR="002605E8" w:rsidRPr="004C2A59">
        <w:rPr>
          <w:color w:val="000000"/>
          <w:sz w:val="22"/>
          <w:szCs w:val="22"/>
          <w:lang w:val="da-DK"/>
        </w:rPr>
        <w:t xml:space="preserve"> hæmatologiske sygdomme behandlet</w:t>
      </w:r>
      <w:r w:rsidR="005F6094" w:rsidRPr="004C2A59">
        <w:rPr>
          <w:color w:val="000000"/>
          <w:sz w:val="22"/>
          <w:szCs w:val="22"/>
          <w:lang w:val="da-DK"/>
        </w:rPr>
        <w:t xml:space="preserve"> med imatinib), stiger </w:t>
      </w:r>
      <w:r w:rsidR="00B20C0F" w:rsidRPr="004C2A59">
        <w:rPr>
          <w:color w:val="000000"/>
          <w:sz w:val="22"/>
          <w:szCs w:val="22"/>
          <w:lang w:val="da-DK"/>
        </w:rPr>
        <w:t>imatinib-</w:t>
      </w:r>
      <w:r w:rsidR="005F6094" w:rsidRPr="004C2A59">
        <w:rPr>
          <w:color w:val="000000"/>
          <w:sz w:val="22"/>
          <w:szCs w:val="22"/>
          <w:lang w:val="da-DK"/>
        </w:rPr>
        <w:t xml:space="preserve">clearance med stigende legemsoverflade. Efter korrigering for </w:t>
      </w:r>
      <w:r w:rsidR="00C210C0" w:rsidRPr="004C2A59">
        <w:rPr>
          <w:color w:val="000000"/>
          <w:sz w:val="22"/>
          <w:szCs w:val="22"/>
          <w:lang w:val="da-DK"/>
        </w:rPr>
        <w:t>legemsoverflade</w:t>
      </w:r>
      <w:r w:rsidR="005F6094" w:rsidRPr="004C2A59">
        <w:rPr>
          <w:color w:val="000000"/>
          <w:sz w:val="22"/>
          <w:szCs w:val="22"/>
          <w:lang w:val="da-DK"/>
        </w:rPr>
        <w:t>-effekten havde andre demografiske f</w:t>
      </w:r>
      <w:r w:rsidR="00495281" w:rsidRPr="004C2A59">
        <w:rPr>
          <w:color w:val="000000"/>
          <w:sz w:val="22"/>
          <w:szCs w:val="22"/>
          <w:lang w:val="da-DK"/>
        </w:rPr>
        <w:t>aktorer som</w:t>
      </w:r>
      <w:r w:rsidR="002605E8" w:rsidRPr="004C2A59">
        <w:rPr>
          <w:color w:val="000000"/>
          <w:sz w:val="22"/>
          <w:szCs w:val="22"/>
          <w:lang w:val="da-DK"/>
        </w:rPr>
        <w:t xml:space="preserve"> alder, kropsvægt og</w:t>
      </w:r>
      <w:r w:rsidR="005F6094" w:rsidRPr="004C2A59">
        <w:rPr>
          <w:color w:val="000000"/>
          <w:sz w:val="22"/>
          <w:szCs w:val="22"/>
          <w:lang w:val="da-DK"/>
        </w:rPr>
        <w:t xml:space="preserve"> kropsmasseinde</w:t>
      </w:r>
      <w:r w:rsidR="00B20C0F" w:rsidRPr="004C2A59">
        <w:rPr>
          <w:color w:val="000000"/>
          <w:sz w:val="22"/>
          <w:szCs w:val="22"/>
          <w:lang w:val="da-DK"/>
        </w:rPr>
        <w:t>ks</w:t>
      </w:r>
      <w:r w:rsidR="002605E8" w:rsidRPr="004C2A59">
        <w:rPr>
          <w:color w:val="000000"/>
          <w:sz w:val="22"/>
          <w:szCs w:val="22"/>
          <w:lang w:val="da-DK"/>
        </w:rPr>
        <w:t xml:space="preserve"> (</w:t>
      </w:r>
      <w:r w:rsidR="002605E8" w:rsidRPr="004C2A59">
        <w:rPr>
          <w:i/>
          <w:color w:val="000000"/>
          <w:sz w:val="22"/>
          <w:szCs w:val="22"/>
          <w:lang w:val="da-DK"/>
        </w:rPr>
        <w:t>body mass index</w:t>
      </w:r>
      <w:r w:rsidR="002605E8" w:rsidRPr="004C2A59">
        <w:rPr>
          <w:color w:val="000000"/>
          <w:sz w:val="22"/>
          <w:szCs w:val="22"/>
          <w:lang w:val="da-DK"/>
        </w:rPr>
        <w:t xml:space="preserve">) ikke klinisk signifikant effekt på </w:t>
      </w:r>
      <w:r w:rsidR="003F69A9" w:rsidRPr="004C2A59">
        <w:rPr>
          <w:color w:val="000000"/>
          <w:sz w:val="22"/>
          <w:szCs w:val="22"/>
          <w:lang w:val="da-DK"/>
        </w:rPr>
        <w:t>imatinib-</w:t>
      </w:r>
      <w:r w:rsidR="002605E8" w:rsidRPr="004C2A59">
        <w:rPr>
          <w:color w:val="000000"/>
          <w:sz w:val="22"/>
          <w:szCs w:val="22"/>
          <w:lang w:val="da-DK"/>
        </w:rPr>
        <w:t>eksponeringen. Analysen bekræftede</w:t>
      </w:r>
      <w:r w:rsidR="00FE3114" w:rsidRPr="004C2A59">
        <w:rPr>
          <w:color w:val="000000"/>
          <w:sz w:val="22"/>
          <w:szCs w:val="22"/>
          <w:lang w:val="da-DK"/>
        </w:rPr>
        <w:t>,</w:t>
      </w:r>
      <w:r w:rsidR="002605E8" w:rsidRPr="004C2A59">
        <w:rPr>
          <w:color w:val="000000"/>
          <w:sz w:val="22"/>
          <w:szCs w:val="22"/>
          <w:lang w:val="da-DK"/>
        </w:rPr>
        <w:t xml:space="preserve"> at </w:t>
      </w:r>
      <w:r w:rsidR="003F69A9" w:rsidRPr="004C2A59">
        <w:rPr>
          <w:color w:val="000000"/>
          <w:sz w:val="22"/>
          <w:szCs w:val="22"/>
          <w:lang w:val="da-DK"/>
        </w:rPr>
        <w:t>imatinib-</w:t>
      </w:r>
      <w:r w:rsidR="002605E8" w:rsidRPr="004C2A59">
        <w:rPr>
          <w:color w:val="000000"/>
          <w:sz w:val="22"/>
          <w:szCs w:val="22"/>
          <w:lang w:val="da-DK"/>
        </w:rPr>
        <w:t xml:space="preserve">eksponeringen </w:t>
      </w:r>
      <w:r w:rsidR="00B20C0F" w:rsidRPr="004C2A59">
        <w:rPr>
          <w:color w:val="000000"/>
          <w:sz w:val="22"/>
          <w:szCs w:val="22"/>
          <w:lang w:val="da-DK"/>
        </w:rPr>
        <w:t>hos</w:t>
      </w:r>
      <w:r w:rsidR="002605E8" w:rsidRPr="004C2A59">
        <w:rPr>
          <w:color w:val="000000"/>
          <w:sz w:val="22"/>
          <w:szCs w:val="22"/>
          <w:lang w:val="da-DK"/>
        </w:rPr>
        <w:t xml:space="preserve"> børn, som fik 260 mg/m</w:t>
      </w:r>
      <w:r w:rsidR="002605E8" w:rsidRPr="004C2A59">
        <w:rPr>
          <w:color w:val="000000"/>
          <w:sz w:val="22"/>
          <w:szCs w:val="22"/>
          <w:vertAlign w:val="superscript"/>
          <w:lang w:val="da-DK"/>
        </w:rPr>
        <w:t>2</w:t>
      </w:r>
      <w:r w:rsidR="002605E8" w:rsidRPr="004C2A59">
        <w:rPr>
          <w:color w:val="000000"/>
          <w:sz w:val="22"/>
          <w:szCs w:val="22"/>
          <w:lang w:val="da-DK"/>
        </w:rPr>
        <w:t xml:space="preserve"> en gang daglig (</w:t>
      </w:r>
      <w:r w:rsidR="00B20C0F" w:rsidRPr="004C2A59">
        <w:rPr>
          <w:color w:val="000000"/>
          <w:sz w:val="22"/>
          <w:szCs w:val="22"/>
          <w:lang w:val="da-DK"/>
        </w:rPr>
        <w:t>højst</w:t>
      </w:r>
      <w:r w:rsidR="002605E8" w:rsidRPr="004C2A59">
        <w:rPr>
          <w:color w:val="000000"/>
          <w:sz w:val="22"/>
          <w:szCs w:val="22"/>
          <w:lang w:val="da-DK"/>
        </w:rPr>
        <w:t xml:space="preserve"> 400 mg en gang daglig) eller 340 mg/m</w:t>
      </w:r>
      <w:r w:rsidR="002605E8" w:rsidRPr="004C2A59">
        <w:rPr>
          <w:color w:val="000000"/>
          <w:sz w:val="22"/>
          <w:szCs w:val="22"/>
          <w:vertAlign w:val="superscript"/>
          <w:lang w:val="da-DK"/>
        </w:rPr>
        <w:t>2</w:t>
      </w:r>
      <w:r w:rsidR="002605E8" w:rsidRPr="004C2A59">
        <w:rPr>
          <w:color w:val="000000"/>
          <w:sz w:val="22"/>
          <w:szCs w:val="22"/>
          <w:lang w:val="da-DK"/>
        </w:rPr>
        <w:t xml:space="preserve"> en gang daglig (</w:t>
      </w:r>
      <w:r w:rsidR="00B20C0F" w:rsidRPr="004C2A59">
        <w:rPr>
          <w:color w:val="000000"/>
          <w:sz w:val="22"/>
          <w:szCs w:val="22"/>
          <w:lang w:val="da-DK"/>
        </w:rPr>
        <w:t>højst</w:t>
      </w:r>
      <w:r w:rsidR="002605E8" w:rsidRPr="004C2A59">
        <w:rPr>
          <w:color w:val="000000"/>
          <w:sz w:val="22"/>
          <w:szCs w:val="22"/>
          <w:lang w:val="da-DK"/>
        </w:rPr>
        <w:t xml:space="preserve"> 600 mg en gang daglig)</w:t>
      </w:r>
      <w:r w:rsidR="00B20C0F" w:rsidRPr="004C2A59">
        <w:rPr>
          <w:color w:val="000000"/>
          <w:sz w:val="22"/>
          <w:szCs w:val="22"/>
          <w:lang w:val="da-DK"/>
        </w:rPr>
        <w:t>,</w:t>
      </w:r>
      <w:r w:rsidR="002605E8" w:rsidRPr="004C2A59">
        <w:rPr>
          <w:color w:val="000000"/>
          <w:sz w:val="22"/>
          <w:szCs w:val="22"/>
          <w:lang w:val="da-DK"/>
        </w:rPr>
        <w:t xml:space="preserve"> </w:t>
      </w:r>
      <w:r w:rsidR="00C210C0" w:rsidRPr="004C2A59">
        <w:rPr>
          <w:color w:val="000000"/>
          <w:sz w:val="22"/>
          <w:szCs w:val="22"/>
          <w:lang w:val="da-DK"/>
        </w:rPr>
        <w:t xml:space="preserve">svarede </w:t>
      </w:r>
      <w:r w:rsidR="002605E8" w:rsidRPr="004C2A59">
        <w:rPr>
          <w:color w:val="000000"/>
          <w:sz w:val="22"/>
          <w:szCs w:val="22"/>
          <w:lang w:val="da-DK"/>
        </w:rPr>
        <w:t xml:space="preserve">til </w:t>
      </w:r>
      <w:r w:rsidR="00B20C0F" w:rsidRPr="004C2A59">
        <w:rPr>
          <w:color w:val="000000"/>
          <w:sz w:val="22"/>
          <w:szCs w:val="22"/>
          <w:lang w:val="da-DK"/>
        </w:rPr>
        <w:t xml:space="preserve">eksponeringen hos </w:t>
      </w:r>
      <w:r w:rsidR="00B86FED" w:rsidRPr="004C2A59">
        <w:rPr>
          <w:color w:val="000000"/>
          <w:sz w:val="22"/>
          <w:szCs w:val="22"/>
          <w:lang w:val="da-DK"/>
        </w:rPr>
        <w:t>voksne</w:t>
      </w:r>
      <w:r w:rsidR="002605E8" w:rsidRPr="004C2A59">
        <w:rPr>
          <w:color w:val="000000"/>
          <w:sz w:val="22"/>
          <w:szCs w:val="22"/>
          <w:lang w:val="da-DK"/>
        </w:rPr>
        <w:t>, som fik imatinib 400 mg eller 600 mg en gang daglig.</w:t>
      </w:r>
    </w:p>
    <w:p w14:paraId="0873CF40" w14:textId="77777777" w:rsidR="00B009A8" w:rsidRPr="004C2A59" w:rsidRDefault="00B009A8" w:rsidP="00421681">
      <w:pPr>
        <w:widowControl w:val="0"/>
        <w:suppressAutoHyphens/>
        <w:rPr>
          <w:color w:val="000000"/>
          <w:sz w:val="22"/>
          <w:szCs w:val="22"/>
          <w:u w:val="single"/>
          <w:lang w:val="da-DK"/>
        </w:rPr>
      </w:pPr>
    </w:p>
    <w:p w14:paraId="5DE28B36" w14:textId="77777777" w:rsidR="00270C5A" w:rsidRPr="004C2A59" w:rsidRDefault="00270C5A" w:rsidP="00A125B0">
      <w:pPr>
        <w:keepNext/>
        <w:widowControl w:val="0"/>
        <w:suppressAutoHyphens/>
        <w:rPr>
          <w:color w:val="000000"/>
          <w:sz w:val="22"/>
          <w:szCs w:val="22"/>
          <w:u w:val="single"/>
          <w:lang w:val="da-DK"/>
        </w:rPr>
      </w:pPr>
      <w:r w:rsidRPr="004C2A59">
        <w:rPr>
          <w:color w:val="000000"/>
          <w:sz w:val="22"/>
          <w:szCs w:val="22"/>
          <w:u w:val="single"/>
          <w:lang w:val="da-DK"/>
        </w:rPr>
        <w:t>Nedsat organfunktion</w:t>
      </w:r>
    </w:p>
    <w:p w14:paraId="570382F6" w14:textId="77777777" w:rsidR="00FE3AC9" w:rsidRPr="004C2A59" w:rsidRDefault="00270C5A" w:rsidP="00421681">
      <w:pPr>
        <w:widowControl w:val="0"/>
        <w:suppressAutoHyphens/>
        <w:rPr>
          <w:color w:val="000000"/>
          <w:sz w:val="22"/>
          <w:szCs w:val="22"/>
          <w:lang w:val="da-DK"/>
        </w:rPr>
      </w:pPr>
      <w:r w:rsidRPr="004C2A59">
        <w:rPr>
          <w:color w:val="000000"/>
          <w:sz w:val="22"/>
          <w:szCs w:val="22"/>
          <w:lang w:val="da-DK"/>
        </w:rPr>
        <w:t>Imatinib og dets metabolitter udskilles kun i ubetydelig grad via nyrerne.</w:t>
      </w:r>
      <w:r w:rsidR="006F4D21" w:rsidRPr="004C2A59">
        <w:rPr>
          <w:color w:val="000000"/>
          <w:sz w:val="22"/>
          <w:szCs w:val="22"/>
          <w:lang w:val="da-DK"/>
        </w:rPr>
        <w:t xml:space="preserve"> </w:t>
      </w:r>
      <w:r w:rsidR="00FE3AC9" w:rsidRPr="004C2A59">
        <w:rPr>
          <w:color w:val="000000"/>
          <w:sz w:val="22"/>
          <w:szCs w:val="22"/>
          <w:lang w:val="da-DK"/>
        </w:rPr>
        <w:t>Patienter med mild og moderat nedsat nyrefunktion ser ud til at have større plasmaeksponering end patienter med normal nyrefunktion. Eksponeringen er ca. 1,5</w:t>
      </w:r>
      <w:r w:rsidR="00FE3AC9" w:rsidRPr="004C2A59">
        <w:rPr>
          <w:color w:val="000000"/>
          <w:sz w:val="22"/>
          <w:szCs w:val="22"/>
          <w:lang w:val="da-DK"/>
        </w:rPr>
        <w:noBreakHyphen/>
        <w:t> til 2</w:t>
      </w:r>
      <w:r w:rsidR="00FE3AC9" w:rsidRPr="004C2A59">
        <w:rPr>
          <w:color w:val="000000"/>
          <w:sz w:val="22"/>
          <w:szCs w:val="22"/>
          <w:lang w:val="da-DK"/>
        </w:rPr>
        <w:noBreakHyphen/>
        <w:t> fold, svarende til en 1,5</w:t>
      </w:r>
      <w:r w:rsidR="00FE3AC9" w:rsidRPr="004C2A59">
        <w:rPr>
          <w:color w:val="000000"/>
          <w:sz w:val="22"/>
          <w:szCs w:val="22"/>
          <w:lang w:val="da-DK"/>
        </w:rPr>
        <w:noBreakHyphen/>
        <w:t>gangs stigning af plasma AGP som imatinib binder stærkt til. Udskildning af fri imatinib er sandsynligvis sammenlignelig for patienter med nedsat nyrefunktion og dem med normal nyrefunktion, eftersom udskillelse via nyren kun udgør en mindre elimin</w:t>
      </w:r>
      <w:r w:rsidR="00B1019E" w:rsidRPr="004C2A59">
        <w:rPr>
          <w:color w:val="000000"/>
          <w:sz w:val="22"/>
          <w:szCs w:val="22"/>
          <w:lang w:val="da-DK"/>
        </w:rPr>
        <w:t>ering</w:t>
      </w:r>
      <w:r w:rsidR="00FE3AC9" w:rsidRPr="004C2A59">
        <w:rPr>
          <w:color w:val="000000"/>
          <w:sz w:val="22"/>
          <w:szCs w:val="22"/>
          <w:lang w:val="da-DK"/>
        </w:rPr>
        <w:t>svej for imatinib (se pkt. 4.2 og 4.4).</w:t>
      </w:r>
    </w:p>
    <w:p w14:paraId="3CC40A3C" w14:textId="77777777" w:rsidR="00FE3AC9" w:rsidRPr="004C2A59" w:rsidRDefault="00FE3AC9" w:rsidP="00421681">
      <w:pPr>
        <w:widowControl w:val="0"/>
        <w:suppressAutoHyphens/>
        <w:rPr>
          <w:color w:val="000000"/>
          <w:sz w:val="22"/>
          <w:szCs w:val="22"/>
          <w:lang w:val="da-DK"/>
        </w:rPr>
      </w:pPr>
    </w:p>
    <w:p w14:paraId="47C964BB" w14:textId="77777777" w:rsidR="006F4D21" w:rsidRPr="004C2A59" w:rsidRDefault="006F4D21" w:rsidP="00421681">
      <w:pPr>
        <w:widowControl w:val="0"/>
        <w:suppressAutoHyphens/>
        <w:rPr>
          <w:color w:val="000000"/>
          <w:sz w:val="22"/>
          <w:szCs w:val="22"/>
          <w:lang w:val="da-DK"/>
        </w:rPr>
      </w:pPr>
      <w:r w:rsidRPr="004C2A59">
        <w:rPr>
          <w:color w:val="000000"/>
          <w:sz w:val="22"/>
          <w:szCs w:val="22"/>
          <w:lang w:val="da-DK"/>
        </w:rPr>
        <w:t xml:space="preserve">Selvom resultaterne fra en farmakokinetisk analyse viste, at der var en betydelig variation mellem forsøgspersoner, øgede den gennemsnitlige eksponering af imatinib sig ikke hos patienter med varierende grad af nedsat leverfunktion, sammenlignet med patienter med normal leverfunktion (se </w:t>
      </w:r>
      <w:r w:rsidR="003B2976" w:rsidRPr="004C2A59">
        <w:rPr>
          <w:color w:val="000000"/>
          <w:sz w:val="22"/>
          <w:szCs w:val="22"/>
          <w:lang w:val="da-DK"/>
        </w:rPr>
        <w:t>pkt.</w:t>
      </w:r>
      <w:r w:rsidRPr="004C2A59">
        <w:rPr>
          <w:color w:val="000000"/>
          <w:sz w:val="22"/>
          <w:szCs w:val="22"/>
          <w:lang w:val="da-DK"/>
        </w:rPr>
        <w:t xml:space="preserve"> 4.2, 4.4 og 4.8).</w:t>
      </w:r>
    </w:p>
    <w:p w14:paraId="142A37F9" w14:textId="77777777" w:rsidR="00270C5A" w:rsidRPr="004C2A59" w:rsidRDefault="00270C5A" w:rsidP="00421681">
      <w:pPr>
        <w:widowControl w:val="0"/>
        <w:suppressAutoHyphens/>
        <w:rPr>
          <w:color w:val="000000"/>
          <w:sz w:val="22"/>
          <w:szCs w:val="22"/>
          <w:lang w:val="da-DK"/>
        </w:rPr>
      </w:pPr>
    </w:p>
    <w:p w14:paraId="32B1FD5C" w14:textId="77777777" w:rsidR="00270C5A" w:rsidRPr="004C2A59" w:rsidRDefault="00270C5A" w:rsidP="00A125B0">
      <w:pPr>
        <w:keepNext/>
        <w:widowControl w:val="0"/>
        <w:suppressAutoHyphens/>
        <w:ind w:left="567" w:hanging="567"/>
        <w:rPr>
          <w:color w:val="000000"/>
          <w:sz w:val="22"/>
          <w:szCs w:val="22"/>
          <w:lang w:val="da-DK"/>
        </w:rPr>
      </w:pPr>
      <w:r w:rsidRPr="004C2A59">
        <w:rPr>
          <w:b/>
          <w:color w:val="000000"/>
          <w:sz w:val="22"/>
          <w:szCs w:val="22"/>
          <w:lang w:val="da-DK"/>
        </w:rPr>
        <w:t>5.3</w:t>
      </w:r>
      <w:r w:rsidRPr="004C2A59">
        <w:rPr>
          <w:b/>
          <w:color w:val="000000"/>
          <w:sz w:val="22"/>
          <w:szCs w:val="22"/>
          <w:lang w:val="da-DK"/>
        </w:rPr>
        <w:tab/>
        <w:t>Prækliniske sikkerhedsdata</w:t>
      </w:r>
    </w:p>
    <w:p w14:paraId="71518B36" w14:textId="77777777" w:rsidR="00270C5A" w:rsidRPr="004C2A59" w:rsidRDefault="00270C5A" w:rsidP="00A125B0">
      <w:pPr>
        <w:keepNext/>
        <w:widowControl w:val="0"/>
        <w:numPr>
          <w:ilvl w:val="12"/>
          <w:numId w:val="0"/>
        </w:numPr>
        <w:ind w:right="11"/>
        <w:rPr>
          <w:color w:val="000000"/>
          <w:sz w:val="22"/>
          <w:szCs w:val="22"/>
          <w:lang w:val="da-DK"/>
        </w:rPr>
      </w:pPr>
    </w:p>
    <w:p w14:paraId="605679D2" w14:textId="77777777" w:rsidR="00270C5A" w:rsidRPr="004C2A59" w:rsidRDefault="00270C5A" w:rsidP="00421681">
      <w:pPr>
        <w:widowControl w:val="0"/>
        <w:rPr>
          <w:color w:val="000000"/>
          <w:sz w:val="22"/>
          <w:szCs w:val="22"/>
          <w:lang w:val="da-DK"/>
        </w:rPr>
      </w:pPr>
      <w:r w:rsidRPr="004C2A59">
        <w:rPr>
          <w:color w:val="000000"/>
          <w:sz w:val="22"/>
          <w:szCs w:val="22"/>
          <w:lang w:val="da-DK"/>
        </w:rPr>
        <w:t>Imatinibs prækliniske sikkerhedsprofil blev vurderet hos rotter, hunde, aber og kaniner.</w:t>
      </w:r>
    </w:p>
    <w:p w14:paraId="708C5A02" w14:textId="77777777" w:rsidR="00610A3A" w:rsidRPr="004C2A59" w:rsidRDefault="00610A3A" w:rsidP="00421681">
      <w:pPr>
        <w:widowControl w:val="0"/>
        <w:rPr>
          <w:color w:val="000000"/>
          <w:sz w:val="22"/>
          <w:szCs w:val="22"/>
          <w:lang w:val="da-DK"/>
        </w:rPr>
      </w:pPr>
    </w:p>
    <w:p w14:paraId="5365EE12" w14:textId="77777777" w:rsidR="00270C5A" w:rsidRPr="004C2A59" w:rsidRDefault="00270C5A" w:rsidP="00421681">
      <w:pPr>
        <w:pStyle w:val="Text"/>
        <w:spacing w:before="0"/>
        <w:jc w:val="left"/>
        <w:outlineLvl w:val="0"/>
        <w:rPr>
          <w:color w:val="000000"/>
          <w:sz w:val="22"/>
          <w:szCs w:val="22"/>
          <w:lang w:val="da-DK"/>
        </w:rPr>
      </w:pPr>
      <w:r w:rsidRPr="004C2A59">
        <w:rPr>
          <w:color w:val="000000"/>
          <w:sz w:val="22"/>
          <w:szCs w:val="22"/>
          <w:lang w:val="da-DK"/>
        </w:rPr>
        <w:t>Toksicitetsundersøgelser med gentagen dosering viste milde til moderate hæmatologiske forandringer hos rotter, hunde og aber, ledsaget af knoglemarvsændringer hos rotter og hunde.</w:t>
      </w:r>
    </w:p>
    <w:p w14:paraId="086AFF62" w14:textId="77777777" w:rsidR="00610A3A" w:rsidRPr="004C2A59" w:rsidRDefault="00610A3A" w:rsidP="00421681">
      <w:pPr>
        <w:pStyle w:val="Text"/>
        <w:spacing w:before="0"/>
        <w:jc w:val="left"/>
        <w:outlineLvl w:val="0"/>
        <w:rPr>
          <w:color w:val="000000"/>
          <w:sz w:val="22"/>
          <w:szCs w:val="22"/>
          <w:lang w:val="da-DK"/>
        </w:rPr>
      </w:pPr>
    </w:p>
    <w:p w14:paraId="0BD41A16" w14:textId="77777777" w:rsidR="00270C5A" w:rsidRPr="004C2A59" w:rsidRDefault="00270C5A" w:rsidP="00421681">
      <w:pPr>
        <w:pStyle w:val="Text"/>
        <w:spacing w:before="0"/>
        <w:jc w:val="left"/>
        <w:outlineLvl w:val="0"/>
        <w:rPr>
          <w:color w:val="000000"/>
          <w:sz w:val="22"/>
          <w:szCs w:val="22"/>
          <w:lang w:val="da-DK"/>
        </w:rPr>
      </w:pPr>
      <w:r w:rsidRPr="004C2A59">
        <w:rPr>
          <w:color w:val="000000"/>
          <w:sz w:val="22"/>
          <w:szCs w:val="22"/>
          <w:lang w:val="da-DK"/>
        </w:rPr>
        <w:t>Leveren var målorganet hos rotter og hunde. Der sås milde til moderate stigninger i transaminaser og lette stigninger i kolesterol, triglycerider, totale protein- og albuminniveauer hos begge dyrearter. Der sås ingen histopatologiske forandringer i rottelever. Der sås svær levertoksicitet hos hunde behandlet i 2</w:t>
      </w:r>
      <w:r w:rsidR="00C02CD8" w:rsidRPr="004C2A59">
        <w:rPr>
          <w:color w:val="000000"/>
          <w:sz w:val="22"/>
          <w:szCs w:val="22"/>
          <w:lang w:val="da-DK"/>
        </w:rPr>
        <w:t> </w:t>
      </w:r>
      <w:r w:rsidRPr="004C2A59">
        <w:rPr>
          <w:color w:val="000000"/>
          <w:sz w:val="22"/>
          <w:szCs w:val="22"/>
          <w:lang w:val="da-DK"/>
        </w:rPr>
        <w:t>uger, inkluderende forhøjede leverenzymer, hepatocellulær nekrose, galdevejsnekrose samt galdevejshyperplasia.</w:t>
      </w:r>
    </w:p>
    <w:p w14:paraId="62F97C68" w14:textId="77777777" w:rsidR="00270C5A" w:rsidRPr="004C2A59" w:rsidRDefault="00270C5A" w:rsidP="00421681">
      <w:pPr>
        <w:pStyle w:val="Text"/>
        <w:spacing w:before="0"/>
        <w:jc w:val="left"/>
        <w:outlineLvl w:val="0"/>
        <w:rPr>
          <w:color w:val="000000"/>
          <w:sz w:val="22"/>
          <w:szCs w:val="22"/>
          <w:lang w:val="da-DK"/>
        </w:rPr>
      </w:pPr>
    </w:p>
    <w:p w14:paraId="18268763" w14:textId="77777777" w:rsidR="00270C5A" w:rsidRPr="004C2A59" w:rsidRDefault="00270C5A" w:rsidP="00421681">
      <w:pPr>
        <w:pStyle w:val="Text"/>
        <w:spacing w:before="0"/>
        <w:jc w:val="left"/>
        <w:outlineLvl w:val="0"/>
        <w:rPr>
          <w:color w:val="000000"/>
          <w:sz w:val="22"/>
          <w:szCs w:val="22"/>
          <w:lang w:val="da-DK"/>
        </w:rPr>
      </w:pPr>
      <w:r w:rsidRPr="004C2A59">
        <w:rPr>
          <w:color w:val="000000"/>
          <w:sz w:val="22"/>
          <w:szCs w:val="22"/>
          <w:lang w:val="da-DK"/>
        </w:rPr>
        <w:t>Der sås nyretoksicitet hos aber behandlet i 2</w:t>
      </w:r>
      <w:r w:rsidR="00C02CD8" w:rsidRPr="004C2A59">
        <w:rPr>
          <w:color w:val="000000"/>
          <w:sz w:val="22"/>
          <w:szCs w:val="22"/>
          <w:lang w:val="da-DK"/>
        </w:rPr>
        <w:t> </w:t>
      </w:r>
      <w:r w:rsidRPr="004C2A59">
        <w:rPr>
          <w:color w:val="000000"/>
          <w:sz w:val="22"/>
          <w:szCs w:val="22"/>
          <w:lang w:val="da-DK"/>
        </w:rPr>
        <w:t xml:space="preserve">uger, inkluderende fokal mineralisering og dilatering af nyretubuli samt tubulær nefrose. Der sås forhøjet se-carbamid og se-creatinin hos adskillige af disse dyr. Ved doser </w:t>
      </w:r>
      <w:r w:rsidRPr="004C2A59">
        <w:rPr>
          <w:color w:val="000000"/>
          <w:sz w:val="22"/>
          <w:szCs w:val="22"/>
          <w:u w:val="single"/>
          <w:lang w:val="da-DK"/>
        </w:rPr>
        <w:t>&gt;</w:t>
      </w:r>
      <w:r w:rsidRPr="004C2A59">
        <w:rPr>
          <w:color w:val="000000"/>
          <w:sz w:val="22"/>
          <w:szCs w:val="22"/>
          <w:lang w:val="da-DK"/>
        </w:rPr>
        <w:t>6</w:t>
      </w:r>
      <w:r w:rsidR="00C17108" w:rsidRPr="004C2A59">
        <w:rPr>
          <w:color w:val="000000"/>
          <w:sz w:val="22"/>
          <w:szCs w:val="22"/>
          <w:lang w:val="da-DK"/>
        </w:rPr>
        <w:t> mg</w:t>
      </w:r>
      <w:r w:rsidRPr="004C2A59">
        <w:rPr>
          <w:color w:val="000000"/>
          <w:sz w:val="22"/>
          <w:szCs w:val="22"/>
          <w:lang w:val="da-DK"/>
        </w:rPr>
        <w:t xml:space="preserve">/kg, sås hos rotter i 13-ugers undersøgelsen hyperplasi af det transitoriske epithel </w:t>
      </w:r>
      <w:r w:rsidRPr="004C2A59">
        <w:rPr>
          <w:color w:val="000000"/>
          <w:sz w:val="22"/>
          <w:szCs w:val="22"/>
          <w:lang w:val="da-DK"/>
        </w:rPr>
        <w:lastRenderedPageBreak/>
        <w:t>i nyrepapillerne og i urinblæren, uden ændringer i serum- eller urinparametre. Der sås øget incidens af opportunistiske infektioner ved kronisk imatinib</w:t>
      </w:r>
      <w:r w:rsidR="0078117F" w:rsidRPr="004C2A59">
        <w:rPr>
          <w:color w:val="000000"/>
          <w:sz w:val="22"/>
          <w:szCs w:val="22"/>
          <w:lang w:val="da-DK"/>
        </w:rPr>
        <w:t>-</w:t>
      </w:r>
      <w:r w:rsidRPr="004C2A59">
        <w:rPr>
          <w:color w:val="000000"/>
          <w:sz w:val="22"/>
          <w:szCs w:val="22"/>
          <w:lang w:val="da-DK"/>
        </w:rPr>
        <w:t>behandling.</w:t>
      </w:r>
    </w:p>
    <w:p w14:paraId="1924A022" w14:textId="77777777" w:rsidR="00270C5A" w:rsidRPr="004C2A59" w:rsidRDefault="00270C5A" w:rsidP="00421681">
      <w:pPr>
        <w:pStyle w:val="Text"/>
        <w:spacing w:before="0"/>
        <w:jc w:val="left"/>
        <w:outlineLvl w:val="0"/>
        <w:rPr>
          <w:color w:val="000000"/>
          <w:sz w:val="22"/>
          <w:szCs w:val="22"/>
          <w:lang w:val="da-DK"/>
        </w:rPr>
      </w:pPr>
    </w:p>
    <w:p w14:paraId="2D1FF08D" w14:textId="77777777" w:rsidR="00610A3A" w:rsidRPr="004C2A59" w:rsidRDefault="00270C5A" w:rsidP="00421681">
      <w:pPr>
        <w:pStyle w:val="Text"/>
        <w:spacing w:before="0"/>
        <w:jc w:val="left"/>
        <w:outlineLvl w:val="0"/>
        <w:rPr>
          <w:color w:val="000000"/>
          <w:sz w:val="22"/>
          <w:szCs w:val="22"/>
          <w:lang w:val="da-DK"/>
        </w:rPr>
      </w:pPr>
      <w:r w:rsidRPr="004C2A59">
        <w:rPr>
          <w:color w:val="000000"/>
          <w:sz w:val="22"/>
          <w:szCs w:val="22"/>
          <w:lang w:val="da-DK"/>
        </w:rPr>
        <w:t xml:space="preserve">Der fandtes i en 39-ugers undersøgelse med aber ingen NOAEL </w:t>
      </w:r>
      <w:r w:rsidR="008A271B" w:rsidRPr="004C2A59">
        <w:rPr>
          <w:color w:val="000000"/>
          <w:sz w:val="22"/>
          <w:szCs w:val="22"/>
          <w:lang w:val="da-DK"/>
        </w:rPr>
        <w:t xml:space="preserve">(no observed adverse effect level/niveau ved ingen observeret bivirkningseffekt) </w:t>
      </w:r>
      <w:r w:rsidRPr="004C2A59">
        <w:rPr>
          <w:color w:val="000000"/>
          <w:sz w:val="22"/>
          <w:szCs w:val="22"/>
          <w:lang w:val="da-DK"/>
        </w:rPr>
        <w:t>ved den laveste dosis på 15</w:t>
      </w:r>
      <w:r w:rsidR="00C17108" w:rsidRPr="004C2A59">
        <w:rPr>
          <w:color w:val="000000"/>
          <w:sz w:val="22"/>
          <w:szCs w:val="22"/>
          <w:lang w:val="da-DK"/>
        </w:rPr>
        <w:t> mg</w:t>
      </w:r>
      <w:r w:rsidRPr="004C2A59">
        <w:rPr>
          <w:color w:val="000000"/>
          <w:sz w:val="22"/>
          <w:szCs w:val="22"/>
          <w:lang w:val="da-DK"/>
        </w:rPr>
        <w:t>/kg, ca. 1/3 af den maksimale humane dosis på 800</w:t>
      </w:r>
      <w:r w:rsidR="00C17108" w:rsidRPr="004C2A59">
        <w:rPr>
          <w:color w:val="000000"/>
          <w:sz w:val="22"/>
          <w:szCs w:val="22"/>
          <w:lang w:val="da-DK"/>
        </w:rPr>
        <w:t> mg</w:t>
      </w:r>
      <w:r w:rsidRPr="004C2A59">
        <w:rPr>
          <w:color w:val="000000"/>
          <w:sz w:val="22"/>
          <w:szCs w:val="22"/>
          <w:lang w:val="da-DK"/>
        </w:rPr>
        <w:t xml:space="preserve"> baseret på legemsoverfladeareal. Behandlingen resulterede hos disse dyr i en forværring af normalt kontrollerede malariainfektioner.</w:t>
      </w:r>
    </w:p>
    <w:p w14:paraId="3D5C0D8A" w14:textId="77777777" w:rsidR="00270C5A" w:rsidRPr="004C2A59" w:rsidRDefault="00270C5A" w:rsidP="00421681">
      <w:pPr>
        <w:pStyle w:val="Text"/>
        <w:spacing w:before="0"/>
        <w:jc w:val="left"/>
        <w:outlineLvl w:val="0"/>
        <w:rPr>
          <w:color w:val="000000"/>
          <w:sz w:val="22"/>
          <w:szCs w:val="22"/>
          <w:lang w:val="da-DK"/>
        </w:rPr>
      </w:pPr>
    </w:p>
    <w:p w14:paraId="0F804971" w14:textId="77777777" w:rsidR="00610A3A" w:rsidRPr="004C2A59" w:rsidRDefault="00270C5A" w:rsidP="00421681">
      <w:pPr>
        <w:pStyle w:val="Text"/>
        <w:spacing w:before="0"/>
        <w:jc w:val="left"/>
        <w:outlineLvl w:val="0"/>
        <w:rPr>
          <w:color w:val="000000"/>
          <w:sz w:val="22"/>
          <w:szCs w:val="22"/>
          <w:lang w:val="da-DK"/>
        </w:rPr>
      </w:pPr>
      <w:r w:rsidRPr="004C2A59">
        <w:rPr>
          <w:color w:val="000000"/>
          <w:sz w:val="22"/>
          <w:szCs w:val="22"/>
          <w:lang w:val="da-DK"/>
        </w:rPr>
        <w:t xml:space="preserve">Imatinib ansås ikke som værende genotoksisk i </w:t>
      </w:r>
      <w:r w:rsidRPr="004C2A59">
        <w:rPr>
          <w:i/>
          <w:color w:val="000000"/>
          <w:sz w:val="22"/>
          <w:szCs w:val="22"/>
          <w:lang w:val="da-DK"/>
        </w:rPr>
        <w:t xml:space="preserve">in vitro </w:t>
      </w:r>
      <w:r w:rsidRPr="004C2A59">
        <w:rPr>
          <w:color w:val="000000"/>
          <w:sz w:val="22"/>
          <w:szCs w:val="22"/>
          <w:lang w:val="da-DK"/>
        </w:rPr>
        <w:t xml:space="preserve">bakteriecelleundersøgelse (Ames test), i </w:t>
      </w:r>
      <w:r w:rsidRPr="004C2A59">
        <w:rPr>
          <w:i/>
          <w:color w:val="000000"/>
          <w:sz w:val="22"/>
          <w:szCs w:val="22"/>
          <w:lang w:val="da-DK"/>
        </w:rPr>
        <w:t xml:space="preserve">in vitro </w:t>
      </w:r>
      <w:r w:rsidRPr="004C2A59">
        <w:rPr>
          <w:color w:val="000000"/>
          <w:sz w:val="22"/>
          <w:szCs w:val="22"/>
          <w:lang w:val="da-DK"/>
        </w:rPr>
        <w:t xml:space="preserve">pattedyrscelleundersøgelse (muselymfom) samt i </w:t>
      </w:r>
      <w:r w:rsidRPr="004C2A59">
        <w:rPr>
          <w:i/>
          <w:color w:val="000000"/>
          <w:sz w:val="22"/>
          <w:szCs w:val="22"/>
          <w:lang w:val="da-DK"/>
        </w:rPr>
        <w:t xml:space="preserve">in vivo </w:t>
      </w:r>
      <w:r w:rsidRPr="004C2A59">
        <w:rPr>
          <w:color w:val="000000"/>
          <w:sz w:val="22"/>
          <w:szCs w:val="22"/>
          <w:lang w:val="da-DK"/>
        </w:rPr>
        <w:t xml:space="preserve">rottemikronukleusundersøgelse. Der sås positiv genotoksisk effekt med imatinib i en </w:t>
      </w:r>
      <w:r w:rsidRPr="004C2A59">
        <w:rPr>
          <w:i/>
          <w:color w:val="000000"/>
          <w:sz w:val="22"/>
          <w:szCs w:val="22"/>
          <w:lang w:val="da-DK"/>
        </w:rPr>
        <w:t xml:space="preserve">in vitro </w:t>
      </w:r>
      <w:r w:rsidRPr="004C2A59">
        <w:rPr>
          <w:color w:val="000000"/>
          <w:sz w:val="22"/>
          <w:szCs w:val="22"/>
          <w:lang w:val="da-DK"/>
        </w:rPr>
        <w:t>pattedyrscelleundersøgelse (kinesisk hamsterovarium) for clastogenicitet (kromosomafvigelser) ved metabolisk aktivering. To intermediatorer i fremstillingsprocessen, der også tilstede i det endelige produkt, er positive for mutagenese i Ames testen. En af disse intermediatorer var også positiv i muselymfomtesten.</w:t>
      </w:r>
    </w:p>
    <w:p w14:paraId="478E3384" w14:textId="77777777" w:rsidR="00270C5A" w:rsidRPr="004C2A59" w:rsidRDefault="00270C5A" w:rsidP="00421681">
      <w:pPr>
        <w:pStyle w:val="Text"/>
        <w:spacing w:before="0"/>
        <w:jc w:val="left"/>
        <w:outlineLvl w:val="0"/>
        <w:rPr>
          <w:color w:val="000000"/>
          <w:sz w:val="22"/>
          <w:szCs w:val="22"/>
          <w:lang w:val="da-DK"/>
        </w:rPr>
      </w:pPr>
    </w:p>
    <w:p w14:paraId="355B2306" w14:textId="77777777" w:rsidR="00270C5A" w:rsidRPr="004C2A59" w:rsidRDefault="00270C5A" w:rsidP="00421681">
      <w:pPr>
        <w:pStyle w:val="Text"/>
        <w:spacing w:before="0"/>
        <w:jc w:val="left"/>
        <w:rPr>
          <w:color w:val="000000"/>
          <w:sz w:val="22"/>
          <w:szCs w:val="22"/>
          <w:lang w:val="da-DK"/>
        </w:rPr>
      </w:pPr>
      <w:r w:rsidRPr="004C2A59">
        <w:rPr>
          <w:color w:val="000000"/>
          <w:sz w:val="22"/>
          <w:szCs w:val="22"/>
          <w:lang w:val="da-DK"/>
        </w:rPr>
        <w:t>I en fertilitetsundersøgelse med hanrotter doseret i 70</w:t>
      </w:r>
      <w:r w:rsidR="00C02CD8" w:rsidRPr="004C2A59">
        <w:rPr>
          <w:color w:val="000000"/>
          <w:sz w:val="22"/>
          <w:szCs w:val="22"/>
          <w:lang w:val="da-DK"/>
        </w:rPr>
        <w:t> </w:t>
      </w:r>
      <w:r w:rsidRPr="004C2A59">
        <w:rPr>
          <w:color w:val="000000"/>
          <w:sz w:val="22"/>
          <w:szCs w:val="22"/>
          <w:lang w:val="da-DK"/>
        </w:rPr>
        <w:t>dage før parring, sås nedsat testikel- og epididymisvægt samt reduceret antal bevægelige sædceller ved 60</w:t>
      </w:r>
      <w:r w:rsidR="00C17108" w:rsidRPr="004C2A59">
        <w:rPr>
          <w:color w:val="000000"/>
          <w:sz w:val="22"/>
          <w:szCs w:val="22"/>
          <w:lang w:val="da-DK"/>
        </w:rPr>
        <w:t> mg</w:t>
      </w:r>
      <w:r w:rsidRPr="004C2A59">
        <w:rPr>
          <w:color w:val="000000"/>
          <w:sz w:val="22"/>
          <w:szCs w:val="22"/>
          <w:lang w:val="da-DK"/>
        </w:rPr>
        <w:t>/kg, ca. svarende til den maksimale kliniske dosis på 800</w:t>
      </w:r>
      <w:r w:rsidR="00C17108" w:rsidRPr="004C2A59">
        <w:rPr>
          <w:color w:val="000000"/>
          <w:sz w:val="22"/>
          <w:szCs w:val="22"/>
          <w:lang w:val="da-DK"/>
        </w:rPr>
        <w:t> mg</w:t>
      </w:r>
      <w:r w:rsidRPr="004C2A59">
        <w:rPr>
          <w:color w:val="000000"/>
          <w:sz w:val="22"/>
          <w:szCs w:val="22"/>
          <w:lang w:val="da-DK"/>
        </w:rPr>
        <w:t>/dag, baseret på legemsoverfladeareal. Dette sås ikke ved doser ≤20</w:t>
      </w:r>
      <w:r w:rsidR="00C17108" w:rsidRPr="004C2A59">
        <w:rPr>
          <w:color w:val="000000"/>
          <w:sz w:val="22"/>
          <w:szCs w:val="22"/>
          <w:lang w:val="da-DK"/>
        </w:rPr>
        <w:t> mg</w:t>
      </w:r>
      <w:r w:rsidRPr="004C2A59">
        <w:rPr>
          <w:color w:val="000000"/>
          <w:sz w:val="22"/>
          <w:szCs w:val="22"/>
          <w:lang w:val="da-DK"/>
        </w:rPr>
        <w:t xml:space="preserve">/kg. Der sås også en let til moderat reduktion i spermatogenesen hos hunde ved orale doser </w:t>
      </w:r>
      <w:r w:rsidRPr="004C2A59">
        <w:rPr>
          <w:color w:val="000000"/>
          <w:sz w:val="22"/>
          <w:szCs w:val="22"/>
          <w:u w:val="single"/>
          <w:lang w:val="da-DK"/>
        </w:rPr>
        <w:t>&gt;</w:t>
      </w:r>
      <w:r w:rsidRPr="004C2A59">
        <w:rPr>
          <w:color w:val="000000"/>
          <w:sz w:val="22"/>
          <w:szCs w:val="22"/>
          <w:lang w:val="da-DK"/>
        </w:rPr>
        <w:t>30</w:t>
      </w:r>
      <w:r w:rsidR="00C17108" w:rsidRPr="004C2A59">
        <w:rPr>
          <w:color w:val="000000"/>
          <w:sz w:val="22"/>
          <w:szCs w:val="22"/>
          <w:lang w:val="da-DK"/>
        </w:rPr>
        <w:t> mg</w:t>
      </w:r>
      <w:r w:rsidRPr="004C2A59">
        <w:rPr>
          <w:color w:val="000000"/>
          <w:sz w:val="22"/>
          <w:szCs w:val="22"/>
          <w:lang w:val="da-DK"/>
        </w:rPr>
        <w:t>/kg. Når hunrotter doseredes 14</w:t>
      </w:r>
      <w:r w:rsidR="00C02CD8" w:rsidRPr="004C2A59">
        <w:rPr>
          <w:color w:val="000000"/>
          <w:sz w:val="22"/>
          <w:szCs w:val="22"/>
          <w:lang w:val="da-DK"/>
        </w:rPr>
        <w:t> </w:t>
      </w:r>
      <w:r w:rsidRPr="004C2A59">
        <w:rPr>
          <w:color w:val="000000"/>
          <w:sz w:val="22"/>
          <w:szCs w:val="22"/>
          <w:lang w:val="da-DK"/>
        </w:rPr>
        <w:t>dage inden parring og vedvarende til gestationsdag</w:t>
      </w:r>
      <w:r w:rsidR="00D36EF2" w:rsidRPr="004C2A59">
        <w:rPr>
          <w:color w:val="000000"/>
          <w:sz w:val="22"/>
          <w:szCs w:val="22"/>
          <w:lang w:val="da-DK"/>
        </w:rPr>
        <w:t> </w:t>
      </w:r>
      <w:r w:rsidRPr="004C2A59">
        <w:rPr>
          <w:color w:val="000000"/>
          <w:sz w:val="22"/>
          <w:szCs w:val="22"/>
          <w:lang w:val="da-DK"/>
        </w:rPr>
        <w:t>6, sås ingen effekt på parringen eller antallet af gravide hunner. Ved en dosis på 60</w:t>
      </w:r>
      <w:r w:rsidR="00C17108" w:rsidRPr="004C2A59">
        <w:rPr>
          <w:color w:val="000000"/>
          <w:sz w:val="22"/>
          <w:szCs w:val="22"/>
          <w:lang w:val="da-DK"/>
        </w:rPr>
        <w:t> mg</w:t>
      </w:r>
      <w:r w:rsidRPr="004C2A59">
        <w:rPr>
          <w:color w:val="000000"/>
          <w:sz w:val="22"/>
          <w:szCs w:val="22"/>
          <w:lang w:val="da-DK"/>
        </w:rPr>
        <w:t>/kg, havde hunrotterne et signifikant føtaltab efter implantation og et reduceret antal levende fostre. Dette sås ikke ved doser ≤20</w:t>
      </w:r>
      <w:r w:rsidR="00C17108" w:rsidRPr="004C2A59">
        <w:rPr>
          <w:color w:val="000000"/>
          <w:sz w:val="22"/>
          <w:szCs w:val="22"/>
          <w:lang w:val="da-DK"/>
        </w:rPr>
        <w:t> mg</w:t>
      </w:r>
      <w:r w:rsidRPr="004C2A59">
        <w:rPr>
          <w:color w:val="000000"/>
          <w:sz w:val="22"/>
          <w:szCs w:val="22"/>
          <w:lang w:val="da-DK"/>
        </w:rPr>
        <w:t>/kg.</w:t>
      </w:r>
    </w:p>
    <w:p w14:paraId="045B6F61" w14:textId="77777777" w:rsidR="00270C5A" w:rsidRPr="004C2A59" w:rsidRDefault="00270C5A" w:rsidP="00421681">
      <w:pPr>
        <w:pStyle w:val="Text"/>
        <w:spacing w:before="0"/>
        <w:jc w:val="left"/>
        <w:rPr>
          <w:color w:val="000000"/>
          <w:sz w:val="22"/>
          <w:szCs w:val="22"/>
          <w:lang w:val="da-DK"/>
        </w:rPr>
      </w:pPr>
    </w:p>
    <w:p w14:paraId="42CC99AE" w14:textId="77777777" w:rsidR="00270C5A" w:rsidRPr="004C2A59" w:rsidRDefault="00270C5A" w:rsidP="00421681">
      <w:pPr>
        <w:pStyle w:val="Text"/>
        <w:widowControl w:val="0"/>
        <w:spacing w:before="0"/>
        <w:jc w:val="left"/>
        <w:rPr>
          <w:color w:val="000000"/>
          <w:sz w:val="22"/>
          <w:szCs w:val="22"/>
          <w:lang w:val="da-DK"/>
        </w:rPr>
      </w:pPr>
      <w:r w:rsidRPr="004C2A59">
        <w:rPr>
          <w:color w:val="000000"/>
          <w:sz w:val="22"/>
          <w:szCs w:val="22"/>
          <w:lang w:val="da-DK"/>
        </w:rPr>
        <w:t>I et oralt præ</w:t>
      </w:r>
      <w:r w:rsidRPr="004C2A59">
        <w:rPr>
          <w:color w:val="000000"/>
          <w:sz w:val="22"/>
          <w:szCs w:val="22"/>
          <w:lang w:val="da-DK"/>
        </w:rPr>
        <w:noBreakHyphen/>
        <w:t xml:space="preserve"> og postnatalt udviklingsstudie med rotter sås rødt, vaginalt udflåd i gruppen med 45 mg/kg/dag på enten dag</w:t>
      </w:r>
      <w:r w:rsidR="00D36EF2" w:rsidRPr="004C2A59">
        <w:rPr>
          <w:color w:val="000000"/>
          <w:sz w:val="22"/>
          <w:szCs w:val="22"/>
          <w:lang w:val="da-DK"/>
        </w:rPr>
        <w:t> </w:t>
      </w:r>
      <w:r w:rsidRPr="004C2A59">
        <w:rPr>
          <w:color w:val="000000"/>
          <w:sz w:val="22"/>
          <w:szCs w:val="22"/>
          <w:lang w:val="da-DK"/>
        </w:rPr>
        <w:t>14 eller dag</w:t>
      </w:r>
      <w:r w:rsidR="00C02CD8" w:rsidRPr="004C2A59">
        <w:rPr>
          <w:color w:val="000000"/>
          <w:sz w:val="22"/>
          <w:szCs w:val="22"/>
          <w:lang w:val="da-DK"/>
        </w:rPr>
        <w:t> </w:t>
      </w:r>
      <w:r w:rsidRPr="004C2A59">
        <w:rPr>
          <w:color w:val="000000"/>
          <w:sz w:val="22"/>
          <w:szCs w:val="22"/>
          <w:lang w:val="da-DK"/>
        </w:rPr>
        <w:t>15 efter gestation. Der sås ved samme dosis øgning i antallet af dødfødte unger, såvel som i antallet af unger der døde postpartum mellem dag</w:t>
      </w:r>
      <w:r w:rsidR="00C02CD8" w:rsidRPr="004C2A59">
        <w:rPr>
          <w:color w:val="000000"/>
          <w:sz w:val="22"/>
          <w:szCs w:val="22"/>
          <w:lang w:val="da-DK"/>
        </w:rPr>
        <w:t> </w:t>
      </w:r>
      <w:r w:rsidRPr="004C2A59">
        <w:rPr>
          <w:color w:val="000000"/>
          <w:sz w:val="22"/>
          <w:szCs w:val="22"/>
          <w:lang w:val="da-DK"/>
        </w:rPr>
        <w:t>0 og dag</w:t>
      </w:r>
      <w:r w:rsidR="00C02CD8" w:rsidRPr="004C2A59">
        <w:rPr>
          <w:color w:val="000000"/>
          <w:sz w:val="22"/>
          <w:szCs w:val="22"/>
          <w:lang w:val="da-DK"/>
        </w:rPr>
        <w:t> </w:t>
      </w:r>
      <w:r w:rsidRPr="004C2A59">
        <w:rPr>
          <w:color w:val="000000"/>
          <w:sz w:val="22"/>
          <w:szCs w:val="22"/>
          <w:lang w:val="da-DK"/>
        </w:rPr>
        <w:t>4. I F</w:t>
      </w:r>
      <w:r w:rsidRPr="004C2A59">
        <w:rPr>
          <w:color w:val="000000"/>
          <w:sz w:val="22"/>
          <w:szCs w:val="22"/>
          <w:vertAlign w:val="subscript"/>
          <w:lang w:val="da-DK"/>
        </w:rPr>
        <w:t>1</w:t>
      </w:r>
      <w:r w:rsidRPr="004C2A59">
        <w:rPr>
          <w:color w:val="000000"/>
          <w:sz w:val="22"/>
          <w:szCs w:val="22"/>
          <w:lang w:val="da-DK"/>
        </w:rPr>
        <w:t xml:space="preserve"> -afkommet var den gennemsnitlige kropsvægt ved samme dosisniveau reduceret fra fødsel til aflivning og antallet af kuld der opfyldte kriteriet for præputial separation var let nedsat. F</w:t>
      </w:r>
      <w:r w:rsidRPr="004C2A59">
        <w:rPr>
          <w:color w:val="000000"/>
          <w:sz w:val="22"/>
          <w:szCs w:val="22"/>
          <w:vertAlign w:val="subscript"/>
          <w:lang w:val="da-DK"/>
        </w:rPr>
        <w:t>1</w:t>
      </w:r>
      <w:r w:rsidRPr="004C2A59">
        <w:rPr>
          <w:color w:val="000000"/>
          <w:sz w:val="22"/>
          <w:szCs w:val="22"/>
          <w:lang w:val="da-DK"/>
        </w:rPr>
        <w:t xml:space="preserve"> fertilitet var ikke påvirket, mens der sås et øget antal resorptioner og et nedsat antal levende fostre ved 45 mg/kg/dag. Niveauet for ingen </w:t>
      </w:r>
      <w:r w:rsidR="008A271B" w:rsidRPr="004C2A59">
        <w:rPr>
          <w:color w:val="000000"/>
          <w:sz w:val="22"/>
          <w:szCs w:val="22"/>
          <w:lang w:val="da-DK"/>
        </w:rPr>
        <w:t>observeret effekt (NOEL)</w:t>
      </w:r>
      <w:r w:rsidRPr="004C2A59">
        <w:rPr>
          <w:color w:val="000000"/>
          <w:sz w:val="22"/>
          <w:szCs w:val="22"/>
          <w:lang w:val="da-DK"/>
        </w:rPr>
        <w:t xml:space="preserve"> var 15 mg/kg/dag for både moderdyr og F</w:t>
      </w:r>
      <w:r w:rsidRPr="004C2A59">
        <w:rPr>
          <w:color w:val="000000"/>
          <w:sz w:val="22"/>
          <w:szCs w:val="22"/>
          <w:vertAlign w:val="subscript"/>
          <w:lang w:val="da-DK"/>
        </w:rPr>
        <w:t>1</w:t>
      </w:r>
      <w:r w:rsidRPr="004C2A59">
        <w:rPr>
          <w:color w:val="000000"/>
          <w:sz w:val="22"/>
          <w:szCs w:val="22"/>
          <w:lang w:val="da-DK"/>
        </w:rPr>
        <w:t xml:space="preserve"> generation (en ¼ af den maksimale humane dosis på 800 mg).</w:t>
      </w:r>
    </w:p>
    <w:p w14:paraId="3E307FF4" w14:textId="77777777" w:rsidR="00270C5A" w:rsidRPr="004C2A59" w:rsidRDefault="00270C5A" w:rsidP="00421681">
      <w:pPr>
        <w:pStyle w:val="Text"/>
        <w:spacing w:before="0"/>
        <w:jc w:val="left"/>
        <w:rPr>
          <w:color w:val="000000"/>
          <w:sz w:val="22"/>
          <w:szCs w:val="22"/>
          <w:lang w:val="da-DK"/>
        </w:rPr>
      </w:pPr>
    </w:p>
    <w:p w14:paraId="65A98203" w14:textId="77777777" w:rsidR="00270C5A" w:rsidRPr="004C2A59" w:rsidRDefault="00270C5A" w:rsidP="00421681">
      <w:pPr>
        <w:pStyle w:val="Text"/>
        <w:spacing w:before="0"/>
        <w:jc w:val="left"/>
        <w:rPr>
          <w:color w:val="000000"/>
          <w:sz w:val="22"/>
          <w:szCs w:val="22"/>
          <w:lang w:val="da-DK"/>
        </w:rPr>
      </w:pPr>
      <w:r w:rsidRPr="004C2A59">
        <w:rPr>
          <w:color w:val="000000"/>
          <w:sz w:val="22"/>
          <w:szCs w:val="22"/>
          <w:lang w:val="da-DK"/>
        </w:rPr>
        <w:t>Imatinib var teratogent hos rotter ved administration under organgenese ved doser ≥100</w:t>
      </w:r>
      <w:r w:rsidR="00C17108" w:rsidRPr="004C2A59">
        <w:rPr>
          <w:color w:val="000000"/>
          <w:sz w:val="22"/>
          <w:szCs w:val="22"/>
          <w:lang w:val="da-DK"/>
        </w:rPr>
        <w:t> mg</w:t>
      </w:r>
      <w:r w:rsidRPr="004C2A59">
        <w:rPr>
          <w:color w:val="000000"/>
          <w:sz w:val="22"/>
          <w:szCs w:val="22"/>
          <w:lang w:val="da-DK"/>
        </w:rPr>
        <w:t>/kg, ca. svarende til den maksimale kliniske dosis på 800</w:t>
      </w:r>
      <w:r w:rsidR="00C17108" w:rsidRPr="004C2A59">
        <w:rPr>
          <w:color w:val="000000"/>
          <w:sz w:val="22"/>
          <w:szCs w:val="22"/>
          <w:lang w:val="da-DK"/>
        </w:rPr>
        <w:t> mg</w:t>
      </w:r>
      <w:r w:rsidRPr="004C2A59">
        <w:rPr>
          <w:color w:val="000000"/>
          <w:sz w:val="22"/>
          <w:szCs w:val="22"/>
          <w:lang w:val="da-DK"/>
        </w:rPr>
        <w:t>/</w:t>
      </w:r>
      <w:r w:rsidR="001A6DFE" w:rsidRPr="004C2A59">
        <w:rPr>
          <w:color w:val="000000"/>
          <w:sz w:val="22"/>
          <w:szCs w:val="22"/>
          <w:lang w:val="da-DK"/>
        </w:rPr>
        <w:t>dag</w:t>
      </w:r>
      <w:r w:rsidRPr="004C2A59">
        <w:rPr>
          <w:color w:val="000000"/>
          <w:sz w:val="22"/>
          <w:szCs w:val="22"/>
          <w:lang w:val="da-DK"/>
        </w:rPr>
        <w:t>, baseret på legemsoverfladeareal. Teratogene virkninger inkluderede exencephali eller encephalocele, manglende/reducerede frontale knogler og manglende parietalknogler. Disse virkninger sås ikke ved doser ≤30</w:t>
      </w:r>
      <w:r w:rsidR="00C17108" w:rsidRPr="004C2A59">
        <w:rPr>
          <w:color w:val="000000"/>
          <w:sz w:val="22"/>
          <w:szCs w:val="22"/>
          <w:lang w:val="da-DK"/>
        </w:rPr>
        <w:t> mg</w:t>
      </w:r>
      <w:r w:rsidRPr="004C2A59">
        <w:rPr>
          <w:color w:val="000000"/>
          <w:sz w:val="22"/>
          <w:szCs w:val="22"/>
          <w:lang w:val="da-DK"/>
        </w:rPr>
        <w:t>/kg.</w:t>
      </w:r>
    </w:p>
    <w:p w14:paraId="32EDAD25" w14:textId="77777777" w:rsidR="00270C5A" w:rsidRPr="004C2A59" w:rsidRDefault="00270C5A" w:rsidP="00421681">
      <w:pPr>
        <w:pStyle w:val="Text"/>
        <w:spacing w:before="0"/>
        <w:jc w:val="left"/>
        <w:rPr>
          <w:color w:val="000000"/>
          <w:sz w:val="22"/>
          <w:szCs w:val="22"/>
          <w:lang w:val="da-DK"/>
        </w:rPr>
      </w:pPr>
    </w:p>
    <w:p w14:paraId="6318282D" w14:textId="77777777" w:rsidR="007F757E" w:rsidRPr="004C2A59" w:rsidRDefault="007F757E" w:rsidP="00421681">
      <w:pPr>
        <w:pStyle w:val="Text"/>
        <w:spacing w:before="0"/>
        <w:jc w:val="left"/>
        <w:rPr>
          <w:color w:val="000000"/>
          <w:sz w:val="22"/>
          <w:szCs w:val="22"/>
          <w:lang w:val="da-DK"/>
        </w:rPr>
      </w:pPr>
      <w:r w:rsidRPr="004C2A59">
        <w:rPr>
          <w:color w:val="000000"/>
          <w:sz w:val="22"/>
          <w:szCs w:val="22"/>
          <w:lang w:val="da-DK"/>
        </w:rPr>
        <w:t xml:space="preserve">I et juvenilt udviklingstoksikologisk </w:t>
      </w:r>
      <w:r w:rsidR="00294EEA" w:rsidRPr="004C2A59">
        <w:rPr>
          <w:color w:val="000000"/>
          <w:sz w:val="22"/>
          <w:szCs w:val="22"/>
          <w:lang w:val="da-DK"/>
        </w:rPr>
        <w:t>rotte</w:t>
      </w:r>
      <w:r w:rsidRPr="004C2A59">
        <w:rPr>
          <w:color w:val="000000"/>
          <w:sz w:val="22"/>
          <w:szCs w:val="22"/>
          <w:lang w:val="da-DK"/>
        </w:rPr>
        <w:t xml:space="preserve">studie blev der ikke identificeret nye målorganer (dag 10 til 70 postpartum) med hensyn til kendte målorganer hos voksne rotter. I det juvenile toksikologistudie blev </w:t>
      </w:r>
      <w:r w:rsidR="00294EEA" w:rsidRPr="004C2A59">
        <w:rPr>
          <w:color w:val="000000"/>
          <w:sz w:val="22"/>
          <w:szCs w:val="22"/>
          <w:lang w:val="da-DK"/>
        </w:rPr>
        <w:t xml:space="preserve">der set </w:t>
      </w:r>
      <w:r w:rsidRPr="004C2A59">
        <w:rPr>
          <w:color w:val="000000"/>
          <w:sz w:val="22"/>
          <w:szCs w:val="22"/>
          <w:lang w:val="da-DK"/>
        </w:rPr>
        <w:t>effekt på vækst</w:t>
      </w:r>
      <w:r w:rsidR="00A26F6B" w:rsidRPr="004C2A59">
        <w:rPr>
          <w:color w:val="000000"/>
          <w:sz w:val="22"/>
          <w:szCs w:val="22"/>
          <w:lang w:val="da-DK"/>
        </w:rPr>
        <w:t xml:space="preserve"> samt</w:t>
      </w:r>
      <w:r w:rsidRPr="004C2A59">
        <w:rPr>
          <w:color w:val="000000"/>
          <w:sz w:val="22"/>
          <w:szCs w:val="22"/>
          <w:lang w:val="da-DK"/>
        </w:rPr>
        <w:t xml:space="preserve"> forsinket vaginalåbning og præputial separation </w:t>
      </w:r>
      <w:r w:rsidR="00294EEA" w:rsidRPr="004C2A59">
        <w:rPr>
          <w:color w:val="000000"/>
          <w:sz w:val="22"/>
          <w:szCs w:val="22"/>
          <w:lang w:val="da-DK"/>
        </w:rPr>
        <w:t xml:space="preserve">ved </w:t>
      </w:r>
      <w:r w:rsidR="007359F2" w:rsidRPr="004C2A59">
        <w:rPr>
          <w:color w:val="000000"/>
          <w:sz w:val="22"/>
          <w:szCs w:val="22"/>
          <w:lang w:val="da-DK"/>
        </w:rPr>
        <w:t>ca. 0,3 til 2 gange den gennemsnitlige pædiatriske eksponering</w:t>
      </w:r>
      <w:r w:rsidR="003C7164" w:rsidRPr="004C2A59">
        <w:rPr>
          <w:color w:val="000000"/>
          <w:sz w:val="22"/>
          <w:szCs w:val="22"/>
          <w:lang w:val="da-DK"/>
        </w:rPr>
        <w:t xml:space="preserve"> ved den høj</w:t>
      </w:r>
      <w:r w:rsidR="007359F2" w:rsidRPr="004C2A59">
        <w:rPr>
          <w:color w:val="000000"/>
          <w:sz w:val="22"/>
          <w:szCs w:val="22"/>
          <w:lang w:val="da-DK"/>
        </w:rPr>
        <w:t>st anbefalede dosis på 340 mg/m</w:t>
      </w:r>
      <w:r w:rsidR="007359F2" w:rsidRPr="004C2A59">
        <w:rPr>
          <w:color w:val="000000"/>
          <w:sz w:val="22"/>
          <w:szCs w:val="22"/>
          <w:vertAlign w:val="superscript"/>
          <w:lang w:val="da-DK"/>
        </w:rPr>
        <w:t>2</w:t>
      </w:r>
      <w:r w:rsidR="007359F2" w:rsidRPr="004C2A59">
        <w:rPr>
          <w:color w:val="000000"/>
          <w:sz w:val="22"/>
          <w:szCs w:val="22"/>
          <w:lang w:val="da-DK"/>
        </w:rPr>
        <w:t xml:space="preserve">. Derudover </w:t>
      </w:r>
      <w:r w:rsidR="00294EEA" w:rsidRPr="004C2A59">
        <w:rPr>
          <w:color w:val="000000"/>
          <w:sz w:val="22"/>
          <w:szCs w:val="22"/>
          <w:lang w:val="da-DK"/>
        </w:rPr>
        <w:t>blev der set</w:t>
      </w:r>
      <w:r w:rsidR="007359F2" w:rsidRPr="004C2A59">
        <w:rPr>
          <w:color w:val="000000"/>
          <w:sz w:val="22"/>
          <w:szCs w:val="22"/>
          <w:lang w:val="da-DK"/>
        </w:rPr>
        <w:t xml:space="preserve"> mortalitet hos juvenile dyr (omkring fravænningsfase) </w:t>
      </w:r>
      <w:r w:rsidR="00294EEA" w:rsidRPr="004C2A59">
        <w:rPr>
          <w:color w:val="000000"/>
          <w:sz w:val="22"/>
          <w:szCs w:val="22"/>
          <w:lang w:val="da-DK"/>
        </w:rPr>
        <w:t xml:space="preserve">ved </w:t>
      </w:r>
      <w:r w:rsidR="007359F2" w:rsidRPr="004C2A59">
        <w:rPr>
          <w:color w:val="000000"/>
          <w:sz w:val="22"/>
          <w:szCs w:val="22"/>
          <w:lang w:val="da-DK"/>
        </w:rPr>
        <w:t>ca. 2 gange den gennemsnitlige pædiatriske eksponering ved den højst</w:t>
      </w:r>
      <w:r w:rsidR="003C7164" w:rsidRPr="004C2A59">
        <w:rPr>
          <w:color w:val="000000"/>
          <w:sz w:val="22"/>
          <w:szCs w:val="22"/>
          <w:lang w:val="da-DK"/>
        </w:rPr>
        <w:t xml:space="preserve"> anbefalede dosis på 340 mg/m</w:t>
      </w:r>
      <w:r w:rsidR="003C7164" w:rsidRPr="004C2A59">
        <w:rPr>
          <w:color w:val="000000"/>
          <w:sz w:val="22"/>
          <w:szCs w:val="22"/>
          <w:vertAlign w:val="superscript"/>
          <w:lang w:val="da-DK"/>
        </w:rPr>
        <w:t>2</w:t>
      </w:r>
      <w:r w:rsidR="003C7164" w:rsidRPr="004C2A59">
        <w:rPr>
          <w:color w:val="000000"/>
          <w:sz w:val="22"/>
          <w:szCs w:val="22"/>
          <w:lang w:val="da-DK"/>
        </w:rPr>
        <w:t>.</w:t>
      </w:r>
    </w:p>
    <w:p w14:paraId="30CA27FB" w14:textId="77777777" w:rsidR="007F757E" w:rsidRPr="004C2A59" w:rsidRDefault="007F757E" w:rsidP="00421681">
      <w:pPr>
        <w:pStyle w:val="Text"/>
        <w:spacing w:before="0"/>
        <w:jc w:val="left"/>
        <w:rPr>
          <w:color w:val="000000"/>
          <w:sz w:val="22"/>
          <w:szCs w:val="22"/>
          <w:lang w:val="da-DK"/>
        </w:rPr>
      </w:pPr>
    </w:p>
    <w:p w14:paraId="566C95A9" w14:textId="77777777" w:rsidR="00C505EA" w:rsidRPr="004C2A59" w:rsidRDefault="002F2445" w:rsidP="00421681">
      <w:pPr>
        <w:numPr>
          <w:ilvl w:val="12"/>
          <w:numId w:val="0"/>
        </w:numPr>
        <w:ind w:right="11"/>
        <w:rPr>
          <w:color w:val="000000"/>
          <w:sz w:val="22"/>
          <w:szCs w:val="22"/>
          <w:lang w:val="da-DK"/>
        </w:rPr>
      </w:pPr>
      <w:r w:rsidRPr="004C2A59">
        <w:rPr>
          <w:color w:val="000000"/>
          <w:sz w:val="22"/>
          <w:szCs w:val="22"/>
          <w:lang w:val="da-DK"/>
        </w:rPr>
        <w:t xml:space="preserve">I et 2-års </w:t>
      </w:r>
      <w:r w:rsidR="00294EEA" w:rsidRPr="004C2A59">
        <w:rPr>
          <w:color w:val="000000"/>
          <w:sz w:val="22"/>
          <w:szCs w:val="22"/>
          <w:lang w:val="da-DK"/>
        </w:rPr>
        <w:t>k</w:t>
      </w:r>
      <w:r w:rsidRPr="004C2A59">
        <w:rPr>
          <w:color w:val="000000"/>
          <w:sz w:val="22"/>
          <w:szCs w:val="22"/>
          <w:lang w:val="da-DK"/>
        </w:rPr>
        <w:t>arcinogen</w:t>
      </w:r>
      <w:r w:rsidR="00294EEA" w:rsidRPr="004C2A59">
        <w:rPr>
          <w:color w:val="000000"/>
          <w:sz w:val="22"/>
          <w:szCs w:val="22"/>
          <w:lang w:val="da-DK"/>
        </w:rPr>
        <w:t>icitets</w:t>
      </w:r>
      <w:r w:rsidRPr="004C2A59">
        <w:rPr>
          <w:color w:val="000000"/>
          <w:sz w:val="22"/>
          <w:szCs w:val="22"/>
          <w:lang w:val="da-DK"/>
        </w:rPr>
        <w:t>studie i rotter resulterede administration af imatinib på 15, 30 og 60</w:t>
      </w:r>
      <w:r w:rsidR="00254ACC" w:rsidRPr="004C2A59">
        <w:rPr>
          <w:color w:val="000000"/>
          <w:sz w:val="22"/>
          <w:szCs w:val="22"/>
          <w:lang w:val="da-DK"/>
        </w:rPr>
        <w:t> </w:t>
      </w:r>
      <w:r w:rsidRPr="004C2A59">
        <w:rPr>
          <w:color w:val="000000"/>
          <w:sz w:val="22"/>
          <w:szCs w:val="22"/>
          <w:lang w:val="da-DK"/>
        </w:rPr>
        <w:t xml:space="preserve">mg/kg/dag i en signifikant reduktion </w:t>
      </w:r>
      <w:r w:rsidR="004615E2" w:rsidRPr="004C2A59">
        <w:rPr>
          <w:color w:val="000000"/>
          <w:sz w:val="22"/>
          <w:szCs w:val="22"/>
          <w:lang w:val="da-DK"/>
        </w:rPr>
        <w:t>i levetiden ved 60</w:t>
      </w:r>
      <w:r w:rsidR="00254ACC" w:rsidRPr="004C2A59">
        <w:rPr>
          <w:color w:val="000000"/>
          <w:sz w:val="22"/>
          <w:szCs w:val="22"/>
          <w:lang w:val="da-DK"/>
        </w:rPr>
        <w:t> </w:t>
      </w:r>
      <w:r w:rsidR="004615E2" w:rsidRPr="004C2A59">
        <w:rPr>
          <w:color w:val="000000"/>
          <w:sz w:val="22"/>
          <w:szCs w:val="22"/>
          <w:lang w:val="da-DK"/>
        </w:rPr>
        <w:t xml:space="preserve">mg/kg/dag for </w:t>
      </w:r>
      <w:r w:rsidR="00EC6E98" w:rsidRPr="004C2A59">
        <w:rPr>
          <w:color w:val="000000"/>
          <w:sz w:val="22"/>
          <w:szCs w:val="22"/>
          <w:lang w:val="da-DK"/>
        </w:rPr>
        <w:t xml:space="preserve">hanner og </w:t>
      </w:r>
      <w:r w:rsidR="00762B4D" w:rsidRPr="004C2A59">
        <w:rPr>
          <w:color w:val="000000"/>
          <w:sz w:val="22"/>
          <w:szCs w:val="22"/>
          <w:lang w:val="da-DK"/>
        </w:rPr>
        <w:t xml:space="preserve">for hunner </w:t>
      </w:r>
      <w:r w:rsidR="00EC6E98" w:rsidRPr="004C2A59">
        <w:rPr>
          <w:color w:val="000000"/>
          <w:sz w:val="22"/>
          <w:szCs w:val="22"/>
          <w:lang w:val="da-DK"/>
        </w:rPr>
        <w:t>ved ≥30</w:t>
      </w:r>
      <w:r w:rsidR="00254ACC" w:rsidRPr="004C2A59">
        <w:rPr>
          <w:color w:val="000000"/>
          <w:sz w:val="22"/>
          <w:szCs w:val="22"/>
          <w:lang w:val="da-DK"/>
        </w:rPr>
        <w:t> </w:t>
      </w:r>
      <w:r w:rsidR="00EC6E98" w:rsidRPr="004C2A59">
        <w:rPr>
          <w:color w:val="000000"/>
          <w:sz w:val="22"/>
          <w:szCs w:val="22"/>
          <w:lang w:val="da-DK"/>
        </w:rPr>
        <w:t>mg/kg/dag. Histopatologiske u</w:t>
      </w:r>
      <w:r w:rsidR="00743944" w:rsidRPr="004C2A59">
        <w:rPr>
          <w:color w:val="000000"/>
          <w:sz w:val="22"/>
          <w:szCs w:val="22"/>
          <w:lang w:val="da-DK"/>
        </w:rPr>
        <w:t xml:space="preserve">ndersøgelser af de afdøde rotter </w:t>
      </w:r>
      <w:r w:rsidR="00743944" w:rsidRPr="00556F07">
        <w:rPr>
          <w:color w:val="000000"/>
          <w:sz w:val="22"/>
          <w:szCs w:val="22"/>
          <w:lang w:val="da-DK"/>
        </w:rPr>
        <w:t>afslørede kardiomyopati (begge køn), kronisk progressiv nefropati (hun</w:t>
      </w:r>
      <w:r w:rsidR="003770BC" w:rsidRPr="00556F07">
        <w:rPr>
          <w:color w:val="000000"/>
          <w:sz w:val="22"/>
          <w:szCs w:val="22"/>
          <w:lang w:val="da-DK"/>
        </w:rPr>
        <w:t>ner</w:t>
      </w:r>
      <w:r w:rsidR="00743944" w:rsidRPr="00556F07">
        <w:rPr>
          <w:color w:val="000000"/>
          <w:sz w:val="22"/>
          <w:szCs w:val="22"/>
          <w:lang w:val="da-DK"/>
        </w:rPr>
        <w:t xml:space="preserve">) og papillomaer på forhuden som </w:t>
      </w:r>
      <w:r w:rsidR="0026247D" w:rsidRPr="00556F07">
        <w:rPr>
          <w:color w:val="000000"/>
          <w:sz w:val="22"/>
          <w:szCs w:val="22"/>
          <w:lang w:val="da-DK"/>
        </w:rPr>
        <w:t>hoved</w:t>
      </w:r>
      <w:r w:rsidR="00743944" w:rsidRPr="00556F07">
        <w:rPr>
          <w:color w:val="000000"/>
          <w:sz w:val="22"/>
          <w:szCs w:val="22"/>
          <w:lang w:val="da-DK"/>
        </w:rPr>
        <w:t xml:space="preserve">årsag til død eller begrundelse for </w:t>
      </w:r>
      <w:r w:rsidR="000F1D07" w:rsidRPr="00556F07">
        <w:rPr>
          <w:color w:val="000000"/>
          <w:sz w:val="22"/>
          <w:szCs w:val="22"/>
          <w:lang w:val="da-DK"/>
        </w:rPr>
        <w:t xml:space="preserve">aflivning. Målorganerne for neoplastiske ændringer var nyrerne, urinblæren, urinrøret, fedtkirtlerne på forhuden og klitoris, tyndtarmen, </w:t>
      </w:r>
      <w:r w:rsidR="003B3F3B" w:rsidRPr="00556F07">
        <w:rPr>
          <w:color w:val="000000"/>
          <w:sz w:val="22"/>
          <w:szCs w:val="22"/>
          <w:lang w:val="da-DK"/>
        </w:rPr>
        <w:t>bi</w:t>
      </w:r>
      <w:r w:rsidR="000F1D07" w:rsidRPr="00556F07">
        <w:rPr>
          <w:color w:val="000000"/>
          <w:sz w:val="22"/>
          <w:szCs w:val="22"/>
          <w:lang w:val="da-DK"/>
        </w:rPr>
        <w:t>skjoldbrusk</w:t>
      </w:r>
      <w:r w:rsidR="003B3F3B" w:rsidRPr="00556F07">
        <w:rPr>
          <w:color w:val="000000"/>
          <w:sz w:val="22"/>
          <w:szCs w:val="22"/>
          <w:lang w:val="da-DK"/>
        </w:rPr>
        <w:t>kirtlerne,</w:t>
      </w:r>
      <w:r w:rsidR="003B3F3B" w:rsidRPr="004C2A59">
        <w:rPr>
          <w:color w:val="000000"/>
          <w:sz w:val="22"/>
          <w:szCs w:val="22"/>
          <w:lang w:val="da-DK"/>
        </w:rPr>
        <w:t xml:space="preserve"> </w:t>
      </w:r>
      <w:r w:rsidR="00762B4D" w:rsidRPr="004C2A59">
        <w:rPr>
          <w:color w:val="000000"/>
          <w:sz w:val="22"/>
          <w:szCs w:val="22"/>
          <w:lang w:val="da-DK"/>
        </w:rPr>
        <w:t>binyrererne</w:t>
      </w:r>
      <w:r w:rsidR="003B3F3B" w:rsidRPr="004C2A59">
        <w:rPr>
          <w:color w:val="000000"/>
          <w:sz w:val="22"/>
          <w:szCs w:val="22"/>
          <w:lang w:val="da-DK"/>
        </w:rPr>
        <w:t xml:space="preserve"> og </w:t>
      </w:r>
      <w:r w:rsidR="00762B4D" w:rsidRPr="004C2A59">
        <w:rPr>
          <w:color w:val="000000"/>
          <w:sz w:val="22"/>
          <w:szCs w:val="22"/>
          <w:lang w:val="da-DK"/>
        </w:rPr>
        <w:t>den ikke</w:t>
      </w:r>
      <w:r w:rsidR="003B3F3B" w:rsidRPr="004C2A59">
        <w:rPr>
          <w:color w:val="000000"/>
          <w:sz w:val="22"/>
          <w:szCs w:val="22"/>
          <w:lang w:val="da-DK"/>
        </w:rPr>
        <w:t>-kirtel</w:t>
      </w:r>
      <w:r w:rsidR="00762B4D" w:rsidRPr="004C2A59">
        <w:rPr>
          <w:color w:val="000000"/>
          <w:sz w:val="22"/>
          <w:szCs w:val="22"/>
          <w:lang w:val="da-DK"/>
        </w:rPr>
        <w:t>lignende del</w:t>
      </w:r>
      <w:r w:rsidR="003B3F3B" w:rsidRPr="004C2A59">
        <w:rPr>
          <w:color w:val="000000"/>
          <w:sz w:val="22"/>
          <w:szCs w:val="22"/>
          <w:lang w:val="da-DK"/>
        </w:rPr>
        <w:t xml:space="preserve"> af maven</w:t>
      </w:r>
      <w:r w:rsidR="00C505EA" w:rsidRPr="004C2A59">
        <w:rPr>
          <w:color w:val="000000"/>
          <w:sz w:val="22"/>
          <w:szCs w:val="22"/>
          <w:lang w:val="da-DK"/>
        </w:rPr>
        <w:t>.</w:t>
      </w:r>
    </w:p>
    <w:p w14:paraId="1EB64731" w14:textId="77777777" w:rsidR="008A271B" w:rsidRPr="004C2A59" w:rsidRDefault="008A271B" w:rsidP="00421681">
      <w:pPr>
        <w:numPr>
          <w:ilvl w:val="12"/>
          <w:numId w:val="0"/>
        </w:numPr>
        <w:ind w:right="11"/>
        <w:rPr>
          <w:color w:val="000000"/>
          <w:sz w:val="22"/>
          <w:szCs w:val="22"/>
          <w:lang w:val="da-DK"/>
        </w:rPr>
      </w:pPr>
    </w:p>
    <w:p w14:paraId="51D5F1A0" w14:textId="77777777" w:rsidR="005C43DD" w:rsidRPr="004C2A59" w:rsidRDefault="008A271B" w:rsidP="00421681">
      <w:pPr>
        <w:numPr>
          <w:ilvl w:val="12"/>
          <w:numId w:val="0"/>
        </w:numPr>
        <w:ind w:right="11"/>
        <w:rPr>
          <w:color w:val="000000"/>
          <w:sz w:val="22"/>
          <w:szCs w:val="22"/>
          <w:lang w:val="da-DK"/>
        </w:rPr>
      </w:pPr>
      <w:r w:rsidRPr="004C2A59">
        <w:rPr>
          <w:color w:val="000000"/>
          <w:sz w:val="22"/>
          <w:szCs w:val="22"/>
          <w:lang w:val="da-DK"/>
        </w:rPr>
        <w:t xml:space="preserve">Papillomaer/carcinomer i fedtkirtlerne på forhuden/klitoris blev set </w:t>
      </w:r>
      <w:r w:rsidR="00C505EA" w:rsidRPr="004C2A59">
        <w:rPr>
          <w:color w:val="000000"/>
          <w:sz w:val="22"/>
          <w:szCs w:val="22"/>
          <w:lang w:val="da-DK"/>
        </w:rPr>
        <w:t>fra</w:t>
      </w:r>
      <w:r w:rsidRPr="004C2A59">
        <w:rPr>
          <w:color w:val="000000"/>
          <w:sz w:val="22"/>
          <w:szCs w:val="22"/>
          <w:lang w:val="da-DK"/>
        </w:rPr>
        <w:t xml:space="preserve"> 30</w:t>
      </w:r>
      <w:r w:rsidR="00C505EA" w:rsidRPr="004C2A59">
        <w:rPr>
          <w:color w:val="000000"/>
          <w:sz w:val="22"/>
          <w:szCs w:val="22"/>
          <w:lang w:val="da-DK"/>
        </w:rPr>
        <w:t> </w:t>
      </w:r>
      <w:r w:rsidRPr="004C2A59">
        <w:rPr>
          <w:color w:val="000000"/>
          <w:sz w:val="22"/>
          <w:szCs w:val="22"/>
          <w:lang w:val="da-DK"/>
        </w:rPr>
        <w:t>mg/kg/dag</w:t>
      </w:r>
      <w:r w:rsidR="00C505EA" w:rsidRPr="004C2A59">
        <w:rPr>
          <w:color w:val="000000"/>
          <w:sz w:val="22"/>
          <w:szCs w:val="22"/>
          <w:lang w:val="da-DK"/>
        </w:rPr>
        <w:t xml:space="preserve"> og </w:t>
      </w:r>
      <w:r w:rsidR="00C61661" w:rsidRPr="004C2A59">
        <w:rPr>
          <w:color w:val="000000"/>
          <w:sz w:val="22"/>
          <w:szCs w:val="22"/>
          <w:lang w:val="da-DK"/>
        </w:rPr>
        <w:t>højere</w:t>
      </w:r>
      <w:r w:rsidRPr="004C2A59">
        <w:rPr>
          <w:color w:val="000000"/>
          <w:sz w:val="22"/>
          <w:szCs w:val="22"/>
          <w:lang w:val="da-DK"/>
        </w:rPr>
        <w:t>, som svarer til cirka 0,5</w:t>
      </w:r>
      <w:r w:rsidR="00C505EA" w:rsidRPr="004C2A59">
        <w:rPr>
          <w:color w:val="000000"/>
          <w:sz w:val="22"/>
          <w:szCs w:val="22"/>
          <w:lang w:val="da-DK"/>
        </w:rPr>
        <w:t> </w:t>
      </w:r>
      <w:r w:rsidRPr="004C2A59">
        <w:rPr>
          <w:color w:val="000000"/>
          <w:sz w:val="22"/>
          <w:szCs w:val="22"/>
          <w:lang w:val="da-DK"/>
        </w:rPr>
        <w:t xml:space="preserve">eller 0,3 gange den daglige humane eksponering (baseret på AUC) på </w:t>
      </w:r>
      <w:r w:rsidR="00A43C90" w:rsidRPr="004C2A59">
        <w:rPr>
          <w:color w:val="000000"/>
          <w:sz w:val="22"/>
          <w:szCs w:val="22"/>
          <w:lang w:val="da-DK"/>
        </w:rPr>
        <w:t xml:space="preserve">henholdsvis </w:t>
      </w:r>
      <w:r w:rsidRPr="004C2A59">
        <w:rPr>
          <w:color w:val="000000"/>
          <w:sz w:val="22"/>
          <w:szCs w:val="22"/>
          <w:lang w:val="da-DK"/>
        </w:rPr>
        <w:t>400 mg/dag eller 800 mg/dag. Dette svarer til 0,4 gange den daglige eksponering (baseret på AUC) hos børn på 340 mg/</w:t>
      </w:r>
      <w:r w:rsidRPr="004C2A59">
        <w:rPr>
          <w:bCs/>
          <w:color w:val="000000"/>
          <w:sz w:val="22"/>
          <w:szCs w:val="22"/>
          <w:lang w:val="da-DK"/>
        </w:rPr>
        <w:t>m</w:t>
      </w:r>
      <w:r w:rsidRPr="004C2A59">
        <w:rPr>
          <w:bCs/>
          <w:color w:val="000000"/>
          <w:sz w:val="22"/>
          <w:szCs w:val="22"/>
          <w:vertAlign w:val="superscript"/>
          <w:lang w:val="da-DK"/>
        </w:rPr>
        <w:t>2</w:t>
      </w:r>
      <w:r w:rsidR="00124641" w:rsidRPr="004C2A59">
        <w:rPr>
          <w:bCs/>
          <w:color w:val="000000"/>
          <w:sz w:val="22"/>
          <w:szCs w:val="22"/>
          <w:lang w:val="da-DK"/>
        </w:rPr>
        <w:t>/dag</w:t>
      </w:r>
      <w:r w:rsidRPr="004C2A59">
        <w:rPr>
          <w:bCs/>
          <w:color w:val="000000"/>
          <w:sz w:val="22"/>
          <w:szCs w:val="22"/>
          <w:lang w:val="da-DK"/>
        </w:rPr>
        <w:t>.</w:t>
      </w:r>
      <w:r w:rsidRPr="004C2A59">
        <w:rPr>
          <w:color w:val="000000"/>
          <w:sz w:val="22"/>
          <w:szCs w:val="22"/>
          <w:lang w:val="da-DK"/>
        </w:rPr>
        <w:t xml:space="preserve"> </w:t>
      </w:r>
      <w:r w:rsidR="00A43C90" w:rsidRPr="004C2A59">
        <w:rPr>
          <w:color w:val="000000"/>
          <w:sz w:val="22"/>
          <w:szCs w:val="22"/>
          <w:lang w:val="da-DK"/>
        </w:rPr>
        <w:t xml:space="preserve">Niveauet for ingen observeret effekt (NOEL) var 15 mg/kg/dag. </w:t>
      </w:r>
      <w:r w:rsidR="005C43DD" w:rsidRPr="004C2A59">
        <w:rPr>
          <w:color w:val="000000"/>
          <w:sz w:val="22"/>
          <w:szCs w:val="22"/>
          <w:lang w:val="da-DK"/>
        </w:rPr>
        <w:t xml:space="preserve">Renale </w:t>
      </w:r>
      <w:r w:rsidR="005C43DD" w:rsidRPr="004C2A59">
        <w:rPr>
          <w:color w:val="000000"/>
          <w:sz w:val="22"/>
          <w:szCs w:val="22"/>
          <w:lang w:val="da-DK"/>
        </w:rPr>
        <w:lastRenderedPageBreak/>
        <w:t>adenomer/carcinomer, papillomaer i blæren og urinrøret, adenocarcinomer i tyndtarmen, adenomer i bisskjoldbruskkirtlerne, de benigne og maligne</w:t>
      </w:r>
      <w:r w:rsidR="00F662F7" w:rsidRPr="004C2A59">
        <w:rPr>
          <w:color w:val="000000"/>
          <w:sz w:val="22"/>
          <w:szCs w:val="22"/>
          <w:lang w:val="da-DK"/>
        </w:rPr>
        <w:t xml:space="preserve"> tumorer i binyremarven og ikke-kirtellignende ventrikelpapillomaer/carcinomer</w:t>
      </w:r>
      <w:r w:rsidR="005C43DD" w:rsidRPr="004C2A59">
        <w:rPr>
          <w:color w:val="000000"/>
          <w:sz w:val="22"/>
          <w:szCs w:val="22"/>
          <w:lang w:val="da-DK"/>
        </w:rPr>
        <w:t xml:space="preserve"> blev observeret ved 60</w:t>
      </w:r>
      <w:r w:rsidR="00254ACC" w:rsidRPr="004C2A59">
        <w:rPr>
          <w:color w:val="000000"/>
          <w:sz w:val="22"/>
          <w:szCs w:val="22"/>
          <w:lang w:val="da-DK"/>
        </w:rPr>
        <w:t> </w:t>
      </w:r>
      <w:r w:rsidR="00124641" w:rsidRPr="004C2A59">
        <w:rPr>
          <w:color w:val="000000"/>
          <w:sz w:val="22"/>
          <w:szCs w:val="22"/>
          <w:lang w:val="da-DK"/>
        </w:rPr>
        <w:t>mg/kg/dag. Dette svarer til ca. 1</w:t>
      </w:r>
      <w:r w:rsidR="00AF276E" w:rsidRPr="004C2A59">
        <w:rPr>
          <w:color w:val="000000"/>
          <w:sz w:val="22"/>
          <w:szCs w:val="22"/>
          <w:lang w:val="da-DK"/>
        </w:rPr>
        <w:t>,7 eller 1</w:t>
      </w:r>
      <w:r w:rsidR="00785850" w:rsidRPr="004C2A59">
        <w:rPr>
          <w:color w:val="000000"/>
          <w:sz w:val="22"/>
          <w:szCs w:val="22"/>
          <w:lang w:val="da-DK"/>
        </w:rPr>
        <w:t> </w:t>
      </w:r>
      <w:r w:rsidR="00124641" w:rsidRPr="004C2A59">
        <w:rPr>
          <w:color w:val="000000"/>
          <w:sz w:val="22"/>
          <w:szCs w:val="22"/>
          <w:lang w:val="da-DK"/>
        </w:rPr>
        <w:t>gang den humane daglige eksponering (baseret på AUC) på henholdsvis 400 mg/dag eller 800 mg/dag, og 1,2 gange den daglige eksponering hos børn (baseret på AUC) på 340 mg/</w:t>
      </w:r>
      <w:r w:rsidR="00124641" w:rsidRPr="004C2A59">
        <w:rPr>
          <w:bCs/>
          <w:color w:val="000000"/>
          <w:sz w:val="22"/>
          <w:szCs w:val="22"/>
          <w:lang w:val="da-DK"/>
        </w:rPr>
        <w:t>m</w:t>
      </w:r>
      <w:r w:rsidR="00124641" w:rsidRPr="004C2A59">
        <w:rPr>
          <w:bCs/>
          <w:color w:val="000000"/>
          <w:sz w:val="22"/>
          <w:szCs w:val="22"/>
          <w:vertAlign w:val="superscript"/>
          <w:lang w:val="da-DK"/>
        </w:rPr>
        <w:t>2</w:t>
      </w:r>
      <w:r w:rsidR="00124641" w:rsidRPr="004C2A59">
        <w:rPr>
          <w:bCs/>
          <w:color w:val="000000"/>
          <w:sz w:val="22"/>
          <w:szCs w:val="22"/>
          <w:lang w:val="da-DK"/>
        </w:rPr>
        <w:t>/dag.</w:t>
      </w:r>
      <w:r w:rsidR="00124641" w:rsidRPr="004C2A59">
        <w:rPr>
          <w:color w:val="000000"/>
          <w:sz w:val="22"/>
          <w:szCs w:val="22"/>
          <w:lang w:val="da-DK"/>
        </w:rPr>
        <w:t xml:space="preserve"> Niveauet for ingen observeret effekt (NOEL) var 30 mg/kg/dag</w:t>
      </w:r>
      <w:r w:rsidR="00785850" w:rsidRPr="004C2A59">
        <w:rPr>
          <w:color w:val="000000"/>
          <w:sz w:val="22"/>
          <w:szCs w:val="22"/>
          <w:lang w:val="da-DK"/>
        </w:rPr>
        <w:t>.</w:t>
      </w:r>
    </w:p>
    <w:p w14:paraId="17A36443" w14:textId="77777777" w:rsidR="008A271B" w:rsidRPr="004C2A59" w:rsidRDefault="008A271B" w:rsidP="00421681">
      <w:pPr>
        <w:numPr>
          <w:ilvl w:val="12"/>
          <w:numId w:val="0"/>
        </w:numPr>
        <w:ind w:right="11"/>
        <w:rPr>
          <w:color w:val="000000"/>
          <w:sz w:val="22"/>
          <w:szCs w:val="22"/>
          <w:lang w:val="da-DK"/>
        </w:rPr>
      </w:pPr>
    </w:p>
    <w:p w14:paraId="724A2FB6" w14:textId="77777777" w:rsidR="008A271B" w:rsidRPr="004C2A59" w:rsidRDefault="008A271B" w:rsidP="00421681">
      <w:pPr>
        <w:numPr>
          <w:ilvl w:val="12"/>
          <w:numId w:val="0"/>
        </w:numPr>
        <w:ind w:right="11"/>
        <w:rPr>
          <w:color w:val="000000"/>
          <w:sz w:val="22"/>
          <w:szCs w:val="22"/>
          <w:lang w:val="da-DK"/>
        </w:rPr>
      </w:pPr>
      <w:r w:rsidRPr="004C2A59">
        <w:rPr>
          <w:color w:val="000000"/>
          <w:sz w:val="22"/>
          <w:szCs w:val="22"/>
          <w:lang w:val="da-DK"/>
        </w:rPr>
        <w:t xml:space="preserve">Mekanismen og betydningen for mennesker af disse resultater i </w:t>
      </w:r>
      <w:r w:rsidR="00663936" w:rsidRPr="004C2A59">
        <w:rPr>
          <w:color w:val="000000"/>
          <w:sz w:val="22"/>
          <w:szCs w:val="22"/>
          <w:lang w:val="da-DK"/>
        </w:rPr>
        <w:t>karcinogenicitetsstudie</w:t>
      </w:r>
      <w:r w:rsidRPr="004C2A59">
        <w:rPr>
          <w:color w:val="000000"/>
          <w:sz w:val="22"/>
          <w:szCs w:val="22"/>
          <w:lang w:val="da-DK"/>
        </w:rPr>
        <w:t xml:space="preserve"> hos rotter er endnu ikke afklaret.</w:t>
      </w:r>
    </w:p>
    <w:p w14:paraId="23153D00" w14:textId="77777777" w:rsidR="00270C5A" w:rsidRPr="004C2A59" w:rsidRDefault="00270C5A" w:rsidP="00421681">
      <w:pPr>
        <w:numPr>
          <w:ilvl w:val="12"/>
          <w:numId w:val="0"/>
        </w:numPr>
        <w:ind w:right="11"/>
        <w:rPr>
          <w:color w:val="000000"/>
          <w:sz w:val="22"/>
          <w:szCs w:val="22"/>
          <w:lang w:val="da-DK"/>
        </w:rPr>
      </w:pPr>
    </w:p>
    <w:p w14:paraId="00D1E16D" w14:textId="77777777" w:rsidR="005C43DD" w:rsidRPr="004C2A59" w:rsidRDefault="005C43DD" w:rsidP="00421681">
      <w:pPr>
        <w:numPr>
          <w:ilvl w:val="12"/>
          <w:numId w:val="0"/>
        </w:numPr>
        <w:ind w:right="11"/>
        <w:rPr>
          <w:color w:val="000000"/>
          <w:sz w:val="22"/>
          <w:szCs w:val="22"/>
          <w:lang w:val="da-DK"/>
        </w:rPr>
      </w:pPr>
      <w:r w:rsidRPr="004C2A59">
        <w:rPr>
          <w:color w:val="000000"/>
          <w:sz w:val="22"/>
          <w:szCs w:val="22"/>
          <w:lang w:val="da-DK"/>
        </w:rPr>
        <w:t>Non-neoplastisk skade</w:t>
      </w:r>
      <w:r w:rsidR="002E69C3" w:rsidRPr="004C2A59">
        <w:rPr>
          <w:color w:val="000000"/>
          <w:sz w:val="22"/>
          <w:szCs w:val="22"/>
          <w:lang w:val="da-DK"/>
        </w:rPr>
        <w:t>, som ikke er identificeret ved tidligere prækliniske studier</w:t>
      </w:r>
      <w:r w:rsidR="00762B4D" w:rsidRPr="004C2A59">
        <w:rPr>
          <w:color w:val="000000"/>
          <w:sz w:val="22"/>
          <w:szCs w:val="22"/>
          <w:lang w:val="da-DK"/>
        </w:rPr>
        <w:t>,</w:t>
      </w:r>
      <w:r w:rsidR="002E69C3" w:rsidRPr="004C2A59">
        <w:rPr>
          <w:color w:val="000000"/>
          <w:sz w:val="22"/>
          <w:szCs w:val="22"/>
          <w:lang w:val="da-DK"/>
        </w:rPr>
        <w:t xml:space="preserve"> er i det kardiovaskulære system, pankreas, endokrine organer og tænder. Den vigtigste ændring er hjertehypertrofi og dilation, som i nogle dyr kan føre til tegn på hjerte</w:t>
      </w:r>
      <w:r w:rsidR="00872821" w:rsidRPr="004C2A59">
        <w:rPr>
          <w:color w:val="000000"/>
          <w:sz w:val="22"/>
          <w:szCs w:val="22"/>
          <w:lang w:val="da-DK"/>
        </w:rPr>
        <w:t>insufficiens</w:t>
      </w:r>
      <w:r w:rsidR="002E69C3" w:rsidRPr="004C2A59">
        <w:rPr>
          <w:color w:val="000000"/>
          <w:sz w:val="22"/>
          <w:szCs w:val="22"/>
          <w:lang w:val="da-DK"/>
        </w:rPr>
        <w:t>.</w:t>
      </w:r>
    </w:p>
    <w:p w14:paraId="0EC1BD76" w14:textId="77777777" w:rsidR="00467347" w:rsidRPr="004C2A59" w:rsidRDefault="00467347" w:rsidP="00421681">
      <w:pPr>
        <w:numPr>
          <w:ilvl w:val="12"/>
          <w:numId w:val="0"/>
        </w:numPr>
        <w:ind w:right="11"/>
        <w:rPr>
          <w:color w:val="000000"/>
          <w:sz w:val="22"/>
          <w:szCs w:val="22"/>
          <w:lang w:val="da-DK"/>
        </w:rPr>
      </w:pPr>
    </w:p>
    <w:p w14:paraId="398E0773" w14:textId="77777777" w:rsidR="00467347" w:rsidRPr="004C2A59" w:rsidRDefault="00467347" w:rsidP="00421681">
      <w:pPr>
        <w:numPr>
          <w:ilvl w:val="12"/>
          <w:numId w:val="0"/>
        </w:numPr>
        <w:ind w:right="11"/>
        <w:rPr>
          <w:color w:val="000000"/>
          <w:sz w:val="22"/>
          <w:szCs w:val="22"/>
          <w:lang w:val="da-DK"/>
        </w:rPr>
      </w:pPr>
      <w:r w:rsidRPr="004C2A59">
        <w:rPr>
          <w:color w:val="000000"/>
          <w:sz w:val="22"/>
          <w:szCs w:val="22"/>
          <w:lang w:val="da-DK"/>
        </w:rPr>
        <w:t>Det aktive stof imatinib viser en miljørisiko for sedimentlevende organi</w:t>
      </w:r>
      <w:r w:rsidR="00B20C0F" w:rsidRPr="004C2A59">
        <w:rPr>
          <w:color w:val="000000"/>
          <w:sz w:val="22"/>
          <w:szCs w:val="22"/>
          <w:lang w:val="da-DK"/>
        </w:rPr>
        <w:t>s</w:t>
      </w:r>
      <w:r w:rsidRPr="004C2A59">
        <w:rPr>
          <w:color w:val="000000"/>
          <w:sz w:val="22"/>
          <w:szCs w:val="22"/>
          <w:lang w:val="da-DK"/>
        </w:rPr>
        <w:t>mer.</w:t>
      </w:r>
    </w:p>
    <w:p w14:paraId="18C092DF" w14:textId="77777777" w:rsidR="002E69C3" w:rsidRPr="004C2A59" w:rsidRDefault="002E69C3" w:rsidP="00421681">
      <w:pPr>
        <w:numPr>
          <w:ilvl w:val="12"/>
          <w:numId w:val="0"/>
        </w:numPr>
        <w:ind w:right="11"/>
        <w:rPr>
          <w:color w:val="000000"/>
          <w:sz w:val="22"/>
          <w:szCs w:val="22"/>
          <w:lang w:val="da-DK"/>
        </w:rPr>
      </w:pPr>
    </w:p>
    <w:p w14:paraId="2ECF26C4" w14:textId="77777777" w:rsidR="00270C5A" w:rsidRPr="004C2A59" w:rsidRDefault="00270C5A" w:rsidP="00421681">
      <w:pPr>
        <w:widowControl w:val="0"/>
        <w:suppressAutoHyphens/>
        <w:ind w:left="567" w:hanging="567"/>
        <w:rPr>
          <w:color w:val="000000"/>
          <w:sz w:val="22"/>
          <w:szCs w:val="22"/>
          <w:lang w:val="da-DK"/>
        </w:rPr>
      </w:pPr>
    </w:p>
    <w:p w14:paraId="5C0EF80E" w14:textId="77777777" w:rsidR="00270C5A" w:rsidRPr="004C2A59" w:rsidRDefault="00270C5A" w:rsidP="00A125B0">
      <w:pPr>
        <w:keepNext/>
        <w:widowControl w:val="0"/>
        <w:suppressAutoHyphens/>
        <w:ind w:left="567" w:hanging="567"/>
        <w:rPr>
          <w:color w:val="000000"/>
          <w:sz w:val="22"/>
          <w:szCs w:val="22"/>
          <w:lang w:val="da-DK"/>
        </w:rPr>
      </w:pPr>
      <w:r w:rsidRPr="004C2A59">
        <w:rPr>
          <w:b/>
          <w:color w:val="000000"/>
          <w:sz w:val="22"/>
          <w:szCs w:val="22"/>
          <w:lang w:val="da-DK"/>
        </w:rPr>
        <w:t>6.</w:t>
      </w:r>
      <w:r w:rsidRPr="004C2A59">
        <w:rPr>
          <w:b/>
          <w:color w:val="000000"/>
          <w:sz w:val="22"/>
          <w:szCs w:val="22"/>
          <w:lang w:val="da-DK"/>
        </w:rPr>
        <w:tab/>
        <w:t>FARMACEUTISKE OPLYSNINGER</w:t>
      </w:r>
    </w:p>
    <w:p w14:paraId="454F1C88" w14:textId="77777777" w:rsidR="00270C5A" w:rsidRPr="004C2A59" w:rsidRDefault="00270C5A" w:rsidP="00A125B0">
      <w:pPr>
        <w:keepNext/>
        <w:widowControl w:val="0"/>
        <w:rPr>
          <w:color w:val="000000"/>
          <w:sz w:val="22"/>
          <w:szCs w:val="22"/>
          <w:lang w:val="da-DK"/>
        </w:rPr>
      </w:pPr>
    </w:p>
    <w:p w14:paraId="07067962" w14:textId="77777777" w:rsidR="00270C5A" w:rsidRPr="004C2A59" w:rsidRDefault="00270C5A" w:rsidP="00A125B0">
      <w:pPr>
        <w:keepNext/>
        <w:widowControl w:val="0"/>
        <w:suppressAutoHyphens/>
        <w:ind w:left="567" w:hanging="567"/>
        <w:rPr>
          <w:color w:val="000000"/>
          <w:sz w:val="22"/>
          <w:szCs w:val="22"/>
          <w:lang w:val="da-DK"/>
        </w:rPr>
      </w:pPr>
      <w:r w:rsidRPr="004C2A59">
        <w:rPr>
          <w:b/>
          <w:color w:val="000000"/>
          <w:sz w:val="22"/>
          <w:szCs w:val="22"/>
          <w:lang w:val="da-DK"/>
        </w:rPr>
        <w:t>6.1</w:t>
      </w:r>
      <w:r w:rsidRPr="004C2A59">
        <w:rPr>
          <w:b/>
          <w:color w:val="000000"/>
          <w:sz w:val="22"/>
          <w:szCs w:val="22"/>
          <w:lang w:val="da-DK"/>
        </w:rPr>
        <w:tab/>
      </w:r>
      <w:r w:rsidR="00827B5C" w:rsidRPr="004C2A59">
        <w:rPr>
          <w:b/>
          <w:color w:val="000000"/>
          <w:sz w:val="22"/>
          <w:szCs w:val="22"/>
          <w:lang w:val="da-DK"/>
        </w:rPr>
        <w:t>H</w:t>
      </w:r>
      <w:r w:rsidRPr="004C2A59">
        <w:rPr>
          <w:b/>
          <w:color w:val="000000"/>
          <w:sz w:val="22"/>
          <w:szCs w:val="22"/>
          <w:lang w:val="da-DK"/>
        </w:rPr>
        <w:t>jælpestoffer</w:t>
      </w:r>
    </w:p>
    <w:p w14:paraId="1E6B4E44" w14:textId="77777777" w:rsidR="00270C5A" w:rsidRPr="004C2A59" w:rsidRDefault="00270C5A" w:rsidP="00A125B0">
      <w:pPr>
        <w:keepNext/>
        <w:widowControl w:val="0"/>
        <w:rPr>
          <w:color w:val="000000"/>
          <w:sz w:val="22"/>
          <w:szCs w:val="22"/>
          <w:lang w:val="da-DK"/>
        </w:rPr>
      </w:pPr>
    </w:p>
    <w:p w14:paraId="7DFA3F2F" w14:textId="77777777" w:rsidR="00ED5084" w:rsidRPr="004C2A59" w:rsidRDefault="00ED5084" w:rsidP="00A125B0">
      <w:pPr>
        <w:keepNext/>
        <w:widowControl w:val="0"/>
        <w:tabs>
          <w:tab w:val="left" w:pos="1701"/>
        </w:tabs>
        <w:suppressAutoHyphens/>
        <w:ind w:left="567" w:hanging="567"/>
        <w:rPr>
          <w:color w:val="000000"/>
          <w:sz w:val="22"/>
          <w:szCs w:val="22"/>
          <w:lang w:val="da-DK"/>
        </w:rPr>
      </w:pPr>
      <w:r w:rsidRPr="004C2A59">
        <w:rPr>
          <w:color w:val="000000"/>
          <w:sz w:val="22"/>
          <w:szCs w:val="22"/>
          <w:lang w:val="da-DK"/>
        </w:rPr>
        <w:t>Kapselindhold:</w:t>
      </w:r>
      <w:r w:rsidRPr="004C2A59">
        <w:rPr>
          <w:color w:val="000000"/>
          <w:sz w:val="22"/>
          <w:szCs w:val="22"/>
          <w:lang w:val="da-DK"/>
        </w:rPr>
        <w:tab/>
        <w:t>Cellulose, mikrokrystallinsk</w:t>
      </w:r>
    </w:p>
    <w:p w14:paraId="0456EC8F" w14:textId="77777777" w:rsidR="00ED5084" w:rsidRPr="004C2A59" w:rsidRDefault="00ED5084" w:rsidP="00A125B0">
      <w:pPr>
        <w:keepNext/>
        <w:widowControl w:val="0"/>
        <w:suppressAutoHyphens/>
        <w:ind w:left="1701"/>
        <w:rPr>
          <w:color w:val="000000"/>
          <w:sz w:val="22"/>
          <w:szCs w:val="22"/>
          <w:lang w:val="da-DK"/>
        </w:rPr>
      </w:pPr>
      <w:r w:rsidRPr="004C2A59">
        <w:rPr>
          <w:color w:val="000000"/>
          <w:sz w:val="22"/>
          <w:szCs w:val="22"/>
          <w:lang w:val="da-DK"/>
        </w:rPr>
        <w:t>Crospovidon</w:t>
      </w:r>
    </w:p>
    <w:p w14:paraId="15BDCE71" w14:textId="77777777" w:rsidR="00ED5084" w:rsidRPr="004C2A59" w:rsidRDefault="00ED5084" w:rsidP="00A125B0">
      <w:pPr>
        <w:keepNext/>
        <w:widowControl w:val="0"/>
        <w:suppressAutoHyphens/>
        <w:ind w:left="1701"/>
        <w:rPr>
          <w:color w:val="000000"/>
          <w:sz w:val="22"/>
          <w:szCs w:val="22"/>
          <w:lang w:val="da-DK"/>
        </w:rPr>
      </w:pPr>
      <w:r w:rsidRPr="004C2A59">
        <w:rPr>
          <w:color w:val="000000"/>
          <w:sz w:val="22"/>
          <w:szCs w:val="22"/>
          <w:lang w:val="da-DK"/>
        </w:rPr>
        <w:t>Magnesiumstearat</w:t>
      </w:r>
    </w:p>
    <w:p w14:paraId="2DA58A23" w14:textId="77777777" w:rsidR="00ED5084" w:rsidRPr="004C2A59" w:rsidRDefault="00ED5084" w:rsidP="00421681">
      <w:pPr>
        <w:widowControl w:val="0"/>
        <w:suppressAutoHyphens/>
        <w:ind w:left="1701"/>
        <w:rPr>
          <w:color w:val="000000"/>
          <w:sz w:val="22"/>
          <w:szCs w:val="22"/>
          <w:lang w:val="da-DK"/>
        </w:rPr>
      </w:pPr>
      <w:r w:rsidRPr="004C2A59">
        <w:rPr>
          <w:color w:val="000000"/>
          <w:sz w:val="22"/>
          <w:szCs w:val="22"/>
          <w:lang w:val="da-DK"/>
        </w:rPr>
        <w:t>Silica, kolloid vandfri</w:t>
      </w:r>
    </w:p>
    <w:p w14:paraId="42B12653" w14:textId="77777777" w:rsidR="00ED5084" w:rsidRPr="004C2A59" w:rsidRDefault="00ED5084" w:rsidP="00421681">
      <w:pPr>
        <w:widowControl w:val="0"/>
        <w:suppressAutoHyphens/>
        <w:ind w:left="567" w:hanging="567"/>
        <w:rPr>
          <w:color w:val="000000"/>
          <w:sz w:val="22"/>
          <w:szCs w:val="22"/>
          <w:lang w:val="da-DK"/>
        </w:rPr>
      </w:pPr>
    </w:p>
    <w:p w14:paraId="21180E2E" w14:textId="77777777" w:rsidR="00ED5084" w:rsidRPr="004C2A59" w:rsidRDefault="00ED5084" w:rsidP="00A125B0">
      <w:pPr>
        <w:keepNext/>
        <w:widowControl w:val="0"/>
        <w:suppressAutoHyphens/>
        <w:ind w:left="1701" w:hanging="1701"/>
        <w:rPr>
          <w:color w:val="000000"/>
          <w:sz w:val="22"/>
          <w:szCs w:val="22"/>
          <w:lang w:val="da-DK"/>
        </w:rPr>
      </w:pPr>
      <w:r w:rsidRPr="004C2A59">
        <w:rPr>
          <w:color w:val="000000"/>
          <w:sz w:val="22"/>
          <w:szCs w:val="22"/>
          <w:lang w:val="da-DK"/>
        </w:rPr>
        <w:t>Kapselskal:</w:t>
      </w:r>
      <w:r w:rsidRPr="004C2A59">
        <w:rPr>
          <w:color w:val="000000"/>
          <w:sz w:val="22"/>
          <w:szCs w:val="22"/>
          <w:lang w:val="da-DK"/>
        </w:rPr>
        <w:tab/>
        <w:t>Gelatine</w:t>
      </w:r>
    </w:p>
    <w:p w14:paraId="32E4ADE3" w14:textId="77777777" w:rsidR="00ED5084" w:rsidRPr="00D56C81" w:rsidRDefault="00ED5084" w:rsidP="00A125B0">
      <w:pPr>
        <w:keepNext/>
        <w:widowControl w:val="0"/>
        <w:suppressAutoHyphens/>
        <w:ind w:left="1701"/>
        <w:rPr>
          <w:color w:val="000000"/>
          <w:sz w:val="22"/>
          <w:szCs w:val="22"/>
          <w:lang w:val="da-DK"/>
        </w:rPr>
      </w:pPr>
      <w:r w:rsidRPr="00D56C81">
        <w:rPr>
          <w:color w:val="000000"/>
          <w:sz w:val="22"/>
          <w:szCs w:val="22"/>
          <w:lang w:val="da-DK"/>
        </w:rPr>
        <w:t>Jernoxid, rød (E 172)</w:t>
      </w:r>
    </w:p>
    <w:p w14:paraId="09EFB9A1" w14:textId="77777777" w:rsidR="00ED5084" w:rsidRPr="00D56C81" w:rsidRDefault="00ED5084" w:rsidP="00A125B0">
      <w:pPr>
        <w:keepNext/>
        <w:widowControl w:val="0"/>
        <w:suppressAutoHyphens/>
        <w:ind w:left="1701"/>
        <w:rPr>
          <w:color w:val="000000"/>
          <w:sz w:val="22"/>
          <w:szCs w:val="22"/>
          <w:lang w:val="da-DK"/>
        </w:rPr>
      </w:pPr>
      <w:r w:rsidRPr="00D56C81">
        <w:rPr>
          <w:color w:val="000000"/>
          <w:sz w:val="22"/>
          <w:szCs w:val="22"/>
          <w:lang w:val="da-DK"/>
        </w:rPr>
        <w:t>Jernoxid, gul (E 172)</w:t>
      </w:r>
    </w:p>
    <w:p w14:paraId="4CB11900" w14:textId="77777777" w:rsidR="00ED5084" w:rsidRPr="00F852D1" w:rsidRDefault="00ED5084" w:rsidP="00421681">
      <w:pPr>
        <w:widowControl w:val="0"/>
        <w:suppressAutoHyphens/>
        <w:ind w:left="1701"/>
        <w:rPr>
          <w:color w:val="000000"/>
          <w:sz w:val="22"/>
          <w:szCs w:val="22"/>
          <w:lang w:val="da-DK"/>
        </w:rPr>
      </w:pPr>
      <w:r w:rsidRPr="00F852D1">
        <w:rPr>
          <w:color w:val="000000"/>
          <w:sz w:val="22"/>
          <w:szCs w:val="22"/>
          <w:lang w:val="da-DK"/>
        </w:rPr>
        <w:t>Titandioxid (E 171)</w:t>
      </w:r>
    </w:p>
    <w:p w14:paraId="4118E1BA" w14:textId="77777777" w:rsidR="00ED5084" w:rsidRPr="00F852D1" w:rsidRDefault="00ED5084" w:rsidP="00421681">
      <w:pPr>
        <w:widowControl w:val="0"/>
        <w:suppressAutoHyphens/>
        <w:ind w:left="567" w:hanging="567"/>
        <w:rPr>
          <w:color w:val="000000"/>
          <w:sz w:val="22"/>
          <w:szCs w:val="22"/>
          <w:lang w:val="da-DK"/>
        </w:rPr>
      </w:pPr>
    </w:p>
    <w:p w14:paraId="72987668" w14:textId="77777777" w:rsidR="00ED5084" w:rsidRPr="00F852D1" w:rsidRDefault="00ED5084" w:rsidP="00A125B0">
      <w:pPr>
        <w:keepNext/>
        <w:widowControl w:val="0"/>
        <w:suppressAutoHyphens/>
        <w:ind w:left="1701" w:hanging="1701"/>
        <w:rPr>
          <w:color w:val="000000"/>
          <w:sz w:val="22"/>
          <w:szCs w:val="22"/>
          <w:lang w:val="da-DK"/>
        </w:rPr>
      </w:pPr>
      <w:r w:rsidRPr="00F852D1">
        <w:rPr>
          <w:color w:val="000000"/>
          <w:sz w:val="22"/>
          <w:szCs w:val="22"/>
          <w:lang w:val="da-DK"/>
        </w:rPr>
        <w:t>Prægeblæk:</w:t>
      </w:r>
      <w:r w:rsidRPr="00F852D1">
        <w:rPr>
          <w:color w:val="000000"/>
          <w:sz w:val="22"/>
          <w:szCs w:val="22"/>
          <w:lang w:val="da-DK"/>
        </w:rPr>
        <w:tab/>
        <w:t>Jernoxid, rød (E 172)</w:t>
      </w:r>
    </w:p>
    <w:p w14:paraId="5E036BD1" w14:textId="77777777" w:rsidR="00ED5084" w:rsidRPr="00F93637" w:rsidRDefault="00ED5084" w:rsidP="00421681">
      <w:pPr>
        <w:widowControl w:val="0"/>
        <w:suppressAutoHyphens/>
        <w:ind w:left="1701"/>
        <w:rPr>
          <w:color w:val="000000"/>
          <w:sz w:val="22"/>
          <w:szCs w:val="22"/>
          <w:lang w:val="da-DK"/>
        </w:rPr>
      </w:pPr>
      <w:r w:rsidRPr="00F93637">
        <w:rPr>
          <w:color w:val="000000"/>
          <w:sz w:val="22"/>
          <w:szCs w:val="22"/>
          <w:lang w:val="da-DK"/>
        </w:rPr>
        <w:t>Shellac</w:t>
      </w:r>
    </w:p>
    <w:p w14:paraId="444C0A77" w14:textId="77777777" w:rsidR="00ED5084" w:rsidRPr="00F93637" w:rsidRDefault="00ED5084" w:rsidP="00421681">
      <w:pPr>
        <w:widowControl w:val="0"/>
        <w:rPr>
          <w:color w:val="000000"/>
          <w:sz w:val="22"/>
          <w:szCs w:val="22"/>
          <w:lang w:val="da-DK"/>
        </w:rPr>
      </w:pPr>
    </w:p>
    <w:p w14:paraId="343A5365" w14:textId="77777777" w:rsidR="00270C5A" w:rsidRPr="004C2A59" w:rsidRDefault="00270C5A" w:rsidP="00A125B0">
      <w:pPr>
        <w:keepNext/>
        <w:widowControl w:val="0"/>
        <w:suppressAutoHyphens/>
        <w:ind w:left="570" w:hanging="570"/>
        <w:rPr>
          <w:color w:val="000000"/>
          <w:sz w:val="22"/>
          <w:szCs w:val="22"/>
          <w:lang w:val="da-DK"/>
        </w:rPr>
      </w:pPr>
      <w:r w:rsidRPr="004C2A59">
        <w:rPr>
          <w:b/>
          <w:color w:val="000000"/>
          <w:sz w:val="22"/>
          <w:szCs w:val="22"/>
          <w:lang w:val="da-DK"/>
        </w:rPr>
        <w:t>6.2</w:t>
      </w:r>
      <w:r w:rsidRPr="004C2A59">
        <w:rPr>
          <w:b/>
          <w:color w:val="000000"/>
          <w:sz w:val="22"/>
          <w:szCs w:val="22"/>
          <w:lang w:val="da-DK"/>
        </w:rPr>
        <w:tab/>
        <w:t>Uforligeligheder</w:t>
      </w:r>
    </w:p>
    <w:p w14:paraId="3C9E0D34" w14:textId="77777777" w:rsidR="00270C5A" w:rsidRPr="004C2A59" w:rsidRDefault="00270C5A" w:rsidP="00A125B0">
      <w:pPr>
        <w:keepNext/>
        <w:widowControl w:val="0"/>
        <w:rPr>
          <w:color w:val="000000"/>
          <w:sz w:val="22"/>
          <w:szCs w:val="22"/>
          <w:lang w:val="da-DK"/>
        </w:rPr>
      </w:pPr>
    </w:p>
    <w:p w14:paraId="166D509F" w14:textId="77777777" w:rsidR="00270C5A" w:rsidRPr="004C2A59" w:rsidRDefault="00270C5A" w:rsidP="00421681">
      <w:pPr>
        <w:widowControl w:val="0"/>
        <w:rPr>
          <w:color w:val="000000"/>
          <w:sz w:val="22"/>
          <w:szCs w:val="22"/>
          <w:lang w:val="da-DK"/>
        </w:rPr>
      </w:pPr>
      <w:r w:rsidRPr="004C2A59">
        <w:rPr>
          <w:color w:val="000000"/>
          <w:sz w:val="22"/>
          <w:szCs w:val="22"/>
          <w:lang w:val="da-DK"/>
        </w:rPr>
        <w:t>Ikke relevant</w:t>
      </w:r>
      <w:r w:rsidR="00237A25" w:rsidRPr="004C2A59">
        <w:rPr>
          <w:color w:val="000000"/>
          <w:sz w:val="22"/>
          <w:szCs w:val="22"/>
          <w:lang w:val="da-DK"/>
        </w:rPr>
        <w:t>.</w:t>
      </w:r>
    </w:p>
    <w:p w14:paraId="7ABA973C" w14:textId="77777777" w:rsidR="00270C5A" w:rsidRPr="004C2A59" w:rsidRDefault="00270C5A" w:rsidP="00421681">
      <w:pPr>
        <w:widowControl w:val="0"/>
        <w:rPr>
          <w:color w:val="000000"/>
          <w:sz w:val="22"/>
          <w:szCs w:val="22"/>
          <w:lang w:val="da-DK"/>
        </w:rPr>
      </w:pPr>
    </w:p>
    <w:p w14:paraId="6348D0D5" w14:textId="77777777" w:rsidR="00270C5A" w:rsidRPr="004C2A59" w:rsidRDefault="00270C5A" w:rsidP="00A125B0">
      <w:pPr>
        <w:keepNext/>
        <w:widowControl w:val="0"/>
        <w:suppressAutoHyphens/>
        <w:ind w:left="570" w:hanging="570"/>
        <w:rPr>
          <w:color w:val="000000"/>
          <w:sz w:val="22"/>
          <w:szCs w:val="22"/>
          <w:lang w:val="da-DK"/>
        </w:rPr>
      </w:pPr>
      <w:r w:rsidRPr="004C2A59">
        <w:rPr>
          <w:b/>
          <w:color w:val="000000"/>
          <w:sz w:val="22"/>
          <w:szCs w:val="22"/>
          <w:lang w:val="da-DK"/>
        </w:rPr>
        <w:t>6.3</w:t>
      </w:r>
      <w:r w:rsidRPr="004C2A59">
        <w:rPr>
          <w:b/>
          <w:color w:val="000000"/>
          <w:sz w:val="22"/>
          <w:szCs w:val="22"/>
          <w:lang w:val="da-DK"/>
        </w:rPr>
        <w:tab/>
        <w:t>Opbevaringstid</w:t>
      </w:r>
    </w:p>
    <w:p w14:paraId="7B8054EA" w14:textId="77777777" w:rsidR="00270C5A" w:rsidRPr="004C2A59" w:rsidRDefault="00270C5A" w:rsidP="00A125B0">
      <w:pPr>
        <w:keepNext/>
        <w:widowControl w:val="0"/>
        <w:rPr>
          <w:color w:val="000000"/>
          <w:sz w:val="22"/>
          <w:szCs w:val="22"/>
          <w:lang w:val="da-DK"/>
        </w:rPr>
      </w:pPr>
    </w:p>
    <w:p w14:paraId="05469789" w14:textId="77777777" w:rsidR="00270C5A" w:rsidRPr="004C2A59" w:rsidRDefault="00270C5A" w:rsidP="00421681">
      <w:pPr>
        <w:widowControl w:val="0"/>
        <w:rPr>
          <w:color w:val="000000"/>
          <w:sz w:val="22"/>
          <w:szCs w:val="22"/>
          <w:lang w:val="da-DK"/>
        </w:rPr>
      </w:pPr>
      <w:r w:rsidRPr="004C2A59">
        <w:rPr>
          <w:color w:val="000000"/>
          <w:sz w:val="22"/>
          <w:szCs w:val="22"/>
          <w:lang w:val="da-DK"/>
        </w:rPr>
        <w:t>2</w:t>
      </w:r>
      <w:r w:rsidR="00C02CD8" w:rsidRPr="004C2A59">
        <w:rPr>
          <w:color w:val="000000"/>
          <w:sz w:val="22"/>
          <w:szCs w:val="22"/>
          <w:lang w:val="da-DK"/>
        </w:rPr>
        <w:t> </w:t>
      </w:r>
      <w:r w:rsidRPr="004C2A59">
        <w:rPr>
          <w:color w:val="000000"/>
          <w:sz w:val="22"/>
          <w:szCs w:val="22"/>
          <w:lang w:val="da-DK"/>
        </w:rPr>
        <w:t>år</w:t>
      </w:r>
    </w:p>
    <w:p w14:paraId="0030266F" w14:textId="77777777" w:rsidR="00270C5A" w:rsidRPr="004C2A59" w:rsidRDefault="00270C5A" w:rsidP="00421681">
      <w:pPr>
        <w:widowControl w:val="0"/>
        <w:rPr>
          <w:color w:val="000000"/>
          <w:sz w:val="22"/>
          <w:szCs w:val="22"/>
          <w:lang w:val="da-DK"/>
        </w:rPr>
      </w:pPr>
    </w:p>
    <w:p w14:paraId="523F24A0" w14:textId="77777777" w:rsidR="00270C5A" w:rsidRPr="004C2A59" w:rsidRDefault="00270C5A" w:rsidP="00A125B0">
      <w:pPr>
        <w:keepNext/>
        <w:widowControl w:val="0"/>
        <w:suppressAutoHyphens/>
        <w:ind w:left="570" w:hanging="570"/>
        <w:rPr>
          <w:color w:val="000000"/>
          <w:sz w:val="22"/>
          <w:szCs w:val="22"/>
          <w:lang w:val="da-DK"/>
        </w:rPr>
      </w:pPr>
      <w:r w:rsidRPr="004C2A59">
        <w:rPr>
          <w:b/>
          <w:color w:val="000000"/>
          <w:sz w:val="22"/>
          <w:szCs w:val="22"/>
          <w:lang w:val="da-DK"/>
        </w:rPr>
        <w:t>6.4</w:t>
      </w:r>
      <w:r w:rsidRPr="004C2A59">
        <w:rPr>
          <w:b/>
          <w:color w:val="000000"/>
          <w:sz w:val="22"/>
          <w:szCs w:val="22"/>
          <w:lang w:val="da-DK"/>
        </w:rPr>
        <w:tab/>
        <w:t>Særlige opbevaringsforhold</w:t>
      </w:r>
    </w:p>
    <w:p w14:paraId="5B6CDFB9" w14:textId="77777777" w:rsidR="00270C5A" w:rsidRPr="004C2A59" w:rsidRDefault="00270C5A" w:rsidP="00A125B0">
      <w:pPr>
        <w:keepNext/>
        <w:widowControl w:val="0"/>
        <w:rPr>
          <w:color w:val="000000"/>
          <w:sz w:val="22"/>
          <w:szCs w:val="22"/>
          <w:lang w:val="da-DK"/>
        </w:rPr>
      </w:pPr>
    </w:p>
    <w:p w14:paraId="7ACF9D03" w14:textId="77777777" w:rsidR="00270C5A" w:rsidRPr="004C2A59" w:rsidRDefault="00270C5A" w:rsidP="00421681">
      <w:pPr>
        <w:widowControl w:val="0"/>
        <w:rPr>
          <w:color w:val="000000"/>
          <w:sz w:val="22"/>
          <w:szCs w:val="22"/>
          <w:lang w:val="da-DK"/>
        </w:rPr>
      </w:pPr>
      <w:r w:rsidRPr="004C2A59">
        <w:rPr>
          <w:color w:val="000000"/>
          <w:sz w:val="22"/>
          <w:szCs w:val="22"/>
          <w:lang w:val="da-DK"/>
        </w:rPr>
        <w:t xml:space="preserve">Må ikke opbevares </w:t>
      </w:r>
      <w:r w:rsidR="00891635" w:rsidRPr="004C2A59">
        <w:rPr>
          <w:color w:val="000000"/>
          <w:sz w:val="22"/>
          <w:szCs w:val="22"/>
          <w:lang w:val="da-DK"/>
        </w:rPr>
        <w:t xml:space="preserve">ved temperaturer </w:t>
      </w:r>
      <w:r w:rsidRPr="004C2A59">
        <w:rPr>
          <w:color w:val="000000"/>
          <w:sz w:val="22"/>
          <w:szCs w:val="22"/>
          <w:lang w:val="da-DK"/>
        </w:rPr>
        <w:t>over 30°C.</w:t>
      </w:r>
    </w:p>
    <w:p w14:paraId="09C77002" w14:textId="77777777" w:rsidR="00270C5A" w:rsidRPr="004C2A59" w:rsidRDefault="00270C5A" w:rsidP="00421681">
      <w:pPr>
        <w:widowControl w:val="0"/>
        <w:rPr>
          <w:color w:val="000000"/>
          <w:sz w:val="22"/>
          <w:szCs w:val="22"/>
          <w:lang w:val="da-DK"/>
        </w:rPr>
      </w:pPr>
    </w:p>
    <w:p w14:paraId="4320B034" w14:textId="77777777" w:rsidR="00270C5A" w:rsidRPr="004C2A59" w:rsidRDefault="00270C5A" w:rsidP="00421681">
      <w:pPr>
        <w:widowControl w:val="0"/>
        <w:rPr>
          <w:color w:val="000000"/>
          <w:sz w:val="22"/>
          <w:szCs w:val="22"/>
          <w:lang w:val="da-DK"/>
        </w:rPr>
      </w:pPr>
      <w:r w:rsidRPr="004C2A59">
        <w:rPr>
          <w:color w:val="000000"/>
          <w:sz w:val="22"/>
          <w:szCs w:val="22"/>
          <w:lang w:val="da-DK"/>
        </w:rPr>
        <w:t>Opbevares i den originale yderpakning</w:t>
      </w:r>
      <w:r w:rsidR="00AF57FF" w:rsidRPr="004C2A59">
        <w:rPr>
          <w:color w:val="000000"/>
          <w:sz w:val="22"/>
          <w:szCs w:val="22"/>
          <w:lang w:val="da-DK"/>
        </w:rPr>
        <w:t xml:space="preserve"> for at beskytte mod fugt</w:t>
      </w:r>
      <w:r w:rsidRPr="004C2A59">
        <w:rPr>
          <w:color w:val="000000"/>
          <w:sz w:val="22"/>
          <w:szCs w:val="22"/>
          <w:lang w:val="da-DK"/>
        </w:rPr>
        <w:t>.</w:t>
      </w:r>
    </w:p>
    <w:p w14:paraId="58148C90" w14:textId="77777777" w:rsidR="00270C5A" w:rsidRPr="004C2A59" w:rsidRDefault="00270C5A" w:rsidP="00421681">
      <w:pPr>
        <w:widowControl w:val="0"/>
        <w:rPr>
          <w:color w:val="000000"/>
          <w:sz w:val="22"/>
          <w:szCs w:val="22"/>
          <w:lang w:val="da-DK"/>
        </w:rPr>
      </w:pPr>
    </w:p>
    <w:p w14:paraId="276149B4" w14:textId="77777777" w:rsidR="00270C5A" w:rsidRPr="004C2A59" w:rsidRDefault="005C10A4" w:rsidP="00A125B0">
      <w:pPr>
        <w:keepNext/>
        <w:widowControl w:val="0"/>
        <w:suppressAutoHyphens/>
        <w:ind w:left="567" w:hanging="567"/>
        <w:rPr>
          <w:b/>
          <w:color w:val="000000"/>
          <w:sz w:val="22"/>
          <w:szCs w:val="22"/>
          <w:lang w:val="da-DK"/>
        </w:rPr>
      </w:pPr>
      <w:r w:rsidRPr="004C2A59">
        <w:rPr>
          <w:b/>
          <w:color w:val="000000"/>
          <w:sz w:val="22"/>
          <w:szCs w:val="22"/>
          <w:lang w:val="da-DK"/>
        </w:rPr>
        <w:t>6.5</w:t>
      </w:r>
      <w:r w:rsidRPr="004C2A59">
        <w:rPr>
          <w:b/>
          <w:color w:val="000000"/>
          <w:sz w:val="22"/>
          <w:szCs w:val="22"/>
          <w:lang w:val="da-DK"/>
        </w:rPr>
        <w:tab/>
      </w:r>
      <w:r w:rsidR="00270C5A" w:rsidRPr="004C2A59">
        <w:rPr>
          <w:b/>
          <w:color w:val="000000"/>
          <w:sz w:val="22"/>
          <w:szCs w:val="22"/>
          <w:lang w:val="da-DK"/>
        </w:rPr>
        <w:t>Emballage</w:t>
      </w:r>
      <w:r w:rsidR="00827B5C" w:rsidRPr="004C2A59">
        <w:rPr>
          <w:b/>
          <w:color w:val="000000"/>
          <w:sz w:val="22"/>
          <w:szCs w:val="22"/>
          <w:lang w:val="da-DK"/>
        </w:rPr>
        <w:t>type og pakningsstørrelser</w:t>
      </w:r>
    </w:p>
    <w:p w14:paraId="5A554C9D" w14:textId="77777777" w:rsidR="00270C5A" w:rsidRPr="004C2A59" w:rsidRDefault="00270C5A" w:rsidP="00A125B0">
      <w:pPr>
        <w:keepNext/>
        <w:widowControl w:val="0"/>
        <w:suppressAutoHyphens/>
        <w:rPr>
          <w:color w:val="000000"/>
          <w:sz w:val="22"/>
          <w:szCs w:val="22"/>
          <w:lang w:val="da-DK"/>
        </w:rPr>
      </w:pPr>
    </w:p>
    <w:p w14:paraId="15691527" w14:textId="77777777" w:rsidR="00270C5A" w:rsidRPr="004C2A59" w:rsidRDefault="00270C5A" w:rsidP="00421681">
      <w:pPr>
        <w:pStyle w:val="EndnoteText"/>
        <w:tabs>
          <w:tab w:val="clear" w:pos="567"/>
        </w:tabs>
        <w:suppressAutoHyphens/>
        <w:rPr>
          <w:color w:val="000000"/>
          <w:szCs w:val="22"/>
        </w:rPr>
      </w:pPr>
      <w:r w:rsidRPr="004C2A59">
        <w:rPr>
          <w:color w:val="000000"/>
          <w:szCs w:val="22"/>
        </w:rPr>
        <w:t>PVC/aluminium blister.</w:t>
      </w:r>
    </w:p>
    <w:p w14:paraId="7B5D4524" w14:textId="77777777" w:rsidR="006529A8" w:rsidRDefault="006529A8" w:rsidP="00421681">
      <w:pPr>
        <w:widowControl w:val="0"/>
        <w:suppressAutoHyphens/>
        <w:rPr>
          <w:color w:val="000000"/>
          <w:sz w:val="22"/>
          <w:szCs w:val="22"/>
          <w:lang w:val="da-DK"/>
        </w:rPr>
      </w:pPr>
    </w:p>
    <w:p w14:paraId="3A793C5E" w14:textId="77777777" w:rsidR="006529A8" w:rsidRPr="004C2A59" w:rsidRDefault="006529A8" w:rsidP="00421681">
      <w:pPr>
        <w:widowControl w:val="0"/>
        <w:suppressAutoHyphens/>
        <w:rPr>
          <w:color w:val="000000"/>
          <w:sz w:val="22"/>
          <w:szCs w:val="22"/>
          <w:lang w:val="da-DK"/>
        </w:rPr>
      </w:pPr>
      <w:r w:rsidRPr="004C2A59">
        <w:rPr>
          <w:color w:val="000000"/>
          <w:sz w:val="22"/>
          <w:szCs w:val="22"/>
          <w:lang w:val="da-DK"/>
        </w:rPr>
        <w:t xml:space="preserve">Pakninger indeholdende </w:t>
      </w:r>
      <w:r>
        <w:rPr>
          <w:color w:val="000000"/>
          <w:sz w:val="22"/>
          <w:szCs w:val="22"/>
          <w:lang w:val="da-DK"/>
        </w:rPr>
        <w:t>24, 48, 96, 120 og 18</w:t>
      </w:r>
      <w:r w:rsidRPr="004C2A59">
        <w:rPr>
          <w:color w:val="000000"/>
          <w:sz w:val="22"/>
          <w:szCs w:val="22"/>
          <w:lang w:val="da-DK"/>
        </w:rPr>
        <w:t>0 kapsler.</w:t>
      </w:r>
    </w:p>
    <w:p w14:paraId="580DBE3C" w14:textId="77777777" w:rsidR="00270C5A" w:rsidRDefault="00270C5A" w:rsidP="00421681">
      <w:pPr>
        <w:widowControl w:val="0"/>
        <w:suppressAutoHyphens/>
        <w:ind w:left="567" w:hanging="567"/>
        <w:rPr>
          <w:color w:val="000000"/>
          <w:sz w:val="22"/>
          <w:szCs w:val="22"/>
          <w:lang w:val="da-DK"/>
        </w:rPr>
      </w:pPr>
    </w:p>
    <w:p w14:paraId="2247E6B4" w14:textId="77777777" w:rsidR="006529A8" w:rsidRDefault="006529A8" w:rsidP="00421681">
      <w:pPr>
        <w:widowControl w:val="0"/>
        <w:suppressAutoHyphens/>
        <w:ind w:left="567" w:hanging="567"/>
        <w:rPr>
          <w:sz w:val="22"/>
          <w:szCs w:val="22"/>
          <w:lang w:val="da-DK"/>
        </w:rPr>
      </w:pPr>
      <w:r w:rsidRPr="00247981">
        <w:rPr>
          <w:sz w:val="22"/>
          <w:szCs w:val="22"/>
          <w:lang w:val="da-DK"/>
        </w:rPr>
        <w:t>Ikke alle pakningsstørrelser er nødvendigvis markedsført.</w:t>
      </w:r>
    </w:p>
    <w:p w14:paraId="3B6A583D" w14:textId="77777777" w:rsidR="006529A8" w:rsidRPr="004C2A59" w:rsidRDefault="006529A8" w:rsidP="00421681">
      <w:pPr>
        <w:widowControl w:val="0"/>
        <w:suppressAutoHyphens/>
        <w:ind w:left="567" w:hanging="567"/>
        <w:rPr>
          <w:color w:val="000000"/>
          <w:sz w:val="22"/>
          <w:szCs w:val="22"/>
          <w:lang w:val="da-DK"/>
        </w:rPr>
      </w:pPr>
    </w:p>
    <w:p w14:paraId="79C7F59F" w14:textId="77777777" w:rsidR="00270C5A" w:rsidRPr="004C2A59" w:rsidRDefault="00270C5A" w:rsidP="00A125B0">
      <w:pPr>
        <w:keepNext/>
        <w:widowControl w:val="0"/>
        <w:suppressAutoHyphens/>
        <w:ind w:left="567" w:hanging="567"/>
        <w:rPr>
          <w:color w:val="000000"/>
          <w:sz w:val="22"/>
          <w:szCs w:val="22"/>
          <w:lang w:val="da-DK"/>
        </w:rPr>
      </w:pPr>
      <w:r w:rsidRPr="004C2A59">
        <w:rPr>
          <w:b/>
          <w:color w:val="000000"/>
          <w:sz w:val="22"/>
          <w:szCs w:val="22"/>
          <w:lang w:val="da-DK"/>
        </w:rPr>
        <w:lastRenderedPageBreak/>
        <w:t>6.6</w:t>
      </w:r>
      <w:r w:rsidRPr="004C2A59">
        <w:rPr>
          <w:b/>
          <w:color w:val="000000"/>
          <w:sz w:val="22"/>
          <w:szCs w:val="22"/>
          <w:lang w:val="da-DK"/>
        </w:rPr>
        <w:tab/>
      </w:r>
      <w:r w:rsidR="00E06804" w:rsidRPr="004C2A59">
        <w:rPr>
          <w:b/>
          <w:color w:val="000000"/>
          <w:sz w:val="22"/>
          <w:szCs w:val="22"/>
          <w:lang w:val="da-DK"/>
        </w:rPr>
        <w:t xml:space="preserve">Regler for </w:t>
      </w:r>
      <w:r w:rsidR="00435663" w:rsidRPr="004C2A59">
        <w:rPr>
          <w:b/>
          <w:color w:val="000000"/>
          <w:sz w:val="22"/>
          <w:szCs w:val="22"/>
          <w:lang w:val="da-DK"/>
        </w:rPr>
        <w:t>bortskaffelse</w:t>
      </w:r>
    </w:p>
    <w:p w14:paraId="0726D053" w14:textId="77777777" w:rsidR="00270C5A" w:rsidRPr="004C2A59" w:rsidRDefault="00270C5A" w:rsidP="00A125B0">
      <w:pPr>
        <w:keepNext/>
        <w:widowControl w:val="0"/>
        <w:rPr>
          <w:color w:val="000000"/>
          <w:sz w:val="22"/>
          <w:szCs w:val="22"/>
          <w:lang w:val="da-DK"/>
        </w:rPr>
      </w:pPr>
    </w:p>
    <w:p w14:paraId="7712A17E" w14:textId="77777777" w:rsidR="00270C5A" w:rsidRPr="004C2A59" w:rsidRDefault="000F0E51" w:rsidP="00421681">
      <w:pPr>
        <w:widowControl w:val="0"/>
        <w:rPr>
          <w:color w:val="000000"/>
          <w:sz w:val="22"/>
          <w:szCs w:val="22"/>
          <w:lang w:val="da-DK"/>
        </w:rPr>
      </w:pPr>
      <w:r w:rsidRPr="004C2A59">
        <w:rPr>
          <w:sz w:val="22"/>
          <w:szCs w:val="22"/>
          <w:lang w:val="da-DK"/>
        </w:rPr>
        <w:t>Ikke anvendt lægemid</w:t>
      </w:r>
      <w:r w:rsidR="00B20C0F" w:rsidRPr="004C2A59">
        <w:rPr>
          <w:sz w:val="22"/>
          <w:szCs w:val="22"/>
          <w:lang w:val="da-DK"/>
        </w:rPr>
        <w:t>del</w:t>
      </w:r>
      <w:r w:rsidRPr="004C2A59">
        <w:rPr>
          <w:sz w:val="22"/>
          <w:szCs w:val="22"/>
          <w:lang w:val="da-DK"/>
        </w:rPr>
        <w:t xml:space="preserve"> samt affald heraf skal bortskaffes i henhold til lokale retningslinjer.</w:t>
      </w:r>
    </w:p>
    <w:p w14:paraId="20CA5876" w14:textId="77777777" w:rsidR="000F0E51" w:rsidRPr="004C2A59" w:rsidRDefault="000F0E51" w:rsidP="00421681">
      <w:pPr>
        <w:widowControl w:val="0"/>
        <w:rPr>
          <w:color w:val="000000"/>
          <w:sz w:val="22"/>
          <w:szCs w:val="22"/>
          <w:lang w:val="da-DK"/>
        </w:rPr>
      </w:pPr>
    </w:p>
    <w:p w14:paraId="0DB059BF" w14:textId="77777777" w:rsidR="005F2441" w:rsidRPr="004C2A59" w:rsidRDefault="005F2441" w:rsidP="00421681">
      <w:pPr>
        <w:widowControl w:val="0"/>
        <w:rPr>
          <w:color w:val="000000"/>
          <w:sz w:val="22"/>
          <w:szCs w:val="22"/>
          <w:lang w:val="da-DK"/>
        </w:rPr>
      </w:pPr>
    </w:p>
    <w:p w14:paraId="416FB4AD" w14:textId="77777777" w:rsidR="00270C5A" w:rsidRPr="004C2A59" w:rsidRDefault="00270C5A" w:rsidP="00A125B0">
      <w:pPr>
        <w:keepNext/>
        <w:widowControl w:val="0"/>
        <w:suppressAutoHyphens/>
        <w:ind w:left="567" w:hanging="567"/>
        <w:rPr>
          <w:color w:val="000000"/>
          <w:sz w:val="22"/>
          <w:szCs w:val="22"/>
          <w:lang w:val="da-DK"/>
        </w:rPr>
      </w:pPr>
      <w:r w:rsidRPr="004C2A59">
        <w:rPr>
          <w:b/>
          <w:color w:val="000000"/>
          <w:sz w:val="22"/>
          <w:szCs w:val="22"/>
          <w:lang w:val="da-DK"/>
        </w:rPr>
        <w:t>7.</w:t>
      </w:r>
      <w:r w:rsidRPr="004C2A59">
        <w:rPr>
          <w:b/>
          <w:color w:val="000000"/>
          <w:sz w:val="22"/>
          <w:szCs w:val="22"/>
          <w:lang w:val="da-DK"/>
        </w:rPr>
        <w:tab/>
        <w:t>INDEHAVER AF MARKEDSFØRINGSTILLADELSEN</w:t>
      </w:r>
    </w:p>
    <w:p w14:paraId="757324D7" w14:textId="77777777" w:rsidR="00270C5A" w:rsidRPr="004C2A59" w:rsidRDefault="00270C5A" w:rsidP="00A125B0">
      <w:pPr>
        <w:keepNext/>
        <w:widowControl w:val="0"/>
        <w:rPr>
          <w:color w:val="000000"/>
          <w:sz w:val="22"/>
          <w:szCs w:val="22"/>
          <w:lang w:val="da-DK"/>
        </w:rPr>
      </w:pPr>
    </w:p>
    <w:p w14:paraId="5D593DB2" w14:textId="77777777" w:rsidR="00270C5A" w:rsidRPr="004C2A59" w:rsidRDefault="00270C5A" w:rsidP="00A125B0">
      <w:pPr>
        <w:keepNext/>
        <w:widowControl w:val="0"/>
        <w:rPr>
          <w:color w:val="000000"/>
          <w:sz w:val="22"/>
          <w:szCs w:val="22"/>
          <w:lang w:val="da-DK"/>
        </w:rPr>
      </w:pPr>
      <w:r w:rsidRPr="004C2A59">
        <w:rPr>
          <w:color w:val="000000"/>
          <w:sz w:val="22"/>
          <w:szCs w:val="22"/>
          <w:lang w:val="da-DK"/>
        </w:rPr>
        <w:t>Novartis Europharm Limited</w:t>
      </w:r>
    </w:p>
    <w:p w14:paraId="43A0BD97" w14:textId="77777777" w:rsidR="004F2E31" w:rsidRPr="004F2E31" w:rsidRDefault="004F2E31" w:rsidP="00421681">
      <w:pPr>
        <w:keepNext/>
        <w:widowControl w:val="0"/>
        <w:rPr>
          <w:color w:val="000000"/>
          <w:sz w:val="22"/>
          <w:szCs w:val="22"/>
        </w:rPr>
      </w:pPr>
      <w:r w:rsidRPr="004F2E31">
        <w:rPr>
          <w:color w:val="000000"/>
          <w:sz w:val="22"/>
          <w:szCs w:val="22"/>
        </w:rPr>
        <w:t>Vista Building</w:t>
      </w:r>
    </w:p>
    <w:p w14:paraId="0896213A" w14:textId="77777777" w:rsidR="004F2E31" w:rsidRPr="004F2E31" w:rsidRDefault="004F2E31" w:rsidP="00421681">
      <w:pPr>
        <w:keepNext/>
        <w:widowControl w:val="0"/>
        <w:rPr>
          <w:color w:val="000000"/>
          <w:sz w:val="22"/>
          <w:szCs w:val="22"/>
        </w:rPr>
      </w:pPr>
      <w:r w:rsidRPr="004F2E31">
        <w:rPr>
          <w:color w:val="000000"/>
          <w:sz w:val="22"/>
          <w:szCs w:val="22"/>
        </w:rPr>
        <w:t>Elm Park, Merrion Road</w:t>
      </w:r>
    </w:p>
    <w:p w14:paraId="0285599C" w14:textId="77777777" w:rsidR="004F2E31" w:rsidRPr="00F93637" w:rsidRDefault="004F2E31" w:rsidP="00421681">
      <w:pPr>
        <w:keepNext/>
        <w:widowControl w:val="0"/>
        <w:rPr>
          <w:color w:val="000000"/>
          <w:sz w:val="22"/>
          <w:szCs w:val="22"/>
          <w:lang w:val="da-DK"/>
        </w:rPr>
      </w:pPr>
      <w:r w:rsidRPr="00F93637">
        <w:rPr>
          <w:color w:val="000000"/>
          <w:sz w:val="22"/>
          <w:szCs w:val="22"/>
          <w:lang w:val="da-DK"/>
        </w:rPr>
        <w:t>Dublin 4</w:t>
      </w:r>
    </w:p>
    <w:p w14:paraId="50CB573D" w14:textId="77777777" w:rsidR="004F2E31" w:rsidRPr="00F93637" w:rsidRDefault="004F2E31" w:rsidP="00421681">
      <w:pPr>
        <w:rPr>
          <w:color w:val="000000"/>
          <w:sz w:val="22"/>
          <w:szCs w:val="22"/>
          <w:lang w:val="da-DK"/>
        </w:rPr>
      </w:pPr>
      <w:r w:rsidRPr="00F93637">
        <w:rPr>
          <w:color w:val="000000"/>
          <w:sz w:val="22"/>
          <w:szCs w:val="22"/>
          <w:lang w:val="da-DK"/>
        </w:rPr>
        <w:t>Irland</w:t>
      </w:r>
    </w:p>
    <w:p w14:paraId="23DEA764" w14:textId="77777777" w:rsidR="00270C5A" w:rsidRPr="004C2A59" w:rsidRDefault="00270C5A" w:rsidP="00421681">
      <w:pPr>
        <w:widowControl w:val="0"/>
        <w:rPr>
          <w:color w:val="000000"/>
          <w:sz w:val="22"/>
          <w:szCs w:val="22"/>
          <w:lang w:val="da-DK"/>
        </w:rPr>
      </w:pPr>
    </w:p>
    <w:p w14:paraId="2FC864D8" w14:textId="77777777" w:rsidR="00270C5A" w:rsidRPr="004C2A59" w:rsidRDefault="00270C5A" w:rsidP="00421681">
      <w:pPr>
        <w:widowControl w:val="0"/>
        <w:rPr>
          <w:color w:val="000000"/>
          <w:sz w:val="22"/>
          <w:szCs w:val="22"/>
          <w:lang w:val="da-DK"/>
        </w:rPr>
      </w:pPr>
    </w:p>
    <w:p w14:paraId="35D1912E" w14:textId="77777777" w:rsidR="00270C5A" w:rsidRPr="004C2A59" w:rsidRDefault="00270C5A" w:rsidP="00421681">
      <w:pPr>
        <w:widowControl w:val="0"/>
        <w:rPr>
          <w:color w:val="000000"/>
          <w:sz w:val="22"/>
          <w:szCs w:val="22"/>
          <w:lang w:val="da-DK"/>
        </w:rPr>
      </w:pPr>
    </w:p>
    <w:p w14:paraId="43BB5BF7" w14:textId="77777777" w:rsidR="00270C5A" w:rsidRPr="004C2A59" w:rsidRDefault="00270C5A" w:rsidP="00A125B0">
      <w:pPr>
        <w:keepNext/>
        <w:widowControl w:val="0"/>
        <w:suppressAutoHyphens/>
        <w:ind w:left="567" w:hanging="567"/>
        <w:rPr>
          <w:color w:val="000000"/>
          <w:sz w:val="22"/>
          <w:szCs w:val="22"/>
          <w:lang w:val="da-DK"/>
        </w:rPr>
      </w:pPr>
      <w:r w:rsidRPr="004C2A59">
        <w:rPr>
          <w:b/>
          <w:color w:val="000000"/>
          <w:sz w:val="22"/>
          <w:szCs w:val="22"/>
          <w:lang w:val="da-DK"/>
        </w:rPr>
        <w:t>8.</w:t>
      </w:r>
      <w:r w:rsidRPr="004C2A59">
        <w:rPr>
          <w:b/>
          <w:color w:val="000000"/>
          <w:sz w:val="22"/>
          <w:szCs w:val="22"/>
          <w:lang w:val="da-DK"/>
        </w:rPr>
        <w:tab/>
      </w:r>
      <w:r w:rsidR="007E0471" w:rsidRPr="004C2A59">
        <w:rPr>
          <w:b/>
          <w:color w:val="000000"/>
          <w:sz w:val="22"/>
          <w:szCs w:val="22"/>
          <w:lang w:val="da-DK"/>
        </w:rPr>
        <w:t>MARKEDSFØRINGSTILLADELSESNUMMER (</w:t>
      </w:r>
      <w:r w:rsidR="00F321EB" w:rsidRPr="004C2A59">
        <w:rPr>
          <w:b/>
          <w:color w:val="000000"/>
          <w:sz w:val="22"/>
          <w:szCs w:val="22"/>
          <w:lang w:val="da-DK"/>
        </w:rPr>
        <w:t>-</w:t>
      </w:r>
      <w:r w:rsidR="007E0471" w:rsidRPr="004C2A59">
        <w:rPr>
          <w:b/>
          <w:color w:val="000000"/>
          <w:sz w:val="22"/>
          <w:szCs w:val="22"/>
          <w:lang w:val="da-DK"/>
        </w:rPr>
        <w:t>NUMRE)</w:t>
      </w:r>
    </w:p>
    <w:p w14:paraId="05C3ECCC" w14:textId="77777777" w:rsidR="00270C5A" w:rsidRPr="004C2A59" w:rsidRDefault="00270C5A" w:rsidP="00A125B0">
      <w:pPr>
        <w:keepNext/>
        <w:widowControl w:val="0"/>
        <w:rPr>
          <w:color w:val="000000"/>
          <w:sz w:val="22"/>
          <w:szCs w:val="22"/>
          <w:lang w:val="da-DK"/>
        </w:rPr>
      </w:pPr>
    </w:p>
    <w:p w14:paraId="4BE7F8E3" w14:textId="77777777" w:rsidR="005A2D33" w:rsidRDefault="005A2D33" w:rsidP="00421681">
      <w:pPr>
        <w:widowControl w:val="0"/>
        <w:rPr>
          <w:color w:val="000000"/>
          <w:sz w:val="22"/>
          <w:szCs w:val="22"/>
          <w:lang w:val="da-DK"/>
        </w:rPr>
      </w:pPr>
      <w:r>
        <w:rPr>
          <w:color w:val="000000"/>
          <w:sz w:val="22"/>
          <w:szCs w:val="22"/>
          <w:lang w:val="da-DK"/>
        </w:rPr>
        <w:t>EU/1/01/198/002-006</w:t>
      </w:r>
    </w:p>
    <w:p w14:paraId="1D4402F8" w14:textId="77777777" w:rsidR="00DA5D95" w:rsidRPr="004C2A59" w:rsidRDefault="00DA5D95" w:rsidP="00421681">
      <w:pPr>
        <w:widowControl w:val="0"/>
        <w:rPr>
          <w:color w:val="000000"/>
          <w:sz w:val="22"/>
          <w:szCs w:val="22"/>
          <w:lang w:val="da-DK"/>
        </w:rPr>
      </w:pPr>
    </w:p>
    <w:p w14:paraId="5532AA27" w14:textId="77777777" w:rsidR="00270C5A" w:rsidRPr="004C2A59" w:rsidRDefault="00270C5A" w:rsidP="00421681">
      <w:pPr>
        <w:widowControl w:val="0"/>
        <w:rPr>
          <w:color w:val="000000"/>
          <w:sz w:val="22"/>
          <w:szCs w:val="22"/>
          <w:lang w:val="da-DK"/>
        </w:rPr>
      </w:pPr>
    </w:p>
    <w:p w14:paraId="13B66DA4" w14:textId="77777777" w:rsidR="00270C5A" w:rsidRPr="004C2A59" w:rsidRDefault="00270C5A" w:rsidP="00A125B0">
      <w:pPr>
        <w:keepNext/>
        <w:widowControl w:val="0"/>
        <w:suppressAutoHyphens/>
        <w:ind w:left="567" w:hanging="567"/>
        <w:rPr>
          <w:color w:val="000000"/>
          <w:sz w:val="22"/>
          <w:szCs w:val="22"/>
          <w:lang w:val="da-DK"/>
        </w:rPr>
      </w:pPr>
      <w:r w:rsidRPr="004C2A59">
        <w:rPr>
          <w:b/>
          <w:color w:val="000000"/>
          <w:sz w:val="22"/>
          <w:szCs w:val="22"/>
          <w:lang w:val="da-DK"/>
        </w:rPr>
        <w:t>9.</w:t>
      </w:r>
      <w:r w:rsidRPr="004C2A59">
        <w:rPr>
          <w:b/>
          <w:color w:val="000000"/>
          <w:sz w:val="22"/>
          <w:szCs w:val="22"/>
          <w:lang w:val="da-DK"/>
        </w:rPr>
        <w:tab/>
        <w:t xml:space="preserve">DATO FOR FØRSTE </w:t>
      </w:r>
      <w:r w:rsidR="007A70E8" w:rsidRPr="004C2A59">
        <w:rPr>
          <w:b/>
          <w:color w:val="000000"/>
          <w:sz w:val="22"/>
          <w:szCs w:val="22"/>
          <w:lang w:val="da-DK"/>
        </w:rPr>
        <w:t>MARKEDSFØRINGS</w:t>
      </w:r>
      <w:r w:rsidRPr="004C2A59">
        <w:rPr>
          <w:b/>
          <w:color w:val="000000"/>
          <w:sz w:val="22"/>
          <w:szCs w:val="22"/>
          <w:lang w:val="da-DK"/>
        </w:rPr>
        <w:t>TILLADELSE/FORNYELSE AF TILLADELSEN</w:t>
      </w:r>
    </w:p>
    <w:p w14:paraId="5898ED64" w14:textId="77777777" w:rsidR="00270C5A" w:rsidRPr="004C2A59" w:rsidRDefault="00270C5A" w:rsidP="00A125B0">
      <w:pPr>
        <w:keepNext/>
        <w:widowControl w:val="0"/>
        <w:rPr>
          <w:color w:val="000000"/>
          <w:sz w:val="22"/>
          <w:szCs w:val="22"/>
          <w:lang w:val="da-DK"/>
        </w:rPr>
      </w:pPr>
    </w:p>
    <w:p w14:paraId="7DD7F3BC" w14:textId="77777777" w:rsidR="00270C5A" w:rsidRPr="004C2A59" w:rsidRDefault="00AF57FF" w:rsidP="00A125B0">
      <w:pPr>
        <w:keepNext/>
        <w:widowControl w:val="0"/>
        <w:rPr>
          <w:color w:val="000000"/>
          <w:sz w:val="22"/>
          <w:szCs w:val="22"/>
          <w:lang w:val="da-DK"/>
        </w:rPr>
      </w:pPr>
      <w:r w:rsidRPr="004C2A59">
        <w:rPr>
          <w:color w:val="000000"/>
          <w:sz w:val="22"/>
          <w:szCs w:val="22"/>
          <w:lang w:val="da-DK"/>
        </w:rPr>
        <w:t xml:space="preserve">Dato for første </w:t>
      </w:r>
      <w:r w:rsidR="00E62917" w:rsidRPr="004C2A59">
        <w:rPr>
          <w:color w:val="000000"/>
          <w:sz w:val="22"/>
          <w:szCs w:val="22"/>
          <w:lang w:val="da-DK"/>
        </w:rPr>
        <w:t>markedsføring</w:t>
      </w:r>
      <w:r w:rsidR="008D1DE2" w:rsidRPr="004C2A59">
        <w:rPr>
          <w:color w:val="000000"/>
          <w:sz w:val="22"/>
          <w:szCs w:val="22"/>
          <w:lang w:val="da-DK"/>
        </w:rPr>
        <w:t>s</w:t>
      </w:r>
      <w:r w:rsidRPr="004C2A59">
        <w:rPr>
          <w:color w:val="000000"/>
          <w:sz w:val="22"/>
          <w:szCs w:val="22"/>
          <w:lang w:val="da-DK"/>
        </w:rPr>
        <w:t xml:space="preserve">tilladelse: </w:t>
      </w:r>
      <w:r w:rsidR="00270C5A" w:rsidRPr="004C2A59">
        <w:rPr>
          <w:color w:val="000000"/>
          <w:sz w:val="22"/>
          <w:szCs w:val="22"/>
          <w:lang w:val="da-DK"/>
        </w:rPr>
        <w:t>7.</w:t>
      </w:r>
      <w:r w:rsidR="00E62917" w:rsidRPr="004C2A59">
        <w:rPr>
          <w:color w:val="000000"/>
          <w:sz w:val="22"/>
          <w:szCs w:val="22"/>
          <w:lang w:val="da-DK"/>
        </w:rPr>
        <w:t xml:space="preserve"> november </w:t>
      </w:r>
      <w:r w:rsidR="00270C5A" w:rsidRPr="004C2A59">
        <w:rPr>
          <w:color w:val="000000"/>
          <w:sz w:val="22"/>
          <w:szCs w:val="22"/>
          <w:lang w:val="da-DK"/>
        </w:rPr>
        <w:t>2001</w:t>
      </w:r>
    </w:p>
    <w:p w14:paraId="60AE6E67" w14:textId="77777777" w:rsidR="00270C5A" w:rsidRPr="004C2A59" w:rsidRDefault="00AF57FF" w:rsidP="00421681">
      <w:pPr>
        <w:widowControl w:val="0"/>
        <w:rPr>
          <w:color w:val="000000"/>
          <w:sz w:val="22"/>
          <w:szCs w:val="22"/>
          <w:lang w:val="da-DK"/>
        </w:rPr>
      </w:pPr>
      <w:r w:rsidRPr="004C2A59">
        <w:rPr>
          <w:color w:val="000000"/>
          <w:sz w:val="22"/>
          <w:szCs w:val="22"/>
          <w:lang w:val="da-DK"/>
        </w:rPr>
        <w:t xml:space="preserve">Dato for </w:t>
      </w:r>
      <w:r w:rsidR="00E62917" w:rsidRPr="004C2A59">
        <w:rPr>
          <w:color w:val="000000"/>
          <w:sz w:val="22"/>
          <w:szCs w:val="22"/>
          <w:lang w:val="da-DK"/>
        </w:rPr>
        <w:t>seneste</w:t>
      </w:r>
      <w:r w:rsidRPr="004C2A59">
        <w:rPr>
          <w:color w:val="000000"/>
          <w:sz w:val="22"/>
          <w:szCs w:val="22"/>
          <w:lang w:val="da-DK"/>
        </w:rPr>
        <w:t xml:space="preserve"> fornyelse:</w:t>
      </w:r>
      <w:r w:rsidR="001A383D" w:rsidRPr="004C2A59">
        <w:rPr>
          <w:color w:val="000000"/>
          <w:sz w:val="22"/>
          <w:szCs w:val="22"/>
          <w:lang w:val="da-DK"/>
        </w:rPr>
        <w:t xml:space="preserve"> 7.</w:t>
      </w:r>
      <w:r w:rsidR="00E62917" w:rsidRPr="004C2A59">
        <w:rPr>
          <w:color w:val="000000"/>
          <w:sz w:val="22"/>
          <w:szCs w:val="22"/>
          <w:lang w:val="da-DK"/>
        </w:rPr>
        <w:t xml:space="preserve"> november </w:t>
      </w:r>
      <w:r w:rsidR="001A383D" w:rsidRPr="004C2A59">
        <w:rPr>
          <w:color w:val="000000"/>
          <w:sz w:val="22"/>
          <w:szCs w:val="22"/>
          <w:lang w:val="da-DK"/>
        </w:rPr>
        <w:t>200</w:t>
      </w:r>
      <w:r w:rsidR="00412C86" w:rsidRPr="004C2A59">
        <w:rPr>
          <w:color w:val="000000"/>
          <w:sz w:val="22"/>
          <w:szCs w:val="22"/>
          <w:lang w:val="da-DK"/>
        </w:rPr>
        <w:t>6</w:t>
      </w:r>
    </w:p>
    <w:p w14:paraId="1ECE500B" w14:textId="77777777" w:rsidR="00270C5A" w:rsidRPr="004C2A59" w:rsidRDefault="00270C5A" w:rsidP="00421681">
      <w:pPr>
        <w:widowControl w:val="0"/>
        <w:rPr>
          <w:color w:val="000000"/>
          <w:sz w:val="22"/>
          <w:szCs w:val="22"/>
          <w:lang w:val="da-DK"/>
        </w:rPr>
      </w:pPr>
    </w:p>
    <w:p w14:paraId="6BE17BAD" w14:textId="77777777" w:rsidR="00321C5F" w:rsidRPr="004C2A59" w:rsidRDefault="00321C5F" w:rsidP="00421681">
      <w:pPr>
        <w:widowControl w:val="0"/>
        <w:rPr>
          <w:color w:val="000000"/>
          <w:sz w:val="22"/>
          <w:szCs w:val="22"/>
          <w:lang w:val="da-DK"/>
        </w:rPr>
      </w:pPr>
    </w:p>
    <w:p w14:paraId="44529934" w14:textId="77777777" w:rsidR="00270C5A" w:rsidRPr="004C2A59" w:rsidRDefault="00270C5A" w:rsidP="00A125B0">
      <w:pPr>
        <w:keepNext/>
        <w:widowControl w:val="0"/>
        <w:suppressAutoHyphens/>
        <w:ind w:left="567" w:hanging="567"/>
        <w:rPr>
          <w:color w:val="000000"/>
          <w:sz w:val="22"/>
          <w:szCs w:val="22"/>
          <w:lang w:val="da-DK"/>
        </w:rPr>
      </w:pPr>
      <w:r w:rsidRPr="004C2A59">
        <w:rPr>
          <w:b/>
          <w:color w:val="000000"/>
          <w:sz w:val="22"/>
          <w:szCs w:val="22"/>
          <w:lang w:val="da-DK"/>
        </w:rPr>
        <w:t>10.</w:t>
      </w:r>
      <w:r w:rsidRPr="004C2A59">
        <w:rPr>
          <w:b/>
          <w:color w:val="000000"/>
          <w:sz w:val="22"/>
          <w:szCs w:val="22"/>
          <w:lang w:val="da-DK"/>
        </w:rPr>
        <w:tab/>
        <w:t>DATO FOR ÆNDRING AF TEKSTEN</w:t>
      </w:r>
    </w:p>
    <w:p w14:paraId="2FCC3563" w14:textId="77777777" w:rsidR="00270C5A" w:rsidRPr="004C2A59" w:rsidRDefault="00270C5A" w:rsidP="00A125B0">
      <w:pPr>
        <w:keepNext/>
        <w:widowControl w:val="0"/>
        <w:suppressAutoHyphens/>
        <w:ind w:left="567" w:hanging="567"/>
        <w:rPr>
          <w:color w:val="000000"/>
          <w:sz w:val="22"/>
          <w:szCs w:val="22"/>
          <w:lang w:val="da-DK"/>
        </w:rPr>
      </w:pPr>
    </w:p>
    <w:p w14:paraId="4828D41B" w14:textId="77777777" w:rsidR="00F301A7" w:rsidRPr="004C2A59" w:rsidRDefault="00F301A7" w:rsidP="00A125B0">
      <w:pPr>
        <w:keepNext/>
        <w:widowControl w:val="0"/>
        <w:suppressAutoHyphens/>
        <w:ind w:left="567" w:hanging="567"/>
        <w:rPr>
          <w:color w:val="000000"/>
          <w:sz w:val="22"/>
          <w:szCs w:val="22"/>
          <w:lang w:val="da-DK"/>
        </w:rPr>
      </w:pPr>
    </w:p>
    <w:p w14:paraId="615DF20A" w14:textId="77777777" w:rsidR="00F301A7" w:rsidRPr="004C2A59" w:rsidRDefault="00F301A7" w:rsidP="00421681">
      <w:pPr>
        <w:rPr>
          <w:color w:val="000000"/>
          <w:sz w:val="22"/>
          <w:szCs w:val="22"/>
          <w:lang w:val="da-DK"/>
        </w:rPr>
      </w:pPr>
      <w:r w:rsidRPr="004C2A59">
        <w:rPr>
          <w:color w:val="000000"/>
          <w:sz w:val="22"/>
          <w:szCs w:val="22"/>
          <w:lang w:val="da-DK"/>
        </w:rPr>
        <w:t xml:space="preserve">Yderligere </w:t>
      </w:r>
      <w:r w:rsidR="003C7164" w:rsidRPr="004C2A59">
        <w:rPr>
          <w:color w:val="000000"/>
          <w:sz w:val="22"/>
          <w:szCs w:val="22"/>
          <w:lang w:val="da-DK"/>
        </w:rPr>
        <w:t xml:space="preserve">oplysninger </w:t>
      </w:r>
      <w:r w:rsidRPr="004C2A59">
        <w:rPr>
          <w:color w:val="000000"/>
          <w:sz w:val="22"/>
          <w:szCs w:val="22"/>
          <w:lang w:val="da-DK"/>
        </w:rPr>
        <w:t xml:space="preserve">om </w:t>
      </w:r>
      <w:r w:rsidR="003C7164" w:rsidRPr="004C2A59">
        <w:rPr>
          <w:color w:val="000000"/>
          <w:sz w:val="22"/>
          <w:szCs w:val="22"/>
          <w:lang w:val="da-DK"/>
        </w:rPr>
        <w:t xml:space="preserve">dette lægemiddel </w:t>
      </w:r>
      <w:r w:rsidR="00E62917" w:rsidRPr="004C2A59">
        <w:rPr>
          <w:color w:val="000000"/>
          <w:sz w:val="22"/>
          <w:szCs w:val="22"/>
          <w:lang w:val="da-DK"/>
        </w:rPr>
        <w:t>findes</w:t>
      </w:r>
      <w:r w:rsidRPr="004C2A59">
        <w:rPr>
          <w:color w:val="000000"/>
          <w:sz w:val="22"/>
          <w:szCs w:val="22"/>
          <w:lang w:val="da-DK"/>
        </w:rPr>
        <w:t xml:space="preserve"> på Det </w:t>
      </w:r>
      <w:r w:rsidR="00E2196D" w:rsidRPr="004C2A59">
        <w:rPr>
          <w:color w:val="000000"/>
          <w:sz w:val="22"/>
          <w:szCs w:val="22"/>
          <w:lang w:val="da-DK"/>
        </w:rPr>
        <w:t>E</w:t>
      </w:r>
      <w:r w:rsidRPr="004C2A59">
        <w:rPr>
          <w:color w:val="000000"/>
          <w:sz w:val="22"/>
          <w:szCs w:val="22"/>
          <w:lang w:val="da-DK"/>
        </w:rPr>
        <w:t>uropæiske Lægemiddelagenturs hjemmeside http://www.ema.europa.eu</w:t>
      </w:r>
    </w:p>
    <w:p w14:paraId="6C1B487D" w14:textId="77777777" w:rsidR="00F301A7" w:rsidRPr="004C2A59" w:rsidRDefault="00F301A7" w:rsidP="00421681">
      <w:pPr>
        <w:widowControl w:val="0"/>
        <w:suppressAutoHyphens/>
        <w:ind w:left="567" w:hanging="567"/>
        <w:rPr>
          <w:color w:val="000000"/>
          <w:sz w:val="22"/>
          <w:szCs w:val="22"/>
          <w:lang w:val="da-DK"/>
        </w:rPr>
      </w:pPr>
    </w:p>
    <w:p w14:paraId="6DB8E1F6" w14:textId="77777777" w:rsidR="00FC4A11" w:rsidRPr="004C2A59" w:rsidRDefault="00270C5A" w:rsidP="00421681">
      <w:pPr>
        <w:tabs>
          <w:tab w:val="left" w:pos="-720"/>
        </w:tabs>
        <w:suppressAutoHyphens/>
        <w:rPr>
          <w:sz w:val="22"/>
          <w:szCs w:val="22"/>
          <w:lang w:val="da-DK"/>
        </w:rPr>
      </w:pPr>
      <w:r w:rsidRPr="004C2A59">
        <w:rPr>
          <w:b/>
          <w:color w:val="000000"/>
          <w:sz w:val="22"/>
          <w:szCs w:val="22"/>
          <w:lang w:val="da-DK"/>
        </w:rPr>
        <w:br w:type="page"/>
      </w:r>
      <w:r w:rsidR="00127CCC" w:rsidRPr="004C2A59">
        <w:rPr>
          <w:noProof/>
          <w:lang w:val="en-GB" w:eastAsia="en-GB"/>
        </w:rPr>
        <w:lastRenderedPageBreak/>
        <w:drawing>
          <wp:inline distT="0" distB="0" distL="0" distR="0" wp14:anchorId="4D43D33C" wp14:editId="3E0B7C9D">
            <wp:extent cx="198755" cy="174625"/>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FC4A11" w:rsidRPr="004C2A59">
        <w:rPr>
          <w:noProof/>
          <w:sz w:val="22"/>
          <w:szCs w:val="22"/>
          <w:lang w:val="da-DK"/>
        </w:rPr>
        <w:t>Dette lægemiddel er underlagt supplerende overvågning. Dermed kan nye sikkerhedsoplysninger hurtigt tilvejebringes. Læger og sundhedspersonale anmodes om at indberette alle formodede bivirkninger. Se i pkt. 4.8, hvordan bivirkninger indberettes.</w:t>
      </w:r>
    </w:p>
    <w:p w14:paraId="68C192A0" w14:textId="77777777" w:rsidR="00FC4A11" w:rsidRPr="004C2A59" w:rsidRDefault="00FC4A11" w:rsidP="00421681">
      <w:pPr>
        <w:tabs>
          <w:tab w:val="left" w:pos="-720"/>
        </w:tabs>
        <w:suppressAutoHyphens/>
        <w:ind w:left="567" w:hanging="567"/>
        <w:rPr>
          <w:sz w:val="22"/>
          <w:szCs w:val="22"/>
          <w:lang w:val="da-DK"/>
        </w:rPr>
      </w:pPr>
    </w:p>
    <w:p w14:paraId="6522F27E" w14:textId="77777777" w:rsidR="00FC4A11" w:rsidRPr="004C2A59" w:rsidRDefault="00FC4A11" w:rsidP="00421681">
      <w:pPr>
        <w:tabs>
          <w:tab w:val="left" w:pos="-720"/>
        </w:tabs>
        <w:suppressAutoHyphens/>
        <w:ind w:left="567" w:hanging="567"/>
        <w:rPr>
          <w:sz w:val="22"/>
          <w:szCs w:val="22"/>
          <w:lang w:val="da-DK"/>
        </w:rPr>
      </w:pPr>
    </w:p>
    <w:p w14:paraId="08BDBAF9" w14:textId="77777777" w:rsidR="00C107A9" w:rsidRPr="004C2A59" w:rsidRDefault="00C107A9" w:rsidP="00A125B0">
      <w:pPr>
        <w:keepNext/>
        <w:widowControl w:val="0"/>
        <w:suppressAutoHyphens/>
        <w:ind w:left="567" w:hanging="567"/>
        <w:rPr>
          <w:color w:val="000000"/>
          <w:sz w:val="22"/>
          <w:szCs w:val="22"/>
          <w:lang w:val="da-DK"/>
        </w:rPr>
      </w:pPr>
      <w:r w:rsidRPr="004C2A59">
        <w:rPr>
          <w:b/>
          <w:color w:val="000000"/>
          <w:sz w:val="22"/>
          <w:szCs w:val="22"/>
          <w:lang w:val="da-DK"/>
        </w:rPr>
        <w:t>1.</w:t>
      </w:r>
      <w:r w:rsidRPr="004C2A59">
        <w:rPr>
          <w:b/>
          <w:color w:val="000000"/>
          <w:sz w:val="22"/>
          <w:szCs w:val="22"/>
          <w:lang w:val="da-DK"/>
        </w:rPr>
        <w:tab/>
        <w:t>LÆGEMIDLETS NAVN</w:t>
      </w:r>
    </w:p>
    <w:p w14:paraId="71BA84D9" w14:textId="77777777" w:rsidR="00C107A9" w:rsidRPr="004C2A59" w:rsidRDefault="00C107A9" w:rsidP="00A125B0">
      <w:pPr>
        <w:keepNext/>
        <w:widowControl w:val="0"/>
        <w:suppressAutoHyphens/>
        <w:rPr>
          <w:color w:val="000000"/>
          <w:sz w:val="22"/>
          <w:szCs w:val="22"/>
          <w:lang w:val="da-DK"/>
        </w:rPr>
      </w:pPr>
    </w:p>
    <w:p w14:paraId="1B8760FC" w14:textId="77777777" w:rsidR="00C107A9" w:rsidRPr="004C2A59" w:rsidRDefault="00C107A9" w:rsidP="00421681">
      <w:pPr>
        <w:widowControl w:val="0"/>
        <w:suppressAutoHyphens/>
        <w:ind w:left="567" w:hanging="567"/>
        <w:rPr>
          <w:color w:val="000000"/>
          <w:sz w:val="22"/>
          <w:szCs w:val="22"/>
          <w:lang w:val="da-DK"/>
        </w:rPr>
      </w:pPr>
      <w:r w:rsidRPr="004C2A59">
        <w:rPr>
          <w:color w:val="000000"/>
          <w:sz w:val="22"/>
          <w:szCs w:val="22"/>
          <w:lang w:val="da-DK"/>
        </w:rPr>
        <w:t>G</w:t>
      </w:r>
      <w:r w:rsidR="00685C1F" w:rsidRPr="004C2A59">
        <w:rPr>
          <w:color w:val="000000"/>
          <w:sz w:val="22"/>
          <w:szCs w:val="22"/>
          <w:lang w:val="da-DK"/>
        </w:rPr>
        <w:t>livec</w:t>
      </w:r>
      <w:r w:rsidRPr="004C2A59">
        <w:rPr>
          <w:color w:val="000000"/>
          <w:sz w:val="22"/>
          <w:szCs w:val="22"/>
          <w:lang w:val="da-DK"/>
        </w:rPr>
        <w:t xml:space="preserve"> 100</w:t>
      </w:r>
      <w:r w:rsidR="00C17108" w:rsidRPr="004C2A59">
        <w:rPr>
          <w:color w:val="000000"/>
          <w:sz w:val="22"/>
          <w:szCs w:val="22"/>
          <w:lang w:val="da-DK"/>
        </w:rPr>
        <w:t> mg</w:t>
      </w:r>
      <w:r w:rsidRPr="004C2A59">
        <w:rPr>
          <w:color w:val="000000"/>
          <w:sz w:val="22"/>
          <w:szCs w:val="22"/>
          <w:lang w:val="da-DK"/>
        </w:rPr>
        <w:t xml:space="preserve"> filmovertrukne tabletter</w:t>
      </w:r>
    </w:p>
    <w:p w14:paraId="33A0699B" w14:textId="77777777" w:rsidR="00754053" w:rsidRPr="004C2A59" w:rsidRDefault="00754053" w:rsidP="00421681">
      <w:pPr>
        <w:widowControl w:val="0"/>
        <w:suppressAutoHyphens/>
        <w:ind w:left="567" w:hanging="567"/>
        <w:rPr>
          <w:color w:val="000000"/>
          <w:sz w:val="22"/>
          <w:szCs w:val="22"/>
          <w:lang w:val="da-DK"/>
        </w:rPr>
      </w:pPr>
      <w:r w:rsidRPr="004C2A59">
        <w:rPr>
          <w:color w:val="000000"/>
          <w:sz w:val="22"/>
          <w:szCs w:val="22"/>
          <w:lang w:val="da-DK"/>
        </w:rPr>
        <w:t>Glivec</w:t>
      </w:r>
      <w:r>
        <w:rPr>
          <w:color w:val="000000"/>
          <w:sz w:val="22"/>
          <w:szCs w:val="22"/>
          <w:lang w:val="da-DK"/>
        </w:rPr>
        <w:t xml:space="preserve"> 4</w:t>
      </w:r>
      <w:r w:rsidRPr="004C2A59">
        <w:rPr>
          <w:color w:val="000000"/>
          <w:sz w:val="22"/>
          <w:szCs w:val="22"/>
          <w:lang w:val="da-DK"/>
        </w:rPr>
        <w:t>00 mg filmovertrukne tabletter</w:t>
      </w:r>
    </w:p>
    <w:p w14:paraId="2C0032C8" w14:textId="77777777" w:rsidR="00C107A9" w:rsidRPr="004C2A59" w:rsidRDefault="00C107A9" w:rsidP="00421681">
      <w:pPr>
        <w:widowControl w:val="0"/>
        <w:suppressAutoHyphens/>
        <w:rPr>
          <w:color w:val="000000"/>
          <w:sz w:val="22"/>
          <w:szCs w:val="22"/>
          <w:lang w:val="da-DK"/>
        </w:rPr>
      </w:pPr>
    </w:p>
    <w:p w14:paraId="1EA8E379" w14:textId="77777777" w:rsidR="00C107A9" w:rsidRPr="004C2A59" w:rsidRDefault="00C107A9" w:rsidP="00421681">
      <w:pPr>
        <w:widowControl w:val="0"/>
        <w:suppressAutoHyphens/>
        <w:rPr>
          <w:color w:val="000000"/>
          <w:sz w:val="22"/>
          <w:szCs w:val="22"/>
          <w:lang w:val="da-DK"/>
        </w:rPr>
      </w:pPr>
    </w:p>
    <w:p w14:paraId="502B5101" w14:textId="77777777" w:rsidR="00C107A9" w:rsidRPr="004C2A59" w:rsidRDefault="00C107A9" w:rsidP="00A125B0">
      <w:pPr>
        <w:keepNext/>
        <w:widowControl w:val="0"/>
        <w:suppressAutoHyphens/>
        <w:ind w:left="567" w:hanging="567"/>
        <w:rPr>
          <w:color w:val="000000"/>
          <w:sz w:val="22"/>
          <w:szCs w:val="22"/>
          <w:lang w:val="da-DK"/>
        </w:rPr>
      </w:pPr>
      <w:r w:rsidRPr="004C2A59">
        <w:rPr>
          <w:b/>
          <w:color w:val="000000"/>
          <w:sz w:val="22"/>
          <w:szCs w:val="22"/>
          <w:lang w:val="da-DK"/>
        </w:rPr>
        <w:t>2.</w:t>
      </w:r>
      <w:r w:rsidRPr="004C2A59">
        <w:rPr>
          <w:b/>
          <w:color w:val="000000"/>
          <w:sz w:val="22"/>
          <w:szCs w:val="22"/>
          <w:lang w:val="da-DK"/>
        </w:rPr>
        <w:tab/>
        <w:t>KVALITATIV OG KVANTITATIV SAMMENSÆTNING</w:t>
      </w:r>
    </w:p>
    <w:p w14:paraId="28CF681C" w14:textId="77777777" w:rsidR="00C107A9" w:rsidRPr="004C2A59" w:rsidRDefault="00C107A9" w:rsidP="00A125B0">
      <w:pPr>
        <w:keepNext/>
        <w:widowControl w:val="0"/>
        <w:suppressAutoHyphens/>
        <w:rPr>
          <w:color w:val="000000"/>
          <w:sz w:val="22"/>
          <w:szCs w:val="22"/>
          <w:lang w:val="da-DK"/>
        </w:rPr>
      </w:pPr>
    </w:p>
    <w:p w14:paraId="37D9BE5C" w14:textId="77777777" w:rsidR="00754053" w:rsidRDefault="00754053" w:rsidP="00421681">
      <w:pPr>
        <w:pStyle w:val="EndnoteText"/>
        <w:keepNext/>
        <w:tabs>
          <w:tab w:val="clear" w:pos="567"/>
        </w:tabs>
        <w:suppressAutoHyphens/>
        <w:rPr>
          <w:color w:val="000000"/>
          <w:szCs w:val="22"/>
          <w:u w:val="single"/>
        </w:rPr>
      </w:pPr>
      <w:r>
        <w:rPr>
          <w:color w:val="000000"/>
          <w:szCs w:val="22"/>
          <w:u w:val="single"/>
        </w:rPr>
        <w:t>Glivec 100</w:t>
      </w:r>
      <w:r w:rsidR="00DA5D95">
        <w:rPr>
          <w:color w:val="000000"/>
          <w:szCs w:val="22"/>
          <w:u w:val="single"/>
        </w:rPr>
        <w:t> </w:t>
      </w:r>
      <w:r>
        <w:rPr>
          <w:color w:val="000000"/>
          <w:szCs w:val="22"/>
          <w:u w:val="single"/>
        </w:rPr>
        <w:t>mg filmovertrukne tabletter</w:t>
      </w:r>
    </w:p>
    <w:p w14:paraId="37688E23" w14:textId="77777777" w:rsidR="00C107A9" w:rsidRPr="004C2A59" w:rsidRDefault="00C107A9" w:rsidP="00421681">
      <w:pPr>
        <w:pStyle w:val="EndnoteText"/>
        <w:tabs>
          <w:tab w:val="clear" w:pos="567"/>
        </w:tabs>
        <w:suppressAutoHyphens/>
        <w:rPr>
          <w:color w:val="000000"/>
          <w:szCs w:val="22"/>
        </w:rPr>
      </w:pPr>
      <w:r w:rsidRPr="004C2A59">
        <w:rPr>
          <w:color w:val="000000"/>
          <w:szCs w:val="22"/>
        </w:rPr>
        <w:t>Hver filmovertrukken tablet indeholder 100</w:t>
      </w:r>
      <w:r w:rsidR="00C17108" w:rsidRPr="004C2A59">
        <w:rPr>
          <w:color w:val="000000"/>
          <w:szCs w:val="22"/>
        </w:rPr>
        <w:t> mg</w:t>
      </w:r>
      <w:r w:rsidRPr="004C2A59">
        <w:rPr>
          <w:color w:val="000000"/>
          <w:szCs w:val="22"/>
        </w:rPr>
        <w:t xml:space="preserve"> imatinib (som mesilat).</w:t>
      </w:r>
    </w:p>
    <w:p w14:paraId="4121AFD4" w14:textId="77777777" w:rsidR="00C107A9" w:rsidRDefault="00C107A9" w:rsidP="00421681">
      <w:pPr>
        <w:pStyle w:val="EndnoteText"/>
        <w:tabs>
          <w:tab w:val="clear" w:pos="567"/>
        </w:tabs>
        <w:suppressAutoHyphens/>
        <w:rPr>
          <w:color w:val="000000"/>
          <w:szCs w:val="22"/>
        </w:rPr>
      </w:pPr>
    </w:p>
    <w:p w14:paraId="44632D0F" w14:textId="77777777" w:rsidR="00754053" w:rsidRDefault="00754053" w:rsidP="00421681">
      <w:pPr>
        <w:pStyle w:val="EndnoteText"/>
        <w:keepNext/>
        <w:tabs>
          <w:tab w:val="clear" w:pos="567"/>
        </w:tabs>
        <w:suppressAutoHyphens/>
        <w:rPr>
          <w:color w:val="000000"/>
          <w:szCs w:val="22"/>
          <w:u w:val="single"/>
        </w:rPr>
      </w:pPr>
      <w:r>
        <w:rPr>
          <w:color w:val="000000"/>
          <w:szCs w:val="22"/>
          <w:u w:val="single"/>
        </w:rPr>
        <w:t>Glivec 400</w:t>
      </w:r>
      <w:r w:rsidR="00DA5D95">
        <w:rPr>
          <w:color w:val="000000"/>
          <w:szCs w:val="22"/>
          <w:u w:val="single"/>
        </w:rPr>
        <w:t> </w:t>
      </w:r>
      <w:r>
        <w:rPr>
          <w:color w:val="000000"/>
          <w:szCs w:val="22"/>
          <w:u w:val="single"/>
        </w:rPr>
        <w:t>mg filmovertrukne tabletter</w:t>
      </w:r>
    </w:p>
    <w:p w14:paraId="2BC47882" w14:textId="77777777" w:rsidR="00754053" w:rsidRPr="004C2A59" w:rsidRDefault="00754053" w:rsidP="00421681">
      <w:pPr>
        <w:pStyle w:val="EndnoteText"/>
        <w:tabs>
          <w:tab w:val="clear" w:pos="567"/>
        </w:tabs>
        <w:suppressAutoHyphens/>
        <w:rPr>
          <w:color w:val="000000"/>
          <w:szCs w:val="22"/>
        </w:rPr>
      </w:pPr>
      <w:r w:rsidRPr="004C2A59">
        <w:rPr>
          <w:color w:val="000000"/>
          <w:szCs w:val="22"/>
        </w:rPr>
        <w:t>Hver fil</w:t>
      </w:r>
      <w:r>
        <w:rPr>
          <w:color w:val="000000"/>
          <w:szCs w:val="22"/>
        </w:rPr>
        <w:t>movertrukken tablet indeholder 4</w:t>
      </w:r>
      <w:r w:rsidRPr="004C2A59">
        <w:rPr>
          <w:color w:val="000000"/>
          <w:szCs w:val="22"/>
        </w:rPr>
        <w:t>00 mg imatinib (som mesilat).</w:t>
      </w:r>
    </w:p>
    <w:p w14:paraId="2B4FE7D2" w14:textId="77777777" w:rsidR="00754053" w:rsidRPr="004C2A59" w:rsidRDefault="00754053" w:rsidP="00421681">
      <w:pPr>
        <w:pStyle w:val="EndnoteText"/>
        <w:tabs>
          <w:tab w:val="clear" w:pos="567"/>
        </w:tabs>
        <w:suppressAutoHyphens/>
        <w:rPr>
          <w:color w:val="000000"/>
          <w:szCs w:val="22"/>
        </w:rPr>
      </w:pPr>
    </w:p>
    <w:p w14:paraId="337D3FE7" w14:textId="77777777" w:rsidR="00685C1F" w:rsidRPr="004C2A59" w:rsidRDefault="00BA21B6" w:rsidP="00421681">
      <w:pPr>
        <w:tabs>
          <w:tab w:val="left" w:pos="-720"/>
        </w:tabs>
        <w:suppressAutoHyphens/>
        <w:rPr>
          <w:color w:val="000000"/>
          <w:sz w:val="22"/>
          <w:szCs w:val="22"/>
          <w:lang w:val="da-DK"/>
        </w:rPr>
      </w:pPr>
      <w:r w:rsidRPr="004C2A59">
        <w:rPr>
          <w:color w:val="000000"/>
          <w:sz w:val="22"/>
          <w:szCs w:val="22"/>
          <w:lang w:val="da-DK"/>
        </w:rPr>
        <w:t>A</w:t>
      </w:r>
      <w:r w:rsidR="00685C1F" w:rsidRPr="004C2A59">
        <w:rPr>
          <w:color w:val="000000"/>
          <w:sz w:val="22"/>
          <w:szCs w:val="22"/>
          <w:lang w:val="da-DK"/>
        </w:rPr>
        <w:t>lle hjælpestoffer er anført under pkt. 6.1.</w:t>
      </w:r>
    </w:p>
    <w:p w14:paraId="670947DF" w14:textId="77777777" w:rsidR="00C107A9" w:rsidRPr="004C2A59" w:rsidRDefault="00C107A9" w:rsidP="00421681">
      <w:pPr>
        <w:widowControl w:val="0"/>
        <w:suppressAutoHyphens/>
        <w:rPr>
          <w:color w:val="000000"/>
          <w:sz w:val="22"/>
          <w:szCs w:val="22"/>
          <w:lang w:val="da-DK"/>
        </w:rPr>
      </w:pPr>
    </w:p>
    <w:p w14:paraId="6A1736BC" w14:textId="77777777" w:rsidR="00C107A9" w:rsidRPr="004C2A59" w:rsidRDefault="00C107A9" w:rsidP="00421681">
      <w:pPr>
        <w:widowControl w:val="0"/>
        <w:suppressAutoHyphens/>
        <w:rPr>
          <w:color w:val="000000"/>
          <w:sz w:val="22"/>
          <w:szCs w:val="22"/>
          <w:lang w:val="da-DK"/>
        </w:rPr>
      </w:pPr>
    </w:p>
    <w:p w14:paraId="179BCCC0" w14:textId="77777777" w:rsidR="00C107A9" w:rsidRPr="004C2A59" w:rsidRDefault="00C107A9" w:rsidP="00A125B0">
      <w:pPr>
        <w:keepNext/>
        <w:widowControl w:val="0"/>
        <w:suppressAutoHyphens/>
        <w:ind w:left="567" w:hanging="567"/>
        <w:rPr>
          <w:color w:val="000000"/>
          <w:sz w:val="22"/>
          <w:szCs w:val="22"/>
          <w:lang w:val="da-DK"/>
        </w:rPr>
      </w:pPr>
      <w:r w:rsidRPr="004C2A59">
        <w:rPr>
          <w:b/>
          <w:color w:val="000000"/>
          <w:sz w:val="22"/>
          <w:szCs w:val="22"/>
          <w:lang w:val="da-DK"/>
        </w:rPr>
        <w:t>3.</w:t>
      </w:r>
      <w:r w:rsidRPr="004C2A59">
        <w:rPr>
          <w:b/>
          <w:color w:val="000000"/>
          <w:sz w:val="22"/>
          <w:szCs w:val="22"/>
          <w:lang w:val="da-DK"/>
        </w:rPr>
        <w:tab/>
        <w:t>LÆGEMIDDELFORM</w:t>
      </w:r>
    </w:p>
    <w:p w14:paraId="4F0A9E4B" w14:textId="77777777" w:rsidR="00C107A9" w:rsidRPr="004C2A59" w:rsidRDefault="00C107A9" w:rsidP="00A125B0">
      <w:pPr>
        <w:keepNext/>
        <w:widowControl w:val="0"/>
        <w:suppressAutoHyphens/>
        <w:rPr>
          <w:color w:val="000000"/>
          <w:sz w:val="22"/>
          <w:szCs w:val="22"/>
          <w:lang w:val="da-DK"/>
        </w:rPr>
      </w:pPr>
    </w:p>
    <w:p w14:paraId="65677417" w14:textId="77777777" w:rsidR="00C107A9" w:rsidRPr="004C2A59" w:rsidRDefault="00C107A9" w:rsidP="00A125B0">
      <w:pPr>
        <w:keepNext/>
        <w:widowControl w:val="0"/>
        <w:suppressAutoHyphens/>
        <w:rPr>
          <w:color w:val="000000"/>
          <w:sz w:val="22"/>
          <w:szCs w:val="22"/>
          <w:lang w:val="da-DK"/>
        </w:rPr>
      </w:pPr>
      <w:r w:rsidRPr="004C2A59">
        <w:rPr>
          <w:color w:val="000000"/>
          <w:sz w:val="22"/>
          <w:szCs w:val="22"/>
          <w:lang w:val="da-DK"/>
        </w:rPr>
        <w:t>Filmovertruk</w:t>
      </w:r>
      <w:r w:rsidR="00685C1F" w:rsidRPr="004C2A59">
        <w:rPr>
          <w:color w:val="000000"/>
          <w:sz w:val="22"/>
          <w:szCs w:val="22"/>
          <w:lang w:val="da-DK"/>
        </w:rPr>
        <w:t>ket</w:t>
      </w:r>
      <w:r w:rsidRPr="004C2A59">
        <w:rPr>
          <w:color w:val="000000"/>
          <w:sz w:val="22"/>
          <w:szCs w:val="22"/>
          <w:lang w:val="da-DK"/>
        </w:rPr>
        <w:t xml:space="preserve"> tablet</w:t>
      </w:r>
    </w:p>
    <w:p w14:paraId="4CDD962F" w14:textId="77777777" w:rsidR="00C107A9" w:rsidRPr="004C2A59" w:rsidRDefault="00C107A9" w:rsidP="00A125B0">
      <w:pPr>
        <w:pStyle w:val="EndnoteText"/>
        <w:keepNext/>
        <w:tabs>
          <w:tab w:val="clear" w:pos="567"/>
        </w:tabs>
        <w:suppressAutoHyphens/>
        <w:rPr>
          <w:color w:val="000000"/>
          <w:szCs w:val="22"/>
        </w:rPr>
      </w:pPr>
    </w:p>
    <w:p w14:paraId="6BD75E44" w14:textId="77777777" w:rsidR="00754053" w:rsidRDefault="00754053" w:rsidP="00421681">
      <w:pPr>
        <w:pStyle w:val="EndnoteText"/>
        <w:keepNext/>
        <w:tabs>
          <w:tab w:val="clear" w:pos="567"/>
        </w:tabs>
        <w:suppressAutoHyphens/>
        <w:rPr>
          <w:color w:val="000000"/>
          <w:szCs w:val="22"/>
          <w:u w:val="single"/>
        </w:rPr>
      </w:pPr>
      <w:r>
        <w:rPr>
          <w:color w:val="000000"/>
          <w:szCs w:val="22"/>
          <w:u w:val="single"/>
        </w:rPr>
        <w:t>Glivec 100</w:t>
      </w:r>
      <w:r w:rsidR="00DA5D95">
        <w:rPr>
          <w:color w:val="000000"/>
          <w:szCs w:val="22"/>
          <w:u w:val="single"/>
        </w:rPr>
        <w:t> </w:t>
      </w:r>
      <w:r>
        <w:rPr>
          <w:color w:val="000000"/>
          <w:szCs w:val="22"/>
          <w:u w:val="single"/>
        </w:rPr>
        <w:t>mg filmovertrukne tabletter</w:t>
      </w:r>
    </w:p>
    <w:p w14:paraId="404844B3" w14:textId="77777777" w:rsidR="00C107A9" w:rsidRPr="004C2A59" w:rsidRDefault="00C107A9" w:rsidP="00421681">
      <w:pPr>
        <w:pStyle w:val="EndnoteText"/>
        <w:tabs>
          <w:tab w:val="clear" w:pos="567"/>
        </w:tabs>
        <w:suppressAutoHyphens/>
        <w:rPr>
          <w:color w:val="000000"/>
          <w:szCs w:val="22"/>
        </w:rPr>
      </w:pPr>
      <w:r w:rsidRPr="004C2A59">
        <w:rPr>
          <w:color w:val="000000"/>
          <w:szCs w:val="22"/>
        </w:rPr>
        <w:t>Meget mørk gul til brunlig-orange filmovertrukken tablet, rund med ”</w:t>
      </w:r>
      <w:smartTag w:uri="urn:schemas-microsoft-com:office:smarttags" w:element="metricconverter">
        <w:r w:rsidRPr="004C2A59">
          <w:rPr>
            <w:color w:val="000000"/>
            <w:szCs w:val="22"/>
          </w:rPr>
          <w:t>NVR</w:t>
        </w:r>
      </w:smartTag>
      <w:r w:rsidRPr="004C2A59">
        <w:rPr>
          <w:color w:val="000000"/>
          <w:szCs w:val="22"/>
        </w:rPr>
        <w:t>” på den ene side og ”SA” samt delekærv på den anden side.</w:t>
      </w:r>
    </w:p>
    <w:p w14:paraId="2F805361" w14:textId="77777777" w:rsidR="00C107A9" w:rsidRDefault="00C107A9" w:rsidP="00421681">
      <w:pPr>
        <w:pStyle w:val="EndnoteText"/>
        <w:tabs>
          <w:tab w:val="clear" w:pos="567"/>
        </w:tabs>
        <w:suppressAutoHyphens/>
        <w:rPr>
          <w:color w:val="000000"/>
          <w:szCs w:val="22"/>
        </w:rPr>
      </w:pPr>
    </w:p>
    <w:p w14:paraId="690B8D99" w14:textId="77777777" w:rsidR="00754053" w:rsidRDefault="00754053" w:rsidP="00421681">
      <w:pPr>
        <w:pStyle w:val="EndnoteText"/>
        <w:keepNext/>
        <w:tabs>
          <w:tab w:val="clear" w:pos="567"/>
        </w:tabs>
        <w:suppressAutoHyphens/>
        <w:rPr>
          <w:color w:val="000000"/>
          <w:szCs w:val="22"/>
          <w:u w:val="single"/>
        </w:rPr>
      </w:pPr>
      <w:r>
        <w:rPr>
          <w:color w:val="000000"/>
          <w:szCs w:val="22"/>
          <w:u w:val="single"/>
        </w:rPr>
        <w:t>Glivec 400</w:t>
      </w:r>
      <w:r w:rsidR="00DA5D95">
        <w:rPr>
          <w:color w:val="000000"/>
          <w:szCs w:val="22"/>
          <w:u w:val="single"/>
        </w:rPr>
        <w:t> </w:t>
      </w:r>
      <w:r>
        <w:rPr>
          <w:color w:val="000000"/>
          <w:szCs w:val="22"/>
          <w:u w:val="single"/>
        </w:rPr>
        <w:t>mg filmovertrukne tabletter</w:t>
      </w:r>
    </w:p>
    <w:p w14:paraId="7B440CDB" w14:textId="77777777" w:rsidR="00754053" w:rsidRPr="004C2A59" w:rsidRDefault="00754053" w:rsidP="00421681">
      <w:pPr>
        <w:pStyle w:val="EndnoteText"/>
        <w:tabs>
          <w:tab w:val="clear" w:pos="567"/>
        </w:tabs>
        <w:suppressAutoHyphens/>
        <w:rPr>
          <w:color w:val="000000"/>
          <w:szCs w:val="22"/>
        </w:rPr>
      </w:pPr>
      <w:r w:rsidRPr="004C2A59">
        <w:rPr>
          <w:color w:val="000000"/>
          <w:szCs w:val="22"/>
        </w:rPr>
        <w:t xml:space="preserve">Meget mørk gul til brunlig-orange </w:t>
      </w:r>
      <w:r>
        <w:rPr>
          <w:color w:val="000000"/>
          <w:szCs w:val="22"/>
        </w:rPr>
        <w:t xml:space="preserve">oval, bikonveks, </w:t>
      </w:r>
      <w:r w:rsidRPr="004C2A59">
        <w:rPr>
          <w:color w:val="000000"/>
          <w:szCs w:val="22"/>
        </w:rPr>
        <w:t xml:space="preserve">filmovertrukken tablet med skrå kanter, </w:t>
      </w:r>
      <w:r w:rsidR="00BA6F04">
        <w:rPr>
          <w:color w:val="000000"/>
          <w:szCs w:val="22"/>
        </w:rPr>
        <w:t>præget</w:t>
      </w:r>
      <w:r w:rsidRPr="004C2A59">
        <w:rPr>
          <w:color w:val="000000"/>
          <w:szCs w:val="22"/>
        </w:rPr>
        <w:t xml:space="preserve"> med ”glivec” på den ene side.</w:t>
      </w:r>
    </w:p>
    <w:p w14:paraId="7CAE2B6F" w14:textId="77777777" w:rsidR="00754053" w:rsidRPr="004C2A59" w:rsidRDefault="00754053" w:rsidP="00421681">
      <w:pPr>
        <w:pStyle w:val="EndnoteText"/>
        <w:tabs>
          <w:tab w:val="clear" w:pos="567"/>
        </w:tabs>
        <w:suppressAutoHyphens/>
        <w:rPr>
          <w:color w:val="000000"/>
          <w:szCs w:val="22"/>
        </w:rPr>
      </w:pPr>
    </w:p>
    <w:p w14:paraId="40C54785" w14:textId="77777777" w:rsidR="00C107A9" w:rsidRPr="004C2A59" w:rsidRDefault="00C107A9" w:rsidP="00421681">
      <w:pPr>
        <w:pStyle w:val="EndnoteText"/>
        <w:tabs>
          <w:tab w:val="clear" w:pos="567"/>
        </w:tabs>
        <w:suppressAutoHyphens/>
        <w:rPr>
          <w:color w:val="000000"/>
          <w:szCs w:val="22"/>
        </w:rPr>
      </w:pPr>
    </w:p>
    <w:p w14:paraId="6B559F71" w14:textId="77777777" w:rsidR="00A361AD" w:rsidRPr="004C2A59" w:rsidRDefault="00A361AD" w:rsidP="00A125B0">
      <w:pPr>
        <w:keepNext/>
        <w:widowControl w:val="0"/>
        <w:suppressAutoHyphens/>
        <w:ind w:left="567" w:hanging="567"/>
        <w:rPr>
          <w:color w:val="000000"/>
          <w:sz w:val="22"/>
          <w:szCs w:val="22"/>
          <w:lang w:val="da-DK"/>
        </w:rPr>
      </w:pPr>
      <w:r w:rsidRPr="004C2A59">
        <w:rPr>
          <w:b/>
          <w:color w:val="000000"/>
          <w:sz w:val="22"/>
          <w:szCs w:val="22"/>
          <w:lang w:val="da-DK"/>
        </w:rPr>
        <w:t>4.</w:t>
      </w:r>
      <w:r w:rsidRPr="004C2A59">
        <w:rPr>
          <w:b/>
          <w:color w:val="000000"/>
          <w:sz w:val="22"/>
          <w:szCs w:val="22"/>
          <w:lang w:val="da-DK"/>
        </w:rPr>
        <w:tab/>
        <w:t>KLINISKE OPLYSNINGER</w:t>
      </w:r>
    </w:p>
    <w:p w14:paraId="4ED2A1FE" w14:textId="77777777" w:rsidR="00A361AD" w:rsidRPr="004C2A59" w:rsidRDefault="00A361AD" w:rsidP="00A125B0">
      <w:pPr>
        <w:keepNext/>
        <w:widowControl w:val="0"/>
        <w:suppressAutoHyphens/>
        <w:rPr>
          <w:color w:val="000000"/>
          <w:sz w:val="22"/>
          <w:szCs w:val="22"/>
          <w:lang w:val="da-DK"/>
        </w:rPr>
      </w:pPr>
    </w:p>
    <w:p w14:paraId="019D7581" w14:textId="77777777" w:rsidR="00A361AD" w:rsidRPr="004C2A59" w:rsidRDefault="00A361AD" w:rsidP="00A125B0">
      <w:pPr>
        <w:keepNext/>
        <w:widowControl w:val="0"/>
        <w:suppressAutoHyphens/>
        <w:ind w:left="570" w:hanging="570"/>
        <w:rPr>
          <w:color w:val="000000"/>
          <w:sz w:val="22"/>
          <w:szCs w:val="22"/>
          <w:lang w:val="da-DK"/>
        </w:rPr>
      </w:pPr>
      <w:r w:rsidRPr="004C2A59">
        <w:rPr>
          <w:b/>
          <w:color w:val="000000"/>
          <w:sz w:val="22"/>
          <w:szCs w:val="22"/>
          <w:lang w:val="da-DK"/>
        </w:rPr>
        <w:t>4.1</w:t>
      </w:r>
      <w:r w:rsidRPr="004C2A59">
        <w:rPr>
          <w:b/>
          <w:color w:val="000000"/>
          <w:sz w:val="22"/>
          <w:szCs w:val="22"/>
          <w:lang w:val="da-DK"/>
        </w:rPr>
        <w:tab/>
        <w:t>Terapeutiske indikationer</w:t>
      </w:r>
    </w:p>
    <w:p w14:paraId="10B17C61" w14:textId="77777777" w:rsidR="00A361AD" w:rsidRPr="004C2A59" w:rsidRDefault="00A361AD" w:rsidP="00A125B0">
      <w:pPr>
        <w:keepNext/>
        <w:widowControl w:val="0"/>
        <w:rPr>
          <w:color w:val="000000"/>
          <w:sz w:val="22"/>
          <w:szCs w:val="22"/>
          <w:lang w:val="da-DK"/>
        </w:rPr>
      </w:pPr>
    </w:p>
    <w:p w14:paraId="03FD56A8" w14:textId="77777777" w:rsidR="00A361AD" w:rsidRPr="004C2A59" w:rsidRDefault="00A361AD" w:rsidP="00A125B0">
      <w:pPr>
        <w:keepNext/>
        <w:rPr>
          <w:color w:val="000000"/>
          <w:sz w:val="22"/>
          <w:szCs w:val="22"/>
          <w:lang w:val="da-DK"/>
        </w:rPr>
      </w:pPr>
      <w:r w:rsidRPr="004C2A59">
        <w:rPr>
          <w:color w:val="000000"/>
          <w:sz w:val="22"/>
          <w:szCs w:val="22"/>
          <w:lang w:val="da-DK"/>
        </w:rPr>
        <w:t>Glivec er indiceret til behandling af</w:t>
      </w:r>
    </w:p>
    <w:p w14:paraId="28F2199A" w14:textId="77777777" w:rsidR="00A361AD" w:rsidRPr="004C2A59" w:rsidRDefault="00A361AD" w:rsidP="00421681">
      <w:pPr>
        <w:numPr>
          <w:ilvl w:val="0"/>
          <w:numId w:val="8"/>
        </w:numPr>
        <w:tabs>
          <w:tab w:val="clear" w:pos="360"/>
        </w:tabs>
        <w:ind w:left="567" w:hanging="567"/>
        <w:rPr>
          <w:color w:val="000000"/>
          <w:sz w:val="22"/>
          <w:szCs w:val="22"/>
          <w:lang w:val="da-DK"/>
        </w:rPr>
      </w:pPr>
      <w:r w:rsidRPr="004C2A59">
        <w:rPr>
          <w:color w:val="000000"/>
          <w:sz w:val="22"/>
          <w:szCs w:val="22"/>
          <w:lang w:val="da-DK"/>
        </w:rPr>
        <w:t>voksne og børn med nydiagnosticeret Philadelphia</w:t>
      </w:r>
      <w:r w:rsidR="005C2286" w:rsidRPr="004C2A59">
        <w:rPr>
          <w:color w:val="000000"/>
          <w:sz w:val="22"/>
          <w:szCs w:val="22"/>
          <w:lang w:val="da-DK"/>
        </w:rPr>
        <w:t>-</w:t>
      </w:r>
      <w:r w:rsidRPr="004C2A59">
        <w:rPr>
          <w:color w:val="000000"/>
          <w:sz w:val="22"/>
          <w:szCs w:val="22"/>
          <w:lang w:val="da-DK"/>
        </w:rPr>
        <w:t>kromosom (bcr-abl) positiv (Ph+) kronisk myeloid leukæmi (CML), for hvilke knoglemarvstransplantation ikke anses for førstevalgsbehandling.</w:t>
      </w:r>
    </w:p>
    <w:p w14:paraId="6ACCEB5E" w14:textId="77777777" w:rsidR="00A361AD" w:rsidRPr="004C2A59" w:rsidRDefault="00A361AD" w:rsidP="00421681">
      <w:pPr>
        <w:numPr>
          <w:ilvl w:val="0"/>
          <w:numId w:val="8"/>
        </w:numPr>
        <w:tabs>
          <w:tab w:val="clear" w:pos="360"/>
        </w:tabs>
        <w:ind w:left="567" w:hanging="567"/>
        <w:rPr>
          <w:color w:val="000000"/>
          <w:sz w:val="22"/>
          <w:szCs w:val="22"/>
          <w:lang w:val="da-DK"/>
        </w:rPr>
      </w:pPr>
      <w:r w:rsidRPr="004C2A59">
        <w:rPr>
          <w:color w:val="000000"/>
          <w:sz w:val="22"/>
          <w:szCs w:val="22"/>
          <w:lang w:val="da-DK"/>
        </w:rPr>
        <w:t>voksne og børn</w:t>
      </w:r>
      <w:r w:rsidRPr="004C2A59">
        <w:rPr>
          <w:snapToGrid w:val="0"/>
          <w:color w:val="000000"/>
          <w:sz w:val="22"/>
          <w:szCs w:val="22"/>
          <w:lang w:val="da-DK" w:eastAsia="de-DE"/>
        </w:rPr>
        <w:t xml:space="preserve"> med Ph+ CML</w:t>
      </w:r>
      <w:r w:rsidRPr="004C2A59">
        <w:rPr>
          <w:color w:val="000000"/>
          <w:sz w:val="22"/>
          <w:szCs w:val="22"/>
          <w:lang w:val="da-DK"/>
        </w:rPr>
        <w:t xml:space="preserve"> i kronisk fase efter manglende effekt af alfa-interferonbehandling, eller i accelereret fase eller blastkrise.</w:t>
      </w:r>
    </w:p>
    <w:p w14:paraId="526E631B" w14:textId="77777777" w:rsidR="00A361AD" w:rsidRPr="004C2A59" w:rsidRDefault="00A361AD" w:rsidP="00421681">
      <w:pPr>
        <w:numPr>
          <w:ilvl w:val="0"/>
          <w:numId w:val="8"/>
        </w:numPr>
        <w:tabs>
          <w:tab w:val="clear" w:pos="360"/>
          <w:tab w:val="num" w:pos="567"/>
        </w:tabs>
        <w:ind w:left="567" w:hanging="567"/>
        <w:rPr>
          <w:color w:val="000000"/>
          <w:sz w:val="22"/>
          <w:szCs w:val="22"/>
          <w:lang w:val="da-DK"/>
        </w:rPr>
      </w:pPr>
      <w:r w:rsidRPr="004C2A59">
        <w:rPr>
          <w:color w:val="000000"/>
          <w:sz w:val="22"/>
          <w:szCs w:val="22"/>
          <w:lang w:val="da-DK"/>
        </w:rPr>
        <w:t xml:space="preserve">voksne </w:t>
      </w:r>
      <w:r w:rsidR="005C2286" w:rsidRPr="004C2A59">
        <w:rPr>
          <w:color w:val="000000"/>
          <w:sz w:val="22"/>
          <w:szCs w:val="22"/>
          <w:lang w:val="da-DK"/>
        </w:rPr>
        <w:t xml:space="preserve">og børn </w:t>
      </w:r>
      <w:r w:rsidRPr="004C2A59">
        <w:rPr>
          <w:color w:val="000000"/>
          <w:sz w:val="22"/>
          <w:szCs w:val="22"/>
          <w:lang w:val="da-DK"/>
        </w:rPr>
        <w:t>med nydiagnosticeret Philadelphia</w:t>
      </w:r>
      <w:r w:rsidR="005C2286" w:rsidRPr="004C2A59">
        <w:rPr>
          <w:color w:val="000000"/>
          <w:sz w:val="22"/>
          <w:szCs w:val="22"/>
          <w:lang w:val="da-DK"/>
        </w:rPr>
        <w:t>-</w:t>
      </w:r>
      <w:r w:rsidRPr="004C2A59">
        <w:rPr>
          <w:color w:val="000000"/>
          <w:sz w:val="22"/>
          <w:szCs w:val="22"/>
          <w:lang w:val="da-DK"/>
        </w:rPr>
        <w:t>kromosom</w:t>
      </w:r>
      <w:r w:rsidR="005C2286" w:rsidRPr="004C2A59">
        <w:rPr>
          <w:color w:val="000000"/>
          <w:sz w:val="22"/>
          <w:szCs w:val="22"/>
          <w:lang w:val="da-DK"/>
        </w:rPr>
        <w:t>-</w:t>
      </w:r>
      <w:r w:rsidRPr="004C2A59">
        <w:rPr>
          <w:color w:val="000000"/>
          <w:sz w:val="22"/>
          <w:szCs w:val="22"/>
          <w:lang w:val="da-DK"/>
        </w:rPr>
        <w:t xml:space="preserve">positiv akut lymfoblastær leukæmi (Ph+ </w:t>
      </w:r>
      <w:smartTag w:uri="urn:schemas-microsoft-com:office:smarttags" w:element="metricconverter">
        <w:r w:rsidRPr="004C2A59">
          <w:rPr>
            <w:color w:val="000000"/>
            <w:sz w:val="22"/>
            <w:szCs w:val="22"/>
            <w:lang w:val="da-DK"/>
          </w:rPr>
          <w:t>ALL</w:t>
        </w:r>
      </w:smartTag>
      <w:r w:rsidRPr="004C2A59">
        <w:rPr>
          <w:color w:val="000000"/>
          <w:sz w:val="22"/>
          <w:szCs w:val="22"/>
          <w:lang w:val="da-DK"/>
        </w:rPr>
        <w:t>) integreret med kemoterapi.</w:t>
      </w:r>
    </w:p>
    <w:p w14:paraId="6FDCDEE5" w14:textId="77777777" w:rsidR="00A361AD" w:rsidRPr="004C2A59" w:rsidRDefault="00A361AD" w:rsidP="00421681">
      <w:pPr>
        <w:numPr>
          <w:ilvl w:val="0"/>
          <w:numId w:val="8"/>
        </w:numPr>
        <w:tabs>
          <w:tab w:val="clear" w:pos="360"/>
          <w:tab w:val="num" w:pos="567"/>
        </w:tabs>
        <w:rPr>
          <w:color w:val="000000"/>
          <w:sz w:val="22"/>
          <w:szCs w:val="22"/>
          <w:lang w:val="da-DK"/>
        </w:rPr>
      </w:pPr>
      <w:r w:rsidRPr="004C2A59">
        <w:rPr>
          <w:color w:val="000000"/>
          <w:sz w:val="22"/>
          <w:szCs w:val="22"/>
          <w:lang w:val="da-DK"/>
        </w:rPr>
        <w:t xml:space="preserve">voksne patienter med Ph+ </w:t>
      </w:r>
      <w:smartTag w:uri="urn:schemas-microsoft-com:office:smarttags" w:element="metricconverter">
        <w:r w:rsidRPr="004C2A59">
          <w:rPr>
            <w:color w:val="000000"/>
            <w:sz w:val="22"/>
            <w:szCs w:val="22"/>
            <w:lang w:val="da-DK"/>
          </w:rPr>
          <w:t>ALL</w:t>
        </w:r>
      </w:smartTag>
      <w:r w:rsidRPr="004C2A59">
        <w:rPr>
          <w:color w:val="000000"/>
          <w:sz w:val="22"/>
          <w:szCs w:val="22"/>
          <w:lang w:val="da-DK"/>
        </w:rPr>
        <w:t xml:space="preserve"> med tilbagefald eller refraktær sygdom som monoterapi.</w:t>
      </w:r>
    </w:p>
    <w:p w14:paraId="075FDA1A" w14:textId="77777777" w:rsidR="00A361AD" w:rsidRPr="004C2A59" w:rsidRDefault="00A361AD" w:rsidP="00421681">
      <w:pPr>
        <w:numPr>
          <w:ilvl w:val="0"/>
          <w:numId w:val="8"/>
        </w:numPr>
        <w:tabs>
          <w:tab w:val="clear" w:pos="360"/>
          <w:tab w:val="num" w:pos="567"/>
        </w:tabs>
        <w:ind w:left="567" w:hanging="567"/>
        <w:rPr>
          <w:color w:val="000000"/>
          <w:sz w:val="22"/>
          <w:szCs w:val="22"/>
          <w:lang w:val="da-DK"/>
        </w:rPr>
      </w:pPr>
      <w:r w:rsidRPr="004C2A59">
        <w:rPr>
          <w:color w:val="000000"/>
          <w:sz w:val="22"/>
          <w:szCs w:val="22"/>
          <w:lang w:val="da-DK"/>
        </w:rPr>
        <w:t>voksne patienter med myelodysplastisk syndrom/myeloproliferative sygdomme (</w:t>
      </w:r>
      <w:smartTag w:uri="urn:schemas-microsoft-com:office:smarttags" w:element="metricconverter">
        <w:r w:rsidRPr="004C2A59">
          <w:rPr>
            <w:color w:val="000000"/>
            <w:sz w:val="22"/>
            <w:szCs w:val="22"/>
            <w:lang w:val="da-DK"/>
          </w:rPr>
          <w:t>MDS</w:t>
        </w:r>
      </w:smartTag>
      <w:r w:rsidRPr="004C2A59">
        <w:rPr>
          <w:color w:val="000000"/>
          <w:sz w:val="22"/>
          <w:szCs w:val="22"/>
          <w:lang w:val="da-DK"/>
        </w:rPr>
        <w:t>/MPD) som er forbundet med platelet-derived growth factor receptor-omlejring (PDGFR-omlejring).</w:t>
      </w:r>
    </w:p>
    <w:p w14:paraId="033EC1EF" w14:textId="77777777" w:rsidR="00A361AD" w:rsidRPr="004C2A59" w:rsidRDefault="00A361AD" w:rsidP="00421681">
      <w:pPr>
        <w:numPr>
          <w:ilvl w:val="0"/>
          <w:numId w:val="8"/>
        </w:numPr>
        <w:tabs>
          <w:tab w:val="clear" w:pos="360"/>
          <w:tab w:val="num" w:pos="567"/>
        </w:tabs>
        <w:ind w:left="567" w:hanging="567"/>
        <w:rPr>
          <w:color w:val="000000"/>
          <w:sz w:val="22"/>
          <w:szCs w:val="22"/>
          <w:lang w:val="da-DK"/>
        </w:rPr>
      </w:pPr>
      <w:r w:rsidRPr="004C2A59">
        <w:rPr>
          <w:color w:val="000000"/>
          <w:sz w:val="22"/>
          <w:szCs w:val="22"/>
          <w:lang w:val="da-DK"/>
        </w:rPr>
        <w:t>voksne patienter med refraktært hypereosiniphil syndrom (HES) og/eller kronisk eosinofil leukæmi (</w:t>
      </w:r>
      <w:smartTag w:uri="urn:schemas-microsoft-com:office:smarttags" w:element="metricconverter">
        <w:r w:rsidRPr="004C2A59">
          <w:rPr>
            <w:color w:val="000000"/>
            <w:sz w:val="22"/>
            <w:szCs w:val="22"/>
            <w:lang w:val="da-DK"/>
          </w:rPr>
          <w:t>CEL</w:t>
        </w:r>
      </w:smartTag>
      <w:r w:rsidRPr="004C2A59">
        <w:rPr>
          <w:color w:val="000000"/>
          <w:sz w:val="22"/>
          <w:szCs w:val="22"/>
          <w:lang w:val="da-DK"/>
        </w:rPr>
        <w:t xml:space="preserve">) </w:t>
      </w:r>
      <w:r w:rsidR="009F755F">
        <w:rPr>
          <w:color w:val="000000"/>
          <w:sz w:val="22"/>
          <w:szCs w:val="22"/>
          <w:lang w:val="da-DK"/>
        </w:rPr>
        <w:t>med</w:t>
      </w:r>
      <w:r w:rsidR="009F755F" w:rsidRPr="004C2A59">
        <w:rPr>
          <w:color w:val="000000"/>
          <w:sz w:val="22"/>
          <w:szCs w:val="22"/>
          <w:lang w:val="da-DK"/>
        </w:rPr>
        <w:t xml:space="preserve"> </w:t>
      </w:r>
      <w:r w:rsidRPr="004C2A59">
        <w:rPr>
          <w:color w:val="000000"/>
          <w:sz w:val="22"/>
          <w:szCs w:val="22"/>
          <w:lang w:val="da-DK"/>
        </w:rPr>
        <w:t>FIP1L1</w:t>
      </w:r>
      <w:r w:rsidRPr="004C2A59">
        <w:rPr>
          <w:color w:val="000000"/>
          <w:sz w:val="22"/>
          <w:szCs w:val="22"/>
          <w:lang w:val="da-DK"/>
        </w:rPr>
        <w:noBreakHyphen/>
        <w:t>PDGFR</w:t>
      </w:r>
      <w:r w:rsidRPr="004C2A59">
        <w:rPr>
          <w:color w:val="000000"/>
          <w:sz w:val="22"/>
          <w:szCs w:val="22"/>
        </w:rPr>
        <w:sym w:font="Symbol" w:char="F061"/>
      </w:r>
      <w:r w:rsidRPr="004C2A59">
        <w:rPr>
          <w:color w:val="000000"/>
          <w:sz w:val="22"/>
          <w:szCs w:val="22"/>
          <w:lang w:val="da-DK"/>
        </w:rPr>
        <w:t>-omlejring.</w:t>
      </w:r>
    </w:p>
    <w:p w14:paraId="19A2A0EE" w14:textId="77777777" w:rsidR="00A361AD" w:rsidRPr="004C2A59" w:rsidRDefault="00A361AD" w:rsidP="00421681">
      <w:pPr>
        <w:rPr>
          <w:color w:val="000000"/>
          <w:sz w:val="22"/>
          <w:szCs w:val="22"/>
          <w:lang w:val="da-DK"/>
        </w:rPr>
      </w:pPr>
    </w:p>
    <w:p w14:paraId="0F04794C" w14:textId="77777777" w:rsidR="00A361AD" w:rsidRPr="004C2A59" w:rsidRDefault="00A361AD" w:rsidP="00421681">
      <w:pPr>
        <w:rPr>
          <w:color w:val="000000"/>
          <w:sz w:val="22"/>
          <w:szCs w:val="22"/>
          <w:lang w:val="da-DK"/>
        </w:rPr>
      </w:pPr>
      <w:r w:rsidRPr="004C2A59">
        <w:rPr>
          <w:color w:val="000000"/>
          <w:sz w:val="22"/>
          <w:szCs w:val="22"/>
          <w:lang w:val="da-DK"/>
        </w:rPr>
        <w:t>Glivecs effekt på resultatet af knoglemarvstransplantation er ikke blevet bestemt.</w:t>
      </w:r>
    </w:p>
    <w:p w14:paraId="39AE10E2" w14:textId="77777777" w:rsidR="00A361AD" w:rsidRPr="004C2A59" w:rsidRDefault="00A361AD" w:rsidP="00421681">
      <w:pPr>
        <w:rPr>
          <w:color w:val="000000"/>
          <w:sz w:val="22"/>
          <w:szCs w:val="22"/>
          <w:lang w:val="da-DK"/>
        </w:rPr>
      </w:pPr>
    </w:p>
    <w:p w14:paraId="65CA7163" w14:textId="77777777" w:rsidR="00A361AD" w:rsidRPr="004C2A59" w:rsidRDefault="00A361AD" w:rsidP="00A125B0">
      <w:pPr>
        <w:keepNext/>
        <w:rPr>
          <w:color w:val="000000"/>
          <w:sz w:val="22"/>
          <w:szCs w:val="22"/>
          <w:lang w:val="da-DK"/>
        </w:rPr>
      </w:pPr>
      <w:r w:rsidRPr="004C2A59">
        <w:rPr>
          <w:color w:val="000000"/>
          <w:sz w:val="22"/>
          <w:szCs w:val="22"/>
          <w:lang w:val="da-DK"/>
        </w:rPr>
        <w:lastRenderedPageBreak/>
        <w:t>Glivec er indiceret til</w:t>
      </w:r>
    </w:p>
    <w:p w14:paraId="226CC127" w14:textId="77777777" w:rsidR="00A361AD" w:rsidRPr="004C2A59" w:rsidRDefault="00A361AD" w:rsidP="00421681">
      <w:pPr>
        <w:numPr>
          <w:ilvl w:val="0"/>
          <w:numId w:val="9"/>
        </w:numPr>
        <w:tabs>
          <w:tab w:val="clear" w:pos="360"/>
        </w:tabs>
        <w:ind w:left="567" w:hanging="567"/>
        <w:rPr>
          <w:color w:val="000000"/>
          <w:sz w:val="22"/>
          <w:szCs w:val="22"/>
          <w:lang w:val="da-DK"/>
        </w:rPr>
      </w:pPr>
      <w:r w:rsidRPr="004C2A59">
        <w:rPr>
          <w:color w:val="000000"/>
          <w:sz w:val="22"/>
          <w:szCs w:val="22"/>
          <w:lang w:val="da-DK"/>
        </w:rPr>
        <w:t>behandling af voksne patienter med Kit (CD 117) positiv, inoperable og/eller metastaserende maligne gastrointestinale bindevævstumorer (GIST).</w:t>
      </w:r>
    </w:p>
    <w:p w14:paraId="413AB502" w14:textId="77777777" w:rsidR="00A361AD" w:rsidRPr="004C2A59" w:rsidRDefault="00A361AD" w:rsidP="00421681">
      <w:pPr>
        <w:numPr>
          <w:ilvl w:val="0"/>
          <w:numId w:val="9"/>
        </w:numPr>
        <w:tabs>
          <w:tab w:val="clear" w:pos="360"/>
        </w:tabs>
        <w:ind w:left="567" w:hanging="567"/>
        <w:rPr>
          <w:color w:val="000000"/>
          <w:sz w:val="22"/>
          <w:szCs w:val="22"/>
          <w:lang w:val="da-DK"/>
        </w:rPr>
      </w:pPr>
      <w:r w:rsidRPr="004C2A59">
        <w:rPr>
          <w:color w:val="000000"/>
          <w:sz w:val="22"/>
          <w:szCs w:val="22"/>
          <w:lang w:val="da-DK"/>
        </w:rPr>
        <w:t>adjuverende behandling af voksne patienter, som har signifikant risiko for tilbagefald efter resektion af Kit (CD117)-positiv GIST. Patienter, der har lav eller meget lav risiko for tilbagefald, bør ikke få adjuverende behandling.</w:t>
      </w:r>
    </w:p>
    <w:p w14:paraId="043EDE47" w14:textId="77777777" w:rsidR="00A361AD" w:rsidRPr="004C2A59" w:rsidRDefault="00A361AD" w:rsidP="00421681">
      <w:pPr>
        <w:numPr>
          <w:ilvl w:val="0"/>
          <w:numId w:val="9"/>
        </w:numPr>
        <w:tabs>
          <w:tab w:val="clear" w:pos="360"/>
        </w:tabs>
        <w:ind w:left="567" w:hanging="567"/>
        <w:rPr>
          <w:color w:val="000000"/>
          <w:sz w:val="22"/>
          <w:szCs w:val="22"/>
          <w:lang w:val="da-DK"/>
        </w:rPr>
      </w:pPr>
      <w:r w:rsidRPr="004C2A59">
        <w:rPr>
          <w:color w:val="000000"/>
          <w:sz w:val="22"/>
          <w:szCs w:val="22"/>
          <w:lang w:val="da-DK"/>
        </w:rPr>
        <w:t>behandling af voksne patienter med inoperabel dermatofibrosarkom protuberans (DFSP) og voksne patienter med residiverende og/eller metastaserende DFSP som ikke er tilgængelig for kirurgi.</w:t>
      </w:r>
    </w:p>
    <w:p w14:paraId="7AE20761" w14:textId="77777777" w:rsidR="00A361AD" w:rsidRPr="004C2A59" w:rsidRDefault="00A361AD" w:rsidP="00421681">
      <w:pPr>
        <w:rPr>
          <w:color w:val="000000"/>
          <w:sz w:val="22"/>
          <w:szCs w:val="22"/>
          <w:lang w:val="da-DK"/>
        </w:rPr>
      </w:pPr>
    </w:p>
    <w:p w14:paraId="4C422047" w14:textId="77777777" w:rsidR="00A361AD" w:rsidRPr="004C2A59" w:rsidRDefault="00A361AD" w:rsidP="00421681">
      <w:pPr>
        <w:rPr>
          <w:color w:val="000000"/>
          <w:sz w:val="22"/>
          <w:szCs w:val="22"/>
          <w:lang w:val="da-DK"/>
        </w:rPr>
      </w:pPr>
      <w:r w:rsidRPr="004C2A59">
        <w:rPr>
          <w:color w:val="000000"/>
          <w:sz w:val="22"/>
          <w:szCs w:val="22"/>
          <w:lang w:val="da-DK"/>
        </w:rPr>
        <w:t xml:space="preserve">Glivecs effekt er hos voksne og børn baseret på generelle hæmatologiske og cytogene responsrater og progressionsfri overlevelse ved CML, på hæmatologiske og cytogenetiske responsrater ved Ph+ </w:t>
      </w:r>
      <w:smartTag w:uri="urn:schemas-microsoft-com:office:smarttags" w:element="metricconverter">
        <w:r w:rsidRPr="004C2A59">
          <w:rPr>
            <w:color w:val="000000"/>
            <w:sz w:val="22"/>
            <w:szCs w:val="22"/>
            <w:lang w:val="da-DK"/>
          </w:rPr>
          <w:t>ALL</w:t>
        </w:r>
      </w:smartTag>
      <w:r w:rsidRPr="004C2A59">
        <w:rPr>
          <w:color w:val="000000"/>
          <w:sz w:val="22"/>
          <w:szCs w:val="22"/>
          <w:lang w:val="da-DK"/>
        </w:rPr>
        <w:t xml:space="preserve">, </w:t>
      </w:r>
      <w:smartTag w:uri="urn:schemas-microsoft-com:office:smarttags" w:element="metricconverter">
        <w:r w:rsidRPr="004C2A59">
          <w:rPr>
            <w:color w:val="000000"/>
            <w:sz w:val="22"/>
            <w:szCs w:val="22"/>
            <w:lang w:val="da-DK"/>
          </w:rPr>
          <w:t>MDS</w:t>
        </w:r>
      </w:smartTag>
      <w:r w:rsidRPr="004C2A59">
        <w:rPr>
          <w:color w:val="000000"/>
          <w:sz w:val="22"/>
          <w:szCs w:val="22"/>
          <w:lang w:val="da-DK"/>
        </w:rPr>
        <w:t>/MPD, på hæmatologiske responsrater ved HES/</w:t>
      </w:r>
      <w:smartTag w:uri="urn:schemas-microsoft-com:office:smarttags" w:element="metricconverter">
        <w:r w:rsidRPr="004C2A59">
          <w:rPr>
            <w:color w:val="000000"/>
            <w:sz w:val="22"/>
            <w:szCs w:val="22"/>
            <w:lang w:val="da-DK"/>
          </w:rPr>
          <w:t>CEL</w:t>
        </w:r>
      </w:smartTag>
      <w:r w:rsidRPr="004C2A59">
        <w:rPr>
          <w:color w:val="000000"/>
          <w:sz w:val="22"/>
          <w:szCs w:val="22"/>
          <w:lang w:val="da-DK"/>
        </w:rPr>
        <w:t xml:space="preserve">, på objektive responsrater hos voksne med inoperabel og/eller metastaserende GIST og DFSP samt på recidivfri overlevelse i adjuverende GIST. Der er kun begrænset erfaring med Glivec hos patienter med </w:t>
      </w:r>
      <w:smartTag w:uri="urn:schemas-microsoft-com:office:smarttags" w:element="metricconverter">
        <w:r w:rsidRPr="004C2A59">
          <w:rPr>
            <w:color w:val="000000"/>
            <w:sz w:val="22"/>
            <w:szCs w:val="22"/>
            <w:lang w:val="da-DK"/>
          </w:rPr>
          <w:t>MDS</w:t>
        </w:r>
      </w:smartTag>
      <w:r w:rsidRPr="004C2A59">
        <w:rPr>
          <w:color w:val="000000"/>
          <w:sz w:val="22"/>
          <w:szCs w:val="22"/>
          <w:lang w:val="da-DK"/>
        </w:rPr>
        <w:t>/MPD forbundet med PDGFR-omlejring (se pkt 5.1). Med undtagelse af nyligt diagnosticerede patienter med CML i kronisk fase, er der ikke gennemført kontrollerede undersøgelser, der har vist klinisk bedring eller øget overlevelse ved disse sygdomme.</w:t>
      </w:r>
    </w:p>
    <w:p w14:paraId="1FDD305E" w14:textId="77777777" w:rsidR="00A361AD" w:rsidRPr="004C2A59" w:rsidRDefault="00A361AD" w:rsidP="00421681">
      <w:pPr>
        <w:widowControl w:val="0"/>
        <w:rPr>
          <w:color w:val="000000"/>
          <w:sz w:val="22"/>
          <w:szCs w:val="22"/>
          <w:lang w:val="da-DK"/>
        </w:rPr>
      </w:pPr>
    </w:p>
    <w:p w14:paraId="03954132" w14:textId="77777777" w:rsidR="00A361AD" w:rsidRPr="004C2A59" w:rsidRDefault="00A361AD" w:rsidP="00A125B0">
      <w:pPr>
        <w:keepNext/>
        <w:widowControl w:val="0"/>
        <w:suppressAutoHyphens/>
        <w:ind w:left="567" w:hanging="567"/>
        <w:rPr>
          <w:color w:val="000000"/>
          <w:sz w:val="22"/>
          <w:szCs w:val="22"/>
          <w:lang w:val="da-DK"/>
        </w:rPr>
      </w:pPr>
      <w:r w:rsidRPr="004C2A59">
        <w:rPr>
          <w:b/>
          <w:color w:val="000000"/>
          <w:sz w:val="22"/>
          <w:szCs w:val="22"/>
          <w:lang w:val="da-DK"/>
        </w:rPr>
        <w:t>4.2</w:t>
      </w:r>
      <w:r w:rsidRPr="004C2A59">
        <w:rPr>
          <w:b/>
          <w:color w:val="000000"/>
          <w:sz w:val="22"/>
          <w:szCs w:val="22"/>
          <w:lang w:val="da-DK"/>
        </w:rPr>
        <w:tab/>
        <w:t xml:space="preserve">Dosering og </w:t>
      </w:r>
      <w:r w:rsidR="001B377C" w:rsidRPr="004C2A59">
        <w:rPr>
          <w:b/>
          <w:color w:val="000000"/>
          <w:sz w:val="22"/>
          <w:szCs w:val="22"/>
          <w:lang w:val="da-DK"/>
        </w:rPr>
        <w:t>administration</w:t>
      </w:r>
    </w:p>
    <w:p w14:paraId="0FF2D3BD" w14:textId="77777777" w:rsidR="00C107A9" w:rsidRPr="004C2A59" w:rsidRDefault="00C107A9" w:rsidP="00A125B0">
      <w:pPr>
        <w:keepNext/>
        <w:widowControl w:val="0"/>
        <w:rPr>
          <w:color w:val="000000"/>
          <w:sz w:val="22"/>
          <w:szCs w:val="22"/>
          <w:lang w:val="da-DK"/>
        </w:rPr>
      </w:pPr>
    </w:p>
    <w:p w14:paraId="71B1B274" w14:textId="77777777" w:rsidR="00C107A9" w:rsidRPr="004C2A59" w:rsidRDefault="00C107A9" w:rsidP="00421681">
      <w:pPr>
        <w:widowControl w:val="0"/>
        <w:rPr>
          <w:color w:val="000000"/>
          <w:sz w:val="22"/>
          <w:szCs w:val="22"/>
          <w:lang w:val="da-DK"/>
        </w:rPr>
      </w:pPr>
      <w:r w:rsidRPr="004C2A59">
        <w:rPr>
          <w:color w:val="000000"/>
          <w:sz w:val="22"/>
          <w:szCs w:val="22"/>
          <w:lang w:val="da-DK"/>
        </w:rPr>
        <w:t xml:space="preserve">Behandlingen bør initieres af en læge med erfaring i behandling af patienter med </w:t>
      </w:r>
      <w:r w:rsidR="00685C1F" w:rsidRPr="004C2A59">
        <w:rPr>
          <w:color w:val="000000"/>
          <w:sz w:val="22"/>
          <w:szCs w:val="22"/>
          <w:lang w:val="da-DK"/>
        </w:rPr>
        <w:t>maligne hæmatologiske lidelser og/eller maligne sarkomer eller som passende.</w:t>
      </w:r>
    </w:p>
    <w:p w14:paraId="49180034" w14:textId="77777777" w:rsidR="00C107A9" w:rsidRPr="004C2A59" w:rsidRDefault="00C107A9" w:rsidP="00421681">
      <w:pPr>
        <w:widowControl w:val="0"/>
        <w:rPr>
          <w:color w:val="000000"/>
          <w:sz w:val="22"/>
          <w:szCs w:val="22"/>
          <w:lang w:val="da-DK"/>
        </w:rPr>
      </w:pPr>
    </w:p>
    <w:p w14:paraId="38CCB2AB" w14:textId="77777777" w:rsidR="00754053" w:rsidRPr="00BE3BD9" w:rsidRDefault="00127255" w:rsidP="00421681">
      <w:pPr>
        <w:widowControl w:val="0"/>
        <w:rPr>
          <w:color w:val="000000"/>
          <w:sz w:val="22"/>
          <w:szCs w:val="22"/>
          <w:lang w:val="da-DK"/>
        </w:rPr>
      </w:pPr>
      <w:r w:rsidRPr="00BE3BD9">
        <w:rPr>
          <w:color w:val="000000"/>
          <w:sz w:val="22"/>
          <w:szCs w:val="22"/>
          <w:lang w:val="da-DK"/>
        </w:rPr>
        <w:t>Ved</w:t>
      </w:r>
      <w:r w:rsidR="00754053" w:rsidRPr="00BE3BD9">
        <w:rPr>
          <w:color w:val="000000"/>
          <w:sz w:val="22"/>
          <w:szCs w:val="22"/>
          <w:lang w:val="da-DK"/>
        </w:rPr>
        <w:t xml:space="preserve"> andre doser end 400 mg og 800</w:t>
      </w:r>
      <w:r w:rsidR="00DA5D95" w:rsidRPr="00BE3BD9">
        <w:rPr>
          <w:color w:val="000000"/>
          <w:sz w:val="22"/>
          <w:szCs w:val="22"/>
          <w:lang w:val="da-DK"/>
        </w:rPr>
        <w:t> </w:t>
      </w:r>
      <w:r w:rsidR="00754053" w:rsidRPr="00BE3BD9">
        <w:rPr>
          <w:color w:val="000000"/>
          <w:sz w:val="22"/>
          <w:szCs w:val="22"/>
          <w:lang w:val="da-DK"/>
        </w:rPr>
        <w:t xml:space="preserve">mg (se anbefalede doser nedenfor) er en 100 mg tablet </w:t>
      </w:r>
      <w:r w:rsidR="00B94267" w:rsidRPr="00BE3BD9">
        <w:rPr>
          <w:color w:val="000000"/>
          <w:sz w:val="22"/>
          <w:szCs w:val="22"/>
          <w:lang w:val="da-DK"/>
        </w:rPr>
        <w:t xml:space="preserve">med delekærv </w:t>
      </w:r>
      <w:r w:rsidR="00754053" w:rsidRPr="00BE3BD9">
        <w:rPr>
          <w:color w:val="000000"/>
          <w:sz w:val="22"/>
          <w:szCs w:val="22"/>
          <w:lang w:val="da-DK"/>
        </w:rPr>
        <w:t>tilgængelig.</w:t>
      </w:r>
    </w:p>
    <w:p w14:paraId="1FEF138E" w14:textId="77777777" w:rsidR="00610A3A" w:rsidRPr="004C2A59" w:rsidRDefault="00C107A9" w:rsidP="00421681">
      <w:pPr>
        <w:widowControl w:val="0"/>
        <w:rPr>
          <w:color w:val="000000"/>
          <w:sz w:val="22"/>
          <w:szCs w:val="22"/>
          <w:lang w:val="da-DK"/>
        </w:rPr>
      </w:pPr>
      <w:r w:rsidRPr="00BE3BD9">
        <w:rPr>
          <w:color w:val="000000"/>
          <w:sz w:val="22"/>
          <w:szCs w:val="22"/>
          <w:lang w:val="da-DK"/>
        </w:rPr>
        <w:t>Til doser på 400</w:t>
      </w:r>
      <w:r w:rsidR="00C17108" w:rsidRPr="00BE3BD9">
        <w:rPr>
          <w:color w:val="000000"/>
          <w:sz w:val="22"/>
          <w:szCs w:val="22"/>
          <w:lang w:val="da-DK"/>
        </w:rPr>
        <w:t> mg</w:t>
      </w:r>
      <w:r w:rsidRPr="00BE3BD9">
        <w:rPr>
          <w:color w:val="000000"/>
          <w:sz w:val="22"/>
          <w:szCs w:val="22"/>
          <w:lang w:val="da-DK"/>
        </w:rPr>
        <w:t xml:space="preserve"> og derover</w:t>
      </w:r>
      <w:r w:rsidRPr="004C2A59">
        <w:rPr>
          <w:color w:val="000000"/>
          <w:sz w:val="22"/>
          <w:szCs w:val="22"/>
          <w:lang w:val="da-DK"/>
        </w:rPr>
        <w:t xml:space="preserve"> (se anbefalede doser nedenfor) er en 400</w:t>
      </w:r>
      <w:r w:rsidR="00C17108" w:rsidRPr="004C2A59">
        <w:rPr>
          <w:color w:val="000000"/>
          <w:sz w:val="22"/>
          <w:szCs w:val="22"/>
          <w:lang w:val="da-DK"/>
        </w:rPr>
        <w:t> mg</w:t>
      </w:r>
      <w:r w:rsidRPr="004C2A59">
        <w:rPr>
          <w:color w:val="000000"/>
          <w:sz w:val="22"/>
          <w:szCs w:val="22"/>
          <w:lang w:val="da-DK"/>
        </w:rPr>
        <w:t xml:space="preserve"> tablet (ikke delelig) tilgængelig.</w:t>
      </w:r>
    </w:p>
    <w:p w14:paraId="31CDE25D" w14:textId="77777777" w:rsidR="00C107A9" w:rsidRPr="004C2A59" w:rsidRDefault="00C107A9" w:rsidP="00421681">
      <w:pPr>
        <w:widowControl w:val="0"/>
        <w:rPr>
          <w:color w:val="000000"/>
          <w:sz w:val="22"/>
          <w:szCs w:val="22"/>
          <w:lang w:val="da-DK"/>
        </w:rPr>
      </w:pPr>
    </w:p>
    <w:p w14:paraId="4271D0F8" w14:textId="77777777" w:rsidR="00610A3A" w:rsidRPr="004C2A59" w:rsidRDefault="00C107A9" w:rsidP="00421681">
      <w:pPr>
        <w:pStyle w:val="EndnoteText"/>
        <w:tabs>
          <w:tab w:val="clear" w:pos="567"/>
        </w:tabs>
        <w:rPr>
          <w:color w:val="000000"/>
          <w:szCs w:val="22"/>
        </w:rPr>
      </w:pPr>
      <w:r w:rsidRPr="004C2A59">
        <w:rPr>
          <w:color w:val="000000"/>
          <w:szCs w:val="22"/>
        </w:rPr>
        <w:t xml:space="preserve">Den ordinerede dosis bør administreres oralt sammen med et måltid og et stort glas vand for at minimere risikoen for gastrointestinale irritationer. </w:t>
      </w:r>
      <w:r w:rsidR="00A938A9" w:rsidRPr="004C2A59">
        <w:rPr>
          <w:color w:val="000000"/>
          <w:szCs w:val="22"/>
        </w:rPr>
        <w:t>Doser på 400 mg og 600 mg bør administreres 1 gang daglig, mens daglige doser på 800 </w:t>
      </w:r>
      <w:r w:rsidR="001C68E8" w:rsidRPr="004C2A59">
        <w:rPr>
          <w:color w:val="000000"/>
          <w:szCs w:val="22"/>
        </w:rPr>
        <w:t xml:space="preserve">mg </w:t>
      </w:r>
      <w:r w:rsidR="00A938A9" w:rsidRPr="004C2A59">
        <w:rPr>
          <w:color w:val="000000"/>
          <w:szCs w:val="22"/>
        </w:rPr>
        <w:t>bør administreres som 400 mg 2 gange daglig, én dosis om morgnen og én dosis om aftenen.</w:t>
      </w:r>
    </w:p>
    <w:p w14:paraId="236A8300" w14:textId="77777777" w:rsidR="00C107A9" w:rsidRPr="004C2A59" w:rsidRDefault="00C107A9" w:rsidP="00421681">
      <w:pPr>
        <w:pStyle w:val="EndnoteText"/>
        <w:tabs>
          <w:tab w:val="clear" w:pos="567"/>
        </w:tabs>
        <w:rPr>
          <w:color w:val="000000"/>
          <w:szCs w:val="22"/>
        </w:rPr>
      </w:pPr>
    </w:p>
    <w:p w14:paraId="483066B9" w14:textId="77777777" w:rsidR="00C107A9" w:rsidRPr="004C2A59" w:rsidRDefault="00C107A9" w:rsidP="00421681">
      <w:pPr>
        <w:pStyle w:val="EndnoteText"/>
        <w:tabs>
          <w:tab w:val="clear" w:pos="567"/>
        </w:tabs>
        <w:rPr>
          <w:color w:val="000000"/>
          <w:szCs w:val="22"/>
        </w:rPr>
      </w:pPr>
      <w:r w:rsidRPr="004C2A59">
        <w:rPr>
          <w:color w:val="000000"/>
          <w:szCs w:val="22"/>
        </w:rPr>
        <w:t>Patienter, der ikke er i stand til at synke de filmovertrukne tabletter, kan dispergere tabletterne</w:t>
      </w:r>
      <w:r w:rsidR="00ED38CD" w:rsidRPr="004C2A59">
        <w:rPr>
          <w:color w:val="000000"/>
          <w:szCs w:val="22"/>
        </w:rPr>
        <w:t xml:space="preserve"> </w:t>
      </w:r>
      <w:r w:rsidRPr="004C2A59">
        <w:rPr>
          <w:color w:val="000000"/>
          <w:szCs w:val="22"/>
        </w:rPr>
        <w:t xml:space="preserve">i et glas </w:t>
      </w:r>
      <w:r w:rsidR="001C51C8" w:rsidRPr="004C2A59">
        <w:rPr>
          <w:color w:val="000000"/>
          <w:szCs w:val="22"/>
        </w:rPr>
        <w:t xml:space="preserve">med </w:t>
      </w:r>
      <w:r w:rsidRPr="004C2A59">
        <w:rPr>
          <w:color w:val="000000"/>
          <w:szCs w:val="22"/>
        </w:rPr>
        <w:t>almindeligt vand eller æblejuice. Det nødvendige antal tabletter skal placeres i en drik af passende volumen (ca. 50</w:t>
      </w:r>
      <w:r w:rsidR="00ED38CD" w:rsidRPr="004C2A59">
        <w:rPr>
          <w:color w:val="000000"/>
          <w:szCs w:val="22"/>
        </w:rPr>
        <w:t> ml</w:t>
      </w:r>
      <w:r w:rsidRPr="004C2A59">
        <w:rPr>
          <w:color w:val="000000"/>
          <w:szCs w:val="22"/>
        </w:rPr>
        <w:t xml:space="preserve"> til en 100</w:t>
      </w:r>
      <w:r w:rsidR="00C17108" w:rsidRPr="004C2A59">
        <w:rPr>
          <w:color w:val="000000"/>
          <w:szCs w:val="22"/>
        </w:rPr>
        <w:t> mg</w:t>
      </w:r>
      <w:r w:rsidRPr="004C2A59">
        <w:rPr>
          <w:color w:val="000000"/>
          <w:szCs w:val="22"/>
        </w:rPr>
        <w:t xml:space="preserve"> tablet og 200</w:t>
      </w:r>
      <w:r w:rsidR="00ED38CD" w:rsidRPr="004C2A59">
        <w:rPr>
          <w:color w:val="000000"/>
          <w:szCs w:val="22"/>
        </w:rPr>
        <w:t> ml</w:t>
      </w:r>
      <w:r w:rsidRPr="004C2A59">
        <w:rPr>
          <w:color w:val="000000"/>
          <w:szCs w:val="22"/>
        </w:rPr>
        <w:t xml:space="preserve"> til en 400</w:t>
      </w:r>
      <w:r w:rsidR="00C17108" w:rsidRPr="004C2A59">
        <w:rPr>
          <w:color w:val="000000"/>
          <w:szCs w:val="22"/>
        </w:rPr>
        <w:t> mg</w:t>
      </w:r>
      <w:r w:rsidRPr="004C2A59">
        <w:rPr>
          <w:color w:val="000000"/>
          <w:szCs w:val="22"/>
        </w:rPr>
        <w:t xml:space="preserve"> tablet) og omrøres med en ske. Suspensionen skal administreres straks efter fuldstændig opløsning af tabletten/tabletterne.</w:t>
      </w:r>
    </w:p>
    <w:p w14:paraId="03E1AB3E" w14:textId="77777777" w:rsidR="00C107A9" w:rsidRPr="004C2A59" w:rsidRDefault="00C107A9" w:rsidP="00421681">
      <w:pPr>
        <w:rPr>
          <w:color w:val="000000"/>
          <w:sz w:val="22"/>
          <w:szCs w:val="22"/>
          <w:lang w:val="da-DK"/>
        </w:rPr>
      </w:pPr>
    </w:p>
    <w:p w14:paraId="03730972" w14:textId="77777777" w:rsidR="00A361AD" w:rsidRPr="004C2A59" w:rsidRDefault="00A361AD" w:rsidP="00A125B0">
      <w:pPr>
        <w:keepNext/>
        <w:rPr>
          <w:color w:val="000000"/>
          <w:sz w:val="22"/>
          <w:szCs w:val="22"/>
          <w:u w:val="single"/>
          <w:lang w:val="da-DK"/>
        </w:rPr>
      </w:pPr>
      <w:r w:rsidRPr="004C2A59">
        <w:rPr>
          <w:color w:val="000000"/>
          <w:sz w:val="22"/>
          <w:szCs w:val="22"/>
          <w:u w:val="single"/>
          <w:lang w:val="da-DK"/>
        </w:rPr>
        <w:t>Dosering ved CML hos voksne patienter</w:t>
      </w:r>
    </w:p>
    <w:p w14:paraId="6F3E1C6C" w14:textId="77777777" w:rsidR="00A361AD" w:rsidRPr="004C2A59" w:rsidRDefault="00A361AD" w:rsidP="00421681">
      <w:pPr>
        <w:rPr>
          <w:color w:val="000000"/>
          <w:sz w:val="22"/>
          <w:szCs w:val="22"/>
          <w:lang w:val="da-DK"/>
        </w:rPr>
      </w:pPr>
      <w:r w:rsidRPr="004C2A59">
        <w:rPr>
          <w:color w:val="000000"/>
          <w:sz w:val="22"/>
          <w:szCs w:val="22"/>
          <w:lang w:val="da-DK"/>
        </w:rPr>
        <w:t xml:space="preserve">Den anbefalede dosis af Glivec er 400 mg/dag til </w:t>
      </w:r>
      <w:r w:rsidR="000A2A29" w:rsidRPr="004C2A59">
        <w:rPr>
          <w:color w:val="000000"/>
          <w:sz w:val="22"/>
          <w:szCs w:val="22"/>
          <w:lang w:val="da-DK"/>
        </w:rPr>
        <w:t xml:space="preserve">voksne </w:t>
      </w:r>
      <w:r w:rsidRPr="004C2A59">
        <w:rPr>
          <w:color w:val="000000"/>
          <w:sz w:val="22"/>
          <w:szCs w:val="22"/>
          <w:lang w:val="da-DK"/>
        </w:rPr>
        <w:t>patienter med CML i kronisk fase. CLM i kronisk fase defineres ved, at alle følgende kriterier er opfyldt: blaster &lt;15% i blod og knoglemarv, perifere blodbasofiltal &lt;20%, trombocyttal &gt;100 x 10</w:t>
      </w:r>
      <w:r w:rsidRPr="004C2A59">
        <w:rPr>
          <w:color w:val="000000"/>
          <w:sz w:val="22"/>
          <w:szCs w:val="22"/>
          <w:vertAlign w:val="superscript"/>
          <w:lang w:val="da-DK"/>
        </w:rPr>
        <w:t>9</w:t>
      </w:r>
      <w:r w:rsidRPr="004C2A59">
        <w:rPr>
          <w:color w:val="000000"/>
          <w:sz w:val="22"/>
          <w:szCs w:val="22"/>
          <w:lang w:val="da-DK"/>
        </w:rPr>
        <w:t>/l.</w:t>
      </w:r>
    </w:p>
    <w:p w14:paraId="3CD55C69" w14:textId="77777777" w:rsidR="00A361AD" w:rsidRPr="004C2A59" w:rsidRDefault="00A361AD" w:rsidP="00421681">
      <w:pPr>
        <w:rPr>
          <w:color w:val="000000"/>
          <w:sz w:val="22"/>
          <w:szCs w:val="22"/>
          <w:lang w:val="da-DK"/>
        </w:rPr>
      </w:pPr>
    </w:p>
    <w:p w14:paraId="604707AD" w14:textId="77777777" w:rsidR="00A361AD" w:rsidRPr="004C2A59" w:rsidRDefault="00A361AD" w:rsidP="00421681">
      <w:pPr>
        <w:rPr>
          <w:color w:val="000000"/>
          <w:sz w:val="22"/>
          <w:szCs w:val="22"/>
          <w:lang w:val="da-DK"/>
        </w:rPr>
      </w:pPr>
      <w:r w:rsidRPr="004C2A59">
        <w:rPr>
          <w:color w:val="000000"/>
          <w:sz w:val="22"/>
          <w:szCs w:val="22"/>
          <w:lang w:val="da-DK"/>
        </w:rPr>
        <w:t xml:space="preserve">Den anbefalede dosis af Glivec er 600 mg/dag til </w:t>
      </w:r>
      <w:r w:rsidR="000A2A29" w:rsidRPr="004C2A59">
        <w:rPr>
          <w:color w:val="000000"/>
          <w:sz w:val="22"/>
          <w:szCs w:val="22"/>
          <w:lang w:val="da-DK"/>
        </w:rPr>
        <w:t xml:space="preserve">voksne </w:t>
      </w:r>
      <w:r w:rsidRPr="004C2A59">
        <w:rPr>
          <w:color w:val="000000"/>
          <w:sz w:val="22"/>
          <w:szCs w:val="22"/>
          <w:lang w:val="da-DK"/>
        </w:rPr>
        <w:t xml:space="preserve">patienter i accelereret fase. Accelereret fase defineres som tilstedeværelse af én eller flere af følgende: blaster </w:t>
      </w:r>
      <w:r w:rsidRPr="004C2A59">
        <w:rPr>
          <w:snapToGrid w:val="0"/>
          <w:color w:val="000000"/>
          <w:sz w:val="22"/>
          <w:szCs w:val="22"/>
          <w:lang w:val="da-DK"/>
        </w:rPr>
        <w:sym w:font="Symbol" w:char="F0B3"/>
      </w:r>
      <w:r w:rsidRPr="004C2A59">
        <w:rPr>
          <w:color w:val="000000"/>
          <w:sz w:val="22"/>
          <w:szCs w:val="22"/>
          <w:lang w:val="da-DK"/>
        </w:rPr>
        <w:t xml:space="preserve">15%, men &lt;30% i blod eller knoglemarv, blaster plus promyelocytter </w:t>
      </w:r>
      <w:r w:rsidRPr="004C2A59">
        <w:rPr>
          <w:snapToGrid w:val="0"/>
          <w:color w:val="000000"/>
          <w:sz w:val="22"/>
          <w:szCs w:val="22"/>
          <w:lang w:val="da-DK"/>
        </w:rPr>
        <w:sym w:font="Symbol" w:char="F0B3"/>
      </w:r>
      <w:r w:rsidRPr="004C2A59">
        <w:rPr>
          <w:color w:val="000000"/>
          <w:sz w:val="22"/>
          <w:szCs w:val="22"/>
          <w:lang w:val="da-DK"/>
        </w:rPr>
        <w:t xml:space="preserve">30% i blod eller knoglemarv (hvilket giver &lt;30% blaster), perifere blodbasofiltal </w:t>
      </w:r>
      <w:r w:rsidRPr="004C2A59">
        <w:rPr>
          <w:snapToGrid w:val="0"/>
          <w:color w:val="000000"/>
          <w:sz w:val="22"/>
          <w:szCs w:val="22"/>
          <w:lang w:val="da-DK"/>
        </w:rPr>
        <w:sym w:font="Symbol" w:char="F0B3"/>
      </w:r>
      <w:r w:rsidRPr="004C2A59">
        <w:rPr>
          <w:color w:val="000000"/>
          <w:sz w:val="22"/>
          <w:szCs w:val="22"/>
          <w:lang w:val="da-DK"/>
        </w:rPr>
        <w:t>20%, trombocyttal &lt;100 x 10</w:t>
      </w:r>
      <w:r w:rsidRPr="004C2A59">
        <w:rPr>
          <w:color w:val="000000"/>
          <w:sz w:val="22"/>
          <w:szCs w:val="22"/>
          <w:vertAlign w:val="superscript"/>
          <w:lang w:val="da-DK"/>
        </w:rPr>
        <w:t>9</w:t>
      </w:r>
      <w:r w:rsidRPr="004C2A59">
        <w:rPr>
          <w:color w:val="000000"/>
          <w:sz w:val="22"/>
          <w:szCs w:val="22"/>
          <w:lang w:val="da-DK"/>
        </w:rPr>
        <w:t>/l uafhængigt af behandlingen.</w:t>
      </w:r>
    </w:p>
    <w:p w14:paraId="1FFE6864" w14:textId="77777777" w:rsidR="00A361AD" w:rsidRPr="004C2A59" w:rsidRDefault="00A361AD" w:rsidP="00421681">
      <w:pPr>
        <w:rPr>
          <w:color w:val="000000"/>
          <w:sz w:val="22"/>
          <w:szCs w:val="22"/>
          <w:lang w:val="da-DK"/>
        </w:rPr>
      </w:pPr>
    </w:p>
    <w:p w14:paraId="7DF7976C" w14:textId="77777777" w:rsidR="00A361AD" w:rsidRPr="004C2A59" w:rsidRDefault="00A361AD" w:rsidP="00421681">
      <w:pPr>
        <w:rPr>
          <w:color w:val="000000"/>
          <w:sz w:val="22"/>
          <w:szCs w:val="22"/>
          <w:lang w:val="da-DK"/>
        </w:rPr>
      </w:pPr>
      <w:r w:rsidRPr="004C2A59">
        <w:rPr>
          <w:color w:val="000000"/>
          <w:sz w:val="22"/>
          <w:szCs w:val="22"/>
          <w:lang w:val="da-DK"/>
        </w:rPr>
        <w:t xml:space="preserve">Den anbefalede dosis af Glivec er 600 mg/dag til </w:t>
      </w:r>
      <w:r w:rsidR="000A2A29" w:rsidRPr="004C2A59">
        <w:rPr>
          <w:color w:val="000000"/>
          <w:sz w:val="22"/>
          <w:szCs w:val="22"/>
          <w:lang w:val="da-DK"/>
        </w:rPr>
        <w:t xml:space="preserve">voksne </w:t>
      </w:r>
      <w:r w:rsidRPr="004C2A59">
        <w:rPr>
          <w:color w:val="000000"/>
          <w:sz w:val="22"/>
          <w:szCs w:val="22"/>
          <w:lang w:val="da-DK"/>
        </w:rPr>
        <w:t xml:space="preserve">patienter i blastkrise. Blastkrise defineres som </w:t>
      </w:r>
      <w:r w:rsidRPr="004C2A59">
        <w:rPr>
          <w:snapToGrid w:val="0"/>
          <w:color w:val="000000"/>
          <w:sz w:val="22"/>
          <w:szCs w:val="22"/>
          <w:lang w:val="da-DK"/>
        </w:rPr>
        <w:sym w:font="Symbol" w:char="F0B3"/>
      </w:r>
      <w:r w:rsidRPr="004C2A59">
        <w:rPr>
          <w:color w:val="000000"/>
          <w:sz w:val="22"/>
          <w:szCs w:val="22"/>
          <w:lang w:val="da-DK"/>
        </w:rPr>
        <w:t>30% blaster i blod eller knoglemarv eller ekstramedullær sygdom ud over hepatosplenomegali.</w:t>
      </w:r>
    </w:p>
    <w:p w14:paraId="1E78F4EF" w14:textId="77777777" w:rsidR="00A361AD" w:rsidRPr="004C2A59" w:rsidRDefault="00A361AD" w:rsidP="00421681">
      <w:pPr>
        <w:rPr>
          <w:color w:val="000000"/>
          <w:sz w:val="22"/>
          <w:szCs w:val="22"/>
          <w:lang w:val="da-DK"/>
        </w:rPr>
      </w:pPr>
    </w:p>
    <w:p w14:paraId="2159417A" w14:textId="77777777" w:rsidR="00A361AD" w:rsidRPr="004C2A59" w:rsidRDefault="00A361AD" w:rsidP="00421681">
      <w:pPr>
        <w:widowControl w:val="0"/>
        <w:rPr>
          <w:color w:val="000000"/>
          <w:sz w:val="22"/>
          <w:szCs w:val="22"/>
          <w:lang w:val="da-DK"/>
        </w:rPr>
      </w:pPr>
      <w:r w:rsidRPr="004C2A59">
        <w:rPr>
          <w:color w:val="000000"/>
          <w:sz w:val="22"/>
          <w:szCs w:val="22"/>
          <w:lang w:val="da-DK"/>
        </w:rPr>
        <w:t>Behandlingsvarighed: I kliniske undersøgelser fortsattes behandling med Glivec indtil sygdomsprogression. Effekt af seponering af behandling efter opnåelse af komplet cytogenetisk respons er ikke undersøgt.</w:t>
      </w:r>
    </w:p>
    <w:p w14:paraId="7831B830" w14:textId="77777777" w:rsidR="00A361AD" w:rsidRPr="004C2A59" w:rsidRDefault="00A361AD" w:rsidP="00421681">
      <w:pPr>
        <w:widowControl w:val="0"/>
        <w:rPr>
          <w:color w:val="000000"/>
          <w:sz w:val="22"/>
          <w:szCs w:val="22"/>
          <w:lang w:val="da-DK"/>
        </w:rPr>
      </w:pPr>
    </w:p>
    <w:p w14:paraId="26740598" w14:textId="77777777" w:rsidR="00A361AD" w:rsidRPr="004C2A59" w:rsidRDefault="00A361AD" w:rsidP="00421681">
      <w:pPr>
        <w:rPr>
          <w:color w:val="000000"/>
          <w:sz w:val="22"/>
          <w:szCs w:val="22"/>
          <w:lang w:val="da-DK"/>
        </w:rPr>
      </w:pPr>
      <w:r w:rsidRPr="004C2A59">
        <w:rPr>
          <w:color w:val="000000"/>
          <w:sz w:val="22"/>
          <w:szCs w:val="22"/>
          <w:lang w:val="da-DK"/>
        </w:rPr>
        <w:lastRenderedPageBreak/>
        <w:t>Dosisøgninger fra 400 mg til 600 mg eller 800 mg til patienter med CML i kronisk fase, eller fra 600 mg til maksimalt 800 mg (givet som 400 mg 2 gange daglig) til patienter i accelereret fase eller blastkrise kan, hvis der ikke opstår svære bivirkninger og svær ikke-leukæmirelateret neutropeni eller trombocytopeni, overvejes i følgende tilfælde: Sygdomsprogression (til enhver tid), udeblivende tilfredsstillende hæmatologisk respons efter mindst 3 måneders behandling, udeblivende opnåelse af cytogenetisk respons efter 12 måneders behandling, samt hvis tidligere hæmatologisk og/eller cytogenetisk respons ikke genopnås. Patienterne bør, på baggrund af risikoen for øget bivirkningsincidens ved højere doser, monitoreres tæt efter dosistitrering.</w:t>
      </w:r>
    </w:p>
    <w:p w14:paraId="4C07714F" w14:textId="77777777" w:rsidR="00A361AD" w:rsidRPr="004C2A59" w:rsidRDefault="00A361AD" w:rsidP="00421681">
      <w:pPr>
        <w:pStyle w:val="EndnoteText"/>
        <w:tabs>
          <w:tab w:val="clear" w:pos="567"/>
        </w:tabs>
        <w:rPr>
          <w:color w:val="000000"/>
          <w:szCs w:val="22"/>
        </w:rPr>
      </w:pPr>
    </w:p>
    <w:p w14:paraId="5492BC6A" w14:textId="77777777" w:rsidR="00A361AD" w:rsidRPr="004C2A59" w:rsidRDefault="00A361AD" w:rsidP="00A125B0">
      <w:pPr>
        <w:pStyle w:val="EndnoteText"/>
        <w:keepNext/>
        <w:tabs>
          <w:tab w:val="clear" w:pos="567"/>
        </w:tabs>
        <w:rPr>
          <w:color w:val="000000"/>
          <w:szCs w:val="22"/>
          <w:u w:val="single"/>
        </w:rPr>
      </w:pPr>
      <w:r w:rsidRPr="004C2A59">
        <w:rPr>
          <w:color w:val="000000"/>
          <w:szCs w:val="22"/>
          <w:u w:val="single"/>
        </w:rPr>
        <w:t>Dosering ved CML hos børn</w:t>
      </w:r>
    </w:p>
    <w:p w14:paraId="1C530ABF" w14:textId="77777777" w:rsidR="00A361AD" w:rsidRPr="004C2A59" w:rsidRDefault="00A361AD" w:rsidP="00421681">
      <w:pPr>
        <w:pStyle w:val="EndnoteText"/>
        <w:tabs>
          <w:tab w:val="clear" w:pos="567"/>
        </w:tabs>
        <w:rPr>
          <w:color w:val="000000"/>
          <w:szCs w:val="22"/>
        </w:rPr>
      </w:pPr>
      <w:r w:rsidRPr="004C2A59">
        <w:rPr>
          <w:color w:val="000000"/>
          <w:szCs w:val="22"/>
        </w:rPr>
        <w:t>Dosering til børn bør baseres på legemsoverfladeareal (mg/m</w:t>
      </w:r>
      <w:r w:rsidRPr="004C2A59">
        <w:rPr>
          <w:color w:val="000000"/>
          <w:szCs w:val="22"/>
          <w:vertAlign w:val="superscript"/>
        </w:rPr>
        <w:t>2</w:t>
      </w:r>
      <w:r w:rsidRPr="004C2A59">
        <w:rPr>
          <w:color w:val="000000"/>
          <w:szCs w:val="22"/>
        </w:rPr>
        <w:t>). Der anbefales en dosering på 340 mg/m</w:t>
      </w:r>
      <w:r w:rsidRPr="004C2A59">
        <w:rPr>
          <w:color w:val="000000"/>
          <w:szCs w:val="22"/>
          <w:vertAlign w:val="superscript"/>
        </w:rPr>
        <w:t>2</w:t>
      </w:r>
      <w:r w:rsidRPr="004C2A59">
        <w:rPr>
          <w:color w:val="000000"/>
          <w:szCs w:val="22"/>
        </w:rPr>
        <w:t xml:space="preserve"> daglig til børn med CML i kronisk fase og i fremskredne faser (må ikke overskride en total dosering på 800 mg). Behandlingen kan gives én gang daglig eller alternativt deles i to - én dosis om morgenen og én om aftenen. De aktuelle dosisanbefalinger er baseret på et lille antal pædiatriske patienter (se pkt. 5.1 og 5.2). Der er ingen erfaringer med behandling af børn under 2 år.</w:t>
      </w:r>
    </w:p>
    <w:p w14:paraId="38D00BDE" w14:textId="77777777" w:rsidR="00A361AD" w:rsidRPr="004C2A59" w:rsidRDefault="00A361AD" w:rsidP="00421681">
      <w:pPr>
        <w:widowControl w:val="0"/>
        <w:rPr>
          <w:color w:val="000000"/>
          <w:sz w:val="22"/>
          <w:szCs w:val="22"/>
          <w:lang w:val="da-DK"/>
        </w:rPr>
      </w:pPr>
    </w:p>
    <w:p w14:paraId="20640C42" w14:textId="77777777" w:rsidR="00A361AD" w:rsidRPr="004C2A59" w:rsidRDefault="00A361AD" w:rsidP="00421681">
      <w:pPr>
        <w:widowControl w:val="0"/>
        <w:rPr>
          <w:color w:val="000000"/>
          <w:sz w:val="22"/>
          <w:szCs w:val="22"/>
          <w:lang w:val="da-DK"/>
        </w:rPr>
      </w:pPr>
      <w:r w:rsidRPr="004C2A59">
        <w:rPr>
          <w:color w:val="000000"/>
          <w:sz w:val="22"/>
          <w:szCs w:val="22"/>
          <w:lang w:val="da-DK"/>
        </w:rPr>
        <w:t>Dosisøgning fra 340 mg/m</w:t>
      </w:r>
      <w:r w:rsidRPr="004C2A59">
        <w:rPr>
          <w:color w:val="000000"/>
          <w:sz w:val="22"/>
          <w:szCs w:val="22"/>
          <w:vertAlign w:val="superscript"/>
          <w:lang w:val="da-DK"/>
        </w:rPr>
        <w:t>2</w:t>
      </w:r>
      <w:r w:rsidRPr="004C2A59">
        <w:rPr>
          <w:color w:val="000000"/>
          <w:sz w:val="22"/>
          <w:szCs w:val="22"/>
          <w:lang w:val="da-DK"/>
        </w:rPr>
        <w:t> daglig til 570 mg/m</w:t>
      </w:r>
      <w:r w:rsidRPr="004C2A59">
        <w:rPr>
          <w:color w:val="000000"/>
          <w:sz w:val="22"/>
          <w:szCs w:val="22"/>
          <w:vertAlign w:val="superscript"/>
          <w:lang w:val="da-DK"/>
        </w:rPr>
        <w:t>2</w:t>
      </w:r>
      <w:r w:rsidRPr="004C2A59">
        <w:rPr>
          <w:color w:val="000000"/>
          <w:sz w:val="22"/>
          <w:szCs w:val="22"/>
          <w:lang w:val="da-DK"/>
        </w:rPr>
        <w:t> daglig (uden at overstige total dosis på 800 mg) kan overvejes hos børn ved fravær af alvorlige bivirkninger og svær ikke-leukæmirelateret neutropeni eller trombocytopeni ved følgende omstændigheder: sygdomsprogression (på ethvert tidspunkt); hvis der ikke er opnået tilfredsstillende hæmatologisk respons efter mindst 3 måneders behandling; hvis der ikke er opnået cytogenetisk respons efter 12 måneders behandling; eller ved tab af tidligere opnået hæmatologisk og/eller cytogenetisk respons. Patienterne bør monitoreres tæt under dosiseskaleringen, da der er mulighed for øget forekomst af bivirkninger ved højere doseringer.</w:t>
      </w:r>
    </w:p>
    <w:p w14:paraId="3936F3D4" w14:textId="77777777" w:rsidR="00A361AD" w:rsidRPr="004C2A59" w:rsidRDefault="00A361AD" w:rsidP="00421681">
      <w:pPr>
        <w:widowControl w:val="0"/>
        <w:rPr>
          <w:color w:val="000000"/>
          <w:sz w:val="22"/>
          <w:szCs w:val="22"/>
          <w:lang w:val="da-DK"/>
        </w:rPr>
      </w:pPr>
    </w:p>
    <w:p w14:paraId="0C34DA2B" w14:textId="77777777" w:rsidR="00A361AD" w:rsidRPr="004C2A59" w:rsidRDefault="00A361AD" w:rsidP="00A125B0">
      <w:pPr>
        <w:keepNext/>
        <w:widowControl w:val="0"/>
        <w:rPr>
          <w:color w:val="000000"/>
          <w:sz w:val="22"/>
          <w:szCs w:val="22"/>
          <w:lang w:val="da-DK"/>
        </w:rPr>
      </w:pPr>
      <w:r w:rsidRPr="004C2A59">
        <w:rPr>
          <w:color w:val="000000"/>
          <w:sz w:val="22"/>
          <w:szCs w:val="22"/>
          <w:u w:val="single"/>
          <w:lang w:val="da-DK"/>
        </w:rPr>
        <w:t>Dosering ved Ph+ ALL</w:t>
      </w:r>
      <w:r w:rsidR="005C2286" w:rsidRPr="004C2A59">
        <w:rPr>
          <w:color w:val="000000"/>
          <w:sz w:val="22"/>
          <w:szCs w:val="22"/>
          <w:u w:val="single"/>
          <w:lang w:val="da-DK"/>
        </w:rPr>
        <w:t xml:space="preserve"> hos voksne patienter</w:t>
      </w:r>
    </w:p>
    <w:p w14:paraId="62A26867" w14:textId="77777777" w:rsidR="00A361AD" w:rsidRPr="004C2A59" w:rsidRDefault="00A361AD" w:rsidP="00421681">
      <w:pPr>
        <w:widowControl w:val="0"/>
        <w:rPr>
          <w:color w:val="000000"/>
          <w:sz w:val="22"/>
          <w:szCs w:val="22"/>
          <w:lang w:val="da-DK"/>
        </w:rPr>
      </w:pPr>
      <w:r w:rsidRPr="004C2A59">
        <w:rPr>
          <w:color w:val="000000"/>
          <w:sz w:val="22"/>
          <w:szCs w:val="22"/>
          <w:lang w:val="da-DK"/>
        </w:rPr>
        <w:t xml:space="preserve">Den anbefalede dosis af Glivec er 600 mg/dag til </w:t>
      </w:r>
      <w:r w:rsidR="000A2A29" w:rsidRPr="004C2A59">
        <w:rPr>
          <w:color w:val="000000"/>
          <w:sz w:val="22"/>
          <w:szCs w:val="22"/>
          <w:lang w:val="da-DK"/>
        </w:rPr>
        <w:t xml:space="preserve">voksne </w:t>
      </w:r>
      <w:r w:rsidRPr="004C2A59">
        <w:rPr>
          <w:color w:val="000000"/>
          <w:sz w:val="22"/>
          <w:szCs w:val="22"/>
          <w:lang w:val="da-DK"/>
        </w:rPr>
        <w:t xml:space="preserve">patienter med Ph+ </w:t>
      </w:r>
      <w:smartTag w:uri="urn:schemas-microsoft-com:office:smarttags" w:element="metricconverter">
        <w:r w:rsidRPr="004C2A59">
          <w:rPr>
            <w:color w:val="000000"/>
            <w:sz w:val="22"/>
            <w:szCs w:val="22"/>
            <w:lang w:val="da-DK"/>
          </w:rPr>
          <w:t>ALL</w:t>
        </w:r>
      </w:smartTag>
      <w:r w:rsidRPr="004C2A59">
        <w:rPr>
          <w:color w:val="000000"/>
          <w:sz w:val="22"/>
          <w:szCs w:val="22"/>
          <w:lang w:val="da-DK"/>
        </w:rPr>
        <w:t>. Gennem alle faser af omsorgen bør behandlingen overvåges af hæmatologiske eksperter, som er ansvarlige for denne sygdom.</w:t>
      </w:r>
    </w:p>
    <w:p w14:paraId="0B8C2DE2" w14:textId="77777777" w:rsidR="00A361AD" w:rsidRPr="004C2A59" w:rsidRDefault="00A361AD" w:rsidP="00421681">
      <w:pPr>
        <w:widowControl w:val="0"/>
        <w:rPr>
          <w:color w:val="000000"/>
          <w:sz w:val="22"/>
          <w:szCs w:val="22"/>
          <w:lang w:val="da-DK"/>
        </w:rPr>
      </w:pPr>
    </w:p>
    <w:p w14:paraId="1BC8F140" w14:textId="77777777" w:rsidR="00A361AD" w:rsidRPr="004C2A59" w:rsidRDefault="00A361AD" w:rsidP="00421681">
      <w:pPr>
        <w:widowControl w:val="0"/>
        <w:rPr>
          <w:color w:val="000000"/>
          <w:sz w:val="22"/>
          <w:szCs w:val="22"/>
          <w:lang w:val="da-DK"/>
        </w:rPr>
      </w:pPr>
      <w:r w:rsidRPr="004C2A59">
        <w:rPr>
          <w:color w:val="000000"/>
          <w:sz w:val="22"/>
          <w:szCs w:val="22"/>
          <w:lang w:val="da-DK"/>
        </w:rPr>
        <w:t>Behandlingsskema: Eksisterende data har vist, at Glivec er effektiv og sikker ved administration af 600 mg/dag i kombination med kemoterapi i induktionsfasen, i konsoliderings- og vedligeholdelsesfaser af kemoterapi (se pkt. 5.1) brugt i behandlingen af voksne patienter med nydiagnosticeret Ph+</w:t>
      </w:r>
      <w:smartTag w:uri="urn:schemas-microsoft-com:office:smarttags" w:element="metricconverter">
        <w:r w:rsidRPr="004C2A59">
          <w:rPr>
            <w:color w:val="000000"/>
            <w:sz w:val="22"/>
            <w:szCs w:val="22"/>
            <w:lang w:val="da-DK"/>
          </w:rPr>
          <w:t>ALL</w:t>
        </w:r>
      </w:smartTag>
      <w:r w:rsidRPr="004C2A59">
        <w:rPr>
          <w:color w:val="000000"/>
          <w:sz w:val="22"/>
          <w:szCs w:val="22"/>
          <w:lang w:val="da-DK"/>
        </w:rPr>
        <w:t>. Varigheden af behandling med Glivec kan variere med det valgte behandlingsprogram, men generelt har længere eksponering for Glivec givet de bedste resultater.</w:t>
      </w:r>
    </w:p>
    <w:p w14:paraId="06DBD5EE" w14:textId="77777777" w:rsidR="00A361AD" w:rsidRPr="004C2A59" w:rsidRDefault="00A361AD" w:rsidP="00421681">
      <w:pPr>
        <w:widowControl w:val="0"/>
        <w:rPr>
          <w:color w:val="000000"/>
          <w:sz w:val="22"/>
          <w:szCs w:val="22"/>
          <w:lang w:val="da-DK"/>
        </w:rPr>
      </w:pPr>
    </w:p>
    <w:p w14:paraId="3AAACF59" w14:textId="77777777" w:rsidR="00A361AD" w:rsidRPr="004C2A59" w:rsidRDefault="00A361AD" w:rsidP="00421681">
      <w:pPr>
        <w:pStyle w:val="EndnoteText"/>
        <w:tabs>
          <w:tab w:val="clear" w:pos="567"/>
        </w:tabs>
        <w:rPr>
          <w:color w:val="000000"/>
          <w:szCs w:val="22"/>
        </w:rPr>
      </w:pPr>
      <w:r w:rsidRPr="004C2A59">
        <w:rPr>
          <w:color w:val="000000"/>
          <w:szCs w:val="22"/>
        </w:rPr>
        <w:t>Glivec monoterapi med 600 mg/dag er sikker og effektiv hos voksne patienter med recidiverende eller refraktiv Ph+</w:t>
      </w:r>
      <w:smartTag w:uri="urn:schemas-microsoft-com:office:smarttags" w:element="metricconverter">
        <w:r w:rsidRPr="004C2A59">
          <w:rPr>
            <w:color w:val="000000"/>
            <w:szCs w:val="22"/>
          </w:rPr>
          <w:t>ALL</w:t>
        </w:r>
      </w:smartTag>
      <w:r w:rsidRPr="004C2A59">
        <w:rPr>
          <w:color w:val="000000"/>
          <w:szCs w:val="22"/>
        </w:rPr>
        <w:t>, og kan gives indtil der sker sygdomsprogression.</w:t>
      </w:r>
    </w:p>
    <w:p w14:paraId="45E15289" w14:textId="77777777" w:rsidR="00A361AD" w:rsidRPr="004C2A59" w:rsidRDefault="00A361AD" w:rsidP="00421681">
      <w:pPr>
        <w:pStyle w:val="EndnoteText"/>
        <w:tabs>
          <w:tab w:val="clear" w:pos="567"/>
        </w:tabs>
        <w:rPr>
          <w:color w:val="000000"/>
          <w:szCs w:val="22"/>
        </w:rPr>
      </w:pPr>
    </w:p>
    <w:p w14:paraId="70283D5D" w14:textId="77777777" w:rsidR="005C2286" w:rsidRPr="004C2A59" w:rsidRDefault="005C2286" w:rsidP="00A125B0">
      <w:pPr>
        <w:pStyle w:val="EndnoteText"/>
        <w:keepNext/>
        <w:tabs>
          <w:tab w:val="clear" w:pos="567"/>
        </w:tabs>
        <w:rPr>
          <w:color w:val="000000"/>
          <w:szCs w:val="22"/>
          <w:u w:val="single"/>
        </w:rPr>
      </w:pPr>
      <w:r w:rsidRPr="004C2A59">
        <w:rPr>
          <w:color w:val="000000"/>
          <w:szCs w:val="22"/>
          <w:u w:val="single"/>
        </w:rPr>
        <w:t>Dosering ved Ph+ ALL hos børn</w:t>
      </w:r>
    </w:p>
    <w:p w14:paraId="52C712B1" w14:textId="77777777" w:rsidR="005C2286" w:rsidRPr="004C2A59" w:rsidRDefault="005C2286" w:rsidP="00421681">
      <w:pPr>
        <w:pStyle w:val="EndnoteText"/>
        <w:tabs>
          <w:tab w:val="clear" w:pos="567"/>
        </w:tabs>
        <w:rPr>
          <w:color w:val="000000"/>
          <w:szCs w:val="22"/>
        </w:rPr>
      </w:pPr>
      <w:r w:rsidRPr="004C2A59">
        <w:rPr>
          <w:color w:val="000000"/>
          <w:szCs w:val="22"/>
        </w:rPr>
        <w:t>Dosering hos børn bør baseres på legemsoverflade (mg/m</w:t>
      </w:r>
      <w:r w:rsidRPr="004C2A59">
        <w:rPr>
          <w:color w:val="000000"/>
          <w:szCs w:val="22"/>
          <w:vertAlign w:val="superscript"/>
        </w:rPr>
        <w:t>2</w:t>
      </w:r>
      <w:r w:rsidRPr="004C2A59">
        <w:rPr>
          <w:color w:val="000000"/>
          <w:szCs w:val="22"/>
        </w:rPr>
        <w:t>). Der anbefales en dosis på 340 mg/m</w:t>
      </w:r>
      <w:r w:rsidRPr="004C2A59">
        <w:rPr>
          <w:color w:val="000000"/>
          <w:szCs w:val="22"/>
          <w:vertAlign w:val="superscript"/>
        </w:rPr>
        <w:t>2</w:t>
      </w:r>
      <w:r w:rsidRPr="004C2A59">
        <w:rPr>
          <w:color w:val="000000"/>
          <w:szCs w:val="22"/>
        </w:rPr>
        <w:t xml:space="preserve"> daglig til børn med Ph+ ALL (totaldosis på 600 mg må ikke overskrides).</w:t>
      </w:r>
    </w:p>
    <w:p w14:paraId="3A24FE85" w14:textId="77777777" w:rsidR="005C2286" w:rsidRPr="004C2A59" w:rsidRDefault="005C2286" w:rsidP="00421681">
      <w:pPr>
        <w:pStyle w:val="EndnoteText"/>
        <w:tabs>
          <w:tab w:val="clear" w:pos="567"/>
        </w:tabs>
        <w:rPr>
          <w:color w:val="000000"/>
          <w:szCs w:val="22"/>
        </w:rPr>
      </w:pPr>
    </w:p>
    <w:p w14:paraId="38451593" w14:textId="77777777" w:rsidR="00A361AD" w:rsidRPr="004C2A59" w:rsidRDefault="00A361AD" w:rsidP="00A125B0">
      <w:pPr>
        <w:keepNext/>
        <w:widowControl w:val="0"/>
        <w:rPr>
          <w:color w:val="000000"/>
          <w:sz w:val="22"/>
          <w:szCs w:val="22"/>
          <w:u w:val="single"/>
          <w:lang w:val="da-DK"/>
        </w:rPr>
      </w:pPr>
      <w:r w:rsidRPr="004C2A59">
        <w:rPr>
          <w:color w:val="000000"/>
          <w:sz w:val="22"/>
          <w:szCs w:val="22"/>
          <w:u w:val="single"/>
          <w:lang w:val="da-DK"/>
        </w:rPr>
        <w:t xml:space="preserve">Dosering ved </w:t>
      </w:r>
      <w:smartTag w:uri="urn:schemas-microsoft-com:office:smarttags" w:element="metricconverter">
        <w:r w:rsidRPr="004C2A59">
          <w:rPr>
            <w:color w:val="000000"/>
            <w:sz w:val="22"/>
            <w:szCs w:val="22"/>
            <w:u w:val="single"/>
            <w:lang w:val="da-DK"/>
          </w:rPr>
          <w:t>MDS</w:t>
        </w:r>
      </w:smartTag>
      <w:r w:rsidRPr="004C2A59">
        <w:rPr>
          <w:color w:val="000000"/>
          <w:sz w:val="22"/>
          <w:szCs w:val="22"/>
          <w:u w:val="single"/>
          <w:lang w:val="da-DK"/>
        </w:rPr>
        <w:t>/MPD</w:t>
      </w:r>
    </w:p>
    <w:p w14:paraId="4D597966" w14:textId="77777777" w:rsidR="00A361AD" w:rsidRPr="004C2A59" w:rsidRDefault="00A361AD" w:rsidP="00421681">
      <w:pPr>
        <w:pStyle w:val="EndnoteText"/>
        <w:tabs>
          <w:tab w:val="clear" w:pos="567"/>
        </w:tabs>
        <w:rPr>
          <w:color w:val="000000"/>
          <w:szCs w:val="22"/>
        </w:rPr>
      </w:pPr>
      <w:r w:rsidRPr="004C2A59">
        <w:rPr>
          <w:color w:val="000000"/>
          <w:szCs w:val="22"/>
        </w:rPr>
        <w:t xml:space="preserve">Den anbefalede dosis af Glivec er 400 mg/dag til </w:t>
      </w:r>
      <w:r w:rsidR="000A2A29" w:rsidRPr="004C2A59">
        <w:rPr>
          <w:color w:val="000000"/>
          <w:szCs w:val="22"/>
        </w:rPr>
        <w:t xml:space="preserve">voksne </w:t>
      </w:r>
      <w:r w:rsidRPr="004C2A59">
        <w:rPr>
          <w:color w:val="000000"/>
          <w:szCs w:val="22"/>
        </w:rPr>
        <w:t xml:space="preserve">patienter med </w:t>
      </w:r>
      <w:smartTag w:uri="urn:schemas-microsoft-com:office:smarttags" w:element="metricconverter">
        <w:r w:rsidRPr="004C2A59">
          <w:rPr>
            <w:color w:val="000000"/>
            <w:szCs w:val="22"/>
          </w:rPr>
          <w:t>MDS</w:t>
        </w:r>
      </w:smartTag>
      <w:r w:rsidRPr="004C2A59">
        <w:rPr>
          <w:color w:val="000000"/>
          <w:szCs w:val="22"/>
        </w:rPr>
        <w:t>/MPD.</w:t>
      </w:r>
    </w:p>
    <w:p w14:paraId="7C932574" w14:textId="77777777" w:rsidR="00A361AD" w:rsidRPr="004C2A59" w:rsidRDefault="00A361AD" w:rsidP="00421681">
      <w:pPr>
        <w:pStyle w:val="EndnoteText"/>
        <w:tabs>
          <w:tab w:val="clear" w:pos="567"/>
        </w:tabs>
        <w:rPr>
          <w:color w:val="000000"/>
          <w:szCs w:val="22"/>
        </w:rPr>
      </w:pPr>
    </w:p>
    <w:p w14:paraId="3410C675" w14:textId="77777777" w:rsidR="00A361AD" w:rsidRPr="004C2A59" w:rsidRDefault="00A361AD" w:rsidP="00421681">
      <w:pPr>
        <w:pStyle w:val="EndnoteText"/>
        <w:tabs>
          <w:tab w:val="clear" w:pos="567"/>
        </w:tabs>
        <w:rPr>
          <w:color w:val="000000"/>
          <w:szCs w:val="22"/>
        </w:rPr>
      </w:pPr>
      <w:r w:rsidRPr="004C2A59">
        <w:rPr>
          <w:color w:val="000000"/>
          <w:szCs w:val="22"/>
        </w:rPr>
        <w:t>Behandlingsvarighed: I det eneste kliniske studie, der er udført indtil nu, fortsattes behandlingen med Glivec indtil sygdomsprogression (se pkt. 5.1). På opgørelsestidspunktet var medianen for behandlingstiden 47 måneder (24 dage – 60 måneder).</w:t>
      </w:r>
    </w:p>
    <w:p w14:paraId="029A3EF7" w14:textId="77777777" w:rsidR="00A361AD" w:rsidRPr="004C2A59" w:rsidRDefault="00A361AD" w:rsidP="00421681">
      <w:pPr>
        <w:rPr>
          <w:color w:val="000000"/>
          <w:sz w:val="22"/>
          <w:szCs w:val="22"/>
          <w:u w:val="single"/>
          <w:lang w:val="da-DK"/>
        </w:rPr>
      </w:pPr>
    </w:p>
    <w:p w14:paraId="726E2FA4" w14:textId="77777777" w:rsidR="00A361AD" w:rsidRPr="004C2A59" w:rsidRDefault="00A361AD" w:rsidP="00A125B0">
      <w:pPr>
        <w:pStyle w:val="EndnoteText"/>
        <w:keepNext/>
        <w:tabs>
          <w:tab w:val="clear" w:pos="567"/>
        </w:tabs>
        <w:rPr>
          <w:color w:val="000000"/>
          <w:szCs w:val="22"/>
          <w:u w:val="single"/>
        </w:rPr>
      </w:pPr>
      <w:r w:rsidRPr="004C2A59">
        <w:rPr>
          <w:color w:val="000000"/>
          <w:szCs w:val="22"/>
          <w:u w:val="single"/>
        </w:rPr>
        <w:t>Dosering ved HES/</w:t>
      </w:r>
      <w:smartTag w:uri="urn:schemas-microsoft-com:office:smarttags" w:element="metricconverter">
        <w:r w:rsidRPr="004C2A59">
          <w:rPr>
            <w:color w:val="000000"/>
            <w:szCs w:val="22"/>
            <w:u w:val="single"/>
          </w:rPr>
          <w:t>CEL</w:t>
        </w:r>
      </w:smartTag>
    </w:p>
    <w:p w14:paraId="0826A357" w14:textId="77777777" w:rsidR="00A361AD" w:rsidRPr="004C2A59" w:rsidRDefault="00A361AD" w:rsidP="00421681">
      <w:pPr>
        <w:widowControl w:val="0"/>
        <w:rPr>
          <w:color w:val="000000"/>
          <w:sz w:val="22"/>
          <w:szCs w:val="22"/>
          <w:lang w:val="da-DK"/>
        </w:rPr>
      </w:pPr>
      <w:r w:rsidRPr="004C2A59">
        <w:rPr>
          <w:color w:val="000000"/>
          <w:sz w:val="22"/>
          <w:szCs w:val="22"/>
          <w:lang w:val="da-DK"/>
        </w:rPr>
        <w:t xml:space="preserve">Den anbefalede dosis af Glivec er 100 mg/dag til </w:t>
      </w:r>
      <w:r w:rsidR="000A2A29" w:rsidRPr="004C2A59">
        <w:rPr>
          <w:color w:val="000000"/>
          <w:sz w:val="22"/>
          <w:szCs w:val="22"/>
          <w:lang w:val="da-DK"/>
        </w:rPr>
        <w:t xml:space="preserve">voksne </w:t>
      </w:r>
      <w:r w:rsidRPr="004C2A59">
        <w:rPr>
          <w:color w:val="000000"/>
          <w:sz w:val="22"/>
          <w:szCs w:val="22"/>
          <w:lang w:val="da-DK"/>
        </w:rPr>
        <w:t>patienter med HES/</w:t>
      </w:r>
      <w:smartTag w:uri="urn:schemas-microsoft-com:office:smarttags" w:element="metricconverter">
        <w:r w:rsidRPr="004C2A59">
          <w:rPr>
            <w:color w:val="000000"/>
            <w:sz w:val="22"/>
            <w:szCs w:val="22"/>
            <w:lang w:val="da-DK"/>
          </w:rPr>
          <w:t>CEL</w:t>
        </w:r>
      </w:smartTag>
      <w:r w:rsidRPr="004C2A59">
        <w:rPr>
          <w:color w:val="000000"/>
          <w:sz w:val="22"/>
          <w:szCs w:val="22"/>
          <w:lang w:val="da-DK"/>
        </w:rPr>
        <w:t>.</w:t>
      </w:r>
    </w:p>
    <w:p w14:paraId="4D54F548" w14:textId="77777777" w:rsidR="00A361AD" w:rsidRPr="004C2A59" w:rsidRDefault="00A361AD" w:rsidP="00421681">
      <w:pPr>
        <w:widowControl w:val="0"/>
        <w:rPr>
          <w:color w:val="000000"/>
          <w:sz w:val="22"/>
          <w:szCs w:val="22"/>
          <w:lang w:val="da-DK"/>
        </w:rPr>
      </w:pPr>
    </w:p>
    <w:p w14:paraId="4F52993B" w14:textId="77777777" w:rsidR="00A361AD" w:rsidRPr="004C2A59" w:rsidRDefault="00A361AD" w:rsidP="00421681">
      <w:pPr>
        <w:widowControl w:val="0"/>
        <w:rPr>
          <w:color w:val="000000"/>
          <w:sz w:val="22"/>
          <w:szCs w:val="22"/>
          <w:lang w:val="da-DK"/>
        </w:rPr>
      </w:pPr>
      <w:r w:rsidRPr="004C2A59">
        <w:rPr>
          <w:color w:val="000000"/>
          <w:sz w:val="22"/>
          <w:szCs w:val="22"/>
          <w:lang w:val="da-DK"/>
        </w:rPr>
        <w:t>Dosisøgning fra 100 mg til 400 mg kan overvejes, hvis der ikke er observeret bivirkninger, og respons på behandlingen vurderes som værende utilstrækkeligt.</w:t>
      </w:r>
    </w:p>
    <w:p w14:paraId="2ECD509D" w14:textId="77777777" w:rsidR="00A361AD" w:rsidRPr="004C2A59" w:rsidRDefault="00A361AD" w:rsidP="00421681">
      <w:pPr>
        <w:widowControl w:val="0"/>
        <w:rPr>
          <w:color w:val="000000"/>
          <w:sz w:val="22"/>
          <w:szCs w:val="22"/>
          <w:u w:val="single"/>
          <w:lang w:val="da-DK"/>
        </w:rPr>
      </w:pPr>
    </w:p>
    <w:p w14:paraId="159A6B42" w14:textId="77777777" w:rsidR="00A361AD" w:rsidRPr="004C2A59" w:rsidRDefault="00A361AD" w:rsidP="00421681">
      <w:pPr>
        <w:widowControl w:val="0"/>
        <w:rPr>
          <w:color w:val="000000"/>
          <w:sz w:val="22"/>
          <w:szCs w:val="22"/>
          <w:lang w:val="da-DK"/>
        </w:rPr>
      </w:pPr>
      <w:r w:rsidRPr="004C2A59">
        <w:rPr>
          <w:color w:val="000000"/>
          <w:sz w:val="22"/>
          <w:szCs w:val="22"/>
          <w:lang w:val="da-DK"/>
        </w:rPr>
        <w:t>Behandling bør fortsættes, så længe patienten har gavn af det.</w:t>
      </w:r>
    </w:p>
    <w:p w14:paraId="60117CBF" w14:textId="77777777" w:rsidR="00A361AD" w:rsidRPr="004C2A59" w:rsidRDefault="00A361AD" w:rsidP="00421681">
      <w:pPr>
        <w:widowControl w:val="0"/>
        <w:rPr>
          <w:color w:val="000000"/>
          <w:sz w:val="22"/>
          <w:szCs w:val="22"/>
          <w:u w:val="single"/>
          <w:lang w:val="da-DK"/>
        </w:rPr>
      </w:pPr>
    </w:p>
    <w:p w14:paraId="19EB86F4" w14:textId="77777777" w:rsidR="00A361AD" w:rsidRPr="004C2A59" w:rsidRDefault="00A361AD" w:rsidP="00A125B0">
      <w:pPr>
        <w:keepNext/>
        <w:rPr>
          <w:color w:val="000000"/>
          <w:sz w:val="22"/>
          <w:szCs w:val="22"/>
          <w:u w:val="single"/>
          <w:lang w:val="da-DK"/>
        </w:rPr>
      </w:pPr>
      <w:r w:rsidRPr="004C2A59">
        <w:rPr>
          <w:color w:val="000000"/>
          <w:sz w:val="22"/>
          <w:szCs w:val="22"/>
          <w:u w:val="single"/>
          <w:lang w:val="da-DK"/>
        </w:rPr>
        <w:lastRenderedPageBreak/>
        <w:t>Dosering ved GIST</w:t>
      </w:r>
    </w:p>
    <w:p w14:paraId="7BA4F0C4" w14:textId="77777777" w:rsidR="00A361AD" w:rsidRPr="004C2A59" w:rsidRDefault="00A361AD" w:rsidP="00421681">
      <w:pPr>
        <w:rPr>
          <w:color w:val="000000"/>
          <w:sz w:val="22"/>
          <w:szCs w:val="22"/>
          <w:lang w:val="da-DK"/>
        </w:rPr>
      </w:pPr>
      <w:r w:rsidRPr="004C2A59">
        <w:rPr>
          <w:color w:val="000000"/>
          <w:sz w:val="22"/>
          <w:szCs w:val="22"/>
          <w:lang w:val="da-DK"/>
        </w:rPr>
        <w:t xml:space="preserve">Den anbefalede dosis af Glivec er 400 mg/dag til </w:t>
      </w:r>
      <w:r w:rsidR="000A2A29" w:rsidRPr="004C2A59">
        <w:rPr>
          <w:color w:val="000000"/>
          <w:sz w:val="22"/>
          <w:szCs w:val="22"/>
          <w:lang w:val="da-DK"/>
        </w:rPr>
        <w:t xml:space="preserve">voksne </w:t>
      </w:r>
      <w:r w:rsidRPr="004C2A59">
        <w:rPr>
          <w:color w:val="000000"/>
          <w:sz w:val="22"/>
          <w:szCs w:val="22"/>
          <w:lang w:val="da-DK"/>
        </w:rPr>
        <w:t>patienter med inoperable og/eller metastaserende maligne GIST.</w:t>
      </w:r>
    </w:p>
    <w:p w14:paraId="01B57CE7" w14:textId="77777777" w:rsidR="00A361AD" w:rsidRPr="004C2A59" w:rsidRDefault="00A361AD" w:rsidP="00421681">
      <w:pPr>
        <w:widowControl w:val="0"/>
        <w:rPr>
          <w:color w:val="000000"/>
          <w:sz w:val="22"/>
          <w:szCs w:val="22"/>
          <w:lang w:val="da-DK"/>
        </w:rPr>
      </w:pPr>
    </w:p>
    <w:p w14:paraId="2A855A66" w14:textId="77777777" w:rsidR="00A361AD" w:rsidRPr="004C2A59" w:rsidRDefault="00A361AD" w:rsidP="00421681">
      <w:pPr>
        <w:widowControl w:val="0"/>
        <w:rPr>
          <w:color w:val="000000"/>
          <w:sz w:val="22"/>
          <w:szCs w:val="22"/>
          <w:lang w:val="da-DK"/>
        </w:rPr>
      </w:pPr>
      <w:r w:rsidRPr="004C2A59">
        <w:rPr>
          <w:color w:val="000000"/>
          <w:sz w:val="22"/>
          <w:szCs w:val="22"/>
          <w:lang w:val="da-DK"/>
        </w:rPr>
        <w:t>Der findes begrænsede data vedrørende effekt af dosisøgning fra 400 mg til 600 mg eller 800 mg hos patienter, der oplever bedring ved den lavere dosis (se pkt. 5.1).</w:t>
      </w:r>
    </w:p>
    <w:p w14:paraId="58E9C28A" w14:textId="77777777" w:rsidR="00A361AD" w:rsidRPr="004C2A59" w:rsidRDefault="00A361AD" w:rsidP="00421681">
      <w:pPr>
        <w:widowControl w:val="0"/>
        <w:rPr>
          <w:color w:val="000000"/>
          <w:sz w:val="22"/>
          <w:szCs w:val="22"/>
          <w:lang w:val="da-DK"/>
        </w:rPr>
      </w:pPr>
    </w:p>
    <w:p w14:paraId="1AD8FD8E" w14:textId="77777777" w:rsidR="00A361AD" w:rsidRPr="004C2A59" w:rsidRDefault="00A361AD" w:rsidP="00421681">
      <w:pPr>
        <w:widowControl w:val="0"/>
        <w:rPr>
          <w:color w:val="000000"/>
          <w:sz w:val="22"/>
          <w:szCs w:val="22"/>
          <w:lang w:val="da-DK"/>
        </w:rPr>
      </w:pPr>
      <w:r w:rsidRPr="004C2A59">
        <w:rPr>
          <w:color w:val="000000"/>
          <w:sz w:val="22"/>
          <w:szCs w:val="22"/>
          <w:lang w:val="da-DK"/>
        </w:rPr>
        <w:t>Behandlingsvarighed: I kliniske undersøgelser med GIST-patienter, blev behandling med Glivec fortsat indtil sygdomsprogression. På analysetidspunktet var behandlingsvarighedsmedianen 7 måneder (7 dage til 13 måneder). Effekt af seponering efter opnåelse af respons er ikke undersøgt.</w:t>
      </w:r>
    </w:p>
    <w:p w14:paraId="1183E6C3" w14:textId="77777777" w:rsidR="00A361AD" w:rsidRPr="004C2A59" w:rsidRDefault="00A361AD" w:rsidP="00421681">
      <w:pPr>
        <w:widowControl w:val="0"/>
        <w:rPr>
          <w:color w:val="000000"/>
          <w:sz w:val="22"/>
          <w:szCs w:val="22"/>
          <w:lang w:val="da-DK"/>
        </w:rPr>
      </w:pPr>
    </w:p>
    <w:p w14:paraId="0C3886D5" w14:textId="77777777" w:rsidR="00A361AD" w:rsidRPr="004C2A59" w:rsidRDefault="00A361AD" w:rsidP="00421681">
      <w:pPr>
        <w:widowControl w:val="0"/>
        <w:rPr>
          <w:color w:val="000000"/>
          <w:sz w:val="22"/>
          <w:szCs w:val="22"/>
          <w:lang w:val="da-DK"/>
        </w:rPr>
      </w:pPr>
      <w:r w:rsidRPr="004C2A59">
        <w:rPr>
          <w:color w:val="000000"/>
          <w:sz w:val="22"/>
          <w:szCs w:val="22"/>
          <w:lang w:val="da-DK"/>
        </w:rPr>
        <w:t xml:space="preserve">Den anbefalede dosis af Glivec er 400 mg/dag for adjuverende behandling af voksne efter resektion af GIST. Optimal behandlingsvarighed er endnu ikke fastlagt. Behandlingsvarigheden i det kliniske forsøg, der ligger til grund for denne indikation, var </w:t>
      </w:r>
      <w:r w:rsidR="00492C2D" w:rsidRPr="004C2A59">
        <w:rPr>
          <w:color w:val="000000"/>
          <w:sz w:val="22"/>
          <w:szCs w:val="22"/>
          <w:lang w:val="da-DK"/>
        </w:rPr>
        <w:t>36</w:t>
      </w:r>
      <w:r w:rsidRPr="004C2A59">
        <w:rPr>
          <w:color w:val="000000"/>
          <w:sz w:val="22"/>
          <w:szCs w:val="22"/>
          <w:lang w:val="da-DK"/>
        </w:rPr>
        <w:t> måneder</w:t>
      </w:r>
      <w:r w:rsidR="00492C2D" w:rsidRPr="004C2A59">
        <w:rPr>
          <w:color w:val="000000"/>
          <w:sz w:val="22"/>
          <w:szCs w:val="22"/>
          <w:lang w:val="da-DK"/>
        </w:rPr>
        <w:t xml:space="preserve"> (se pkt. 5.1)</w:t>
      </w:r>
      <w:r w:rsidRPr="004C2A59">
        <w:rPr>
          <w:color w:val="000000"/>
          <w:sz w:val="22"/>
          <w:szCs w:val="22"/>
          <w:lang w:val="da-DK"/>
        </w:rPr>
        <w:t>.</w:t>
      </w:r>
    </w:p>
    <w:p w14:paraId="6F99517F" w14:textId="77777777" w:rsidR="00A361AD" w:rsidRPr="004C2A59" w:rsidRDefault="00A361AD" w:rsidP="00421681">
      <w:pPr>
        <w:widowControl w:val="0"/>
        <w:rPr>
          <w:color w:val="000000"/>
          <w:sz w:val="22"/>
          <w:szCs w:val="22"/>
          <w:lang w:val="da-DK"/>
        </w:rPr>
      </w:pPr>
    </w:p>
    <w:p w14:paraId="67D87736" w14:textId="77777777" w:rsidR="00A361AD" w:rsidRPr="004C2A59" w:rsidRDefault="00A361AD" w:rsidP="00A125B0">
      <w:pPr>
        <w:keepNext/>
        <w:widowControl w:val="0"/>
        <w:rPr>
          <w:color w:val="000000"/>
          <w:sz w:val="22"/>
          <w:szCs w:val="22"/>
          <w:u w:val="single"/>
          <w:lang w:val="da-DK"/>
        </w:rPr>
      </w:pPr>
      <w:r w:rsidRPr="004C2A59">
        <w:rPr>
          <w:color w:val="000000"/>
          <w:sz w:val="22"/>
          <w:szCs w:val="22"/>
          <w:u w:val="single"/>
          <w:lang w:val="da-DK"/>
        </w:rPr>
        <w:t>Dosering ved DFSP</w:t>
      </w:r>
    </w:p>
    <w:p w14:paraId="7662390B" w14:textId="77777777" w:rsidR="00A361AD" w:rsidRPr="004C2A59" w:rsidRDefault="00A361AD" w:rsidP="00421681">
      <w:pPr>
        <w:widowControl w:val="0"/>
        <w:rPr>
          <w:color w:val="000000"/>
          <w:sz w:val="22"/>
          <w:szCs w:val="22"/>
          <w:lang w:val="da-DK"/>
        </w:rPr>
      </w:pPr>
      <w:r w:rsidRPr="004C2A59">
        <w:rPr>
          <w:color w:val="000000"/>
          <w:sz w:val="22"/>
          <w:szCs w:val="22"/>
          <w:lang w:val="da-DK"/>
        </w:rPr>
        <w:t>Den anbefalede dosis af Glivec er 800 mg/dag til</w:t>
      </w:r>
      <w:r w:rsidR="000A2A29" w:rsidRPr="004C2A59">
        <w:rPr>
          <w:color w:val="000000"/>
          <w:sz w:val="22"/>
          <w:szCs w:val="22"/>
          <w:lang w:val="da-DK"/>
        </w:rPr>
        <w:t xml:space="preserve"> voksne</w:t>
      </w:r>
      <w:r w:rsidRPr="004C2A59">
        <w:rPr>
          <w:color w:val="000000"/>
          <w:sz w:val="22"/>
          <w:szCs w:val="22"/>
          <w:lang w:val="da-DK"/>
        </w:rPr>
        <w:t xml:space="preserve"> patienter med DSFP.</w:t>
      </w:r>
    </w:p>
    <w:p w14:paraId="31334073" w14:textId="77777777" w:rsidR="00A361AD" w:rsidRPr="004C2A59" w:rsidRDefault="00A361AD" w:rsidP="00421681">
      <w:pPr>
        <w:widowControl w:val="0"/>
        <w:rPr>
          <w:color w:val="000000"/>
          <w:sz w:val="22"/>
          <w:szCs w:val="22"/>
          <w:u w:val="single"/>
          <w:lang w:val="da-DK"/>
        </w:rPr>
      </w:pPr>
    </w:p>
    <w:p w14:paraId="163C5385" w14:textId="77777777" w:rsidR="00A361AD" w:rsidRPr="004C2A59" w:rsidRDefault="00A361AD" w:rsidP="00A125B0">
      <w:pPr>
        <w:keepNext/>
        <w:widowControl w:val="0"/>
        <w:rPr>
          <w:color w:val="000000"/>
          <w:sz w:val="22"/>
          <w:szCs w:val="22"/>
          <w:u w:val="single"/>
          <w:lang w:val="nb-NO"/>
        </w:rPr>
      </w:pPr>
      <w:r w:rsidRPr="004C2A59">
        <w:rPr>
          <w:color w:val="000000"/>
          <w:sz w:val="22"/>
          <w:szCs w:val="22"/>
          <w:u w:val="single"/>
          <w:lang w:val="nb-NO"/>
        </w:rPr>
        <w:t>Dosisjustering i forbindelse med bivirkninger</w:t>
      </w:r>
    </w:p>
    <w:p w14:paraId="235CE3B2" w14:textId="77777777" w:rsidR="00A361AD" w:rsidRPr="004C2A59" w:rsidRDefault="00A361AD" w:rsidP="00A125B0">
      <w:pPr>
        <w:pStyle w:val="Heading3"/>
        <w:widowControl w:val="0"/>
        <w:numPr>
          <w:ilvl w:val="0"/>
          <w:numId w:val="0"/>
        </w:numPr>
        <w:tabs>
          <w:tab w:val="clear" w:pos="-720"/>
        </w:tabs>
        <w:suppressAutoHyphens w:val="0"/>
        <w:jc w:val="left"/>
        <w:rPr>
          <w:i/>
          <w:noProof w:val="0"/>
          <w:color w:val="000000"/>
          <w:szCs w:val="22"/>
          <w:u w:val="none"/>
          <w:lang w:val="nb-NO"/>
        </w:rPr>
      </w:pPr>
      <w:r w:rsidRPr="004C2A59">
        <w:rPr>
          <w:i/>
          <w:noProof w:val="0"/>
          <w:color w:val="000000"/>
          <w:szCs w:val="22"/>
          <w:u w:val="none"/>
          <w:lang w:val="nb-NO"/>
        </w:rPr>
        <w:t>Ikke-hæmatologiske bivirkninger</w:t>
      </w:r>
    </w:p>
    <w:p w14:paraId="3D97D6FE" w14:textId="77777777" w:rsidR="00A361AD" w:rsidRPr="004C2A59" w:rsidRDefault="00A361AD" w:rsidP="00421681">
      <w:pPr>
        <w:pStyle w:val="EndnoteText"/>
        <w:tabs>
          <w:tab w:val="clear" w:pos="567"/>
        </w:tabs>
        <w:rPr>
          <w:color w:val="000000"/>
          <w:szCs w:val="22"/>
        </w:rPr>
      </w:pPr>
      <w:r w:rsidRPr="004C2A59">
        <w:rPr>
          <w:color w:val="000000"/>
          <w:szCs w:val="22"/>
        </w:rPr>
        <w:t>Hvis der opstår alvorlige ikke-hæmatologiske bivirkninger ved behandling med Glivec, skal behandlingen seponeres, indtil bivirkningerne er ophørt. Alt efter bivirkningernes sværhedsgrad kan behandlingen derefter genoptages.</w:t>
      </w:r>
    </w:p>
    <w:p w14:paraId="051F9203" w14:textId="77777777" w:rsidR="00A361AD" w:rsidRPr="004C2A59" w:rsidRDefault="00A361AD" w:rsidP="00421681">
      <w:pPr>
        <w:pStyle w:val="EndnoteText"/>
        <w:tabs>
          <w:tab w:val="clear" w:pos="567"/>
        </w:tabs>
        <w:rPr>
          <w:color w:val="000000"/>
          <w:szCs w:val="22"/>
        </w:rPr>
      </w:pPr>
    </w:p>
    <w:p w14:paraId="2731385C" w14:textId="77777777" w:rsidR="00A361AD" w:rsidRPr="004C2A59" w:rsidRDefault="00A361AD" w:rsidP="00421681">
      <w:pPr>
        <w:pStyle w:val="EndnoteText"/>
        <w:tabs>
          <w:tab w:val="clear" w:pos="567"/>
        </w:tabs>
        <w:rPr>
          <w:color w:val="000000"/>
          <w:szCs w:val="22"/>
        </w:rPr>
      </w:pPr>
      <w:r w:rsidRPr="004C2A59">
        <w:rPr>
          <w:color w:val="000000"/>
          <w:szCs w:val="22"/>
        </w:rPr>
        <w:t>Hvis der opstår stigninger i bilirubin &gt;3 x IULN (institutional upper limit of normal) eller i levertransaminaser &gt;5 x IULN, skal Glivec seponeres indtil bilirubinniveauerne er faldet til &lt;1,5 x IULN og transaminaseniveauer til &lt;2,5 x IULN. Behandling med Glivec kan da genoptages ved reduceret daglig dosis. Hos voksne bør dosis reduceres fra 400 til 300 mg eller fra 600 til 400 mg, eller fra 800 mg til 600 mg, og hos børn fra 340 til 260 mg/m</w:t>
      </w:r>
      <w:r w:rsidRPr="004C2A59">
        <w:rPr>
          <w:color w:val="000000"/>
          <w:szCs w:val="22"/>
          <w:vertAlign w:val="superscript"/>
        </w:rPr>
        <w:t>2</w:t>
      </w:r>
      <w:r w:rsidRPr="004C2A59">
        <w:rPr>
          <w:color w:val="000000"/>
          <w:szCs w:val="22"/>
        </w:rPr>
        <w:t>/dag.</w:t>
      </w:r>
    </w:p>
    <w:p w14:paraId="264BEEE6" w14:textId="77777777" w:rsidR="00A361AD" w:rsidRPr="004C2A59" w:rsidRDefault="00A361AD" w:rsidP="00421681">
      <w:pPr>
        <w:pStyle w:val="EndnoteText"/>
        <w:tabs>
          <w:tab w:val="clear" w:pos="567"/>
        </w:tabs>
        <w:rPr>
          <w:color w:val="000000"/>
          <w:szCs w:val="22"/>
        </w:rPr>
      </w:pPr>
    </w:p>
    <w:p w14:paraId="4A18C05A" w14:textId="77777777" w:rsidR="00A361AD" w:rsidRPr="004C2A59" w:rsidRDefault="00A361AD" w:rsidP="00A125B0">
      <w:pPr>
        <w:pStyle w:val="EndnoteText"/>
        <w:keepNext/>
        <w:tabs>
          <w:tab w:val="clear" w:pos="567"/>
        </w:tabs>
        <w:rPr>
          <w:i/>
          <w:color w:val="000000"/>
          <w:szCs w:val="22"/>
        </w:rPr>
      </w:pPr>
      <w:r w:rsidRPr="004C2A59">
        <w:rPr>
          <w:i/>
          <w:color w:val="000000"/>
          <w:szCs w:val="22"/>
        </w:rPr>
        <w:t>Hæmatologiske bivirkninger</w:t>
      </w:r>
    </w:p>
    <w:p w14:paraId="32980B85" w14:textId="77777777" w:rsidR="00A361AD" w:rsidRPr="004C2A59" w:rsidRDefault="00A361AD" w:rsidP="00421681">
      <w:pPr>
        <w:pStyle w:val="EndnoteText"/>
        <w:tabs>
          <w:tab w:val="clear" w:pos="567"/>
        </w:tabs>
        <w:rPr>
          <w:color w:val="000000"/>
          <w:szCs w:val="22"/>
        </w:rPr>
      </w:pPr>
      <w:r w:rsidRPr="004C2A59">
        <w:rPr>
          <w:color w:val="000000"/>
          <w:szCs w:val="22"/>
        </w:rPr>
        <w:t>I tilfælde af svær neutropeni og trombocytopeni anbefales dosisreduktion eller seponering af behandlingen, som angivet i nedenstående tabel:</w:t>
      </w:r>
    </w:p>
    <w:p w14:paraId="0DFECA75" w14:textId="77777777" w:rsidR="00A361AD" w:rsidRPr="004C2A59" w:rsidRDefault="00A361AD" w:rsidP="00421681">
      <w:pPr>
        <w:pStyle w:val="EndnoteText"/>
        <w:tabs>
          <w:tab w:val="clear" w:pos="567"/>
        </w:tabs>
        <w:rPr>
          <w:color w:val="000000"/>
          <w:szCs w:val="22"/>
        </w:rPr>
      </w:pPr>
    </w:p>
    <w:p w14:paraId="02A99584" w14:textId="77777777" w:rsidR="00A361AD" w:rsidRPr="004C2A59" w:rsidRDefault="00A361AD" w:rsidP="00A125B0">
      <w:pPr>
        <w:pStyle w:val="EndnoteText"/>
        <w:keepNext/>
        <w:tabs>
          <w:tab w:val="clear" w:pos="567"/>
        </w:tabs>
        <w:rPr>
          <w:color w:val="000000"/>
          <w:szCs w:val="22"/>
        </w:rPr>
      </w:pPr>
      <w:r w:rsidRPr="004C2A59">
        <w:rPr>
          <w:color w:val="000000"/>
          <w:szCs w:val="22"/>
        </w:rPr>
        <w:t>Dosisjusteringer på grund af neutropeni og trombocytopeni</w:t>
      </w:r>
    </w:p>
    <w:p w14:paraId="3ED9A678" w14:textId="77777777" w:rsidR="00E51623" w:rsidRPr="004C2A59" w:rsidRDefault="00E51623" w:rsidP="00A125B0">
      <w:pPr>
        <w:pStyle w:val="EndnoteText"/>
        <w:keepNext/>
        <w:tabs>
          <w:tab w:val="clear" w:pos="567"/>
        </w:tabs>
        <w:rPr>
          <w:color w:val="000000"/>
          <w:szCs w:val="22"/>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693"/>
        <w:gridCol w:w="4394"/>
      </w:tblGrid>
      <w:tr w:rsidR="00E51623" w:rsidRPr="00DA2798" w14:paraId="1E3304AF" w14:textId="77777777" w:rsidTr="00A125B0">
        <w:trPr>
          <w:cantSplit/>
        </w:trPr>
        <w:tc>
          <w:tcPr>
            <w:tcW w:w="1985" w:type="dxa"/>
            <w:tcBorders>
              <w:bottom w:val="single" w:sz="6" w:space="0" w:color="auto"/>
              <w:right w:val="single" w:sz="6" w:space="0" w:color="auto"/>
            </w:tcBorders>
          </w:tcPr>
          <w:p w14:paraId="3ED4284E" w14:textId="77777777" w:rsidR="00E51623" w:rsidRPr="004C2A59" w:rsidRDefault="00E51623" w:rsidP="00A125B0">
            <w:pPr>
              <w:pStyle w:val="EndnoteText"/>
              <w:keepNext/>
              <w:tabs>
                <w:tab w:val="clear" w:pos="567"/>
              </w:tabs>
              <w:rPr>
                <w:color w:val="000000"/>
                <w:szCs w:val="22"/>
                <w:lang w:val="en-US"/>
              </w:rPr>
            </w:pPr>
            <w:r w:rsidRPr="004C2A59">
              <w:rPr>
                <w:color w:val="000000"/>
                <w:szCs w:val="22"/>
                <w:lang w:val="en-US"/>
              </w:rPr>
              <w:t>HES/</w:t>
            </w:r>
            <w:smartTag w:uri="urn:schemas-microsoft-com:office:smarttags" w:element="metricconverter">
              <w:r w:rsidRPr="004C2A59">
                <w:rPr>
                  <w:color w:val="000000"/>
                  <w:szCs w:val="22"/>
                  <w:lang w:val="en-US"/>
                </w:rPr>
                <w:t>CEL</w:t>
              </w:r>
            </w:smartTag>
            <w:r w:rsidRPr="004C2A59">
              <w:rPr>
                <w:color w:val="000000"/>
                <w:szCs w:val="22"/>
                <w:lang w:val="en-US"/>
              </w:rPr>
              <w:t xml:space="preserve"> (start dosering 100 mg)</w:t>
            </w:r>
          </w:p>
        </w:tc>
        <w:tc>
          <w:tcPr>
            <w:tcW w:w="2693" w:type="dxa"/>
            <w:tcBorders>
              <w:left w:val="single" w:sz="6" w:space="0" w:color="auto"/>
              <w:bottom w:val="single" w:sz="6" w:space="0" w:color="auto"/>
              <w:right w:val="single" w:sz="6" w:space="0" w:color="auto"/>
            </w:tcBorders>
          </w:tcPr>
          <w:p w14:paraId="6C1B1997" w14:textId="77777777" w:rsidR="00E51623" w:rsidRPr="004C2A59" w:rsidRDefault="00E51623" w:rsidP="00A125B0">
            <w:pPr>
              <w:pStyle w:val="Table"/>
              <w:keepLines w:val="0"/>
              <w:widowControl w:val="0"/>
              <w:suppressLineNumber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ANC &lt;1,0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66B1AD37" w14:textId="77777777" w:rsidR="00E51623" w:rsidRPr="004C2A59" w:rsidRDefault="00E51623" w:rsidP="00A125B0">
            <w:pPr>
              <w:pStyle w:val="Table"/>
              <w:keepLines w:val="0"/>
              <w:widowControl w:val="0"/>
              <w:suppressLineNumber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og/eller</w:t>
            </w:r>
          </w:p>
          <w:p w14:paraId="494EFE75" w14:textId="77777777" w:rsidR="00E51623" w:rsidRPr="004C2A59" w:rsidRDefault="00E51623" w:rsidP="00A125B0">
            <w:pPr>
              <w:pStyle w:val="Table"/>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trombocytter &lt;50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tc>
        <w:tc>
          <w:tcPr>
            <w:tcW w:w="4394" w:type="dxa"/>
            <w:tcBorders>
              <w:left w:val="single" w:sz="6" w:space="0" w:color="auto"/>
              <w:bottom w:val="single" w:sz="6" w:space="0" w:color="auto"/>
            </w:tcBorders>
          </w:tcPr>
          <w:p w14:paraId="7684A26C" w14:textId="77777777" w:rsidR="00E51623" w:rsidRPr="004C2A59" w:rsidRDefault="00E51623" w:rsidP="00A125B0">
            <w:pPr>
              <w:pStyle w:val="Table"/>
              <w:keepLines w:val="0"/>
              <w:widowControl w:val="0"/>
              <w:suppressLineNumbers/>
              <w:tabs>
                <w:tab w:val="clear" w:pos="284"/>
              </w:tabs>
              <w:spacing w:before="0" w:after="0"/>
              <w:ind w:left="459" w:hanging="425"/>
              <w:rPr>
                <w:rFonts w:ascii="Times New Roman" w:hAnsi="Times New Roman"/>
                <w:color w:val="000000"/>
                <w:sz w:val="22"/>
                <w:szCs w:val="22"/>
                <w:lang w:val="da-DK"/>
              </w:rPr>
            </w:pPr>
            <w:r w:rsidRPr="004C2A59">
              <w:rPr>
                <w:rFonts w:ascii="Times New Roman" w:hAnsi="Times New Roman"/>
                <w:color w:val="000000"/>
                <w:sz w:val="22"/>
                <w:szCs w:val="22"/>
                <w:lang w:val="da-DK"/>
              </w:rPr>
              <w:t>1.</w:t>
            </w:r>
            <w:r w:rsidRPr="004C2A59">
              <w:rPr>
                <w:rFonts w:ascii="Times New Roman" w:hAnsi="Times New Roman"/>
                <w:color w:val="000000"/>
                <w:sz w:val="22"/>
                <w:szCs w:val="22"/>
                <w:lang w:val="da-DK"/>
              </w:rPr>
              <w:tab/>
              <w:t>Seponer Glivec indtil ANC </w:t>
            </w:r>
            <w:r w:rsidRPr="004C2A59">
              <w:rPr>
                <w:rFonts w:ascii="Times New Roman" w:hAnsi="Times New Roman"/>
                <w:color w:val="000000"/>
                <w:sz w:val="22"/>
                <w:szCs w:val="22"/>
                <w:lang w:val="en-GB"/>
              </w:rPr>
              <w:sym w:font="Symbol" w:char="F0B3"/>
            </w:r>
            <w:r w:rsidRPr="004C2A59">
              <w:rPr>
                <w:rFonts w:ascii="Times New Roman" w:hAnsi="Times New Roman"/>
                <w:color w:val="000000"/>
                <w:sz w:val="22"/>
                <w:szCs w:val="22"/>
                <w:lang w:val="da-DK"/>
              </w:rPr>
              <w:t>1,5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og trombocytter </w:t>
            </w:r>
            <w:r w:rsidRPr="004C2A59">
              <w:rPr>
                <w:rFonts w:ascii="Times New Roman" w:hAnsi="Times New Roman"/>
                <w:color w:val="000000"/>
                <w:sz w:val="22"/>
                <w:szCs w:val="22"/>
                <w:lang w:val="en-GB"/>
              </w:rPr>
              <w:sym w:font="Symbol" w:char="F0B3"/>
            </w:r>
            <w:r w:rsidRPr="004C2A59">
              <w:rPr>
                <w:rFonts w:ascii="Times New Roman" w:hAnsi="Times New Roman"/>
                <w:color w:val="000000"/>
                <w:sz w:val="22"/>
                <w:szCs w:val="22"/>
                <w:lang w:val="da-DK"/>
              </w:rPr>
              <w:t>75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5957F3DB" w14:textId="77777777" w:rsidR="00E51623" w:rsidRPr="004C2A59" w:rsidRDefault="00E51623" w:rsidP="00A125B0">
            <w:pPr>
              <w:pStyle w:val="Table"/>
              <w:keepLines w:val="0"/>
              <w:widowControl w:val="0"/>
              <w:suppressLineNumbers/>
              <w:tabs>
                <w:tab w:val="clear" w:pos="284"/>
              </w:tabs>
              <w:spacing w:before="0" w:after="0"/>
              <w:ind w:left="459" w:hanging="425"/>
              <w:rPr>
                <w:rFonts w:ascii="Times New Roman" w:hAnsi="Times New Roman"/>
                <w:color w:val="000000"/>
                <w:sz w:val="22"/>
                <w:szCs w:val="22"/>
                <w:lang w:val="da-DK"/>
              </w:rPr>
            </w:pPr>
            <w:r w:rsidRPr="004C2A59">
              <w:rPr>
                <w:rFonts w:ascii="Times New Roman" w:hAnsi="Times New Roman"/>
                <w:color w:val="000000"/>
                <w:sz w:val="22"/>
                <w:szCs w:val="22"/>
                <w:lang w:val="da-DK"/>
              </w:rPr>
              <w:t>2.</w:t>
            </w:r>
            <w:r w:rsidRPr="004C2A59">
              <w:rPr>
                <w:rFonts w:ascii="Times New Roman" w:hAnsi="Times New Roman"/>
                <w:color w:val="000000"/>
                <w:sz w:val="22"/>
                <w:szCs w:val="22"/>
                <w:lang w:val="da-DK"/>
              </w:rPr>
              <w:tab/>
              <w:t>Genoptag Glivec-behandlingen ved den tidligere dosis (dvs. før svære bivirkninger).</w:t>
            </w:r>
          </w:p>
        </w:tc>
      </w:tr>
      <w:tr w:rsidR="00E51623" w:rsidRPr="00F852D1" w14:paraId="1786A115" w14:textId="77777777" w:rsidTr="00A125B0">
        <w:trPr>
          <w:cantSplit/>
        </w:trPr>
        <w:tc>
          <w:tcPr>
            <w:tcW w:w="1985" w:type="dxa"/>
            <w:tcBorders>
              <w:bottom w:val="single" w:sz="6" w:space="0" w:color="auto"/>
              <w:right w:val="single" w:sz="6" w:space="0" w:color="auto"/>
            </w:tcBorders>
          </w:tcPr>
          <w:p w14:paraId="2647652C" w14:textId="77777777" w:rsidR="00E51623" w:rsidRPr="004C2A59" w:rsidRDefault="00E51623" w:rsidP="00421681">
            <w:pPr>
              <w:pStyle w:val="EndnoteText"/>
              <w:tabs>
                <w:tab w:val="clear" w:pos="567"/>
              </w:tabs>
              <w:rPr>
                <w:color w:val="000000"/>
                <w:szCs w:val="22"/>
              </w:rPr>
            </w:pPr>
            <w:r w:rsidRPr="004C2A59">
              <w:rPr>
                <w:color w:val="000000"/>
                <w:szCs w:val="22"/>
              </w:rPr>
              <w:t xml:space="preserve">CML i kronisk fase, </w:t>
            </w:r>
            <w:smartTag w:uri="urn:schemas-microsoft-com:office:smarttags" w:element="metricconverter">
              <w:r w:rsidRPr="004C2A59">
                <w:rPr>
                  <w:color w:val="000000"/>
                  <w:szCs w:val="22"/>
                </w:rPr>
                <w:t>MDS</w:t>
              </w:r>
            </w:smartTag>
            <w:r w:rsidRPr="004C2A59">
              <w:rPr>
                <w:color w:val="000000"/>
                <w:szCs w:val="22"/>
              </w:rPr>
              <w:t>/MPD og GIST (startdosis 400 mg)</w:t>
            </w:r>
          </w:p>
          <w:p w14:paraId="1C011A49" w14:textId="77777777" w:rsidR="00E51623" w:rsidRPr="004C2A59" w:rsidRDefault="00E51623" w:rsidP="00421681">
            <w:pPr>
              <w:pStyle w:val="EndnoteText"/>
              <w:tabs>
                <w:tab w:val="clear" w:pos="567"/>
              </w:tabs>
              <w:rPr>
                <w:color w:val="000000"/>
                <w:szCs w:val="22"/>
              </w:rPr>
            </w:pPr>
            <w:r w:rsidRPr="004C2A59">
              <w:rPr>
                <w:color w:val="000000"/>
                <w:szCs w:val="22"/>
              </w:rPr>
              <w:t>HES/</w:t>
            </w:r>
            <w:smartTag w:uri="urn:schemas-microsoft-com:office:smarttags" w:element="metricconverter">
              <w:r w:rsidRPr="004C2A59">
                <w:rPr>
                  <w:color w:val="000000"/>
                  <w:szCs w:val="22"/>
                </w:rPr>
                <w:t>CEL</w:t>
              </w:r>
            </w:smartTag>
          </w:p>
          <w:p w14:paraId="715A1911" w14:textId="77777777" w:rsidR="00E51623" w:rsidRPr="004C2A59" w:rsidRDefault="00E51623" w:rsidP="00421681">
            <w:pPr>
              <w:pStyle w:val="EndnoteText"/>
              <w:tabs>
                <w:tab w:val="clear" w:pos="567"/>
              </w:tabs>
              <w:rPr>
                <w:color w:val="000000"/>
                <w:szCs w:val="22"/>
              </w:rPr>
            </w:pPr>
            <w:r w:rsidRPr="004C2A59">
              <w:rPr>
                <w:color w:val="000000"/>
                <w:szCs w:val="22"/>
              </w:rPr>
              <w:t>(ved 400 mg dosis)</w:t>
            </w:r>
          </w:p>
        </w:tc>
        <w:tc>
          <w:tcPr>
            <w:tcW w:w="2693" w:type="dxa"/>
            <w:tcBorders>
              <w:left w:val="single" w:sz="6" w:space="0" w:color="auto"/>
              <w:bottom w:val="single" w:sz="6" w:space="0" w:color="auto"/>
              <w:right w:val="single" w:sz="6" w:space="0" w:color="auto"/>
            </w:tcBorders>
          </w:tcPr>
          <w:p w14:paraId="28808402" w14:textId="77777777" w:rsidR="00E51623" w:rsidRPr="004C2A59" w:rsidRDefault="00E51623" w:rsidP="00421681">
            <w:pPr>
              <w:pStyle w:val="Table"/>
              <w:keepNext w:val="0"/>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ANC &lt;1,0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65550AAE" w14:textId="77777777" w:rsidR="00E51623" w:rsidRPr="004C2A59" w:rsidRDefault="00E51623" w:rsidP="00421681">
            <w:pPr>
              <w:pStyle w:val="Table"/>
              <w:keepNext w:val="0"/>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og/eller</w:t>
            </w:r>
          </w:p>
          <w:p w14:paraId="0A8799C5" w14:textId="77777777" w:rsidR="00E51623" w:rsidRPr="004C2A59" w:rsidRDefault="00E51623" w:rsidP="00421681">
            <w:pPr>
              <w:pStyle w:val="EndnoteText"/>
              <w:tabs>
                <w:tab w:val="clear" w:pos="567"/>
              </w:tabs>
              <w:rPr>
                <w:color w:val="000000"/>
                <w:szCs w:val="22"/>
              </w:rPr>
            </w:pPr>
            <w:r w:rsidRPr="004C2A59">
              <w:rPr>
                <w:color w:val="000000"/>
                <w:szCs w:val="22"/>
              </w:rPr>
              <w:t>trombocytter &lt;50 x 10</w:t>
            </w:r>
            <w:r w:rsidRPr="004C2A59">
              <w:rPr>
                <w:color w:val="000000"/>
                <w:szCs w:val="22"/>
                <w:vertAlign w:val="superscript"/>
              </w:rPr>
              <w:t>9</w:t>
            </w:r>
            <w:r w:rsidRPr="004C2A59">
              <w:rPr>
                <w:color w:val="000000"/>
                <w:szCs w:val="22"/>
              </w:rPr>
              <w:t>/l</w:t>
            </w:r>
          </w:p>
        </w:tc>
        <w:tc>
          <w:tcPr>
            <w:tcW w:w="4394" w:type="dxa"/>
            <w:tcBorders>
              <w:left w:val="single" w:sz="6" w:space="0" w:color="auto"/>
              <w:bottom w:val="single" w:sz="6" w:space="0" w:color="auto"/>
            </w:tcBorders>
          </w:tcPr>
          <w:p w14:paraId="0F22C4E7" w14:textId="77777777" w:rsidR="00E51623" w:rsidRPr="004C2A59" w:rsidRDefault="00E51623" w:rsidP="00421681">
            <w:pPr>
              <w:pStyle w:val="Table"/>
              <w:keepNext w:val="0"/>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1.</w:t>
            </w:r>
            <w:r w:rsidRPr="004C2A59">
              <w:rPr>
                <w:rFonts w:ascii="Times New Roman" w:hAnsi="Times New Roman"/>
                <w:color w:val="000000"/>
                <w:sz w:val="22"/>
                <w:szCs w:val="22"/>
                <w:lang w:val="da-DK"/>
              </w:rPr>
              <w:tab/>
              <w:t xml:space="preserve">Seponer Glivec indtil ANC </w:t>
            </w:r>
            <w:r w:rsidRPr="004C2A59">
              <w:rPr>
                <w:rFonts w:ascii="Times New Roman" w:hAnsi="Times New Roman"/>
                <w:color w:val="000000"/>
                <w:sz w:val="22"/>
                <w:szCs w:val="22"/>
                <w:lang w:val="da-DK"/>
              </w:rPr>
              <w:sym w:font="Symbol" w:char="F0B3"/>
            </w:r>
            <w:r w:rsidRPr="004C2A59">
              <w:rPr>
                <w:rFonts w:ascii="Times New Roman" w:hAnsi="Times New Roman"/>
                <w:color w:val="000000"/>
                <w:sz w:val="22"/>
                <w:szCs w:val="22"/>
                <w:lang w:val="da-DK"/>
              </w:rPr>
              <w:t>1,5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 xml:space="preserve">/l og trombocytter </w:t>
            </w:r>
            <w:r w:rsidRPr="004C2A59">
              <w:rPr>
                <w:rFonts w:ascii="Times New Roman" w:hAnsi="Times New Roman"/>
                <w:color w:val="000000"/>
                <w:sz w:val="22"/>
                <w:szCs w:val="22"/>
                <w:lang w:val="da-DK"/>
              </w:rPr>
              <w:sym w:font="Symbol" w:char="F0B3"/>
            </w:r>
            <w:r w:rsidRPr="004C2A59">
              <w:rPr>
                <w:rFonts w:ascii="Times New Roman" w:hAnsi="Times New Roman"/>
                <w:color w:val="000000"/>
                <w:sz w:val="22"/>
                <w:szCs w:val="22"/>
                <w:lang w:val="da-DK"/>
              </w:rPr>
              <w:t>75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43E89D72" w14:textId="77777777" w:rsidR="00E51623" w:rsidRPr="004C2A59" w:rsidRDefault="00E51623" w:rsidP="00421681">
            <w:pPr>
              <w:pStyle w:val="Table"/>
              <w:keepNext w:val="0"/>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2.</w:t>
            </w:r>
            <w:r w:rsidRPr="004C2A59">
              <w:rPr>
                <w:rFonts w:ascii="Times New Roman" w:hAnsi="Times New Roman"/>
                <w:color w:val="000000"/>
                <w:sz w:val="22"/>
                <w:szCs w:val="22"/>
                <w:lang w:val="da-DK"/>
              </w:rPr>
              <w:tab/>
              <w:t>Genoptag Glivec-behandlingen ved den tidligere dosis (dvs. før svære bivirkninger).</w:t>
            </w:r>
          </w:p>
          <w:p w14:paraId="4DECFBD9" w14:textId="77777777" w:rsidR="00E51623" w:rsidRPr="004C2A59" w:rsidRDefault="00E51623" w:rsidP="00421681">
            <w:pPr>
              <w:pStyle w:val="EndnoteText"/>
              <w:tabs>
                <w:tab w:val="clear" w:pos="567"/>
              </w:tabs>
              <w:ind w:left="459" w:hanging="459"/>
              <w:rPr>
                <w:color w:val="000000"/>
                <w:szCs w:val="22"/>
              </w:rPr>
            </w:pPr>
            <w:r w:rsidRPr="004C2A59">
              <w:rPr>
                <w:color w:val="000000"/>
                <w:szCs w:val="22"/>
              </w:rPr>
              <w:t>3.</w:t>
            </w:r>
            <w:r w:rsidRPr="004C2A59">
              <w:rPr>
                <w:color w:val="000000"/>
                <w:szCs w:val="22"/>
              </w:rPr>
              <w:tab/>
              <w:t>I tilfælde af recidiverende ANC &lt;1,0 x 10</w:t>
            </w:r>
            <w:r w:rsidRPr="004C2A59">
              <w:rPr>
                <w:color w:val="000000"/>
                <w:szCs w:val="22"/>
                <w:vertAlign w:val="superscript"/>
              </w:rPr>
              <w:t>9</w:t>
            </w:r>
            <w:r w:rsidRPr="004C2A59">
              <w:rPr>
                <w:color w:val="000000"/>
                <w:szCs w:val="22"/>
              </w:rPr>
              <w:t>/l og/eller trombocytter &lt;50 x 10</w:t>
            </w:r>
            <w:r w:rsidRPr="004C2A59">
              <w:rPr>
                <w:color w:val="000000"/>
                <w:szCs w:val="22"/>
                <w:vertAlign w:val="superscript"/>
              </w:rPr>
              <w:t>9</w:t>
            </w:r>
            <w:r w:rsidRPr="004C2A59">
              <w:rPr>
                <w:color w:val="000000"/>
                <w:szCs w:val="22"/>
              </w:rPr>
              <w:t>/l, gentag trin 1 og genoptag behandling med Glivec i en reduceret dosis på 300 mg.</w:t>
            </w:r>
          </w:p>
        </w:tc>
      </w:tr>
      <w:tr w:rsidR="00E51623" w:rsidRPr="00F852D1" w14:paraId="79B660A9" w14:textId="77777777" w:rsidTr="00A125B0">
        <w:trPr>
          <w:cantSplit/>
        </w:trPr>
        <w:tc>
          <w:tcPr>
            <w:tcW w:w="1985" w:type="dxa"/>
            <w:tcBorders>
              <w:top w:val="single" w:sz="6" w:space="0" w:color="auto"/>
              <w:left w:val="single" w:sz="4" w:space="0" w:color="auto"/>
              <w:bottom w:val="nil"/>
              <w:right w:val="single" w:sz="6" w:space="0" w:color="auto"/>
            </w:tcBorders>
          </w:tcPr>
          <w:p w14:paraId="22DE4FAA" w14:textId="77777777" w:rsidR="00E51623" w:rsidRPr="004C2A59" w:rsidRDefault="00E51623" w:rsidP="00421681">
            <w:pPr>
              <w:pStyle w:val="EndnoteText"/>
              <w:tabs>
                <w:tab w:val="clear" w:pos="567"/>
              </w:tabs>
              <w:rPr>
                <w:color w:val="000000"/>
                <w:szCs w:val="22"/>
              </w:rPr>
            </w:pPr>
            <w:r w:rsidRPr="004C2A59">
              <w:rPr>
                <w:color w:val="000000"/>
                <w:szCs w:val="22"/>
              </w:rPr>
              <w:lastRenderedPageBreak/>
              <w:t>Børn med CML i kronisk fase</w:t>
            </w:r>
          </w:p>
          <w:p w14:paraId="45A2E69A" w14:textId="77777777" w:rsidR="00E51623" w:rsidRPr="004C2A59" w:rsidRDefault="00E51623" w:rsidP="00421681">
            <w:pPr>
              <w:pStyle w:val="EndnoteText"/>
              <w:tabs>
                <w:tab w:val="clear" w:pos="567"/>
              </w:tabs>
              <w:rPr>
                <w:color w:val="000000"/>
                <w:szCs w:val="22"/>
              </w:rPr>
            </w:pPr>
            <w:r w:rsidRPr="004C2A59">
              <w:rPr>
                <w:color w:val="000000"/>
                <w:szCs w:val="22"/>
              </w:rPr>
              <w:t>(ved en dosis på 340 mg/m</w:t>
            </w:r>
            <w:r w:rsidRPr="004C2A59">
              <w:rPr>
                <w:color w:val="000000"/>
                <w:szCs w:val="22"/>
                <w:vertAlign w:val="superscript"/>
              </w:rPr>
              <w:t>2</w:t>
            </w:r>
            <w:r w:rsidRPr="004C2A59">
              <w:rPr>
                <w:color w:val="000000"/>
                <w:szCs w:val="22"/>
              </w:rPr>
              <w:t>)</w:t>
            </w:r>
          </w:p>
        </w:tc>
        <w:tc>
          <w:tcPr>
            <w:tcW w:w="2693" w:type="dxa"/>
            <w:tcBorders>
              <w:top w:val="single" w:sz="6" w:space="0" w:color="auto"/>
              <w:left w:val="single" w:sz="6" w:space="0" w:color="auto"/>
              <w:bottom w:val="nil"/>
              <w:right w:val="single" w:sz="6" w:space="0" w:color="auto"/>
            </w:tcBorders>
          </w:tcPr>
          <w:p w14:paraId="1575847B" w14:textId="77777777" w:rsidR="00E51623" w:rsidRPr="004C2A59" w:rsidRDefault="00E51623" w:rsidP="00421681">
            <w:pPr>
              <w:pStyle w:val="Table"/>
              <w:keepNext w:val="0"/>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ANC &lt;1,0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586810B0" w14:textId="77777777" w:rsidR="00E51623" w:rsidRPr="004C2A59" w:rsidRDefault="00E51623" w:rsidP="00421681">
            <w:pPr>
              <w:pStyle w:val="Table"/>
              <w:keepNext w:val="0"/>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og/eller</w:t>
            </w:r>
          </w:p>
          <w:p w14:paraId="2B551E02" w14:textId="77777777" w:rsidR="00E51623" w:rsidRPr="004C2A59" w:rsidRDefault="00E51623" w:rsidP="00421681">
            <w:pPr>
              <w:pStyle w:val="Table"/>
              <w:keepNext w:val="0"/>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trombocytter &lt;50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tc>
        <w:tc>
          <w:tcPr>
            <w:tcW w:w="4394" w:type="dxa"/>
            <w:tcBorders>
              <w:top w:val="single" w:sz="6" w:space="0" w:color="auto"/>
              <w:left w:val="single" w:sz="6" w:space="0" w:color="auto"/>
              <w:bottom w:val="nil"/>
              <w:right w:val="single" w:sz="4" w:space="0" w:color="auto"/>
            </w:tcBorders>
          </w:tcPr>
          <w:p w14:paraId="7B6D060B" w14:textId="77777777" w:rsidR="00E51623" w:rsidRPr="004C2A59" w:rsidRDefault="00E51623" w:rsidP="00421681">
            <w:pPr>
              <w:pStyle w:val="Table"/>
              <w:keepNext w:val="0"/>
              <w:keepLines w:val="0"/>
              <w:widowControl w:val="0"/>
              <w:suppressLineNumbers/>
              <w:tabs>
                <w:tab w:val="clear" w:pos="284"/>
              </w:tabs>
              <w:spacing w:before="0" w:after="0"/>
              <w:ind w:left="459" w:hanging="425"/>
              <w:rPr>
                <w:rFonts w:ascii="Times New Roman" w:hAnsi="Times New Roman"/>
                <w:color w:val="000000"/>
                <w:sz w:val="22"/>
                <w:szCs w:val="22"/>
                <w:lang w:val="da-DK"/>
              </w:rPr>
            </w:pPr>
            <w:r w:rsidRPr="004C2A59">
              <w:rPr>
                <w:rFonts w:ascii="Times New Roman" w:hAnsi="Times New Roman"/>
                <w:color w:val="000000"/>
                <w:sz w:val="22"/>
                <w:szCs w:val="22"/>
                <w:lang w:val="da-DK"/>
              </w:rPr>
              <w:t>1.</w:t>
            </w:r>
            <w:r w:rsidRPr="004C2A59">
              <w:rPr>
                <w:rFonts w:ascii="Times New Roman" w:hAnsi="Times New Roman"/>
                <w:color w:val="000000"/>
                <w:sz w:val="22"/>
                <w:szCs w:val="22"/>
                <w:lang w:val="da-DK"/>
              </w:rPr>
              <w:tab/>
              <w:t xml:space="preserve">Seponer Glivec indtil ANC </w:t>
            </w:r>
            <w:r w:rsidRPr="004C2A59">
              <w:rPr>
                <w:rFonts w:ascii="Times New Roman" w:hAnsi="Times New Roman"/>
                <w:color w:val="000000"/>
                <w:sz w:val="22"/>
                <w:szCs w:val="22"/>
                <w:lang w:val="da-DK"/>
              </w:rPr>
              <w:sym w:font="Symbol" w:char="F0B3"/>
            </w:r>
            <w:r w:rsidRPr="004C2A59">
              <w:rPr>
                <w:rFonts w:ascii="Times New Roman" w:hAnsi="Times New Roman"/>
                <w:color w:val="000000"/>
                <w:sz w:val="22"/>
                <w:szCs w:val="22"/>
                <w:lang w:val="da-DK"/>
              </w:rPr>
              <w:t>1,5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 xml:space="preserve">/l og trombocytter </w:t>
            </w:r>
            <w:r w:rsidRPr="004C2A59">
              <w:rPr>
                <w:rFonts w:ascii="Times New Roman" w:hAnsi="Times New Roman"/>
                <w:color w:val="000000"/>
                <w:sz w:val="22"/>
                <w:szCs w:val="22"/>
                <w:lang w:val="da-DK"/>
              </w:rPr>
              <w:sym w:font="Symbol" w:char="F0B3"/>
            </w:r>
            <w:r w:rsidRPr="004C2A59">
              <w:rPr>
                <w:rFonts w:ascii="Times New Roman" w:hAnsi="Times New Roman"/>
                <w:color w:val="000000"/>
                <w:sz w:val="22"/>
                <w:szCs w:val="22"/>
                <w:lang w:val="da-DK"/>
              </w:rPr>
              <w:t>75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208DD39A" w14:textId="77777777" w:rsidR="00E51623" w:rsidRPr="004C2A59" w:rsidRDefault="00E51623" w:rsidP="00421681">
            <w:pPr>
              <w:pStyle w:val="Table"/>
              <w:keepNext w:val="0"/>
              <w:keepLines w:val="0"/>
              <w:widowControl w:val="0"/>
              <w:suppressLineNumbers/>
              <w:tabs>
                <w:tab w:val="clear" w:pos="284"/>
              </w:tabs>
              <w:spacing w:before="0" w:after="0"/>
              <w:ind w:left="459" w:hanging="425"/>
              <w:rPr>
                <w:rFonts w:ascii="Times New Roman" w:hAnsi="Times New Roman"/>
                <w:color w:val="000000"/>
                <w:sz w:val="22"/>
                <w:szCs w:val="22"/>
                <w:lang w:val="da-DK"/>
              </w:rPr>
            </w:pPr>
            <w:r w:rsidRPr="004C2A59">
              <w:rPr>
                <w:rFonts w:ascii="Times New Roman" w:hAnsi="Times New Roman"/>
                <w:color w:val="000000"/>
                <w:sz w:val="22"/>
                <w:szCs w:val="22"/>
                <w:lang w:val="da-DK"/>
              </w:rPr>
              <w:t>2.</w:t>
            </w:r>
            <w:r w:rsidRPr="004C2A59">
              <w:rPr>
                <w:rFonts w:ascii="Times New Roman" w:hAnsi="Times New Roman"/>
                <w:color w:val="000000"/>
                <w:sz w:val="22"/>
                <w:szCs w:val="22"/>
                <w:lang w:val="da-DK"/>
              </w:rPr>
              <w:tab/>
              <w:t>Genoptag Glivec-behandlingen ved den tidligere dosis (dvs. før svære bivirkninger).</w:t>
            </w:r>
          </w:p>
          <w:p w14:paraId="7BFB7B4E" w14:textId="77777777" w:rsidR="00E51623" w:rsidRPr="004C2A59" w:rsidRDefault="00E51623" w:rsidP="00421681">
            <w:pPr>
              <w:pStyle w:val="Table"/>
              <w:keepNext w:val="0"/>
              <w:keepLines w:val="0"/>
              <w:widowControl w:val="0"/>
              <w:suppressLineNumbers/>
              <w:tabs>
                <w:tab w:val="clear" w:pos="284"/>
              </w:tabs>
              <w:spacing w:before="0" w:after="0"/>
              <w:ind w:left="459" w:hanging="425"/>
              <w:rPr>
                <w:rFonts w:ascii="Times New Roman" w:hAnsi="Times New Roman"/>
                <w:color w:val="000000"/>
                <w:sz w:val="22"/>
                <w:szCs w:val="22"/>
                <w:lang w:val="da-DK"/>
              </w:rPr>
            </w:pPr>
            <w:r w:rsidRPr="004C2A59">
              <w:rPr>
                <w:rFonts w:ascii="Times New Roman" w:hAnsi="Times New Roman"/>
                <w:color w:val="000000"/>
                <w:sz w:val="22"/>
                <w:szCs w:val="22"/>
                <w:lang w:val="da-DK"/>
              </w:rPr>
              <w:t>3.</w:t>
            </w:r>
            <w:r w:rsidRPr="004C2A59">
              <w:rPr>
                <w:rFonts w:ascii="Times New Roman" w:hAnsi="Times New Roman"/>
                <w:color w:val="000000"/>
                <w:sz w:val="22"/>
                <w:szCs w:val="22"/>
                <w:lang w:val="da-DK"/>
              </w:rPr>
              <w:tab/>
              <w:t>I tilfælde af recidiverende ANC &lt;1,0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og/eller trombocytter &lt;50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gentag trin 1 og genoptag behandling med Glivec i en reduceret dosis på 260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w:t>
            </w:r>
          </w:p>
        </w:tc>
      </w:tr>
      <w:tr w:rsidR="00E51623" w:rsidRPr="00F852D1" w14:paraId="0E6AC765" w14:textId="77777777" w:rsidTr="00A125B0">
        <w:trPr>
          <w:cantSplit/>
        </w:trPr>
        <w:tc>
          <w:tcPr>
            <w:tcW w:w="1985" w:type="dxa"/>
            <w:tcBorders>
              <w:top w:val="single" w:sz="6" w:space="0" w:color="auto"/>
              <w:left w:val="single" w:sz="4" w:space="0" w:color="auto"/>
              <w:bottom w:val="nil"/>
              <w:right w:val="single" w:sz="6" w:space="0" w:color="auto"/>
            </w:tcBorders>
          </w:tcPr>
          <w:p w14:paraId="64A72103" w14:textId="77777777" w:rsidR="00E51623" w:rsidRPr="004C2A59" w:rsidRDefault="00E51623" w:rsidP="00421681">
            <w:pPr>
              <w:pStyle w:val="EndnoteText"/>
              <w:tabs>
                <w:tab w:val="clear" w:pos="567"/>
              </w:tabs>
              <w:rPr>
                <w:color w:val="000000"/>
                <w:szCs w:val="22"/>
              </w:rPr>
            </w:pPr>
            <w:r w:rsidRPr="004C2A59">
              <w:rPr>
                <w:color w:val="000000"/>
                <w:szCs w:val="22"/>
              </w:rPr>
              <w:t xml:space="preserve">CML i accelereret fase og blastkrise og Ph+ </w:t>
            </w:r>
            <w:smartTag w:uri="urn:schemas-microsoft-com:office:smarttags" w:element="metricconverter">
              <w:r w:rsidRPr="004C2A59">
                <w:rPr>
                  <w:color w:val="000000"/>
                  <w:szCs w:val="22"/>
                </w:rPr>
                <w:t>ALL</w:t>
              </w:r>
            </w:smartTag>
            <w:r w:rsidRPr="004C2A59">
              <w:rPr>
                <w:color w:val="000000"/>
                <w:szCs w:val="22"/>
              </w:rPr>
              <w:t xml:space="preserve"> (startdosis 600 mg)</w:t>
            </w:r>
          </w:p>
        </w:tc>
        <w:tc>
          <w:tcPr>
            <w:tcW w:w="2693" w:type="dxa"/>
            <w:tcBorders>
              <w:top w:val="single" w:sz="6" w:space="0" w:color="auto"/>
              <w:left w:val="single" w:sz="6" w:space="0" w:color="auto"/>
              <w:bottom w:val="nil"/>
              <w:right w:val="single" w:sz="6" w:space="0" w:color="auto"/>
            </w:tcBorders>
          </w:tcPr>
          <w:p w14:paraId="7AAA6666" w14:textId="77777777" w:rsidR="00E51623" w:rsidRPr="004C2A59" w:rsidRDefault="00E51623" w:rsidP="00421681">
            <w:pPr>
              <w:pStyle w:val="Table"/>
              <w:keepNext w:val="0"/>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vertAlign w:val="superscript"/>
                <w:lang w:val="da-DK"/>
              </w:rPr>
              <w:t>a</w:t>
            </w:r>
            <w:r w:rsidRPr="004C2A59">
              <w:rPr>
                <w:rFonts w:ascii="Times New Roman" w:hAnsi="Times New Roman"/>
                <w:color w:val="000000"/>
                <w:sz w:val="22"/>
                <w:szCs w:val="22"/>
                <w:lang w:val="da-DK"/>
              </w:rPr>
              <w:t>ANC&lt;0,5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76274FFC" w14:textId="77777777" w:rsidR="00E51623" w:rsidRPr="004C2A59" w:rsidRDefault="00E51623" w:rsidP="00421681">
            <w:pPr>
              <w:pStyle w:val="Table"/>
              <w:keepNext w:val="0"/>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og/eller</w:t>
            </w:r>
          </w:p>
          <w:p w14:paraId="5D347D57" w14:textId="77777777" w:rsidR="00E51623" w:rsidRPr="004C2A59" w:rsidRDefault="00E51623" w:rsidP="00421681">
            <w:pPr>
              <w:pStyle w:val="EndnoteText"/>
              <w:tabs>
                <w:tab w:val="clear" w:pos="567"/>
              </w:tabs>
              <w:rPr>
                <w:color w:val="000000"/>
                <w:szCs w:val="22"/>
              </w:rPr>
            </w:pPr>
            <w:r w:rsidRPr="004C2A59">
              <w:rPr>
                <w:color w:val="000000"/>
                <w:szCs w:val="22"/>
              </w:rPr>
              <w:t>trombocytter &lt;10 x 10</w:t>
            </w:r>
            <w:r w:rsidRPr="004C2A59">
              <w:rPr>
                <w:color w:val="000000"/>
                <w:szCs w:val="22"/>
                <w:vertAlign w:val="superscript"/>
              </w:rPr>
              <w:t>9</w:t>
            </w:r>
            <w:r w:rsidRPr="004C2A59">
              <w:rPr>
                <w:color w:val="000000"/>
                <w:szCs w:val="22"/>
              </w:rPr>
              <w:t>/l</w:t>
            </w:r>
          </w:p>
        </w:tc>
        <w:tc>
          <w:tcPr>
            <w:tcW w:w="4394" w:type="dxa"/>
            <w:tcBorders>
              <w:top w:val="single" w:sz="6" w:space="0" w:color="auto"/>
              <w:left w:val="single" w:sz="6" w:space="0" w:color="auto"/>
              <w:bottom w:val="nil"/>
              <w:right w:val="single" w:sz="4" w:space="0" w:color="auto"/>
            </w:tcBorders>
          </w:tcPr>
          <w:p w14:paraId="41B96A1E" w14:textId="77777777" w:rsidR="00E51623" w:rsidRPr="004C2A59" w:rsidRDefault="00E51623" w:rsidP="00421681">
            <w:pPr>
              <w:pStyle w:val="Table"/>
              <w:keepNext w:val="0"/>
              <w:keepLines w:val="0"/>
              <w:widowControl w:val="0"/>
              <w:suppressLineNumbers/>
              <w:tabs>
                <w:tab w:val="clear" w:pos="284"/>
              </w:tabs>
              <w:spacing w:before="0" w:after="0"/>
              <w:ind w:left="459" w:hanging="425"/>
              <w:rPr>
                <w:rFonts w:ascii="Times New Roman" w:hAnsi="Times New Roman"/>
                <w:color w:val="000000"/>
                <w:sz w:val="22"/>
                <w:szCs w:val="22"/>
                <w:lang w:val="da-DK"/>
              </w:rPr>
            </w:pPr>
            <w:r w:rsidRPr="004C2A59">
              <w:rPr>
                <w:rFonts w:ascii="Times New Roman" w:hAnsi="Times New Roman"/>
                <w:color w:val="000000"/>
                <w:sz w:val="22"/>
                <w:szCs w:val="22"/>
                <w:lang w:val="da-DK"/>
              </w:rPr>
              <w:t>1.</w:t>
            </w:r>
            <w:r w:rsidRPr="004C2A59">
              <w:rPr>
                <w:rFonts w:ascii="Times New Roman" w:hAnsi="Times New Roman"/>
                <w:color w:val="000000"/>
                <w:sz w:val="22"/>
                <w:szCs w:val="22"/>
                <w:lang w:val="da-DK"/>
              </w:rPr>
              <w:tab/>
              <w:t>Undersøg om cytopeni er relateret til leukæmi (marv-aspirat eller biopsi).</w:t>
            </w:r>
          </w:p>
          <w:p w14:paraId="0128CFE1" w14:textId="77777777" w:rsidR="00E51623" w:rsidRPr="004C2A59" w:rsidRDefault="00E51623" w:rsidP="00421681">
            <w:pPr>
              <w:pStyle w:val="Table"/>
              <w:keepNext w:val="0"/>
              <w:keepLines w:val="0"/>
              <w:widowControl w:val="0"/>
              <w:suppressLineNumbers/>
              <w:tabs>
                <w:tab w:val="clear" w:pos="284"/>
              </w:tabs>
              <w:spacing w:before="0" w:after="0"/>
              <w:ind w:left="459" w:hanging="425"/>
              <w:rPr>
                <w:rFonts w:ascii="Times New Roman" w:hAnsi="Times New Roman"/>
                <w:color w:val="000000"/>
                <w:sz w:val="22"/>
                <w:szCs w:val="22"/>
                <w:lang w:val="da-DK"/>
              </w:rPr>
            </w:pPr>
            <w:r w:rsidRPr="004C2A59">
              <w:rPr>
                <w:rFonts w:ascii="Times New Roman" w:hAnsi="Times New Roman"/>
                <w:color w:val="000000"/>
                <w:sz w:val="22"/>
                <w:szCs w:val="22"/>
                <w:lang w:val="da-DK"/>
              </w:rPr>
              <w:t>2.</w:t>
            </w:r>
            <w:r w:rsidRPr="004C2A59">
              <w:rPr>
                <w:rFonts w:ascii="Times New Roman" w:hAnsi="Times New Roman"/>
                <w:color w:val="000000"/>
                <w:sz w:val="22"/>
                <w:szCs w:val="22"/>
                <w:lang w:val="da-DK"/>
              </w:rPr>
              <w:tab/>
              <w:t>Hvis cytopeni ikke er leukæmirelateret, reducér Glivec-dosis til 400 mg.</w:t>
            </w:r>
          </w:p>
          <w:p w14:paraId="15BB8916" w14:textId="77777777" w:rsidR="00E51623" w:rsidRPr="004C2A59" w:rsidRDefault="00E51623" w:rsidP="00421681">
            <w:pPr>
              <w:pStyle w:val="Table"/>
              <w:keepNext w:val="0"/>
              <w:keepLines w:val="0"/>
              <w:widowControl w:val="0"/>
              <w:suppressLineNumbers/>
              <w:tabs>
                <w:tab w:val="clear" w:pos="284"/>
              </w:tabs>
              <w:spacing w:before="0" w:after="0"/>
              <w:ind w:left="459" w:hanging="425"/>
              <w:rPr>
                <w:rFonts w:ascii="Times New Roman" w:hAnsi="Times New Roman"/>
                <w:color w:val="000000"/>
                <w:sz w:val="22"/>
                <w:szCs w:val="22"/>
                <w:lang w:val="da-DK"/>
              </w:rPr>
            </w:pPr>
            <w:r w:rsidRPr="004C2A59">
              <w:rPr>
                <w:rFonts w:ascii="Times New Roman" w:hAnsi="Times New Roman"/>
                <w:color w:val="000000"/>
                <w:sz w:val="22"/>
                <w:szCs w:val="22"/>
                <w:lang w:val="da-DK"/>
              </w:rPr>
              <w:t>3.</w:t>
            </w:r>
            <w:r w:rsidRPr="004C2A59">
              <w:rPr>
                <w:rFonts w:ascii="Times New Roman" w:hAnsi="Times New Roman"/>
                <w:color w:val="000000"/>
                <w:sz w:val="22"/>
                <w:szCs w:val="22"/>
                <w:lang w:val="da-DK"/>
              </w:rPr>
              <w:tab/>
              <w:t>Hvis cytopeni vedvarer i 2 uger, reducér dosis yderligere til 300 mg.</w:t>
            </w:r>
          </w:p>
          <w:p w14:paraId="5686DA1F" w14:textId="77777777" w:rsidR="00E51623" w:rsidRPr="004C2A59" w:rsidRDefault="00E51623" w:rsidP="00421681">
            <w:pPr>
              <w:pStyle w:val="EndnoteText"/>
              <w:tabs>
                <w:tab w:val="clear" w:pos="567"/>
              </w:tabs>
              <w:ind w:left="459" w:hanging="425"/>
              <w:rPr>
                <w:color w:val="000000"/>
                <w:szCs w:val="22"/>
              </w:rPr>
            </w:pPr>
            <w:r w:rsidRPr="004C2A59">
              <w:rPr>
                <w:color w:val="000000"/>
                <w:szCs w:val="22"/>
              </w:rPr>
              <w:t>4.</w:t>
            </w:r>
            <w:r w:rsidRPr="004C2A59">
              <w:rPr>
                <w:color w:val="000000"/>
                <w:szCs w:val="22"/>
              </w:rPr>
              <w:tab/>
              <w:t xml:space="preserve">Hvis cytopeni vedvarer i 4 uger og stadig ikke er leukæmirelateret, seponér Glivec-behandling indtil ANC </w:t>
            </w:r>
            <w:r w:rsidRPr="004C2A59">
              <w:rPr>
                <w:color w:val="000000"/>
                <w:szCs w:val="22"/>
              </w:rPr>
              <w:sym w:font="Symbol" w:char="F0B3"/>
            </w:r>
            <w:r w:rsidRPr="004C2A59">
              <w:rPr>
                <w:color w:val="000000"/>
                <w:szCs w:val="22"/>
              </w:rPr>
              <w:t>1,0 x 10</w:t>
            </w:r>
            <w:r w:rsidRPr="004C2A59">
              <w:rPr>
                <w:color w:val="000000"/>
                <w:szCs w:val="22"/>
                <w:vertAlign w:val="superscript"/>
              </w:rPr>
              <w:t>9</w:t>
            </w:r>
            <w:r w:rsidRPr="004C2A59">
              <w:rPr>
                <w:color w:val="000000"/>
                <w:szCs w:val="22"/>
              </w:rPr>
              <w:t xml:space="preserve">/l og trombocytter </w:t>
            </w:r>
            <w:r w:rsidRPr="004C2A59">
              <w:rPr>
                <w:color w:val="000000"/>
                <w:szCs w:val="22"/>
              </w:rPr>
              <w:sym w:font="Symbol" w:char="F0B3"/>
            </w:r>
            <w:r w:rsidRPr="004C2A59">
              <w:rPr>
                <w:color w:val="000000"/>
                <w:szCs w:val="22"/>
              </w:rPr>
              <w:t>20 x 10</w:t>
            </w:r>
            <w:r w:rsidRPr="004C2A59">
              <w:rPr>
                <w:color w:val="000000"/>
                <w:szCs w:val="22"/>
                <w:vertAlign w:val="superscript"/>
              </w:rPr>
              <w:t>9</w:t>
            </w:r>
            <w:r w:rsidRPr="004C2A59">
              <w:rPr>
                <w:color w:val="000000"/>
                <w:szCs w:val="22"/>
              </w:rPr>
              <w:t>/l og genoptag herefter behandlingen med 300 mg.</w:t>
            </w:r>
          </w:p>
        </w:tc>
      </w:tr>
      <w:tr w:rsidR="00E51623" w:rsidRPr="00F852D1" w14:paraId="52DFF921" w14:textId="77777777" w:rsidTr="00A125B0">
        <w:trPr>
          <w:cantSplit/>
        </w:trPr>
        <w:tc>
          <w:tcPr>
            <w:tcW w:w="1985" w:type="dxa"/>
            <w:tcBorders>
              <w:top w:val="single" w:sz="6" w:space="0" w:color="auto"/>
              <w:left w:val="single" w:sz="4" w:space="0" w:color="auto"/>
              <w:bottom w:val="nil"/>
              <w:right w:val="single" w:sz="6" w:space="0" w:color="auto"/>
            </w:tcBorders>
          </w:tcPr>
          <w:p w14:paraId="31702DAE" w14:textId="77777777" w:rsidR="00E51623" w:rsidRPr="004C2A59" w:rsidRDefault="00E51623" w:rsidP="00421681">
            <w:pPr>
              <w:pStyle w:val="EndnoteText"/>
              <w:tabs>
                <w:tab w:val="clear" w:pos="567"/>
              </w:tabs>
              <w:rPr>
                <w:color w:val="000000"/>
                <w:szCs w:val="22"/>
              </w:rPr>
            </w:pPr>
            <w:r w:rsidRPr="004C2A59">
              <w:rPr>
                <w:color w:val="000000"/>
                <w:szCs w:val="22"/>
              </w:rPr>
              <w:t>Børn med CML i accelereret fase og blastkrise (startdosis 340 mg/m</w:t>
            </w:r>
            <w:r w:rsidRPr="004C2A59">
              <w:rPr>
                <w:color w:val="000000"/>
                <w:szCs w:val="22"/>
                <w:vertAlign w:val="superscript"/>
              </w:rPr>
              <w:t>2</w:t>
            </w:r>
            <w:r w:rsidRPr="004C2A59">
              <w:rPr>
                <w:color w:val="000000"/>
                <w:szCs w:val="22"/>
              </w:rPr>
              <w:t>)</w:t>
            </w:r>
          </w:p>
        </w:tc>
        <w:tc>
          <w:tcPr>
            <w:tcW w:w="2693" w:type="dxa"/>
            <w:tcBorders>
              <w:top w:val="single" w:sz="6" w:space="0" w:color="auto"/>
              <w:left w:val="single" w:sz="6" w:space="0" w:color="auto"/>
              <w:bottom w:val="nil"/>
              <w:right w:val="single" w:sz="6" w:space="0" w:color="auto"/>
            </w:tcBorders>
          </w:tcPr>
          <w:p w14:paraId="37954AB2" w14:textId="77777777" w:rsidR="00E51623" w:rsidRPr="004C2A59" w:rsidDel="00607BA6" w:rsidRDefault="00E51623" w:rsidP="00421681">
            <w:pPr>
              <w:pStyle w:val="Table"/>
              <w:keepNext w:val="0"/>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vertAlign w:val="superscript"/>
                <w:lang w:val="da-DK"/>
              </w:rPr>
              <w:t>a</w:t>
            </w:r>
            <w:r w:rsidRPr="004C2A59">
              <w:rPr>
                <w:rFonts w:ascii="Times New Roman" w:hAnsi="Times New Roman"/>
                <w:color w:val="000000"/>
                <w:sz w:val="22"/>
                <w:szCs w:val="22"/>
                <w:lang w:val="da-DK"/>
              </w:rPr>
              <w:t>ANC&lt;0,5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og/eller trombocytter &lt;10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tc>
        <w:tc>
          <w:tcPr>
            <w:tcW w:w="4394" w:type="dxa"/>
            <w:tcBorders>
              <w:top w:val="single" w:sz="6" w:space="0" w:color="auto"/>
              <w:left w:val="single" w:sz="6" w:space="0" w:color="auto"/>
              <w:bottom w:val="nil"/>
              <w:right w:val="single" w:sz="4" w:space="0" w:color="auto"/>
            </w:tcBorders>
          </w:tcPr>
          <w:p w14:paraId="755F6A60" w14:textId="77777777" w:rsidR="00E51623" w:rsidRPr="004C2A59" w:rsidRDefault="00E51623" w:rsidP="00421681">
            <w:pPr>
              <w:pStyle w:val="Table"/>
              <w:keepNext w:val="0"/>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1.</w:t>
            </w:r>
            <w:r w:rsidRPr="004C2A59">
              <w:rPr>
                <w:rFonts w:ascii="Times New Roman" w:hAnsi="Times New Roman"/>
                <w:color w:val="000000"/>
                <w:sz w:val="22"/>
                <w:szCs w:val="22"/>
                <w:lang w:val="da-DK"/>
              </w:rPr>
              <w:tab/>
              <w:t>Undersøg om cytopeni er relateret til leukæmi (marv-spirat eller biopsi).</w:t>
            </w:r>
          </w:p>
          <w:p w14:paraId="6880CB4D" w14:textId="77777777" w:rsidR="00E51623" w:rsidRPr="004C2A59" w:rsidRDefault="00E51623" w:rsidP="00421681">
            <w:pPr>
              <w:pStyle w:val="Table"/>
              <w:keepNext w:val="0"/>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2.</w:t>
            </w:r>
            <w:r w:rsidRPr="004C2A59">
              <w:rPr>
                <w:rFonts w:ascii="Times New Roman" w:hAnsi="Times New Roman"/>
                <w:color w:val="000000"/>
                <w:sz w:val="22"/>
                <w:szCs w:val="22"/>
                <w:lang w:val="da-DK"/>
              </w:rPr>
              <w:tab/>
              <w:t>Hvis cytopeni ikke er leukæmirelateret, reducér Glivec-dosis til 260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w:t>
            </w:r>
          </w:p>
          <w:p w14:paraId="30042E80" w14:textId="77777777" w:rsidR="00E51623" w:rsidRPr="004C2A59" w:rsidRDefault="00E51623" w:rsidP="00421681">
            <w:pPr>
              <w:pStyle w:val="Table"/>
              <w:keepNext w:val="0"/>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3.</w:t>
            </w:r>
            <w:r w:rsidRPr="004C2A59">
              <w:rPr>
                <w:rFonts w:ascii="Times New Roman" w:hAnsi="Times New Roman"/>
                <w:color w:val="000000"/>
                <w:sz w:val="22"/>
                <w:szCs w:val="22"/>
                <w:lang w:val="da-DK"/>
              </w:rPr>
              <w:tab/>
              <w:t>Hvis cytopeni vedvarer i 2 uger, reducér dosis yderligere til 200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w:t>
            </w:r>
          </w:p>
          <w:p w14:paraId="2B78C310" w14:textId="77777777" w:rsidR="00E51623" w:rsidRPr="004C2A59" w:rsidRDefault="00E51623" w:rsidP="00421681">
            <w:pPr>
              <w:pStyle w:val="Table"/>
              <w:keepNext w:val="0"/>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4.</w:t>
            </w:r>
            <w:r w:rsidRPr="004C2A59">
              <w:rPr>
                <w:rFonts w:ascii="Times New Roman" w:hAnsi="Times New Roman"/>
                <w:color w:val="000000"/>
                <w:sz w:val="22"/>
                <w:szCs w:val="22"/>
                <w:lang w:val="da-DK"/>
              </w:rPr>
              <w:tab/>
              <w:t xml:space="preserve">Hvis cytopeni vedvarer i 4 uger og stadig ikke er leukæmirelateret, seponér Glivec-behandlingen indtil ANC </w:t>
            </w:r>
            <w:r w:rsidRPr="004C2A59">
              <w:rPr>
                <w:rFonts w:ascii="Times New Roman" w:hAnsi="Times New Roman"/>
                <w:color w:val="000000"/>
                <w:sz w:val="22"/>
                <w:szCs w:val="22"/>
              </w:rPr>
              <w:sym w:font="Symbol" w:char="F0B3"/>
            </w:r>
            <w:r w:rsidRPr="004C2A59">
              <w:rPr>
                <w:rFonts w:ascii="Times New Roman" w:hAnsi="Times New Roman"/>
                <w:color w:val="000000"/>
                <w:sz w:val="22"/>
                <w:szCs w:val="22"/>
                <w:lang w:val="da-DK"/>
              </w:rPr>
              <w: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 xml:space="preserve">l og trombocytter </w:t>
            </w:r>
            <w:r w:rsidRPr="004C2A59">
              <w:rPr>
                <w:rFonts w:ascii="Times New Roman" w:hAnsi="Times New Roman"/>
                <w:color w:val="000000"/>
                <w:sz w:val="22"/>
                <w:szCs w:val="22"/>
              </w:rPr>
              <w:sym w:font="Symbol" w:char="F0B3"/>
            </w:r>
            <w:r w:rsidRPr="004C2A59">
              <w:rPr>
                <w:rFonts w:ascii="Times New Roman" w:hAnsi="Times New Roman"/>
                <w:color w:val="000000"/>
                <w:sz w:val="22"/>
                <w:szCs w:val="22"/>
                <w:lang w:val="da-DK"/>
              </w:rPr>
              <w:t>20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og genoptag behandling med 200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w:t>
            </w:r>
          </w:p>
        </w:tc>
      </w:tr>
      <w:tr w:rsidR="00E51623" w:rsidRPr="00F852D1" w14:paraId="0D041B96" w14:textId="77777777" w:rsidTr="00A125B0">
        <w:trPr>
          <w:cantSplit/>
        </w:trPr>
        <w:tc>
          <w:tcPr>
            <w:tcW w:w="1985" w:type="dxa"/>
            <w:tcBorders>
              <w:top w:val="single" w:sz="6" w:space="0" w:color="auto"/>
              <w:left w:val="single" w:sz="4" w:space="0" w:color="auto"/>
              <w:bottom w:val="nil"/>
              <w:right w:val="single" w:sz="6" w:space="0" w:color="auto"/>
            </w:tcBorders>
          </w:tcPr>
          <w:p w14:paraId="7565494B" w14:textId="77777777" w:rsidR="00E51623" w:rsidRPr="004C2A59" w:rsidRDefault="00E51623" w:rsidP="00A125B0">
            <w:pPr>
              <w:pStyle w:val="EndnoteText"/>
              <w:keepNext/>
              <w:tabs>
                <w:tab w:val="clear" w:pos="567"/>
              </w:tabs>
              <w:rPr>
                <w:color w:val="000000"/>
                <w:szCs w:val="22"/>
              </w:rPr>
            </w:pPr>
            <w:r w:rsidRPr="004C2A59">
              <w:rPr>
                <w:color w:val="000000"/>
                <w:szCs w:val="22"/>
              </w:rPr>
              <w:t>DFSP</w:t>
            </w:r>
          </w:p>
          <w:p w14:paraId="49B9A813" w14:textId="77777777" w:rsidR="00E51623" w:rsidRPr="004C2A59" w:rsidRDefault="00E51623" w:rsidP="00A125B0">
            <w:pPr>
              <w:pStyle w:val="EndnoteText"/>
              <w:keepNext/>
              <w:tabs>
                <w:tab w:val="clear" w:pos="567"/>
              </w:tabs>
              <w:rPr>
                <w:color w:val="000000"/>
                <w:szCs w:val="22"/>
              </w:rPr>
            </w:pPr>
            <w:r w:rsidRPr="004C2A59">
              <w:rPr>
                <w:color w:val="000000"/>
                <w:szCs w:val="22"/>
              </w:rPr>
              <w:t>(ved 800 mg dosis)</w:t>
            </w:r>
          </w:p>
        </w:tc>
        <w:tc>
          <w:tcPr>
            <w:tcW w:w="2693" w:type="dxa"/>
            <w:tcBorders>
              <w:top w:val="single" w:sz="6" w:space="0" w:color="auto"/>
              <w:left w:val="single" w:sz="6" w:space="0" w:color="auto"/>
              <w:bottom w:val="nil"/>
              <w:right w:val="single" w:sz="6" w:space="0" w:color="auto"/>
            </w:tcBorders>
          </w:tcPr>
          <w:p w14:paraId="7271B50B" w14:textId="77777777" w:rsidR="00E51623" w:rsidRPr="004C2A59" w:rsidRDefault="00E51623" w:rsidP="00A125B0">
            <w:pPr>
              <w:pStyle w:val="Table"/>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ANC &lt;1,0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0F3B6687" w14:textId="77777777" w:rsidR="00E51623" w:rsidRPr="004C2A59" w:rsidRDefault="00E51623" w:rsidP="00A125B0">
            <w:pPr>
              <w:pStyle w:val="Table"/>
              <w:keepLines w:val="0"/>
              <w:widowControl w:val="0"/>
              <w:suppressLineNumbers/>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og/eller</w:t>
            </w:r>
          </w:p>
          <w:p w14:paraId="74D90283" w14:textId="77777777" w:rsidR="00E51623" w:rsidRPr="004C2A59" w:rsidRDefault="00E51623" w:rsidP="00A125B0">
            <w:pPr>
              <w:pStyle w:val="Table"/>
              <w:keepLines w:val="0"/>
              <w:widowControl w:val="0"/>
              <w:suppressLineNumbers/>
              <w:tabs>
                <w:tab w:val="clear" w:pos="284"/>
              </w:tabs>
              <w:spacing w:before="0" w:after="0"/>
              <w:rPr>
                <w:rFonts w:ascii="Times New Roman" w:hAnsi="Times New Roman"/>
                <w:color w:val="000000"/>
                <w:sz w:val="22"/>
                <w:szCs w:val="22"/>
                <w:vertAlign w:val="superscript"/>
                <w:lang w:val="da-DK"/>
              </w:rPr>
            </w:pPr>
            <w:r w:rsidRPr="004C2A59">
              <w:rPr>
                <w:rFonts w:ascii="Times New Roman" w:hAnsi="Times New Roman"/>
                <w:color w:val="000000"/>
                <w:sz w:val="22"/>
                <w:szCs w:val="22"/>
                <w:lang w:val="da-DK"/>
              </w:rPr>
              <w:t>trombocytter &lt;50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tc>
        <w:tc>
          <w:tcPr>
            <w:tcW w:w="4394" w:type="dxa"/>
            <w:tcBorders>
              <w:top w:val="single" w:sz="6" w:space="0" w:color="auto"/>
              <w:left w:val="single" w:sz="6" w:space="0" w:color="auto"/>
              <w:bottom w:val="nil"/>
              <w:right w:val="single" w:sz="4" w:space="0" w:color="auto"/>
            </w:tcBorders>
          </w:tcPr>
          <w:p w14:paraId="444241A4" w14:textId="77777777" w:rsidR="00E51623" w:rsidRPr="004C2A59" w:rsidRDefault="00E51623" w:rsidP="00A125B0">
            <w:pPr>
              <w:pStyle w:val="Table"/>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1.</w:t>
            </w:r>
            <w:r w:rsidRPr="004C2A59">
              <w:rPr>
                <w:rFonts w:ascii="Times New Roman" w:hAnsi="Times New Roman"/>
                <w:color w:val="000000"/>
                <w:sz w:val="22"/>
                <w:szCs w:val="22"/>
                <w:lang w:val="da-DK"/>
              </w:rPr>
              <w:tab/>
              <w:t xml:space="preserve">Stop Glivec indtil ANC </w:t>
            </w:r>
            <w:r w:rsidRPr="004C2A59">
              <w:rPr>
                <w:rFonts w:ascii="Times New Roman" w:hAnsi="Times New Roman"/>
                <w:color w:val="000000"/>
                <w:sz w:val="22"/>
                <w:szCs w:val="22"/>
                <w:lang w:val="en-GB"/>
              </w:rPr>
              <w:sym w:font="Symbol" w:char="F0B3"/>
            </w:r>
            <w:r w:rsidRPr="004C2A59">
              <w:rPr>
                <w:rFonts w:ascii="Times New Roman" w:hAnsi="Times New Roman"/>
                <w:color w:val="000000"/>
                <w:sz w:val="22"/>
                <w:szCs w:val="22"/>
                <w:lang w:val="da-DK"/>
              </w:rPr>
              <w:t>1,5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 xml:space="preserve">/l og trombocytter </w:t>
            </w:r>
            <w:r w:rsidRPr="004C2A59">
              <w:rPr>
                <w:rFonts w:ascii="Times New Roman" w:hAnsi="Times New Roman"/>
                <w:color w:val="000000"/>
                <w:sz w:val="22"/>
                <w:szCs w:val="22"/>
                <w:lang w:val="en-GB"/>
              </w:rPr>
              <w:sym w:font="Symbol" w:char="F0B3"/>
            </w:r>
            <w:r w:rsidRPr="004C2A59">
              <w:rPr>
                <w:rFonts w:ascii="Times New Roman" w:hAnsi="Times New Roman"/>
                <w:color w:val="000000"/>
                <w:sz w:val="22"/>
                <w:szCs w:val="22"/>
                <w:lang w:val="da-DK"/>
              </w:rPr>
              <w:t>75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w:t>
            </w:r>
          </w:p>
          <w:p w14:paraId="3CDD19B4" w14:textId="77777777" w:rsidR="00E51623" w:rsidRPr="004C2A59" w:rsidRDefault="00E51623" w:rsidP="00A125B0">
            <w:pPr>
              <w:pStyle w:val="Table"/>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2.</w:t>
            </w:r>
            <w:r w:rsidRPr="004C2A59">
              <w:rPr>
                <w:rFonts w:ascii="Times New Roman" w:hAnsi="Times New Roman"/>
                <w:color w:val="000000"/>
                <w:sz w:val="22"/>
                <w:szCs w:val="22"/>
                <w:lang w:val="da-DK"/>
              </w:rPr>
              <w:tab/>
              <w:t>Genoptag behandling med Glivec 600 mg.</w:t>
            </w:r>
          </w:p>
          <w:p w14:paraId="092FE22A" w14:textId="77777777" w:rsidR="00E51623" w:rsidRPr="004C2A59" w:rsidDel="00E714E1" w:rsidRDefault="00E51623" w:rsidP="00A125B0">
            <w:pPr>
              <w:pStyle w:val="Table"/>
              <w:keepLines w:val="0"/>
              <w:widowControl w:val="0"/>
              <w:suppressLineNumbers/>
              <w:tabs>
                <w:tab w:val="clear" w:pos="284"/>
              </w:tabs>
              <w:spacing w:before="0" w:after="0"/>
              <w:ind w:left="459" w:hanging="459"/>
              <w:rPr>
                <w:rFonts w:ascii="Times New Roman" w:hAnsi="Times New Roman"/>
                <w:color w:val="000000"/>
                <w:sz w:val="22"/>
                <w:szCs w:val="22"/>
                <w:lang w:val="da-DK"/>
              </w:rPr>
            </w:pPr>
            <w:r w:rsidRPr="004C2A59">
              <w:rPr>
                <w:rFonts w:ascii="Times New Roman" w:hAnsi="Times New Roman"/>
                <w:color w:val="000000"/>
                <w:sz w:val="22"/>
                <w:szCs w:val="22"/>
                <w:lang w:val="da-DK"/>
              </w:rPr>
              <w:t>3.</w:t>
            </w:r>
            <w:r w:rsidRPr="004C2A59">
              <w:rPr>
                <w:rFonts w:ascii="Times New Roman" w:hAnsi="Times New Roman"/>
                <w:color w:val="000000"/>
                <w:sz w:val="22"/>
                <w:szCs w:val="22"/>
                <w:lang w:val="da-DK"/>
              </w:rPr>
              <w:tab/>
              <w:t>I tilfælde af tilbagevenden af ANC &lt;1,0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og/eller trombocytter &lt;50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gentages trin 1 og Glivec reintroduceres med nedsat dosering på 400 mg.</w:t>
            </w:r>
          </w:p>
        </w:tc>
      </w:tr>
      <w:tr w:rsidR="00E51623" w:rsidRPr="00F852D1" w14:paraId="7ADC7F0C" w14:textId="77777777" w:rsidTr="00A125B0">
        <w:trPr>
          <w:cantSplit/>
        </w:trPr>
        <w:tc>
          <w:tcPr>
            <w:tcW w:w="9072" w:type="dxa"/>
            <w:gridSpan w:val="3"/>
            <w:tcBorders>
              <w:left w:val="single" w:sz="4" w:space="0" w:color="auto"/>
              <w:bottom w:val="single" w:sz="4" w:space="0" w:color="auto"/>
              <w:right w:val="single" w:sz="4" w:space="0" w:color="auto"/>
            </w:tcBorders>
          </w:tcPr>
          <w:p w14:paraId="71A2F10D" w14:textId="77777777" w:rsidR="00E51623" w:rsidRPr="004C2A59" w:rsidRDefault="00E51623" w:rsidP="00421681">
            <w:pPr>
              <w:pStyle w:val="EndnoteText"/>
              <w:tabs>
                <w:tab w:val="clear" w:pos="567"/>
              </w:tabs>
              <w:rPr>
                <w:color w:val="000000"/>
                <w:szCs w:val="22"/>
              </w:rPr>
            </w:pPr>
            <w:r w:rsidRPr="004C2A59">
              <w:rPr>
                <w:color w:val="000000"/>
                <w:szCs w:val="22"/>
              </w:rPr>
              <w:t>ANC = fuldstændigt antal neutrofilocytter</w:t>
            </w:r>
          </w:p>
          <w:p w14:paraId="13067C55" w14:textId="77777777" w:rsidR="00E51623" w:rsidRPr="004C2A59" w:rsidRDefault="00E51623" w:rsidP="00421681">
            <w:pPr>
              <w:pStyle w:val="EndnoteText"/>
              <w:tabs>
                <w:tab w:val="clear" w:pos="567"/>
              </w:tabs>
              <w:rPr>
                <w:color w:val="000000"/>
                <w:szCs w:val="22"/>
              </w:rPr>
            </w:pPr>
            <w:r w:rsidRPr="004C2A59">
              <w:rPr>
                <w:color w:val="000000"/>
                <w:szCs w:val="22"/>
                <w:vertAlign w:val="superscript"/>
              </w:rPr>
              <w:t>a</w:t>
            </w:r>
            <w:r w:rsidRPr="004C2A59">
              <w:rPr>
                <w:color w:val="000000"/>
                <w:szCs w:val="22"/>
              </w:rPr>
              <w:t>opstået efter mindst 1 måneds behandling</w:t>
            </w:r>
          </w:p>
        </w:tc>
      </w:tr>
    </w:tbl>
    <w:p w14:paraId="7802FC12" w14:textId="77777777" w:rsidR="005D0F61" w:rsidRPr="004C2A59" w:rsidRDefault="005D0F61" w:rsidP="00421681">
      <w:pPr>
        <w:widowControl w:val="0"/>
        <w:rPr>
          <w:color w:val="000000"/>
          <w:sz w:val="22"/>
          <w:szCs w:val="22"/>
          <w:lang w:val="da-DK"/>
        </w:rPr>
      </w:pPr>
    </w:p>
    <w:p w14:paraId="258D438A" w14:textId="77777777" w:rsidR="005D0F61" w:rsidRPr="004C2A59" w:rsidRDefault="005D0F61" w:rsidP="00A125B0">
      <w:pPr>
        <w:keepNext/>
        <w:widowControl w:val="0"/>
        <w:rPr>
          <w:color w:val="000000"/>
          <w:sz w:val="22"/>
          <w:szCs w:val="22"/>
          <w:u w:val="single"/>
          <w:lang w:val="da-DK"/>
        </w:rPr>
      </w:pPr>
      <w:r w:rsidRPr="004C2A59">
        <w:rPr>
          <w:color w:val="000000"/>
          <w:sz w:val="22"/>
          <w:szCs w:val="22"/>
          <w:u w:val="single"/>
          <w:lang w:val="da-DK"/>
        </w:rPr>
        <w:t>Specielle populationer</w:t>
      </w:r>
    </w:p>
    <w:p w14:paraId="3764C87F" w14:textId="77777777" w:rsidR="005D0F61" w:rsidRPr="004C2A59" w:rsidRDefault="005D0F61" w:rsidP="00421681">
      <w:pPr>
        <w:rPr>
          <w:color w:val="000000"/>
          <w:sz w:val="22"/>
          <w:szCs w:val="22"/>
          <w:lang w:val="da-DK"/>
        </w:rPr>
      </w:pPr>
      <w:r w:rsidRPr="004C2A59">
        <w:rPr>
          <w:i/>
          <w:color w:val="000000"/>
          <w:sz w:val="22"/>
          <w:szCs w:val="22"/>
          <w:lang w:val="da-DK"/>
        </w:rPr>
        <w:t>Anvendelse til børn:</w:t>
      </w:r>
      <w:r w:rsidRPr="004C2A59">
        <w:rPr>
          <w:color w:val="000000"/>
          <w:sz w:val="22"/>
          <w:szCs w:val="22"/>
          <w:lang w:val="da-DK"/>
        </w:rPr>
        <w:t xml:space="preserve"> Der er ingen erfaring med behandling af børn under 2 år med CML </w:t>
      </w:r>
      <w:r w:rsidR="005C2286" w:rsidRPr="004C2A59">
        <w:rPr>
          <w:color w:val="000000"/>
          <w:sz w:val="22"/>
          <w:szCs w:val="22"/>
          <w:lang w:val="da-DK"/>
        </w:rPr>
        <w:t xml:space="preserve">og børn under 1 år med Ph+ ALL </w:t>
      </w:r>
      <w:r w:rsidRPr="004C2A59">
        <w:rPr>
          <w:color w:val="000000"/>
          <w:sz w:val="22"/>
          <w:szCs w:val="22"/>
          <w:lang w:val="da-DK"/>
        </w:rPr>
        <w:t xml:space="preserve">(se pkt. 5.1). Der er meget begrænset erfaring hos børn med </w:t>
      </w:r>
      <w:smartTag w:uri="urn:schemas-microsoft-com:office:smarttags" w:element="metricconverter">
        <w:r w:rsidRPr="004C2A59">
          <w:rPr>
            <w:color w:val="000000"/>
            <w:sz w:val="22"/>
            <w:szCs w:val="22"/>
            <w:lang w:val="da-DK"/>
          </w:rPr>
          <w:t>MDS</w:t>
        </w:r>
      </w:smartTag>
      <w:r w:rsidRPr="004C2A59">
        <w:rPr>
          <w:color w:val="000000"/>
          <w:sz w:val="22"/>
          <w:szCs w:val="22"/>
          <w:lang w:val="da-DK"/>
        </w:rPr>
        <w:t>/MPD</w:t>
      </w:r>
      <w:r w:rsidR="002E6C5A" w:rsidRPr="004C2A59">
        <w:rPr>
          <w:color w:val="000000"/>
          <w:sz w:val="22"/>
          <w:szCs w:val="22"/>
          <w:lang w:val="da-DK"/>
        </w:rPr>
        <w:t xml:space="preserve">, </w:t>
      </w:r>
      <w:r w:rsidRPr="004C2A59">
        <w:rPr>
          <w:color w:val="000000"/>
          <w:sz w:val="22"/>
          <w:szCs w:val="22"/>
          <w:lang w:val="da-DK"/>
        </w:rPr>
        <w:t>DFSP</w:t>
      </w:r>
      <w:r w:rsidR="002E6C5A" w:rsidRPr="004C2A59">
        <w:rPr>
          <w:color w:val="000000"/>
          <w:sz w:val="22"/>
          <w:szCs w:val="22"/>
          <w:lang w:val="da-DK"/>
        </w:rPr>
        <w:t xml:space="preserve">, </w:t>
      </w:r>
      <w:r w:rsidRPr="004C2A59">
        <w:rPr>
          <w:color w:val="000000"/>
          <w:sz w:val="22"/>
          <w:szCs w:val="22"/>
          <w:lang w:val="da-DK"/>
        </w:rPr>
        <w:t>GIST og HES/</w:t>
      </w:r>
      <w:smartTag w:uri="urn:schemas-microsoft-com:office:smarttags" w:element="metricconverter">
        <w:r w:rsidRPr="004C2A59">
          <w:rPr>
            <w:color w:val="000000"/>
            <w:sz w:val="22"/>
            <w:szCs w:val="22"/>
            <w:lang w:val="da-DK"/>
          </w:rPr>
          <w:t>CEL</w:t>
        </w:r>
      </w:smartTag>
      <w:r w:rsidRPr="004C2A59">
        <w:rPr>
          <w:color w:val="000000"/>
          <w:sz w:val="22"/>
          <w:szCs w:val="22"/>
          <w:lang w:val="da-DK"/>
        </w:rPr>
        <w:t>.</w:t>
      </w:r>
    </w:p>
    <w:p w14:paraId="306C6EEE" w14:textId="77777777" w:rsidR="005D0F61" w:rsidRPr="004C2A59" w:rsidRDefault="005D0F61" w:rsidP="00421681">
      <w:pPr>
        <w:rPr>
          <w:color w:val="000000"/>
          <w:sz w:val="22"/>
          <w:szCs w:val="22"/>
          <w:lang w:val="da-DK"/>
        </w:rPr>
      </w:pPr>
    </w:p>
    <w:p w14:paraId="4AE85C2E" w14:textId="77777777" w:rsidR="002E6C5A" w:rsidRPr="004C2A59" w:rsidRDefault="002E6C5A" w:rsidP="00421681">
      <w:pPr>
        <w:rPr>
          <w:color w:val="000000"/>
          <w:sz w:val="22"/>
          <w:szCs w:val="22"/>
          <w:lang w:val="da-DK"/>
        </w:rPr>
      </w:pPr>
      <w:r w:rsidRPr="004C2A59">
        <w:rPr>
          <w:color w:val="000000"/>
          <w:sz w:val="22"/>
          <w:szCs w:val="22"/>
          <w:lang w:val="da-DK"/>
        </w:rPr>
        <w:t xml:space="preserve">Imatinibs sikkerhed og virkning hos børn under 18 år med </w:t>
      </w:r>
      <w:smartTag w:uri="urn:schemas-microsoft-com:office:smarttags" w:element="metricconverter">
        <w:r w:rsidRPr="004C2A59">
          <w:rPr>
            <w:color w:val="000000"/>
            <w:sz w:val="22"/>
            <w:szCs w:val="22"/>
            <w:lang w:val="da-DK"/>
          </w:rPr>
          <w:t>MDS</w:t>
        </w:r>
      </w:smartTag>
      <w:r w:rsidRPr="004C2A59">
        <w:rPr>
          <w:color w:val="000000"/>
          <w:sz w:val="22"/>
          <w:szCs w:val="22"/>
          <w:lang w:val="da-DK"/>
        </w:rPr>
        <w:t>/MPD, DFSP, GIST og HES/CEL er ikke klarlagt i kliniske studier. De foreliggende publicerede data er opsummeret i pkt. 5.1, men der kan ikke gives nogen anbefalinger vedrørende dosering.</w:t>
      </w:r>
    </w:p>
    <w:p w14:paraId="4F2521A2" w14:textId="77777777" w:rsidR="002E6C5A" w:rsidRPr="004C2A59" w:rsidRDefault="002E6C5A" w:rsidP="00421681">
      <w:pPr>
        <w:rPr>
          <w:color w:val="000000"/>
          <w:sz w:val="22"/>
          <w:szCs w:val="22"/>
          <w:lang w:val="da-DK"/>
        </w:rPr>
      </w:pPr>
    </w:p>
    <w:p w14:paraId="5E882448" w14:textId="77777777" w:rsidR="005D0F61" w:rsidRPr="004C2A59" w:rsidRDefault="005D0F61" w:rsidP="00421681">
      <w:pPr>
        <w:pStyle w:val="EndnoteText"/>
        <w:tabs>
          <w:tab w:val="clear" w:pos="567"/>
        </w:tabs>
        <w:rPr>
          <w:color w:val="000000"/>
          <w:szCs w:val="22"/>
        </w:rPr>
      </w:pPr>
      <w:r w:rsidRPr="004C2A59">
        <w:rPr>
          <w:i/>
          <w:color w:val="000000"/>
          <w:szCs w:val="22"/>
        </w:rPr>
        <w:t>Leverinsufficiens:</w:t>
      </w:r>
      <w:r w:rsidRPr="004C2A59">
        <w:rPr>
          <w:color w:val="000000"/>
          <w:szCs w:val="22"/>
        </w:rPr>
        <w:t xml:space="preserve"> Imatinib metaboliseres primært i leveren. Patienter med mild, moderat eller svær nedsat leverfunktion bør gives den mindste anbefalede dosis på 400 mg daglig. Dosis kan reduceres ved intolerance (se pkt. 4.4, 4.8 og 5.2).</w:t>
      </w:r>
    </w:p>
    <w:p w14:paraId="27E4D598" w14:textId="77777777" w:rsidR="005D0F61" w:rsidRPr="004C2A59" w:rsidRDefault="005D0F61" w:rsidP="00421681">
      <w:pPr>
        <w:pStyle w:val="EndnoteText"/>
        <w:tabs>
          <w:tab w:val="clear" w:pos="567"/>
        </w:tabs>
        <w:rPr>
          <w:color w:val="000000"/>
          <w:szCs w:val="22"/>
        </w:rPr>
      </w:pPr>
    </w:p>
    <w:p w14:paraId="10E2F03A" w14:textId="77777777" w:rsidR="005D0F61" w:rsidRPr="004C2A59" w:rsidRDefault="005D0F61" w:rsidP="00A125B0">
      <w:pPr>
        <w:pStyle w:val="EndnoteText"/>
        <w:keepNext/>
        <w:tabs>
          <w:tab w:val="clear" w:pos="567"/>
        </w:tabs>
        <w:rPr>
          <w:color w:val="000000"/>
          <w:szCs w:val="22"/>
        </w:rPr>
      </w:pPr>
      <w:r w:rsidRPr="004C2A59">
        <w:rPr>
          <w:color w:val="000000"/>
          <w:szCs w:val="22"/>
        </w:rPr>
        <w:t>Klassificering af nedsat leverfunktion:</w:t>
      </w:r>
    </w:p>
    <w:p w14:paraId="6D26A9E6" w14:textId="77777777" w:rsidR="005D0F61" w:rsidRPr="004C2A59" w:rsidRDefault="005D0F61" w:rsidP="00A125B0">
      <w:pPr>
        <w:pStyle w:val="Text"/>
        <w:keepNext/>
        <w:spacing w:before="0"/>
        <w:jc w:val="left"/>
        <w:rPr>
          <w:color w:val="000000"/>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3"/>
        <w:gridCol w:w="5762"/>
      </w:tblGrid>
      <w:tr w:rsidR="005D0F61" w:rsidRPr="004C2A59" w14:paraId="4757AC12" w14:textId="77777777" w:rsidTr="00A125B0">
        <w:trPr>
          <w:cantSplit/>
        </w:trPr>
        <w:tc>
          <w:tcPr>
            <w:tcW w:w="3369" w:type="dxa"/>
          </w:tcPr>
          <w:p w14:paraId="7F50CBAB" w14:textId="77777777" w:rsidR="005D0F61" w:rsidRPr="004C2A59" w:rsidRDefault="005D0F61" w:rsidP="00A125B0">
            <w:pPr>
              <w:pStyle w:val="Text"/>
              <w:keepNext/>
              <w:tabs>
                <w:tab w:val="left" w:pos="567"/>
              </w:tabs>
              <w:spacing w:before="0"/>
              <w:jc w:val="left"/>
              <w:rPr>
                <w:color w:val="000000"/>
                <w:sz w:val="22"/>
                <w:szCs w:val="22"/>
                <w:lang w:val="en-GB"/>
              </w:rPr>
            </w:pPr>
            <w:r w:rsidRPr="004C2A59">
              <w:rPr>
                <w:color w:val="000000"/>
                <w:sz w:val="22"/>
                <w:szCs w:val="22"/>
              </w:rPr>
              <w:t>Nedsat leverfunktion</w:t>
            </w:r>
          </w:p>
        </w:tc>
        <w:tc>
          <w:tcPr>
            <w:tcW w:w="5918" w:type="dxa"/>
          </w:tcPr>
          <w:p w14:paraId="59A26DB5" w14:textId="77777777" w:rsidR="005D0F61" w:rsidRPr="004C2A59" w:rsidRDefault="005D0F61" w:rsidP="00A125B0">
            <w:pPr>
              <w:pStyle w:val="Text"/>
              <w:keepNext/>
              <w:tabs>
                <w:tab w:val="left" w:pos="567"/>
              </w:tabs>
              <w:spacing w:before="0"/>
              <w:jc w:val="left"/>
              <w:rPr>
                <w:color w:val="000000"/>
                <w:sz w:val="22"/>
                <w:szCs w:val="22"/>
                <w:lang w:val="en-GB"/>
              </w:rPr>
            </w:pPr>
            <w:r w:rsidRPr="004C2A59">
              <w:rPr>
                <w:color w:val="000000"/>
                <w:sz w:val="22"/>
                <w:szCs w:val="22"/>
              </w:rPr>
              <w:t>Leverfunktionstest</w:t>
            </w:r>
          </w:p>
        </w:tc>
      </w:tr>
      <w:tr w:rsidR="005D0F61" w:rsidRPr="00DA2798" w14:paraId="476C2E40" w14:textId="77777777" w:rsidTr="00A125B0">
        <w:trPr>
          <w:cantSplit/>
        </w:trPr>
        <w:tc>
          <w:tcPr>
            <w:tcW w:w="3369" w:type="dxa"/>
          </w:tcPr>
          <w:p w14:paraId="0970F6EC" w14:textId="77777777" w:rsidR="005D0F61" w:rsidRPr="004C2A59" w:rsidRDefault="005D0F61" w:rsidP="00A125B0">
            <w:pPr>
              <w:pStyle w:val="Text"/>
              <w:keepNext/>
              <w:tabs>
                <w:tab w:val="left" w:pos="567"/>
              </w:tabs>
              <w:spacing w:before="0"/>
              <w:jc w:val="left"/>
              <w:rPr>
                <w:color w:val="000000"/>
                <w:sz w:val="22"/>
                <w:szCs w:val="22"/>
                <w:lang w:val="en-GB"/>
              </w:rPr>
            </w:pPr>
            <w:r w:rsidRPr="004C2A59">
              <w:rPr>
                <w:color w:val="000000"/>
                <w:sz w:val="22"/>
                <w:szCs w:val="22"/>
              </w:rPr>
              <w:t>Mild</w:t>
            </w:r>
          </w:p>
        </w:tc>
        <w:tc>
          <w:tcPr>
            <w:tcW w:w="5918" w:type="dxa"/>
          </w:tcPr>
          <w:p w14:paraId="4DBD810B" w14:textId="77777777" w:rsidR="005D0F61" w:rsidRPr="004C2A59" w:rsidRDefault="005D0F61" w:rsidP="00A125B0">
            <w:pPr>
              <w:keepNext/>
              <w:tabs>
                <w:tab w:val="left" w:pos="567"/>
              </w:tabs>
              <w:rPr>
                <w:snapToGrid w:val="0"/>
                <w:color w:val="000000"/>
                <w:sz w:val="22"/>
                <w:szCs w:val="22"/>
                <w:lang w:val="da-DK"/>
              </w:rPr>
            </w:pPr>
            <w:r w:rsidRPr="004C2A59">
              <w:rPr>
                <w:snapToGrid w:val="0"/>
                <w:color w:val="000000"/>
                <w:sz w:val="22"/>
                <w:szCs w:val="22"/>
                <w:lang w:val="da-DK"/>
              </w:rPr>
              <w:t>Total</w:t>
            </w:r>
            <w:r w:rsidR="00343DBA" w:rsidRPr="004C2A59">
              <w:rPr>
                <w:snapToGrid w:val="0"/>
                <w:color w:val="000000"/>
                <w:sz w:val="22"/>
                <w:szCs w:val="22"/>
                <w:lang w:val="da-DK"/>
              </w:rPr>
              <w:t>-</w:t>
            </w:r>
            <w:r w:rsidRPr="004C2A59">
              <w:rPr>
                <w:snapToGrid w:val="0"/>
                <w:color w:val="000000"/>
                <w:sz w:val="22"/>
                <w:szCs w:val="22"/>
                <w:lang w:val="da-DK"/>
              </w:rPr>
              <w:t>bilirubin: = 1,5 ULN</w:t>
            </w:r>
          </w:p>
          <w:p w14:paraId="7A0C5D82" w14:textId="77777777" w:rsidR="005D0F61" w:rsidRPr="004C2A59" w:rsidRDefault="005D0F61" w:rsidP="00A125B0">
            <w:pPr>
              <w:pStyle w:val="Text"/>
              <w:keepNext/>
              <w:tabs>
                <w:tab w:val="left" w:pos="567"/>
              </w:tabs>
              <w:spacing w:before="0"/>
              <w:jc w:val="left"/>
              <w:rPr>
                <w:color w:val="000000"/>
                <w:sz w:val="22"/>
                <w:szCs w:val="22"/>
                <w:lang w:val="da-DK"/>
              </w:rPr>
            </w:pPr>
            <w:r w:rsidRPr="004C2A59">
              <w:rPr>
                <w:snapToGrid w:val="0"/>
                <w:color w:val="000000"/>
                <w:sz w:val="22"/>
                <w:szCs w:val="22"/>
                <w:lang w:val="da-DK"/>
              </w:rPr>
              <w:t>AS</w:t>
            </w:r>
            <w:r w:rsidR="005F15C5" w:rsidRPr="004C2A59">
              <w:rPr>
                <w:snapToGrid w:val="0"/>
                <w:color w:val="000000"/>
                <w:sz w:val="22"/>
                <w:szCs w:val="22"/>
                <w:lang w:val="da-DK"/>
              </w:rPr>
              <w:t>A</w:t>
            </w:r>
            <w:r w:rsidRPr="004C2A59">
              <w:rPr>
                <w:snapToGrid w:val="0"/>
                <w:color w:val="000000"/>
                <w:sz w:val="22"/>
                <w:szCs w:val="22"/>
                <w:lang w:val="da-DK"/>
              </w:rPr>
              <w:t>T: &gt;ULN (kan være normal eller &lt;ULN hvis total</w:t>
            </w:r>
            <w:r w:rsidR="00343DBA" w:rsidRPr="004C2A59">
              <w:rPr>
                <w:snapToGrid w:val="0"/>
                <w:color w:val="000000"/>
                <w:sz w:val="22"/>
                <w:szCs w:val="22"/>
                <w:lang w:val="da-DK"/>
              </w:rPr>
              <w:t>-</w:t>
            </w:r>
            <w:r w:rsidRPr="004C2A59">
              <w:rPr>
                <w:snapToGrid w:val="0"/>
                <w:color w:val="000000"/>
                <w:sz w:val="22"/>
                <w:szCs w:val="22"/>
                <w:lang w:val="da-DK"/>
              </w:rPr>
              <w:t>bilirubin er &gt;ULN)</w:t>
            </w:r>
          </w:p>
        </w:tc>
      </w:tr>
      <w:tr w:rsidR="005D0F61" w:rsidRPr="00F852D1" w14:paraId="6D53B97B" w14:textId="77777777" w:rsidTr="00A125B0">
        <w:trPr>
          <w:cantSplit/>
        </w:trPr>
        <w:tc>
          <w:tcPr>
            <w:tcW w:w="3369" w:type="dxa"/>
          </w:tcPr>
          <w:p w14:paraId="1C3727FE" w14:textId="77777777" w:rsidR="005D0F61" w:rsidRPr="004C2A59" w:rsidRDefault="005D0F61" w:rsidP="00A125B0">
            <w:pPr>
              <w:pStyle w:val="Text"/>
              <w:keepNext/>
              <w:tabs>
                <w:tab w:val="left" w:pos="567"/>
              </w:tabs>
              <w:spacing w:before="0"/>
              <w:jc w:val="left"/>
              <w:rPr>
                <w:color w:val="000000"/>
                <w:sz w:val="22"/>
                <w:szCs w:val="22"/>
                <w:lang w:val="en-GB"/>
              </w:rPr>
            </w:pPr>
            <w:r w:rsidRPr="004C2A59">
              <w:rPr>
                <w:color w:val="000000"/>
                <w:sz w:val="22"/>
                <w:szCs w:val="22"/>
              </w:rPr>
              <w:t>Moderat</w:t>
            </w:r>
          </w:p>
        </w:tc>
        <w:tc>
          <w:tcPr>
            <w:tcW w:w="5918" w:type="dxa"/>
          </w:tcPr>
          <w:p w14:paraId="0B05ED7B" w14:textId="77777777" w:rsidR="005D0F61" w:rsidRPr="00F852D1" w:rsidRDefault="005D0F61" w:rsidP="00A125B0">
            <w:pPr>
              <w:keepNext/>
              <w:tabs>
                <w:tab w:val="left" w:pos="567"/>
              </w:tabs>
              <w:rPr>
                <w:snapToGrid w:val="0"/>
                <w:color w:val="000000"/>
                <w:sz w:val="22"/>
                <w:szCs w:val="22"/>
                <w:lang w:val="sv-SE"/>
              </w:rPr>
            </w:pPr>
            <w:r w:rsidRPr="00F852D1">
              <w:rPr>
                <w:snapToGrid w:val="0"/>
                <w:color w:val="000000"/>
                <w:sz w:val="22"/>
                <w:szCs w:val="22"/>
                <w:lang w:val="sv-SE"/>
              </w:rPr>
              <w:t>Total</w:t>
            </w:r>
            <w:r w:rsidR="00343DBA" w:rsidRPr="00F852D1">
              <w:rPr>
                <w:snapToGrid w:val="0"/>
                <w:color w:val="000000"/>
                <w:sz w:val="22"/>
                <w:szCs w:val="22"/>
                <w:lang w:val="sv-SE"/>
              </w:rPr>
              <w:t>-</w:t>
            </w:r>
            <w:r w:rsidRPr="00F852D1">
              <w:rPr>
                <w:snapToGrid w:val="0"/>
                <w:color w:val="000000"/>
                <w:sz w:val="22"/>
                <w:szCs w:val="22"/>
                <w:lang w:val="sv-SE"/>
              </w:rPr>
              <w:t>bilirubin: &gt;1,5</w:t>
            </w:r>
            <w:r w:rsidRPr="00F852D1">
              <w:rPr>
                <w:color w:val="000000"/>
                <w:sz w:val="22"/>
                <w:szCs w:val="22"/>
                <w:lang w:val="sv-SE"/>
              </w:rPr>
              <w:t>–</w:t>
            </w:r>
            <w:r w:rsidRPr="00F852D1">
              <w:rPr>
                <w:snapToGrid w:val="0"/>
                <w:color w:val="000000"/>
                <w:sz w:val="22"/>
                <w:szCs w:val="22"/>
                <w:lang w:val="sv-SE"/>
              </w:rPr>
              <w:t>3,0 ULN</w:t>
            </w:r>
          </w:p>
          <w:p w14:paraId="7D742F9E" w14:textId="77777777" w:rsidR="005D0F61" w:rsidRPr="00F852D1" w:rsidRDefault="005D0F61" w:rsidP="00A125B0">
            <w:pPr>
              <w:pStyle w:val="Text"/>
              <w:keepNext/>
              <w:tabs>
                <w:tab w:val="left" w:pos="567"/>
              </w:tabs>
              <w:spacing w:before="0"/>
              <w:jc w:val="left"/>
              <w:rPr>
                <w:color w:val="000000"/>
                <w:sz w:val="22"/>
                <w:szCs w:val="22"/>
                <w:lang w:val="sv-SE"/>
              </w:rPr>
            </w:pPr>
            <w:r w:rsidRPr="00F852D1">
              <w:rPr>
                <w:snapToGrid w:val="0"/>
                <w:color w:val="000000"/>
                <w:sz w:val="22"/>
                <w:szCs w:val="22"/>
                <w:lang w:val="sv-SE"/>
              </w:rPr>
              <w:t>AS</w:t>
            </w:r>
            <w:r w:rsidR="005F15C5" w:rsidRPr="00F852D1">
              <w:rPr>
                <w:snapToGrid w:val="0"/>
                <w:color w:val="000000"/>
                <w:sz w:val="22"/>
                <w:szCs w:val="22"/>
                <w:lang w:val="sv-SE"/>
              </w:rPr>
              <w:t>A</w:t>
            </w:r>
            <w:r w:rsidRPr="00F852D1">
              <w:rPr>
                <w:snapToGrid w:val="0"/>
                <w:color w:val="000000"/>
                <w:sz w:val="22"/>
                <w:szCs w:val="22"/>
                <w:lang w:val="sv-SE"/>
              </w:rPr>
              <w:t>T: alt</w:t>
            </w:r>
          </w:p>
        </w:tc>
      </w:tr>
      <w:tr w:rsidR="005D0F61" w:rsidRPr="00F852D1" w14:paraId="5D090042" w14:textId="77777777" w:rsidTr="00A125B0">
        <w:trPr>
          <w:cantSplit/>
        </w:trPr>
        <w:tc>
          <w:tcPr>
            <w:tcW w:w="3369" w:type="dxa"/>
          </w:tcPr>
          <w:p w14:paraId="3FFF91E7" w14:textId="77777777" w:rsidR="005D0F61" w:rsidRPr="004C2A59" w:rsidRDefault="005D0F61" w:rsidP="00A125B0">
            <w:pPr>
              <w:pStyle w:val="Text"/>
              <w:keepNext/>
              <w:tabs>
                <w:tab w:val="left" w:pos="567"/>
              </w:tabs>
              <w:spacing w:before="0"/>
              <w:jc w:val="left"/>
              <w:rPr>
                <w:color w:val="000000"/>
                <w:sz w:val="22"/>
                <w:szCs w:val="22"/>
                <w:lang w:val="en-GB"/>
              </w:rPr>
            </w:pPr>
            <w:r w:rsidRPr="004C2A59">
              <w:rPr>
                <w:color w:val="000000"/>
                <w:sz w:val="22"/>
                <w:szCs w:val="22"/>
              </w:rPr>
              <w:t>Svær</w:t>
            </w:r>
          </w:p>
        </w:tc>
        <w:tc>
          <w:tcPr>
            <w:tcW w:w="5918" w:type="dxa"/>
          </w:tcPr>
          <w:p w14:paraId="4A8D2C40" w14:textId="77777777" w:rsidR="005D0F61" w:rsidRPr="00F852D1" w:rsidRDefault="005D0F61" w:rsidP="00A125B0">
            <w:pPr>
              <w:keepNext/>
              <w:tabs>
                <w:tab w:val="left" w:pos="567"/>
              </w:tabs>
              <w:rPr>
                <w:snapToGrid w:val="0"/>
                <w:color w:val="000000"/>
                <w:sz w:val="22"/>
                <w:szCs w:val="22"/>
                <w:lang w:val="sv-SE"/>
              </w:rPr>
            </w:pPr>
            <w:r w:rsidRPr="00F852D1">
              <w:rPr>
                <w:snapToGrid w:val="0"/>
                <w:color w:val="000000"/>
                <w:sz w:val="22"/>
                <w:szCs w:val="22"/>
                <w:lang w:val="sv-SE"/>
              </w:rPr>
              <w:t>Total</w:t>
            </w:r>
            <w:r w:rsidR="00343DBA" w:rsidRPr="00F852D1">
              <w:rPr>
                <w:snapToGrid w:val="0"/>
                <w:color w:val="000000"/>
                <w:sz w:val="22"/>
                <w:szCs w:val="22"/>
                <w:lang w:val="sv-SE"/>
              </w:rPr>
              <w:t>-</w:t>
            </w:r>
            <w:r w:rsidRPr="00F852D1">
              <w:rPr>
                <w:snapToGrid w:val="0"/>
                <w:color w:val="000000"/>
                <w:sz w:val="22"/>
                <w:szCs w:val="22"/>
                <w:lang w:val="sv-SE"/>
              </w:rPr>
              <w:t>bilirubin: &gt;3</w:t>
            </w:r>
            <w:r w:rsidRPr="00F852D1">
              <w:rPr>
                <w:color w:val="000000"/>
                <w:sz w:val="22"/>
                <w:szCs w:val="22"/>
                <w:lang w:val="sv-SE"/>
              </w:rPr>
              <w:t>–</w:t>
            </w:r>
            <w:r w:rsidRPr="00F852D1">
              <w:rPr>
                <w:snapToGrid w:val="0"/>
                <w:color w:val="000000"/>
                <w:sz w:val="22"/>
                <w:szCs w:val="22"/>
                <w:lang w:val="sv-SE"/>
              </w:rPr>
              <w:t>10 ULN</w:t>
            </w:r>
          </w:p>
          <w:p w14:paraId="24E76B38" w14:textId="77777777" w:rsidR="005D0F61" w:rsidRPr="00F852D1" w:rsidRDefault="005D0F61" w:rsidP="00A125B0">
            <w:pPr>
              <w:pStyle w:val="Text"/>
              <w:keepNext/>
              <w:tabs>
                <w:tab w:val="left" w:pos="567"/>
              </w:tabs>
              <w:spacing w:before="0"/>
              <w:jc w:val="left"/>
              <w:rPr>
                <w:color w:val="000000"/>
                <w:sz w:val="22"/>
                <w:szCs w:val="22"/>
                <w:lang w:val="sv-SE"/>
              </w:rPr>
            </w:pPr>
            <w:r w:rsidRPr="00F852D1">
              <w:rPr>
                <w:snapToGrid w:val="0"/>
                <w:color w:val="000000"/>
                <w:sz w:val="22"/>
                <w:szCs w:val="22"/>
                <w:lang w:val="sv-SE"/>
              </w:rPr>
              <w:t>AS</w:t>
            </w:r>
            <w:r w:rsidR="005F15C5" w:rsidRPr="00F852D1">
              <w:rPr>
                <w:snapToGrid w:val="0"/>
                <w:color w:val="000000"/>
                <w:sz w:val="22"/>
                <w:szCs w:val="22"/>
                <w:lang w:val="sv-SE"/>
              </w:rPr>
              <w:t>A</w:t>
            </w:r>
            <w:r w:rsidRPr="00F852D1">
              <w:rPr>
                <w:snapToGrid w:val="0"/>
                <w:color w:val="000000"/>
                <w:sz w:val="22"/>
                <w:szCs w:val="22"/>
                <w:lang w:val="sv-SE"/>
              </w:rPr>
              <w:t>T: alt</w:t>
            </w:r>
          </w:p>
        </w:tc>
      </w:tr>
    </w:tbl>
    <w:p w14:paraId="3D5BD7AB" w14:textId="77777777" w:rsidR="005D0F61" w:rsidRPr="00F852D1" w:rsidRDefault="005D0F61" w:rsidP="00A125B0">
      <w:pPr>
        <w:pStyle w:val="Text"/>
        <w:keepNext/>
        <w:spacing w:before="0"/>
        <w:jc w:val="left"/>
        <w:rPr>
          <w:color w:val="000000"/>
          <w:sz w:val="22"/>
          <w:szCs w:val="22"/>
          <w:lang w:val="it-IT"/>
        </w:rPr>
      </w:pPr>
      <w:r w:rsidRPr="00F852D1">
        <w:rPr>
          <w:color w:val="000000"/>
          <w:sz w:val="22"/>
          <w:szCs w:val="22"/>
          <w:lang w:val="it-IT"/>
        </w:rPr>
        <w:t>ULN = laboratoriets øvre normalgrænse</w:t>
      </w:r>
    </w:p>
    <w:p w14:paraId="076D7FFC" w14:textId="77777777" w:rsidR="005D0F61" w:rsidRPr="00F852D1" w:rsidRDefault="005D0F61" w:rsidP="00421681">
      <w:pPr>
        <w:autoSpaceDE w:val="0"/>
        <w:autoSpaceDN w:val="0"/>
        <w:adjustRightInd w:val="0"/>
        <w:ind w:left="993" w:hanging="993"/>
        <w:rPr>
          <w:rFonts w:eastAsia="MS Mincho"/>
          <w:bCs/>
          <w:color w:val="000000"/>
          <w:sz w:val="22"/>
          <w:szCs w:val="22"/>
          <w:lang w:val="it-IT" w:eastAsia="ja-JP"/>
        </w:rPr>
      </w:pPr>
      <w:r w:rsidRPr="00F852D1">
        <w:rPr>
          <w:rFonts w:eastAsia="MS Mincho"/>
          <w:bCs/>
          <w:color w:val="000000"/>
          <w:sz w:val="22"/>
          <w:szCs w:val="22"/>
          <w:lang w:val="it-IT" w:eastAsia="ja-JP"/>
        </w:rPr>
        <w:t>AS</w:t>
      </w:r>
      <w:r w:rsidR="005F15C5" w:rsidRPr="00F852D1">
        <w:rPr>
          <w:rFonts w:eastAsia="MS Mincho"/>
          <w:bCs/>
          <w:color w:val="000000"/>
          <w:sz w:val="22"/>
          <w:szCs w:val="22"/>
          <w:lang w:val="it-IT" w:eastAsia="ja-JP"/>
        </w:rPr>
        <w:t>A</w:t>
      </w:r>
      <w:r w:rsidRPr="00F852D1">
        <w:rPr>
          <w:rFonts w:eastAsia="MS Mincho"/>
          <w:bCs/>
          <w:color w:val="000000"/>
          <w:sz w:val="22"/>
          <w:szCs w:val="22"/>
          <w:lang w:val="it-IT" w:eastAsia="ja-JP"/>
        </w:rPr>
        <w:t xml:space="preserve">T = </w:t>
      </w:r>
      <w:r w:rsidRPr="00F852D1">
        <w:rPr>
          <w:color w:val="000000"/>
          <w:sz w:val="22"/>
          <w:szCs w:val="22"/>
          <w:lang w:val="it-IT"/>
        </w:rPr>
        <w:t>aspartataminotransferase</w:t>
      </w:r>
    </w:p>
    <w:p w14:paraId="0ED39741" w14:textId="77777777" w:rsidR="005D0F61" w:rsidRPr="00F852D1" w:rsidRDefault="005D0F61" w:rsidP="00421681">
      <w:pPr>
        <w:pStyle w:val="EndnoteText"/>
        <w:tabs>
          <w:tab w:val="clear" w:pos="567"/>
        </w:tabs>
        <w:rPr>
          <w:color w:val="000000"/>
          <w:szCs w:val="22"/>
          <w:lang w:val="it-IT"/>
        </w:rPr>
      </w:pPr>
    </w:p>
    <w:p w14:paraId="665E4EA2" w14:textId="77777777" w:rsidR="005D0F61" w:rsidRPr="004C2A59" w:rsidRDefault="005D0F61" w:rsidP="00421681">
      <w:pPr>
        <w:pStyle w:val="EndnoteText"/>
        <w:tabs>
          <w:tab w:val="clear" w:pos="567"/>
        </w:tabs>
        <w:rPr>
          <w:color w:val="000000"/>
          <w:szCs w:val="22"/>
        </w:rPr>
      </w:pPr>
      <w:r w:rsidRPr="004C2A59">
        <w:rPr>
          <w:i/>
          <w:color w:val="000000"/>
          <w:szCs w:val="22"/>
        </w:rPr>
        <w:t>Nyreinsufficiens:</w:t>
      </w:r>
      <w:r w:rsidRPr="004C2A59">
        <w:rPr>
          <w:color w:val="000000"/>
          <w:szCs w:val="22"/>
        </w:rPr>
        <w:t xml:space="preserve"> Patienter med nedsat nyrefunktion eller i dialyse bør gives den mindste anbefalede dosis på 400 mg dagligt som startdosis. Forsigtighed anbefales dog hos disse patienter. Dosis kan reduceres, hvis den ikke tolereres. Hvis dosis tolereres, kan den øges ved manglede effekt (se pkt. 4.4 og 5.2).</w:t>
      </w:r>
    </w:p>
    <w:p w14:paraId="4AFB9BA1" w14:textId="77777777" w:rsidR="005D0F61" w:rsidRPr="004C2A59" w:rsidRDefault="005D0F61" w:rsidP="00421681">
      <w:pPr>
        <w:pStyle w:val="EndnoteText"/>
        <w:tabs>
          <w:tab w:val="clear" w:pos="567"/>
        </w:tabs>
        <w:rPr>
          <w:color w:val="000000"/>
          <w:szCs w:val="22"/>
        </w:rPr>
      </w:pPr>
    </w:p>
    <w:p w14:paraId="318E5637" w14:textId="77777777" w:rsidR="005D0F61" w:rsidRPr="004C2A59" w:rsidRDefault="005D0F61" w:rsidP="00421681">
      <w:pPr>
        <w:pStyle w:val="EndnoteText"/>
        <w:tabs>
          <w:tab w:val="clear" w:pos="567"/>
        </w:tabs>
        <w:rPr>
          <w:color w:val="000000"/>
          <w:szCs w:val="22"/>
        </w:rPr>
      </w:pPr>
      <w:r w:rsidRPr="004C2A59">
        <w:rPr>
          <w:i/>
          <w:color w:val="000000"/>
          <w:szCs w:val="22"/>
        </w:rPr>
        <w:t>Ældre patienter:</w:t>
      </w:r>
      <w:r w:rsidRPr="004C2A59">
        <w:rPr>
          <w:color w:val="000000"/>
          <w:szCs w:val="22"/>
        </w:rPr>
        <w:t xml:space="preserve"> Imatinibs farmakokinetik er ikke specifikt undersøgt hos ældre. Der er ikke set signifikante aldersrelaterede farmakokinetiske forskelle hos voksne patienter i kliniske afprøvninger, hvor mere end 20% patienter af de inkluderede patienter var over 65 år. Specifik dosisjustering er ikke nødvendig til ældre patienter.</w:t>
      </w:r>
    </w:p>
    <w:p w14:paraId="3C8E56F2" w14:textId="77777777" w:rsidR="005D0F61" w:rsidRPr="004C2A59" w:rsidRDefault="005D0F61" w:rsidP="00421681">
      <w:pPr>
        <w:widowControl w:val="0"/>
        <w:rPr>
          <w:color w:val="000000"/>
          <w:sz w:val="22"/>
          <w:szCs w:val="22"/>
          <w:lang w:val="da-DK"/>
        </w:rPr>
      </w:pPr>
    </w:p>
    <w:p w14:paraId="3BAA4906" w14:textId="77777777" w:rsidR="00A573B3" w:rsidRPr="004C2A59" w:rsidRDefault="00A573B3" w:rsidP="00A125B0">
      <w:pPr>
        <w:keepNext/>
        <w:widowControl w:val="0"/>
        <w:suppressAutoHyphens/>
        <w:ind w:left="570" w:hanging="570"/>
        <w:rPr>
          <w:color w:val="000000"/>
          <w:sz w:val="22"/>
          <w:szCs w:val="22"/>
          <w:lang w:val="da-DK"/>
        </w:rPr>
      </w:pPr>
      <w:r w:rsidRPr="004C2A59">
        <w:rPr>
          <w:b/>
          <w:color w:val="000000"/>
          <w:sz w:val="22"/>
          <w:szCs w:val="22"/>
          <w:lang w:val="da-DK"/>
        </w:rPr>
        <w:t>4.3</w:t>
      </w:r>
      <w:r w:rsidRPr="004C2A59">
        <w:rPr>
          <w:b/>
          <w:color w:val="000000"/>
          <w:sz w:val="22"/>
          <w:szCs w:val="22"/>
          <w:lang w:val="da-DK"/>
        </w:rPr>
        <w:tab/>
        <w:t>Kontraindikationer</w:t>
      </w:r>
    </w:p>
    <w:p w14:paraId="0EC02D1F" w14:textId="77777777" w:rsidR="00A573B3" w:rsidRPr="004C2A59" w:rsidRDefault="00A573B3" w:rsidP="00A125B0">
      <w:pPr>
        <w:keepNext/>
        <w:widowControl w:val="0"/>
        <w:rPr>
          <w:color w:val="000000"/>
          <w:sz w:val="22"/>
          <w:szCs w:val="22"/>
          <w:lang w:val="da-DK"/>
        </w:rPr>
      </w:pPr>
    </w:p>
    <w:p w14:paraId="7D8FABBD" w14:textId="77777777" w:rsidR="00A573B3" w:rsidRPr="004C2A59" w:rsidRDefault="00A573B3" w:rsidP="00421681">
      <w:pPr>
        <w:widowControl w:val="0"/>
        <w:rPr>
          <w:color w:val="000000"/>
          <w:sz w:val="22"/>
          <w:szCs w:val="22"/>
          <w:lang w:val="da-DK"/>
        </w:rPr>
      </w:pPr>
      <w:r w:rsidRPr="004C2A59">
        <w:rPr>
          <w:color w:val="000000"/>
          <w:sz w:val="22"/>
          <w:szCs w:val="22"/>
          <w:lang w:val="da-DK"/>
        </w:rPr>
        <w:t>Overfølsomhed over for det aktive stof eller over for et eller flere af hjælpestofferne anført i pkt. 6.1.</w:t>
      </w:r>
    </w:p>
    <w:p w14:paraId="0BBC7BAE" w14:textId="77777777" w:rsidR="00A573B3" w:rsidRPr="004C2A59" w:rsidRDefault="00A573B3" w:rsidP="00421681">
      <w:pPr>
        <w:widowControl w:val="0"/>
        <w:rPr>
          <w:color w:val="000000"/>
          <w:sz w:val="22"/>
          <w:szCs w:val="22"/>
          <w:lang w:val="da-DK"/>
        </w:rPr>
      </w:pPr>
    </w:p>
    <w:p w14:paraId="58E18C2A" w14:textId="77777777" w:rsidR="00A573B3" w:rsidRPr="004C2A59" w:rsidRDefault="00A573B3" w:rsidP="00A125B0">
      <w:pPr>
        <w:keepNext/>
        <w:widowControl w:val="0"/>
        <w:suppressAutoHyphens/>
        <w:ind w:left="567" w:hanging="567"/>
        <w:rPr>
          <w:b/>
          <w:color w:val="000000"/>
          <w:sz w:val="22"/>
          <w:szCs w:val="22"/>
          <w:lang w:val="da-DK"/>
        </w:rPr>
      </w:pPr>
      <w:r w:rsidRPr="004C2A59">
        <w:rPr>
          <w:b/>
          <w:color w:val="000000"/>
          <w:sz w:val="22"/>
          <w:szCs w:val="22"/>
          <w:lang w:val="da-DK"/>
        </w:rPr>
        <w:t>4.4</w:t>
      </w:r>
      <w:r w:rsidRPr="004C2A59">
        <w:rPr>
          <w:b/>
          <w:color w:val="000000"/>
          <w:sz w:val="22"/>
          <w:szCs w:val="22"/>
          <w:lang w:val="da-DK"/>
        </w:rPr>
        <w:tab/>
        <w:t>Særlige advarsler og forsigtighedsregler vedrørende brugen</w:t>
      </w:r>
    </w:p>
    <w:p w14:paraId="5FCB0BCF" w14:textId="77777777" w:rsidR="00A573B3" w:rsidRPr="004C2A59" w:rsidRDefault="00A573B3" w:rsidP="00A125B0">
      <w:pPr>
        <w:keepNext/>
        <w:widowControl w:val="0"/>
        <w:suppressAutoHyphens/>
        <w:ind w:left="567" w:hanging="567"/>
        <w:rPr>
          <w:color w:val="000000"/>
          <w:sz w:val="22"/>
          <w:szCs w:val="22"/>
          <w:lang w:val="da-DK"/>
        </w:rPr>
      </w:pPr>
    </w:p>
    <w:p w14:paraId="0B90FB44" w14:textId="77777777" w:rsidR="00A573B3" w:rsidRPr="004C2A59" w:rsidRDefault="00A573B3" w:rsidP="00421681">
      <w:pPr>
        <w:pStyle w:val="EndnoteText"/>
        <w:tabs>
          <w:tab w:val="clear" w:pos="567"/>
          <w:tab w:val="left" w:pos="7655"/>
        </w:tabs>
        <w:rPr>
          <w:color w:val="000000"/>
          <w:szCs w:val="22"/>
        </w:rPr>
      </w:pPr>
      <w:r w:rsidRPr="004C2A59">
        <w:rPr>
          <w:color w:val="000000"/>
          <w:szCs w:val="22"/>
        </w:rPr>
        <w:t>Når Glivec administreres sammen med andre lægemidler, er der risiko for lægemiddelinteraktioner. Der bør udvises forsigtighed, når Glivec tages sammen med proteasehæmmere, azol-antimykotika, visse makrolider (se pkt. 4.5), CYP3A4-substrater med et snævert terapeutisk vindue (f.eks. ciclosporin, pimozid, tacrolimus, sirolimus, ergotamin, dihydroergotamin, fentanyl, alfentanil, terfenadin, bortezomib, docetaxel, quinidin) eller warfarin og andre coumarin-derivater (se pkt. 4.5).</w:t>
      </w:r>
    </w:p>
    <w:p w14:paraId="540404DE" w14:textId="77777777" w:rsidR="00A573B3" w:rsidRPr="004C2A59" w:rsidRDefault="00A573B3" w:rsidP="00421681">
      <w:pPr>
        <w:pStyle w:val="EndnoteText"/>
        <w:tabs>
          <w:tab w:val="clear" w:pos="567"/>
          <w:tab w:val="left" w:pos="7655"/>
        </w:tabs>
        <w:rPr>
          <w:color w:val="000000"/>
          <w:szCs w:val="22"/>
        </w:rPr>
      </w:pPr>
    </w:p>
    <w:p w14:paraId="393B9616" w14:textId="77777777" w:rsidR="00A573B3" w:rsidRPr="004C2A59" w:rsidRDefault="00A573B3" w:rsidP="00421681">
      <w:pPr>
        <w:pStyle w:val="EndnoteText"/>
        <w:tabs>
          <w:tab w:val="clear" w:pos="567"/>
          <w:tab w:val="left" w:pos="7655"/>
        </w:tabs>
        <w:rPr>
          <w:color w:val="000000"/>
        </w:rPr>
      </w:pPr>
      <w:r w:rsidRPr="004C2A59">
        <w:rPr>
          <w:color w:val="000000"/>
          <w:szCs w:val="22"/>
        </w:rPr>
        <w:t xml:space="preserve">Samtidig anvendelse af imatinib og lægemidler, der inducerer CYP3A4 (f.eks. dexamethason, phenytoin, carbamazepin, rifampicin, phenobarbital eller </w:t>
      </w:r>
      <w:r w:rsidRPr="004C2A59">
        <w:rPr>
          <w:i/>
          <w:color w:val="000000"/>
          <w:szCs w:val="22"/>
        </w:rPr>
        <w:t>Hypericum perforatum</w:t>
      </w:r>
      <w:r w:rsidRPr="004C2A59">
        <w:rPr>
          <w:color w:val="000000"/>
          <w:szCs w:val="22"/>
        </w:rPr>
        <w:t>, også kendt som prikbladet perikum) kan signifikant reducere følsomheden over for Glivec, og dermed potientielt øge risikoen for terapeutisk svigt. Samtidig anvendelse af stærke CYP3A4 induktorer og imatinib bør derfor undgås (se pkt. 4.5).</w:t>
      </w:r>
    </w:p>
    <w:p w14:paraId="3DF990E0" w14:textId="77777777" w:rsidR="00A573B3" w:rsidRPr="004C2A59" w:rsidRDefault="00A573B3" w:rsidP="00421681">
      <w:pPr>
        <w:widowControl w:val="0"/>
        <w:rPr>
          <w:color w:val="000000"/>
          <w:sz w:val="22"/>
          <w:szCs w:val="22"/>
          <w:lang w:val="da-DK"/>
        </w:rPr>
      </w:pPr>
    </w:p>
    <w:p w14:paraId="2A37B4C6" w14:textId="77777777" w:rsidR="00A573B3" w:rsidRPr="004C2A59" w:rsidRDefault="00A573B3" w:rsidP="00A125B0">
      <w:pPr>
        <w:keepNext/>
        <w:widowControl w:val="0"/>
        <w:rPr>
          <w:color w:val="000000"/>
          <w:sz w:val="22"/>
          <w:szCs w:val="22"/>
          <w:u w:val="single"/>
          <w:lang w:val="da-DK"/>
        </w:rPr>
      </w:pPr>
      <w:r w:rsidRPr="004C2A59">
        <w:rPr>
          <w:color w:val="000000"/>
          <w:sz w:val="22"/>
          <w:szCs w:val="22"/>
          <w:u w:val="single"/>
          <w:lang w:val="da-DK"/>
        </w:rPr>
        <w:t>Hypotyroidisme</w:t>
      </w:r>
    </w:p>
    <w:p w14:paraId="361EC9C6" w14:textId="77777777" w:rsidR="00A573B3" w:rsidRPr="004C2A59" w:rsidRDefault="00A573B3" w:rsidP="00421681">
      <w:pPr>
        <w:widowControl w:val="0"/>
        <w:rPr>
          <w:color w:val="000000"/>
          <w:sz w:val="22"/>
          <w:szCs w:val="22"/>
          <w:lang w:val="da-DK"/>
        </w:rPr>
      </w:pPr>
      <w:r w:rsidRPr="004C2A59">
        <w:rPr>
          <w:color w:val="000000"/>
          <w:sz w:val="22"/>
          <w:szCs w:val="22"/>
          <w:lang w:val="da-DK"/>
        </w:rPr>
        <w:t>Kliniske tilfælde af hypotyroidisme er rapporteret hos patienter, der har fået foretaget tyroidektomi, og som er i levothyroxin-erstatningsterapi samtidig med Glivec-behandling (se pkt. 4.5). Thyroid-stimulerende hormon (TSH)-niveauer bør følges nøje hos sådanne patienter.</w:t>
      </w:r>
    </w:p>
    <w:p w14:paraId="562F9376" w14:textId="77777777" w:rsidR="00A573B3" w:rsidRPr="004C2A59" w:rsidRDefault="00A573B3" w:rsidP="00421681">
      <w:pPr>
        <w:widowControl w:val="0"/>
        <w:rPr>
          <w:color w:val="000000"/>
          <w:sz w:val="22"/>
          <w:szCs w:val="22"/>
          <w:lang w:val="da-DK"/>
        </w:rPr>
      </w:pPr>
    </w:p>
    <w:p w14:paraId="7A38EA3C" w14:textId="77777777" w:rsidR="00A573B3" w:rsidRPr="004C2A59" w:rsidRDefault="00A573B3" w:rsidP="00A125B0">
      <w:pPr>
        <w:keepNext/>
        <w:widowControl w:val="0"/>
        <w:rPr>
          <w:color w:val="000000"/>
          <w:sz w:val="22"/>
          <w:szCs w:val="22"/>
          <w:u w:val="single"/>
          <w:lang w:val="da-DK"/>
        </w:rPr>
      </w:pPr>
      <w:r w:rsidRPr="004C2A59">
        <w:rPr>
          <w:color w:val="000000"/>
          <w:sz w:val="22"/>
          <w:szCs w:val="22"/>
          <w:u w:val="single"/>
          <w:lang w:val="da-DK"/>
        </w:rPr>
        <w:t>Hepatotoksicitet</w:t>
      </w:r>
    </w:p>
    <w:p w14:paraId="747EEDDD" w14:textId="77777777" w:rsidR="00A573B3" w:rsidRPr="004C2A59" w:rsidRDefault="00A573B3" w:rsidP="00421681">
      <w:pPr>
        <w:rPr>
          <w:color w:val="000000"/>
          <w:sz w:val="22"/>
          <w:szCs w:val="22"/>
          <w:lang w:val="da-DK"/>
        </w:rPr>
      </w:pPr>
      <w:r w:rsidRPr="004C2A59">
        <w:rPr>
          <w:color w:val="000000"/>
          <w:sz w:val="22"/>
          <w:szCs w:val="22"/>
          <w:lang w:val="da-DK"/>
        </w:rPr>
        <w:t>Glivec metaboliseres primært i leveren, og kun 13% udskilles via nyrerne. Hos patienter med nedsat leverfunktion (let, moderat eller svær) bør perifere blodtal og leverenzymer monitoreres omhyggeligt (se pkt. 4.2, 4.8 og 5.2). Det bør bemærkes, at GIST-patienter kan have levermetastaser, hvilket kan medføre leverinsufficiens.</w:t>
      </w:r>
    </w:p>
    <w:p w14:paraId="4478310B" w14:textId="77777777" w:rsidR="00A573B3" w:rsidRPr="004C2A59" w:rsidRDefault="00A573B3" w:rsidP="00421681">
      <w:pPr>
        <w:rPr>
          <w:color w:val="000000"/>
          <w:sz w:val="22"/>
          <w:szCs w:val="22"/>
          <w:lang w:val="da-DK"/>
        </w:rPr>
      </w:pPr>
    </w:p>
    <w:p w14:paraId="51FE5347" w14:textId="77777777" w:rsidR="00A573B3" w:rsidRPr="004C2A59" w:rsidRDefault="00A573B3" w:rsidP="00421681">
      <w:pPr>
        <w:rPr>
          <w:color w:val="000000"/>
          <w:sz w:val="22"/>
          <w:szCs w:val="22"/>
          <w:lang w:val="da-DK"/>
        </w:rPr>
      </w:pPr>
      <w:r w:rsidRPr="004C2A59">
        <w:rPr>
          <w:color w:val="000000"/>
          <w:sz w:val="22"/>
          <w:szCs w:val="22"/>
          <w:lang w:val="da-DK"/>
        </w:rPr>
        <w:t>Tilfælde af leverskade, inklusive leversvigt og levernekrose er blevet observeret med imatinib. Når imatinib kombineres med højdosis kemoterapi, ses en øget forekomst af alvorlige leverreaktioner. Nøje monitoring af leverfunktionen skal udføres i tilfælde, hvor imatinib kombineres med kemoterapiregimer, som også vides at være forbundet med leverdysfunktion (se pkt. 4.5 og 4.8).</w:t>
      </w:r>
    </w:p>
    <w:p w14:paraId="24CDB44B" w14:textId="77777777" w:rsidR="00A573B3" w:rsidRPr="004C2A59" w:rsidRDefault="00A573B3" w:rsidP="00421681">
      <w:pPr>
        <w:widowControl w:val="0"/>
        <w:rPr>
          <w:color w:val="000000"/>
          <w:sz w:val="22"/>
          <w:szCs w:val="22"/>
          <w:lang w:val="da-DK"/>
        </w:rPr>
      </w:pPr>
    </w:p>
    <w:p w14:paraId="028A7180" w14:textId="77777777" w:rsidR="00A573B3" w:rsidRPr="004C2A59" w:rsidRDefault="00A573B3" w:rsidP="00A125B0">
      <w:pPr>
        <w:keepNext/>
        <w:rPr>
          <w:color w:val="000000"/>
          <w:sz w:val="22"/>
          <w:szCs w:val="22"/>
          <w:u w:val="single"/>
          <w:lang w:val="da-DK"/>
        </w:rPr>
      </w:pPr>
      <w:r w:rsidRPr="004C2A59">
        <w:rPr>
          <w:color w:val="000000"/>
          <w:sz w:val="22"/>
          <w:szCs w:val="22"/>
          <w:u w:val="single"/>
          <w:lang w:val="da-DK"/>
        </w:rPr>
        <w:t>Væskeretention</w:t>
      </w:r>
    </w:p>
    <w:p w14:paraId="1430DD39" w14:textId="77777777" w:rsidR="00A573B3" w:rsidRPr="004C2A59" w:rsidRDefault="00A573B3" w:rsidP="00421681">
      <w:pPr>
        <w:pStyle w:val="EndnoteText"/>
        <w:tabs>
          <w:tab w:val="clear" w:pos="567"/>
        </w:tabs>
        <w:rPr>
          <w:color w:val="000000"/>
          <w:szCs w:val="22"/>
        </w:rPr>
      </w:pPr>
      <w:r w:rsidRPr="004C2A59">
        <w:rPr>
          <w:color w:val="000000"/>
          <w:szCs w:val="22"/>
        </w:rPr>
        <w:t>Hos ca. 2,5% af nyligt diagnosticerede CML-patienter i behandling med Glivec er der rapporteret tilfælde af svær væskeretention (pleuraeksudat, ødem, pulmonalt ødem,ascites, perifert ødem). Det anbefales derfor stærkt, at patienterne vejes jævnligt. Uventede, hurtige vægtstigninger bør undersøges nøje, og om nødvendigt bør understøttende terapi indledes, og relevante indgreb foretages. Der er i kliniske undersøgelser set øget incidens af disse hændelser hos ældre patienter og hos patienter med hjertesygdom i anamnesen. Der bør derfor udvises forsigtighed hos patienter med kardiel dysfunktion.</w:t>
      </w:r>
    </w:p>
    <w:p w14:paraId="31A37D25" w14:textId="77777777" w:rsidR="00A573B3" w:rsidRPr="004C2A59" w:rsidRDefault="00A573B3" w:rsidP="00421681">
      <w:pPr>
        <w:widowControl w:val="0"/>
        <w:rPr>
          <w:color w:val="000000"/>
          <w:sz w:val="22"/>
          <w:szCs w:val="22"/>
          <w:lang w:val="da-DK"/>
        </w:rPr>
      </w:pPr>
    </w:p>
    <w:p w14:paraId="6804D014" w14:textId="77777777" w:rsidR="00A573B3" w:rsidRPr="004C2A59" w:rsidRDefault="00A573B3" w:rsidP="00A125B0">
      <w:pPr>
        <w:keepNext/>
        <w:widowControl w:val="0"/>
        <w:rPr>
          <w:color w:val="000000"/>
          <w:sz w:val="22"/>
          <w:szCs w:val="22"/>
          <w:u w:val="single"/>
          <w:lang w:val="da-DK"/>
        </w:rPr>
      </w:pPr>
      <w:r w:rsidRPr="004C2A59">
        <w:rPr>
          <w:color w:val="000000"/>
          <w:sz w:val="22"/>
          <w:szCs w:val="22"/>
          <w:u w:val="single"/>
          <w:lang w:val="da-DK"/>
        </w:rPr>
        <w:t>Patienter med hjertesygdom</w:t>
      </w:r>
    </w:p>
    <w:p w14:paraId="1BAF6EBA" w14:textId="77777777" w:rsidR="00A573B3" w:rsidRPr="004C2A59" w:rsidRDefault="00A573B3" w:rsidP="00421681">
      <w:pPr>
        <w:widowControl w:val="0"/>
        <w:rPr>
          <w:color w:val="000000"/>
          <w:sz w:val="22"/>
          <w:szCs w:val="22"/>
          <w:lang w:val="da-DK"/>
        </w:rPr>
      </w:pPr>
      <w:r w:rsidRPr="004C2A59">
        <w:rPr>
          <w:color w:val="000000"/>
          <w:sz w:val="22"/>
          <w:szCs w:val="22"/>
          <w:lang w:val="da-DK"/>
        </w:rPr>
        <w:t>Patienter med hjertesygdom, risikofaktorer for hjerteinsufficiens eller nyreinsufficiens i anamnesen skal monitoreres omhyggeligt, og alle patienter, som har symptomer forenelige med hjerte- eller nyreinsufficiens, bør undersøges og behandles.</w:t>
      </w:r>
    </w:p>
    <w:p w14:paraId="343798C8" w14:textId="77777777" w:rsidR="00A573B3" w:rsidRPr="004C2A59" w:rsidRDefault="00A573B3" w:rsidP="00421681">
      <w:pPr>
        <w:widowControl w:val="0"/>
        <w:rPr>
          <w:color w:val="000000"/>
          <w:sz w:val="22"/>
          <w:szCs w:val="22"/>
          <w:lang w:val="da-DK"/>
        </w:rPr>
      </w:pPr>
    </w:p>
    <w:p w14:paraId="53ED07DF" w14:textId="77777777" w:rsidR="00A573B3" w:rsidRPr="004C2A59" w:rsidRDefault="00A573B3" w:rsidP="00421681">
      <w:pPr>
        <w:widowControl w:val="0"/>
        <w:rPr>
          <w:color w:val="000000"/>
          <w:sz w:val="22"/>
          <w:szCs w:val="22"/>
          <w:lang w:val="da-DK"/>
        </w:rPr>
      </w:pPr>
      <w:r w:rsidRPr="004C2A59">
        <w:rPr>
          <w:color w:val="000000"/>
          <w:sz w:val="22"/>
          <w:szCs w:val="22"/>
          <w:lang w:val="da-DK"/>
        </w:rPr>
        <w:t>Hos patienter med hypereosinofilt syndrom (HES) med skjult infiltration af HES-celler i myokardiet, har der været isolerede tilfælde af kardiogent shock/dysfunktion af venstre ventrikel i forbindelse med HES-celledegranulering ved initiering af imatinibterapi. Tilstanden blev rapporteret som værende reversibel ved indgift af systemiske steroider, understøttelse af kredsløbet og midlertidigt stop af imatinib. Da der er rapporteret tilfælde af hjertebivirkninger med imatinib, bør der foretages en nøje benefit/risk-vurdering hos HES/</w:t>
      </w:r>
      <w:smartTag w:uri="urn:schemas-microsoft-com:office:smarttags" w:element="metricconverter">
        <w:r w:rsidRPr="004C2A59">
          <w:rPr>
            <w:color w:val="000000"/>
            <w:sz w:val="22"/>
            <w:szCs w:val="22"/>
            <w:lang w:val="da-DK"/>
          </w:rPr>
          <w:t>CEL</w:t>
        </w:r>
      </w:smartTag>
      <w:r w:rsidRPr="004C2A59">
        <w:rPr>
          <w:color w:val="000000"/>
          <w:sz w:val="22"/>
          <w:szCs w:val="22"/>
          <w:lang w:val="da-DK"/>
        </w:rPr>
        <w:t>-populationen før påbegyndelse af behandling.</w:t>
      </w:r>
    </w:p>
    <w:p w14:paraId="4753E056" w14:textId="77777777" w:rsidR="00A573B3" w:rsidRPr="004C2A59" w:rsidRDefault="00A573B3" w:rsidP="00421681">
      <w:pPr>
        <w:widowControl w:val="0"/>
        <w:rPr>
          <w:color w:val="000000"/>
          <w:sz w:val="22"/>
          <w:szCs w:val="22"/>
          <w:lang w:val="da-DK"/>
        </w:rPr>
      </w:pPr>
    </w:p>
    <w:p w14:paraId="77D2136A" w14:textId="77777777" w:rsidR="00A573B3" w:rsidRPr="004C2A59" w:rsidRDefault="00A573B3" w:rsidP="00421681">
      <w:pPr>
        <w:widowControl w:val="0"/>
        <w:rPr>
          <w:color w:val="000000"/>
          <w:sz w:val="22"/>
          <w:szCs w:val="22"/>
          <w:lang w:val="da-DK"/>
        </w:rPr>
      </w:pPr>
      <w:r w:rsidRPr="004C2A59">
        <w:rPr>
          <w:color w:val="000000"/>
          <w:sz w:val="22"/>
          <w:szCs w:val="22"/>
          <w:lang w:val="da-DK"/>
        </w:rPr>
        <w:t xml:space="preserve">Myelodysplastiske/myeloproliferative sygdomme med PDGFR-omlejring kan være forbundet med høje eosinofiltal. Undersøgelse hos en kardiolog, optagelse af ekkokardiogram og bestemmelse af serumtroponin bør derfor overvejes hos patienter med </w:t>
      </w:r>
      <w:smartTag w:uri="urn:schemas-microsoft-com:office:smarttags" w:element="metricconverter">
        <w:r w:rsidRPr="004C2A59">
          <w:rPr>
            <w:color w:val="000000"/>
            <w:sz w:val="22"/>
            <w:szCs w:val="22"/>
            <w:lang w:val="da-DK"/>
          </w:rPr>
          <w:t>MDS</w:t>
        </w:r>
      </w:smartTag>
      <w:r w:rsidRPr="004C2A59">
        <w:rPr>
          <w:color w:val="000000"/>
          <w:sz w:val="22"/>
          <w:szCs w:val="22"/>
          <w:lang w:val="da-DK"/>
        </w:rPr>
        <w:t>/MPD, som har høje eosinofiltal, før der gives imatinib. Hvis en af disse undersøgelser viser abnormalitet, bør det overvejes at kombinere imatinib med profylaktisk brug af systemisk steroid (1</w:t>
      </w:r>
      <w:r w:rsidRPr="004C2A59">
        <w:rPr>
          <w:color w:val="000000"/>
          <w:sz w:val="22"/>
          <w:szCs w:val="22"/>
          <w:lang w:val="da-DK"/>
        </w:rPr>
        <w:noBreakHyphen/>
        <w:t>2 mg/kg) i en til to uger ved behandlingsstart.</w:t>
      </w:r>
    </w:p>
    <w:p w14:paraId="513FB0FC" w14:textId="77777777" w:rsidR="00A573B3" w:rsidRPr="004C2A59" w:rsidRDefault="00A573B3" w:rsidP="00421681">
      <w:pPr>
        <w:widowControl w:val="0"/>
        <w:rPr>
          <w:color w:val="000000"/>
          <w:sz w:val="22"/>
          <w:szCs w:val="22"/>
          <w:lang w:val="da-DK"/>
        </w:rPr>
      </w:pPr>
    </w:p>
    <w:p w14:paraId="1375878B" w14:textId="77777777" w:rsidR="00A573B3" w:rsidRPr="004C2A59" w:rsidRDefault="00A573B3" w:rsidP="00A125B0">
      <w:pPr>
        <w:keepNext/>
        <w:widowControl w:val="0"/>
        <w:rPr>
          <w:color w:val="000000"/>
          <w:sz w:val="22"/>
          <w:szCs w:val="22"/>
          <w:u w:val="single"/>
          <w:lang w:val="da-DK"/>
        </w:rPr>
      </w:pPr>
      <w:r w:rsidRPr="004C2A59">
        <w:rPr>
          <w:color w:val="000000"/>
          <w:sz w:val="22"/>
          <w:szCs w:val="22"/>
          <w:u w:val="single"/>
          <w:lang w:val="da-DK"/>
        </w:rPr>
        <w:t>Gastrointestinal blødning</w:t>
      </w:r>
    </w:p>
    <w:p w14:paraId="1EDDAABA" w14:textId="77777777" w:rsidR="00FC4A11" w:rsidRPr="004C2A59" w:rsidRDefault="00A573B3" w:rsidP="00421681">
      <w:pPr>
        <w:widowControl w:val="0"/>
        <w:rPr>
          <w:color w:val="000000"/>
          <w:sz w:val="22"/>
          <w:szCs w:val="22"/>
          <w:lang w:val="da-DK"/>
        </w:rPr>
      </w:pPr>
      <w:r w:rsidRPr="004C2A59">
        <w:rPr>
          <w:color w:val="000000"/>
          <w:sz w:val="22"/>
          <w:szCs w:val="22"/>
          <w:lang w:val="da-DK"/>
        </w:rPr>
        <w:t>I undersøgelsen med patienter med inoperabel og/eller metastaserende GIST rapporteredes både gastrointestinale og intra-tumorale blødninger (se pkt. 4.8). Der er, baseret på tilgængelige data, ikke identificeret disponerende faktorer (for eksempel tumorstørrelse, tumorplacering, koagulationsforstyrrelser), der kan placere GIST-patienter i en højere risikogruppe for nogen af blødningstyperne. Da øget vaskularisering og blødningstendens er en del af det kliniske billede ved GIST, bør der hos alle patienter anvendes standardtiltag og -procedurer for monitorering og behandling af blødning.</w:t>
      </w:r>
    </w:p>
    <w:p w14:paraId="38EB6322" w14:textId="77777777" w:rsidR="00FC4A11" w:rsidRPr="004C2A59" w:rsidRDefault="00FC4A11" w:rsidP="00421681">
      <w:pPr>
        <w:widowControl w:val="0"/>
        <w:rPr>
          <w:color w:val="000000"/>
          <w:sz w:val="22"/>
          <w:szCs w:val="22"/>
          <w:lang w:val="da-DK"/>
        </w:rPr>
      </w:pPr>
    </w:p>
    <w:p w14:paraId="3946E6B8" w14:textId="77777777" w:rsidR="00A573B3" w:rsidRPr="004C2A59" w:rsidRDefault="00FC4A11" w:rsidP="00421681">
      <w:pPr>
        <w:widowControl w:val="0"/>
        <w:rPr>
          <w:color w:val="000000"/>
          <w:sz w:val="22"/>
          <w:szCs w:val="22"/>
          <w:lang w:val="da-DK"/>
        </w:rPr>
      </w:pPr>
      <w:r w:rsidRPr="004C2A59">
        <w:rPr>
          <w:color w:val="000000"/>
          <w:sz w:val="22"/>
          <w:szCs w:val="22"/>
          <w:lang w:val="da-DK"/>
        </w:rPr>
        <w:t xml:space="preserve">Derudover er der efter markedsføring rapporteret </w:t>
      </w:r>
      <w:r w:rsidRPr="004C2A59">
        <w:rPr>
          <w:i/>
          <w:color w:val="000000"/>
          <w:sz w:val="22"/>
          <w:szCs w:val="22"/>
          <w:lang w:val="da-DK"/>
        </w:rPr>
        <w:t>gastric antral vascular ecstasia</w:t>
      </w:r>
      <w:r w:rsidRPr="004C2A59">
        <w:rPr>
          <w:color w:val="000000"/>
          <w:sz w:val="22"/>
          <w:szCs w:val="22"/>
          <w:lang w:val="da-DK"/>
        </w:rPr>
        <w:t xml:space="preserve"> (GAVE), en sjælden form for gastrointestinal blødning, hos patienter med CML, ALL og andre sygdomme (se pkt. 4.8). Om nødvendigt kan det overvejes at ophøre med Glivec-behandling.</w:t>
      </w:r>
    </w:p>
    <w:p w14:paraId="700DF2BD" w14:textId="77777777" w:rsidR="00A573B3" w:rsidRPr="004C2A59" w:rsidRDefault="00A573B3" w:rsidP="00421681">
      <w:pPr>
        <w:widowControl w:val="0"/>
        <w:rPr>
          <w:color w:val="000000"/>
          <w:sz w:val="22"/>
          <w:szCs w:val="22"/>
          <w:u w:val="single"/>
          <w:lang w:val="da-DK"/>
        </w:rPr>
      </w:pPr>
    </w:p>
    <w:p w14:paraId="62262AF4" w14:textId="77777777" w:rsidR="00A573B3" w:rsidRPr="004C2A59" w:rsidRDefault="00A573B3" w:rsidP="00A125B0">
      <w:pPr>
        <w:keepNext/>
        <w:widowControl w:val="0"/>
        <w:rPr>
          <w:color w:val="000000"/>
          <w:sz w:val="22"/>
          <w:szCs w:val="22"/>
          <w:u w:val="single"/>
          <w:lang w:val="da-DK"/>
        </w:rPr>
      </w:pPr>
      <w:r w:rsidRPr="004C2A59">
        <w:rPr>
          <w:color w:val="000000"/>
          <w:sz w:val="22"/>
          <w:szCs w:val="22"/>
          <w:u w:val="single"/>
          <w:lang w:val="da-DK"/>
        </w:rPr>
        <w:t>Tumorlysesyndrom</w:t>
      </w:r>
    </w:p>
    <w:p w14:paraId="6D4ABADD" w14:textId="77777777" w:rsidR="00E5610F" w:rsidRPr="007F2E31" w:rsidRDefault="00A573B3" w:rsidP="00421681">
      <w:pPr>
        <w:textAlignment w:val="top"/>
        <w:rPr>
          <w:sz w:val="22"/>
          <w:szCs w:val="22"/>
          <w:lang w:val="da-DK"/>
        </w:rPr>
      </w:pPr>
      <w:r w:rsidRPr="004C2A59">
        <w:rPr>
          <w:color w:val="000000"/>
          <w:sz w:val="22"/>
          <w:szCs w:val="22"/>
          <w:lang w:val="da-DK"/>
        </w:rPr>
        <w:t>På grund af den mulige forekomst af tumorlysesyndrom (TLS) anbefales korrektion af klinisk signifikant dehydrering og behandling af forhøjede urinsyreniveauer før påbegyndelse af behandling med Glivec (se pkt. 4.8).</w:t>
      </w:r>
    </w:p>
    <w:p w14:paraId="66EFA386" w14:textId="77777777" w:rsidR="00E5610F" w:rsidRPr="007F2E31" w:rsidRDefault="00E5610F" w:rsidP="00421681">
      <w:pPr>
        <w:textAlignment w:val="top"/>
        <w:rPr>
          <w:sz w:val="22"/>
          <w:szCs w:val="22"/>
          <w:lang w:val="da-DK"/>
        </w:rPr>
      </w:pPr>
    </w:p>
    <w:p w14:paraId="1261339C" w14:textId="77777777" w:rsidR="00E5610F" w:rsidRPr="007F2E31" w:rsidRDefault="00E5610F" w:rsidP="00421681">
      <w:pPr>
        <w:keepNext/>
        <w:textAlignment w:val="top"/>
        <w:rPr>
          <w:color w:val="000000"/>
          <w:sz w:val="22"/>
          <w:szCs w:val="22"/>
          <w:u w:val="single"/>
          <w:lang w:val="da-DK"/>
        </w:rPr>
      </w:pPr>
      <w:r w:rsidRPr="007F2E31">
        <w:rPr>
          <w:color w:val="000000"/>
          <w:sz w:val="22"/>
          <w:szCs w:val="22"/>
          <w:u w:val="single"/>
          <w:lang w:val="da-DK"/>
        </w:rPr>
        <w:t>Reaktivering af hepatitis B</w:t>
      </w:r>
    </w:p>
    <w:p w14:paraId="360598AD" w14:textId="77777777" w:rsidR="00E5610F" w:rsidRPr="00E5610F" w:rsidRDefault="00E5610F" w:rsidP="00421681">
      <w:pPr>
        <w:textAlignment w:val="top"/>
        <w:rPr>
          <w:color w:val="000000"/>
          <w:sz w:val="22"/>
          <w:szCs w:val="22"/>
          <w:lang w:val="da-DK"/>
        </w:rPr>
      </w:pPr>
      <w:r w:rsidRPr="00E5610F">
        <w:rPr>
          <w:color w:val="000000"/>
          <w:sz w:val="22"/>
          <w:szCs w:val="22"/>
          <w:lang w:val="da-DK"/>
        </w:rPr>
        <w:t>Reaktivering af hepatitis B er forekommet hos kroniske bærere af hepatitis B-virus (HBV), efter at patienten har fået en BCR-ABL-tyrosinkinasehæmmer. I nogle tilfælde har dette medført akut leversvigt eller fulminant hepatitis, førende til levertransplantation eller død.</w:t>
      </w:r>
    </w:p>
    <w:p w14:paraId="0FBEF6BF" w14:textId="77777777" w:rsidR="00E5610F" w:rsidRPr="00E5610F" w:rsidRDefault="00E5610F" w:rsidP="00421681">
      <w:pPr>
        <w:textAlignment w:val="top"/>
        <w:rPr>
          <w:color w:val="000000"/>
          <w:sz w:val="22"/>
          <w:szCs w:val="22"/>
          <w:lang w:val="da-DK"/>
        </w:rPr>
      </w:pPr>
    </w:p>
    <w:p w14:paraId="2C0CC552" w14:textId="77777777" w:rsidR="00A573B3" w:rsidRPr="004C2A59" w:rsidRDefault="00E5610F" w:rsidP="00421681">
      <w:pPr>
        <w:textAlignment w:val="top"/>
        <w:rPr>
          <w:color w:val="000000"/>
          <w:sz w:val="22"/>
          <w:szCs w:val="22"/>
          <w:lang w:val="da-DK"/>
        </w:rPr>
      </w:pPr>
      <w:r w:rsidRPr="00E5610F">
        <w:rPr>
          <w:color w:val="000000"/>
          <w:sz w:val="22"/>
          <w:szCs w:val="22"/>
          <w:lang w:val="da-DK"/>
        </w:rPr>
        <w:t xml:space="preserve">Patienten bør testes for HBV-infektion før initiering af behandling med Glivec. En specialist i leversygdomme og i behandling af hepatitis B skal konsulteres, før behandling initieres hos patienter med positiv hepatitis B-serologi (herunder patienter med aktiv sygdom), og hvis patienten testes HBV-positiv under behandlingen. Bærere af HBV, hvor behandling med Glivec er nødvendig, skal overvåges tæt for tegn og symptomer på aktiv HBV-infektion i hele behandlingsperioden og i flere måneder </w:t>
      </w:r>
      <w:r w:rsidR="00636691">
        <w:rPr>
          <w:color w:val="000000"/>
          <w:sz w:val="22"/>
          <w:szCs w:val="22"/>
          <w:lang w:val="da-DK"/>
        </w:rPr>
        <w:t>efter behandlingsophør (se pkt. </w:t>
      </w:r>
      <w:r w:rsidRPr="00E5610F">
        <w:rPr>
          <w:color w:val="000000"/>
          <w:sz w:val="22"/>
          <w:szCs w:val="22"/>
          <w:lang w:val="da-DK"/>
        </w:rPr>
        <w:t>4.8).</w:t>
      </w:r>
    </w:p>
    <w:p w14:paraId="00FA9CA8" w14:textId="77777777" w:rsidR="00A573B3" w:rsidRPr="004C2A59" w:rsidRDefault="00A573B3" w:rsidP="00421681">
      <w:pPr>
        <w:widowControl w:val="0"/>
        <w:rPr>
          <w:color w:val="000000"/>
          <w:sz w:val="22"/>
          <w:szCs w:val="22"/>
          <w:lang w:val="da-DK"/>
        </w:rPr>
      </w:pPr>
    </w:p>
    <w:p w14:paraId="29587F8C" w14:textId="77777777" w:rsidR="00BF27C2" w:rsidRDefault="00BF27C2" w:rsidP="00421681">
      <w:pPr>
        <w:keepNext/>
        <w:widowControl w:val="0"/>
        <w:rPr>
          <w:color w:val="000000"/>
          <w:sz w:val="22"/>
          <w:szCs w:val="22"/>
          <w:u w:val="single"/>
          <w:lang w:val="da-DK"/>
        </w:rPr>
      </w:pPr>
      <w:r>
        <w:rPr>
          <w:color w:val="000000"/>
          <w:sz w:val="22"/>
          <w:szCs w:val="22"/>
          <w:u w:val="single"/>
          <w:lang w:val="da-DK"/>
        </w:rPr>
        <w:lastRenderedPageBreak/>
        <w:t>Fototoksicitet</w:t>
      </w:r>
    </w:p>
    <w:p w14:paraId="4321DF46" w14:textId="77777777" w:rsidR="0061038A" w:rsidRDefault="0061038A" w:rsidP="00421681">
      <w:pPr>
        <w:widowControl w:val="0"/>
        <w:rPr>
          <w:color w:val="000000"/>
          <w:sz w:val="22"/>
          <w:szCs w:val="22"/>
          <w:lang w:val="da-DK"/>
        </w:rPr>
      </w:pPr>
      <w:r>
        <w:rPr>
          <w:color w:val="000000"/>
          <w:sz w:val="22"/>
          <w:szCs w:val="22"/>
          <w:lang w:val="da-DK"/>
        </w:rPr>
        <w:t xml:space="preserve">Eksponering for direkte sollys bør undgås eller minimeres på grund af risikoen for fototoksicitet, der er forbundet med behandling med imatinib. Patienter bør instrueres i at tage forholdsregler </w:t>
      </w:r>
      <w:r w:rsidR="008358C6">
        <w:rPr>
          <w:color w:val="000000"/>
          <w:sz w:val="22"/>
          <w:szCs w:val="22"/>
          <w:lang w:val="da-DK"/>
        </w:rPr>
        <w:t>såsom</w:t>
      </w:r>
      <w:r>
        <w:rPr>
          <w:color w:val="000000"/>
          <w:sz w:val="22"/>
          <w:szCs w:val="22"/>
          <w:lang w:val="da-DK"/>
        </w:rPr>
        <w:t xml:space="preserve"> at </w:t>
      </w:r>
      <w:r w:rsidR="008358C6">
        <w:rPr>
          <w:color w:val="000000"/>
          <w:sz w:val="22"/>
          <w:szCs w:val="22"/>
          <w:lang w:val="da-DK"/>
        </w:rPr>
        <w:t>bære</w:t>
      </w:r>
      <w:r>
        <w:rPr>
          <w:color w:val="000000"/>
          <w:sz w:val="22"/>
          <w:szCs w:val="22"/>
          <w:lang w:val="da-DK"/>
        </w:rPr>
        <w:t xml:space="preserve"> beskyttende tøj eller</w:t>
      </w:r>
      <w:r w:rsidR="008358C6">
        <w:rPr>
          <w:color w:val="000000"/>
          <w:sz w:val="22"/>
          <w:szCs w:val="22"/>
          <w:lang w:val="da-DK"/>
        </w:rPr>
        <w:t xml:space="preserve"> bruge</w:t>
      </w:r>
      <w:r>
        <w:rPr>
          <w:color w:val="000000"/>
          <w:sz w:val="22"/>
          <w:szCs w:val="22"/>
          <w:lang w:val="da-DK"/>
        </w:rPr>
        <w:t xml:space="preserve"> solcreme med en høj solbeskyttelsesfaktor (SPF).</w:t>
      </w:r>
    </w:p>
    <w:p w14:paraId="057F555D" w14:textId="77777777" w:rsidR="00BF27C2" w:rsidRDefault="00BF27C2" w:rsidP="00421681">
      <w:pPr>
        <w:widowControl w:val="0"/>
        <w:rPr>
          <w:color w:val="000000"/>
          <w:sz w:val="22"/>
          <w:szCs w:val="22"/>
          <w:u w:val="single"/>
          <w:lang w:val="da-DK"/>
        </w:rPr>
      </w:pPr>
    </w:p>
    <w:p w14:paraId="00FA932D" w14:textId="77777777" w:rsidR="004543EE" w:rsidRDefault="004543EE" w:rsidP="00421681">
      <w:pPr>
        <w:keepNext/>
        <w:widowControl w:val="0"/>
        <w:rPr>
          <w:color w:val="000000"/>
          <w:sz w:val="22"/>
          <w:szCs w:val="22"/>
          <w:u w:val="single"/>
          <w:lang w:val="da-DK"/>
        </w:rPr>
      </w:pPr>
      <w:r>
        <w:rPr>
          <w:color w:val="000000"/>
          <w:sz w:val="22"/>
          <w:szCs w:val="22"/>
          <w:u w:val="single"/>
          <w:lang w:val="da-DK"/>
        </w:rPr>
        <w:t>Trombotisk mikroangiopati</w:t>
      </w:r>
    </w:p>
    <w:p w14:paraId="27ECD647" w14:textId="77777777" w:rsidR="004543EE" w:rsidRDefault="004543EE" w:rsidP="00421681">
      <w:pPr>
        <w:widowControl w:val="0"/>
        <w:rPr>
          <w:color w:val="000000"/>
          <w:sz w:val="22"/>
          <w:szCs w:val="22"/>
          <w:lang w:val="da-DK"/>
        </w:rPr>
      </w:pPr>
      <w:r w:rsidRPr="00B023D7">
        <w:rPr>
          <w:color w:val="000000"/>
          <w:sz w:val="22"/>
          <w:szCs w:val="22"/>
          <w:lang w:val="da-DK"/>
        </w:rPr>
        <w:t>BCR-ABL-tyrosinkinasehæmmer</w:t>
      </w:r>
      <w:r>
        <w:rPr>
          <w:color w:val="000000"/>
          <w:sz w:val="22"/>
          <w:szCs w:val="22"/>
          <w:lang w:val="da-DK"/>
        </w:rPr>
        <w:t xml:space="preserve">e (TKI’er) er blevet associeret med trombotisk mikroangiopati (TMA), herunder enkeltstående rapporter for Glivec (se pkt. 4.8). Hvis laboratorie- eller kliniske fund associeret med TMA forekommer hos en patient, som er i behandling med Glivec, skal behandlingen seponeres og der skal foretages en grundig undersøgelse for TMA, inklusiv ADAMTS13-aktivitet og anti-ADAMTS13-antistofbestemmelse. Hvis niveauet af ADAMTS13-antistoffer er forøget samtidig med lav ADAMTS13-aktivitet, </w:t>
      </w:r>
      <w:r w:rsidR="007E7EE1">
        <w:rPr>
          <w:color w:val="000000"/>
          <w:sz w:val="22"/>
          <w:szCs w:val="22"/>
          <w:lang w:val="da-DK"/>
        </w:rPr>
        <w:t>må</w:t>
      </w:r>
      <w:r>
        <w:rPr>
          <w:color w:val="000000"/>
          <w:sz w:val="22"/>
          <w:szCs w:val="22"/>
          <w:lang w:val="da-DK"/>
        </w:rPr>
        <w:t xml:space="preserve"> behandlingen med Glivec ikke genoptages.</w:t>
      </w:r>
    </w:p>
    <w:p w14:paraId="43E52CB9" w14:textId="77777777" w:rsidR="004543EE" w:rsidRDefault="004543EE" w:rsidP="00421681">
      <w:pPr>
        <w:widowControl w:val="0"/>
        <w:rPr>
          <w:color w:val="000000"/>
          <w:sz w:val="22"/>
          <w:szCs w:val="22"/>
          <w:u w:val="single"/>
          <w:lang w:val="da-DK"/>
        </w:rPr>
      </w:pPr>
    </w:p>
    <w:p w14:paraId="49F18CC3" w14:textId="77777777" w:rsidR="00A573B3" w:rsidRPr="004C2A59" w:rsidRDefault="00A573B3" w:rsidP="00421681">
      <w:pPr>
        <w:keepNext/>
        <w:widowControl w:val="0"/>
        <w:rPr>
          <w:color w:val="000000"/>
          <w:sz w:val="22"/>
          <w:szCs w:val="22"/>
          <w:u w:val="single"/>
          <w:lang w:val="da-DK"/>
        </w:rPr>
      </w:pPr>
      <w:r w:rsidRPr="004C2A59">
        <w:rPr>
          <w:color w:val="000000"/>
          <w:sz w:val="22"/>
          <w:szCs w:val="22"/>
          <w:u w:val="single"/>
          <w:lang w:val="da-DK"/>
        </w:rPr>
        <w:t>Laboratorieundersøgelser</w:t>
      </w:r>
    </w:p>
    <w:p w14:paraId="52B1E503" w14:textId="77777777" w:rsidR="00A573B3" w:rsidRPr="004C2A59" w:rsidRDefault="00A573B3" w:rsidP="00421681">
      <w:pPr>
        <w:widowControl w:val="0"/>
        <w:rPr>
          <w:color w:val="000000"/>
          <w:sz w:val="22"/>
          <w:szCs w:val="22"/>
          <w:lang w:val="da-DK"/>
        </w:rPr>
      </w:pPr>
      <w:r w:rsidRPr="004C2A59">
        <w:rPr>
          <w:color w:val="000000"/>
          <w:sz w:val="22"/>
          <w:szCs w:val="22"/>
          <w:lang w:val="da-DK"/>
        </w:rPr>
        <w:t>Fuldstændige blodtællinger skal foretages jævnligt under behandling med Glivec. Behandling af CML-patienter med Glivec har været associeret med neutropeni eller trombocytopeni. Disse cytopenier opstår imidlertid sandsynligvis relateret til det sygdomsstadie, der behandles, og er hyppigere hos patienter med CML i accelereret fase eller blastkrise end hos patienter med CML i kronisk fase. Behandling med Glivec kan seponeres eller dosis kan reduceres, som anbefalet i pkt. 4.2.</w:t>
      </w:r>
    </w:p>
    <w:p w14:paraId="0DAB8B92" w14:textId="77777777" w:rsidR="00A573B3" w:rsidRPr="004C2A59" w:rsidRDefault="00A573B3" w:rsidP="00421681">
      <w:pPr>
        <w:widowControl w:val="0"/>
        <w:rPr>
          <w:color w:val="000000"/>
          <w:sz w:val="22"/>
          <w:szCs w:val="22"/>
          <w:lang w:val="da-DK"/>
        </w:rPr>
      </w:pPr>
    </w:p>
    <w:p w14:paraId="09160D99" w14:textId="77777777" w:rsidR="00A573B3" w:rsidRPr="004C2A59" w:rsidRDefault="00A573B3" w:rsidP="00421681">
      <w:pPr>
        <w:widowControl w:val="0"/>
        <w:rPr>
          <w:color w:val="000000"/>
          <w:sz w:val="22"/>
          <w:szCs w:val="22"/>
          <w:lang w:val="da-DK"/>
        </w:rPr>
      </w:pPr>
      <w:r w:rsidRPr="004C2A59">
        <w:rPr>
          <w:color w:val="000000"/>
          <w:sz w:val="22"/>
          <w:szCs w:val="22"/>
          <w:lang w:val="da-DK"/>
        </w:rPr>
        <w:t>Leverfunktionen (transaminaser, bilirubin og alkalisk fosfatase) bør monitoreres jævnligt hos patienter i Glivec-behandling.</w:t>
      </w:r>
    </w:p>
    <w:p w14:paraId="2E146AD8" w14:textId="77777777" w:rsidR="00A573B3" w:rsidRPr="004C2A59" w:rsidRDefault="00A573B3" w:rsidP="00421681">
      <w:pPr>
        <w:widowControl w:val="0"/>
        <w:rPr>
          <w:color w:val="000000"/>
          <w:sz w:val="22"/>
          <w:szCs w:val="22"/>
          <w:lang w:val="da-DK"/>
        </w:rPr>
      </w:pPr>
    </w:p>
    <w:p w14:paraId="6053A627" w14:textId="77777777" w:rsidR="00A573B3" w:rsidRDefault="00A573B3" w:rsidP="00421681">
      <w:pPr>
        <w:widowControl w:val="0"/>
        <w:rPr>
          <w:color w:val="000000"/>
          <w:sz w:val="22"/>
          <w:szCs w:val="22"/>
          <w:lang w:val="da-DK"/>
        </w:rPr>
      </w:pPr>
      <w:r w:rsidRPr="004C2A59">
        <w:rPr>
          <w:color w:val="000000"/>
          <w:sz w:val="22"/>
          <w:szCs w:val="22"/>
          <w:lang w:val="da-DK"/>
        </w:rPr>
        <w:t>Plasmaeksponeringen synes at være højere hos patienter med nedsat nyrefunktion end hos patienter med normal nyrefunktion, formentlig på grund af forhøjede plasmaniveauer af alpha</w:t>
      </w:r>
      <w:r w:rsidRPr="004C2A59">
        <w:rPr>
          <w:color w:val="000000"/>
          <w:sz w:val="22"/>
          <w:szCs w:val="22"/>
          <w:lang w:val="da-DK"/>
        </w:rPr>
        <w:noBreakHyphen/>
        <w:t>acid glucoprotein (AGP), et imatinib-bindende protein, hos disse patienter. Der bør anvendes mindste startdosis til patienter med nedsat nyrefunktion. Der bør udvises forsigtighed ved behandling af patienter med svært nedsat nyrefunktion. Startdoseringen af imatinib kan reduceres, hvis den ikke tolereres (se pkt. 4.2 og 5.2).</w:t>
      </w:r>
    </w:p>
    <w:p w14:paraId="0419FD2A" w14:textId="77777777" w:rsidR="00C205DB" w:rsidRDefault="00C205DB" w:rsidP="00421681">
      <w:pPr>
        <w:widowControl w:val="0"/>
        <w:rPr>
          <w:color w:val="000000"/>
          <w:sz w:val="22"/>
          <w:szCs w:val="22"/>
          <w:lang w:val="da-DK"/>
        </w:rPr>
      </w:pPr>
    </w:p>
    <w:p w14:paraId="7411E34F" w14:textId="77777777" w:rsidR="00C61BDA" w:rsidRDefault="00C61BDA" w:rsidP="00421681">
      <w:pPr>
        <w:widowControl w:val="0"/>
        <w:rPr>
          <w:color w:val="000000"/>
          <w:sz w:val="22"/>
          <w:szCs w:val="22"/>
          <w:lang w:val="da-DK"/>
        </w:rPr>
      </w:pPr>
      <w:r w:rsidRPr="00556F07">
        <w:rPr>
          <w:color w:val="000000"/>
          <w:sz w:val="22"/>
          <w:szCs w:val="22"/>
          <w:lang w:val="da-DK"/>
        </w:rPr>
        <w:t>Langtidsbehandling med imatinib kan være forbundet med en klinisk signifikant nedsættelse af nyrefunktionen. Nyrefunktionen bør derfor vurderes før behandlingsstart med imatinib og monitoreres omhyggeligt under behandlingen med særligt fokus på patienter, der har risikofaktorer for nedsat nyrefunktion. Hvis nedsat nyrefunktion observeres, skal passende håndtering og behandling i overensstemmelse med standard behandlingsguidelines iværksættes.</w:t>
      </w:r>
    </w:p>
    <w:p w14:paraId="6D4A5099" w14:textId="77777777" w:rsidR="00A573B3" w:rsidRPr="004C2A59" w:rsidRDefault="00A573B3" w:rsidP="00421681">
      <w:pPr>
        <w:widowControl w:val="0"/>
        <w:rPr>
          <w:color w:val="000000"/>
          <w:sz w:val="22"/>
          <w:szCs w:val="22"/>
          <w:lang w:val="da-DK"/>
        </w:rPr>
      </w:pPr>
    </w:p>
    <w:p w14:paraId="5702E402" w14:textId="77777777" w:rsidR="00A573B3" w:rsidRPr="004C2A59" w:rsidRDefault="00A573B3" w:rsidP="00421681">
      <w:pPr>
        <w:keepNext/>
        <w:widowControl w:val="0"/>
        <w:rPr>
          <w:color w:val="000000"/>
          <w:sz w:val="22"/>
          <w:szCs w:val="22"/>
          <w:u w:val="single"/>
          <w:lang w:val="da-DK"/>
        </w:rPr>
      </w:pPr>
      <w:r w:rsidRPr="004C2A59">
        <w:rPr>
          <w:color w:val="000000"/>
          <w:sz w:val="22"/>
          <w:szCs w:val="22"/>
          <w:u w:val="single"/>
          <w:lang w:val="da-DK"/>
        </w:rPr>
        <w:t>Pædiatrisk population</w:t>
      </w:r>
    </w:p>
    <w:p w14:paraId="24F20642" w14:textId="77777777" w:rsidR="00A573B3" w:rsidRPr="004C2A59" w:rsidRDefault="00A573B3" w:rsidP="00421681">
      <w:pPr>
        <w:widowControl w:val="0"/>
        <w:rPr>
          <w:color w:val="000000"/>
          <w:sz w:val="22"/>
          <w:szCs w:val="22"/>
          <w:lang w:val="da-DK"/>
        </w:rPr>
      </w:pPr>
      <w:r w:rsidRPr="004C2A59">
        <w:rPr>
          <w:color w:val="000000"/>
          <w:sz w:val="22"/>
          <w:szCs w:val="22"/>
          <w:lang w:val="da-DK"/>
        </w:rPr>
        <w:t xml:space="preserve">Der har været </w:t>
      </w:r>
      <w:r w:rsidRPr="004C2A59">
        <w:rPr>
          <w:i/>
          <w:color w:val="000000"/>
          <w:sz w:val="22"/>
          <w:szCs w:val="22"/>
          <w:lang w:val="da-DK"/>
        </w:rPr>
        <w:t>case</w:t>
      </w:r>
      <w:r w:rsidRPr="004C2A59">
        <w:rPr>
          <w:color w:val="000000"/>
          <w:sz w:val="22"/>
          <w:szCs w:val="22"/>
          <w:lang w:val="da-DK"/>
        </w:rPr>
        <w:t xml:space="preserve">-rapporter med væksthæmning hos børn og præ-teenagere, der fik imatinib. </w:t>
      </w:r>
      <w:r w:rsidR="000D41B9" w:rsidRPr="00AE55FE">
        <w:rPr>
          <w:color w:val="000000"/>
          <w:sz w:val="22"/>
          <w:szCs w:val="22"/>
          <w:lang w:val="da-DK"/>
        </w:rPr>
        <w:t>I e</w:t>
      </w:r>
      <w:r w:rsidR="000D41B9">
        <w:rPr>
          <w:color w:val="000000"/>
          <w:sz w:val="22"/>
          <w:szCs w:val="22"/>
          <w:lang w:val="da-DK"/>
        </w:rPr>
        <w:t>t</w:t>
      </w:r>
      <w:r w:rsidR="000D41B9" w:rsidRPr="00AE55FE">
        <w:rPr>
          <w:color w:val="000000"/>
          <w:sz w:val="22"/>
          <w:szCs w:val="22"/>
          <w:lang w:val="da-DK"/>
        </w:rPr>
        <w:t xml:space="preserve"> observationsstudie i </w:t>
      </w:r>
      <w:r w:rsidR="000D41B9">
        <w:rPr>
          <w:color w:val="000000"/>
          <w:sz w:val="22"/>
          <w:szCs w:val="22"/>
          <w:lang w:val="da-DK"/>
        </w:rPr>
        <w:t xml:space="preserve">den </w:t>
      </w:r>
      <w:r w:rsidR="000D41B9" w:rsidRPr="00AE55FE">
        <w:rPr>
          <w:color w:val="000000"/>
          <w:sz w:val="22"/>
          <w:szCs w:val="22"/>
          <w:lang w:val="da-DK"/>
        </w:rPr>
        <w:t>pædiatriske population</w:t>
      </w:r>
      <w:r w:rsidR="000D41B9">
        <w:rPr>
          <w:color w:val="000000"/>
          <w:sz w:val="22"/>
          <w:szCs w:val="22"/>
          <w:lang w:val="da-DK"/>
        </w:rPr>
        <w:t xml:space="preserve"> med CML blev der rapporteret </w:t>
      </w:r>
      <w:r w:rsidR="00667C9C">
        <w:rPr>
          <w:color w:val="000000"/>
          <w:sz w:val="22"/>
          <w:szCs w:val="22"/>
          <w:lang w:val="da-DK"/>
        </w:rPr>
        <w:t>et statistisk signifikant fald (men med usikker klinisk relevans)</w:t>
      </w:r>
      <w:r w:rsidR="00667C9C" w:rsidRPr="00B57867">
        <w:rPr>
          <w:color w:val="000000"/>
          <w:sz w:val="22"/>
          <w:szCs w:val="22"/>
          <w:lang w:val="da-DK"/>
        </w:rPr>
        <w:t xml:space="preserve"> </w:t>
      </w:r>
      <w:r w:rsidR="000D41B9" w:rsidRPr="00AE55FE">
        <w:rPr>
          <w:color w:val="000000"/>
          <w:sz w:val="22"/>
          <w:szCs w:val="22"/>
          <w:lang w:val="da-DK"/>
        </w:rPr>
        <w:t xml:space="preserve">i </w:t>
      </w:r>
      <w:r w:rsidR="000D41B9">
        <w:rPr>
          <w:color w:val="000000"/>
          <w:sz w:val="22"/>
          <w:szCs w:val="22"/>
          <w:lang w:val="da-DK"/>
        </w:rPr>
        <w:t xml:space="preserve">resultaterne for </w:t>
      </w:r>
      <w:r w:rsidR="000D41B9" w:rsidRPr="00AE55FE">
        <w:rPr>
          <w:color w:val="000000"/>
          <w:sz w:val="22"/>
          <w:szCs w:val="22"/>
          <w:lang w:val="da-DK"/>
        </w:rPr>
        <w:t>standardafvigelse</w:t>
      </w:r>
      <w:r w:rsidR="000D41B9">
        <w:rPr>
          <w:color w:val="000000"/>
          <w:sz w:val="22"/>
          <w:szCs w:val="22"/>
          <w:lang w:val="da-DK"/>
        </w:rPr>
        <w:t xml:space="preserve"> af </w:t>
      </w:r>
      <w:r w:rsidR="000D41B9" w:rsidRPr="00AE55FE">
        <w:rPr>
          <w:color w:val="000000"/>
          <w:sz w:val="22"/>
          <w:szCs w:val="22"/>
          <w:lang w:val="da-DK"/>
        </w:rPr>
        <w:t>medianhøjde</w:t>
      </w:r>
      <w:r w:rsidR="006378AC">
        <w:rPr>
          <w:color w:val="000000"/>
          <w:sz w:val="22"/>
          <w:szCs w:val="22"/>
          <w:lang w:val="da-DK"/>
        </w:rPr>
        <w:t xml:space="preserve"> </w:t>
      </w:r>
      <w:r w:rsidR="000D41B9" w:rsidRPr="00AE55FE">
        <w:rPr>
          <w:color w:val="000000"/>
          <w:sz w:val="22"/>
          <w:szCs w:val="22"/>
          <w:lang w:val="da-DK"/>
        </w:rPr>
        <w:t>efter 12 og 24</w:t>
      </w:r>
      <w:r w:rsidR="00B57867">
        <w:rPr>
          <w:color w:val="000000"/>
          <w:sz w:val="22"/>
          <w:szCs w:val="22"/>
          <w:lang w:val="da-DK"/>
        </w:rPr>
        <w:t> </w:t>
      </w:r>
      <w:r w:rsidR="000D41B9" w:rsidRPr="00AE55FE">
        <w:rPr>
          <w:color w:val="000000"/>
          <w:sz w:val="22"/>
          <w:szCs w:val="22"/>
          <w:lang w:val="da-DK"/>
        </w:rPr>
        <w:t>måneders behandling i to små undergrupper</w:t>
      </w:r>
      <w:r w:rsidR="000D41B9">
        <w:rPr>
          <w:color w:val="000000"/>
          <w:sz w:val="22"/>
          <w:szCs w:val="22"/>
          <w:lang w:val="da-DK"/>
        </w:rPr>
        <w:t>,</w:t>
      </w:r>
      <w:r w:rsidR="000D41B9" w:rsidRPr="00AE55FE">
        <w:rPr>
          <w:color w:val="000000"/>
          <w:sz w:val="22"/>
          <w:szCs w:val="22"/>
          <w:lang w:val="da-DK"/>
        </w:rPr>
        <w:t xml:space="preserve"> uanset pubertetsstatus</w:t>
      </w:r>
      <w:r w:rsidR="000D41B9">
        <w:rPr>
          <w:color w:val="000000"/>
          <w:sz w:val="22"/>
          <w:szCs w:val="22"/>
          <w:lang w:val="da-DK"/>
        </w:rPr>
        <w:t xml:space="preserve"> og køn.</w:t>
      </w:r>
      <w:r w:rsidR="000D41B9" w:rsidRPr="00AE55FE">
        <w:rPr>
          <w:color w:val="000000"/>
          <w:sz w:val="22"/>
          <w:szCs w:val="22"/>
          <w:lang w:val="da-DK"/>
        </w:rPr>
        <w:t xml:space="preserve"> </w:t>
      </w:r>
      <w:r w:rsidR="000D41B9">
        <w:rPr>
          <w:color w:val="000000"/>
          <w:sz w:val="22"/>
          <w:szCs w:val="22"/>
          <w:lang w:val="da-DK"/>
        </w:rPr>
        <w:t>H</w:t>
      </w:r>
      <w:r w:rsidRPr="004C2A59">
        <w:rPr>
          <w:color w:val="000000"/>
          <w:sz w:val="22"/>
          <w:szCs w:val="22"/>
          <w:lang w:val="da-DK"/>
        </w:rPr>
        <w:t>os børn, der er i behandling med imatinib</w:t>
      </w:r>
      <w:r w:rsidR="000D41B9">
        <w:rPr>
          <w:color w:val="000000"/>
          <w:sz w:val="22"/>
          <w:szCs w:val="22"/>
          <w:lang w:val="da-DK"/>
        </w:rPr>
        <w:t>, anbefales tæt monitorering af væksten</w:t>
      </w:r>
      <w:r w:rsidRPr="004C2A59">
        <w:rPr>
          <w:color w:val="000000"/>
          <w:sz w:val="22"/>
          <w:szCs w:val="22"/>
          <w:lang w:val="da-DK"/>
        </w:rPr>
        <w:t xml:space="preserve"> (se pkt.</w:t>
      </w:r>
      <w:r w:rsidR="002E435D">
        <w:rPr>
          <w:color w:val="000000"/>
          <w:sz w:val="22"/>
          <w:szCs w:val="22"/>
          <w:lang w:val="da-DK"/>
        </w:rPr>
        <w:t> </w:t>
      </w:r>
      <w:r w:rsidRPr="004C2A59">
        <w:rPr>
          <w:color w:val="000000"/>
          <w:sz w:val="22"/>
          <w:szCs w:val="22"/>
          <w:lang w:val="da-DK"/>
        </w:rPr>
        <w:t>4.8).</w:t>
      </w:r>
    </w:p>
    <w:p w14:paraId="73E6CA2C" w14:textId="77777777" w:rsidR="00A573B3" w:rsidRPr="004C2A59" w:rsidRDefault="00A573B3" w:rsidP="00421681">
      <w:pPr>
        <w:widowControl w:val="0"/>
        <w:rPr>
          <w:color w:val="000000"/>
          <w:sz w:val="22"/>
          <w:szCs w:val="22"/>
          <w:lang w:val="da-DK"/>
        </w:rPr>
      </w:pPr>
    </w:p>
    <w:p w14:paraId="77E6DCA9" w14:textId="77777777" w:rsidR="00A573B3" w:rsidRPr="004C2A59" w:rsidRDefault="00A573B3" w:rsidP="00A125B0">
      <w:pPr>
        <w:keepNext/>
        <w:widowControl w:val="0"/>
        <w:suppressAutoHyphens/>
        <w:ind w:left="567" w:hanging="567"/>
        <w:rPr>
          <w:color w:val="000000"/>
          <w:sz w:val="22"/>
          <w:szCs w:val="22"/>
          <w:lang w:val="da-DK"/>
        </w:rPr>
      </w:pPr>
      <w:r w:rsidRPr="004C2A59">
        <w:rPr>
          <w:b/>
          <w:color w:val="000000"/>
          <w:sz w:val="22"/>
          <w:szCs w:val="22"/>
          <w:lang w:val="da-DK"/>
        </w:rPr>
        <w:t>4.5</w:t>
      </w:r>
      <w:r w:rsidRPr="004C2A59">
        <w:rPr>
          <w:b/>
          <w:color w:val="000000"/>
          <w:sz w:val="22"/>
          <w:szCs w:val="22"/>
          <w:lang w:val="da-DK"/>
        </w:rPr>
        <w:tab/>
        <w:t>Interaktion med andre lægemidler og andre former for interaktion</w:t>
      </w:r>
    </w:p>
    <w:p w14:paraId="6EAC4823" w14:textId="77777777" w:rsidR="00A573B3" w:rsidRPr="004C2A59" w:rsidRDefault="00A573B3" w:rsidP="00A125B0">
      <w:pPr>
        <w:keepNext/>
        <w:widowControl w:val="0"/>
        <w:suppressAutoHyphens/>
        <w:ind w:left="570" w:hanging="570"/>
        <w:rPr>
          <w:color w:val="000000"/>
          <w:sz w:val="22"/>
          <w:szCs w:val="22"/>
          <w:lang w:val="da-DK"/>
        </w:rPr>
      </w:pPr>
    </w:p>
    <w:p w14:paraId="62585395" w14:textId="77777777" w:rsidR="00A573B3" w:rsidRPr="004C2A59" w:rsidRDefault="00A573B3" w:rsidP="00A125B0">
      <w:pPr>
        <w:keepNext/>
        <w:widowControl w:val="0"/>
        <w:suppressAutoHyphens/>
        <w:ind w:left="570" w:hanging="570"/>
        <w:rPr>
          <w:color w:val="000000"/>
          <w:sz w:val="22"/>
          <w:szCs w:val="22"/>
          <w:lang w:val="da-DK"/>
        </w:rPr>
      </w:pPr>
      <w:r w:rsidRPr="004C2A59">
        <w:rPr>
          <w:color w:val="000000"/>
          <w:sz w:val="22"/>
          <w:szCs w:val="22"/>
          <w:u w:val="single"/>
          <w:lang w:val="da-DK"/>
        </w:rPr>
        <w:t xml:space="preserve">Aktive stoffer, der kan </w:t>
      </w:r>
      <w:r w:rsidRPr="004C2A59">
        <w:rPr>
          <w:b/>
          <w:color w:val="000000"/>
          <w:sz w:val="22"/>
          <w:szCs w:val="22"/>
          <w:u w:val="single"/>
          <w:lang w:val="da-DK"/>
        </w:rPr>
        <w:t>øge</w:t>
      </w:r>
      <w:r w:rsidRPr="004C2A59">
        <w:rPr>
          <w:color w:val="000000"/>
          <w:sz w:val="22"/>
          <w:szCs w:val="22"/>
          <w:u w:val="single"/>
          <w:lang w:val="da-DK"/>
        </w:rPr>
        <w:t xml:space="preserve"> plasmakoncentrationen af imatinib</w:t>
      </w:r>
    </w:p>
    <w:p w14:paraId="718B787B" w14:textId="77777777" w:rsidR="00A573B3" w:rsidRPr="004C2A59" w:rsidRDefault="00A573B3" w:rsidP="00421681">
      <w:pPr>
        <w:pStyle w:val="BodyText"/>
        <w:widowControl w:val="0"/>
        <w:tabs>
          <w:tab w:val="clear" w:pos="-993"/>
          <w:tab w:val="clear" w:pos="-720"/>
        </w:tabs>
        <w:jc w:val="left"/>
        <w:rPr>
          <w:b w:val="0"/>
          <w:noProof w:val="0"/>
          <w:color w:val="000000"/>
          <w:szCs w:val="22"/>
          <w:lang w:val="da-DK"/>
        </w:rPr>
      </w:pPr>
      <w:r w:rsidRPr="004C2A59">
        <w:rPr>
          <w:b w:val="0"/>
          <w:noProof w:val="0"/>
          <w:color w:val="000000"/>
          <w:szCs w:val="22"/>
          <w:lang w:val="da-DK"/>
        </w:rPr>
        <w:t>Stoffer, der hæmmer CYP3A4-aktiviteten (f.eks. proteasehæmmere som f.eks. indinavir, lopinavir/ritonavir, ritonavir, saquinavir, teleprevir, nelfinavir, boceprevir; azol-antimykotika inklusive ketoconazol, itraconazol, posaconazol, voriconazol; visse makrolider som f.eks. erythromycin, clarithromycin og telithromycin), kan nedsætte metaboliseringen og øge koncentrationen af imatinib. Der sås signifikant øgning i følsomhed for imatinib (gennemsnitlig C</w:t>
      </w:r>
      <w:r w:rsidRPr="004C2A59">
        <w:rPr>
          <w:b w:val="0"/>
          <w:noProof w:val="0"/>
          <w:color w:val="000000"/>
          <w:szCs w:val="22"/>
          <w:vertAlign w:val="subscript"/>
          <w:lang w:val="da-DK"/>
        </w:rPr>
        <w:t xml:space="preserve">max </w:t>
      </w:r>
      <w:r w:rsidRPr="004C2A59">
        <w:rPr>
          <w:b w:val="0"/>
          <w:noProof w:val="0"/>
          <w:color w:val="000000"/>
          <w:szCs w:val="22"/>
          <w:lang w:val="da-DK"/>
        </w:rPr>
        <w:t>og AUC for imatinib steg med henholdsvis 26% og 40%) hos raske frivillige ved samtidig administration af enkeltdosis ketoconazol (en CYP3A4-hæmmer). Forsigtighed bør udvises, når Glivec administreres sammen med hæmmere af CYP3A4-familien.</w:t>
      </w:r>
    </w:p>
    <w:p w14:paraId="0E9A0278" w14:textId="77777777" w:rsidR="00A573B3" w:rsidRPr="004C2A59" w:rsidRDefault="00A573B3" w:rsidP="00421681">
      <w:pPr>
        <w:pStyle w:val="BodyText"/>
        <w:widowControl w:val="0"/>
        <w:tabs>
          <w:tab w:val="clear" w:pos="-993"/>
          <w:tab w:val="clear" w:pos="-720"/>
        </w:tabs>
        <w:jc w:val="left"/>
        <w:rPr>
          <w:b w:val="0"/>
          <w:noProof w:val="0"/>
          <w:color w:val="000000"/>
          <w:szCs w:val="22"/>
          <w:lang w:val="da-DK"/>
        </w:rPr>
      </w:pPr>
    </w:p>
    <w:p w14:paraId="455D6BC4" w14:textId="77777777" w:rsidR="00A573B3" w:rsidRPr="004C2A59" w:rsidRDefault="00A573B3" w:rsidP="00A125B0">
      <w:pPr>
        <w:keepNext/>
        <w:widowControl w:val="0"/>
        <w:suppressAutoHyphens/>
        <w:ind w:left="570" w:hanging="570"/>
        <w:rPr>
          <w:color w:val="000000"/>
          <w:sz w:val="22"/>
          <w:szCs w:val="22"/>
          <w:lang w:val="da-DK"/>
        </w:rPr>
      </w:pPr>
      <w:r w:rsidRPr="004C2A59">
        <w:rPr>
          <w:color w:val="000000"/>
          <w:sz w:val="22"/>
          <w:szCs w:val="22"/>
          <w:u w:val="single"/>
          <w:lang w:val="da-DK"/>
        </w:rPr>
        <w:lastRenderedPageBreak/>
        <w:t xml:space="preserve">Aktive stoffer, der kan </w:t>
      </w:r>
      <w:r w:rsidRPr="004C2A59">
        <w:rPr>
          <w:b/>
          <w:color w:val="000000"/>
          <w:sz w:val="22"/>
          <w:szCs w:val="22"/>
          <w:u w:val="single"/>
          <w:lang w:val="da-DK"/>
        </w:rPr>
        <w:t>reducere</w:t>
      </w:r>
      <w:r w:rsidRPr="004C2A59">
        <w:rPr>
          <w:color w:val="000000"/>
          <w:sz w:val="22"/>
          <w:szCs w:val="22"/>
          <w:u w:val="single"/>
          <w:lang w:val="da-DK"/>
        </w:rPr>
        <w:t xml:space="preserve"> plasmakoncentrationen af imatinib</w:t>
      </w:r>
    </w:p>
    <w:p w14:paraId="2BFC248F" w14:textId="77777777" w:rsidR="00A573B3" w:rsidRPr="004C2A59" w:rsidRDefault="00A573B3" w:rsidP="00421681">
      <w:pPr>
        <w:pStyle w:val="BodyText"/>
        <w:tabs>
          <w:tab w:val="clear" w:pos="-993"/>
          <w:tab w:val="clear" w:pos="-720"/>
        </w:tabs>
        <w:jc w:val="left"/>
        <w:rPr>
          <w:b w:val="0"/>
          <w:noProof w:val="0"/>
          <w:color w:val="000000"/>
          <w:szCs w:val="22"/>
          <w:lang w:val="da-DK"/>
        </w:rPr>
      </w:pPr>
      <w:r w:rsidRPr="004C2A59">
        <w:rPr>
          <w:b w:val="0"/>
          <w:noProof w:val="0"/>
          <w:color w:val="000000"/>
          <w:szCs w:val="22"/>
          <w:lang w:val="da-DK"/>
        </w:rPr>
        <w:t>Stoffer, der inducerer CYP3A4-aktivitet (f.eks. dexamethason, phenytoin, carbamazepin, rifampicin, phenobarbital, fosphenytoin, primidon eller perikon (</w:t>
      </w:r>
      <w:r w:rsidRPr="004C2A59">
        <w:rPr>
          <w:b w:val="0"/>
          <w:i/>
          <w:noProof w:val="0"/>
          <w:color w:val="000000"/>
          <w:szCs w:val="22"/>
          <w:lang w:val="da-DK"/>
        </w:rPr>
        <w:t>Hypericum perforatum</w:t>
      </w:r>
      <w:r w:rsidRPr="004C2A59">
        <w:rPr>
          <w:b w:val="0"/>
          <w:noProof w:val="0"/>
          <w:color w:val="000000"/>
          <w:szCs w:val="22"/>
          <w:lang w:val="da-DK"/>
        </w:rPr>
        <w:t>), kan signifikant reducere følsomheden for Glivec og dermed potentielt øge risikoen for terapeutisk svigt. Præbehandling med gentagne doser af rifampicin 600 mg efterfulgt af enkeltdosis Glivec 400 mg resulterede i fald i C</w:t>
      </w:r>
      <w:r w:rsidRPr="004C2A59">
        <w:rPr>
          <w:b w:val="0"/>
          <w:noProof w:val="0"/>
          <w:color w:val="000000"/>
          <w:szCs w:val="22"/>
          <w:vertAlign w:val="subscript"/>
          <w:lang w:val="da-DK"/>
        </w:rPr>
        <w:t>max</w:t>
      </w:r>
      <w:r w:rsidRPr="004C2A59">
        <w:rPr>
          <w:b w:val="0"/>
          <w:noProof w:val="0"/>
          <w:color w:val="000000"/>
          <w:szCs w:val="22"/>
          <w:lang w:val="da-DK"/>
        </w:rPr>
        <w:t xml:space="preserve"> og AUC</w:t>
      </w:r>
      <w:r w:rsidRPr="004C2A59">
        <w:rPr>
          <w:b w:val="0"/>
          <w:noProof w:val="0"/>
          <w:color w:val="000000"/>
          <w:szCs w:val="22"/>
          <w:vertAlign w:val="subscript"/>
          <w:lang w:val="da-DK"/>
        </w:rPr>
        <w:t>(0-∞)</w:t>
      </w:r>
      <w:r w:rsidRPr="004C2A59">
        <w:rPr>
          <w:b w:val="0"/>
          <w:noProof w:val="0"/>
          <w:color w:val="000000"/>
          <w:szCs w:val="22"/>
          <w:lang w:val="da-DK"/>
        </w:rPr>
        <w:t xml:space="preserve"> på mindst 54% og 74% af værdierne uden rifampicinbehandling. Lignende resultater blev observeret hos patienter med maligne gliomer behandlet med Glivec samtidig med indtagelse af enzyminducerende antiepileptiske lægemidler (EIAEDs) som carbamazepin, oxcarbazepin og phenytoin. Plasma AUC for imatinib blev reduceret med 73% sammenlignet med patienter som ikke blev behandlet med EIAEDs. Samtidig anvendelse af rifampicin eller andre stærke CYP3A4-induktorer og imatinib bør undgås.</w:t>
      </w:r>
    </w:p>
    <w:p w14:paraId="03133A13" w14:textId="77777777" w:rsidR="00A573B3" w:rsidRPr="004C2A59" w:rsidRDefault="00A573B3" w:rsidP="00421681">
      <w:pPr>
        <w:pStyle w:val="BodyText"/>
        <w:widowControl w:val="0"/>
        <w:tabs>
          <w:tab w:val="clear" w:pos="-993"/>
          <w:tab w:val="clear" w:pos="-720"/>
        </w:tabs>
        <w:jc w:val="left"/>
        <w:rPr>
          <w:b w:val="0"/>
          <w:noProof w:val="0"/>
          <w:color w:val="000000"/>
          <w:szCs w:val="22"/>
          <w:lang w:val="da-DK"/>
        </w:rPr>
      </w:pPr>
    </w:p>
    <w:p w14:paraId="13A7A041" w14:textId="77777777" w:rsidR="00A573B3" w:rsidRPr="004C2A59" w:rsidRDefault="00A573B3" w:rsidP="00A125B0">
      <w:pPr>
        <w:keepNext/>
        <w:widowControl w:val="0"/>
        <w:suppressAutoHyphens/>
        <w:ind w:left="573" w:hanging="573"/>
        <w:rPr>
          <w:b/>
          <w:color w:val="000000"/>
          <w:sz w:val="22"/>
          <w:szCs w:val="22"/>
          <w:lang w:val="da-DK"/>
        </w:rPr>
      </w:pPr>
      <w:r w:rsidRPr="004C2A59">
        <w:rPr>
          <w:b/>
          <w:color w:val="000000"/>
          <w:sz w:val="22"/>
          <w:szCs w:val="22"/>
          <w:lang w:val="da-DK"/>
        </w:rPr>
        <w:t>Aktive stoffer, hvis plasmakoncentration kan ændres af imatinib</w:t>
      </w:r>
    </w:p>
    <w:p w14:paraId="20BB9DAE" w14:textId="77777777" w:rsidR="00A573B3" w:rsidRPr="004C2A59" w:rsidRDefault="00A573B3" w:rsidP="00421681">
      <w:pPr>
        <w:pStyle w:val="BodyText"/>
        <w:tabs>
          <w:tab w:val="clear" w:pos="-993"/>
          <w:tab w:val="clear" w:pos="-720"/>
        </w:tabs>
        <w:jc w:val="left"/>
        <w:rPr>
          <w:b w:val="0"/>
          <w:noProof w:val="0"/>
          <w:color w:val="000000"/>
          <w:szCs w:val="22"/>
          <w:lang w:val="da-DK"/>
        </w:rPr>
      </w:pPr>
      <w:r w:rsidRPr="004C2A59">
        <w:rPr>
          <w:b w:val="0"/>
          <w:noProof w:val="0"/>
          <w:color w:val="000000"/>
          <w:szCs w:val="22"/>
          <w:lang w:val="da-DK"/>
        </w:rPr>
        <w:t>Imatinib øger gennemsnitligt C</w:t>
      </w:r>
      <w:r w:rsidRPr="004C2A59">
        <w:rPr>
          <w:b w:val="0"/>
          <w:noProof w:val="0"/>
          <w:color w:val="000000"/>
          <w:szCs w:val="22"/>
          <w:vertAlign w:val="subscript"/>
          <w:lang w:val="da-DK"/>
        </w:rPr>
        <w:t>max</w:t>
      </w:r>
      <w:r w:rsidRPr="004C2A59">
        <w:rPr>
          <w:b w:val="0"/>
          <w:noProof w:val="0"/>
          <w:color w:val="000000"/>
          <w:szCs w:val="22"/>
          <w:lang w:val="da-DK"/>
        </w:rPr>
        <w:t xml:space="preserve"> og AUC af simvastatin (et CYP3A4-substrat) henholdsvis 2 og 3,5 gange, hvilket indikerer, at imatinib hæmmer CYP3A4. Forsigtighed tilrådes derfor, når Glivec administreres sammen med CYP3A4-substrater med snævert terapeutisk interval (f.eks. ciclosporin, pimozid, tacrolimus, sirolimus, ergotamin, dihydroergotamin, fentanyl, alfentanil, terfenadin, bortezomib, docetaxel og quinidin). Glivec kan øge plasmakoncentrationen af andre CYP3A4-metaboliserede lægemidler (for eksempel triazol-benzodiazepiner, dihydropyridin-calciumantagonister, visse </w:t>
      </w:r>
      <w:smartTag w:uri="urn:schemas-microsoft-com:office:smarttags" w:element="metricconverter">
        <w:r w:rsidRPr="004C2A59">
          <w:rPr>
            <w:b w:val="0"/>
            <w:noProof w:val="0"/>
            <w:color w:val="000000"/>
            <w:szCs w:val="22"/>
            <w:lang w:val="da-DK"/>
          </w:rPr>
          <w:t>HMG</w:t>
        </w:r>
      </w:smartTag>
      <w:r w:rsidRPr="004C2A59">
        <w:rPr>
          <w:b w:val="0"/>
          <w:noProof w:val="0"/>
          <w:color w:val="000000"/>
          <w:szCs w:val="22"/>
          <w:lang w:val="da-DK"/>
        </w:rPr>
        <w:t>-CoA reduktasehæmmere, såsom statiner osv.).</w:t>
      </w:r>
    </w:p>
    <w:p w14:paraId="589CF24D" w14:textId="77777777" w:rsidR="00A573B3" w:rsidRPr="004C2A59" w:rsidRDefault="00A573B3" w:rsidP="00421681">
      <w:pPr>
        <w:pStyle w:val="BodyText"/>
        <w:tabs>
          <w:tab w:val="clear" w:pos="-993"/>
          <w:tab w:val="clear" w:pos="-720"/>
        </w:tabs>
        <w:jc w:val="left"/>
        <w:rPr>
          <w:b w:val="0"/>
          <w:noProof w:val="0"/>
          <w:color w:val="000000"/>
          <w:szCs w:val="22"/>
          <w:lang w:val="da-DK"/>
        </w:rPr>
      </w:pPr>
    </w:p>
    <w:p w14:paraId="180868DD" w14:textId="77777777" w:rsidR="00A573B3" w:rsidRPr="004C2A59" w:rsidRDefault="00A573B3" w:rsidP="00421681">
      <w:pPr>
        <w:pStyle w:val="Text"/>
        <w:spacing w:before="0"/>
        <w:jc w:val="left"/>
        <w:rPr>
          <w:color w:val="000000"/>
          <w:sz w:val="22"/>
          <w:szCs w:val="22"/>
          <w:lang w:val="da-DK"/>
        </w:rPr>
      </w:pPr>
      <w:r w:rsidRPr="004C2A59">
        <w:rPr>
          <w:color w:val="000000"/>
          <w:sz w:val="22"/>
          <w:szCs w:val="22"/>
          <w:lang w:val="da-DK"/>
        </w:rPr>
        <w:t>På grund af den øgede risiko for blødning ved brug af imatinib (f.eks. hæmoragi) bør patienter med behov for antikoagulantia have lavmolekylært heparin eller standardheparin i stedet for coumarinderivater som warfarin.</w:t>
      </w:r>
    </w:p>
    <w:p w14:paraId="15ABA78D" w14:textId="77777777" w:rsidR="00A573B3" w:rsidRPr="004C2A59" w:rsidRDefault="00A573B3" w:rsidP="00421681">
      <w:pPr>
        <w:pStyle w:val="BodyText"/>
        <w:widowControl w:val="0"/>
        <w:tabs>
          <w:tab w:val="clear" w:pos="-993"/>
          <w:tab w:val="clear" w:pos="-720"/>
        </w:tabs>
        <w:jc w:val="left"/>
        <w:rPr>
          <w:b w:val="0"/>
          <w:noProof w:val="0"/>
          <w:color w:val="000000"/>
          <w:szCs w:val="22"/>
          <w:lang w:val="da-DK"/>
        </w:rPr>
      </w:pPr>
    </w:p>
    <w:p w14:paraId="754787B6" w14:textId="77777777" w:rsidR="00A573B3" w:rsidRPr="004C2A59" w:rsidRDefault="00A573B3" w:rsidP="00421681">
      <w:pPr>
        <w:pStyle w:val="BodyText"/>
        <w:widowControl w:val="0"/>
        <w:tabs>
          <w:tab w:val="clear" w:pos="-993"/>
          <w:tab w:val="clear" w:pos="-720"/>
        </w:tabs>
        <w:jc w:val="left"/>
        <w:rPr>
          <w:b w:val="0"/>
          <w:noProof w:val="0"/>
          <w:color w:val="000000"/>
          <w:szCs w:val="22"/>
          <w:lang w:val="da-DK"/>
        </w:rPr>
      </w:pPr>
      <w:r w:rsidRPr="004C2A59">
        <w:rPr>
          <w:b w:val="0"/>
          <w:i/>
          <w:noProof w:val="0"/>
          <w:color w:val="000000"/>
          <w:szCs w:val="22"/>
          <w:lang w:val="da-DK"/>
        </w:rPr>
        <w:t>In vitro</w:t>
      </w:r>
      <w:r w:rsidRPr="004C2A59">
        <w:rPr>
          <w:b w:val="0"/>
          <w:noProof w:val="0"/>
          <w:color w:val="000000"/>
          <w:szCs w:val="22"/>
          <w:lang w:val="da-DK"/>
        </w:rPr>
        <w:t xml:space="preserve"> hæmmer Glivec CYP2D6-aktiviteten ved koncentrationer svarende til dem, der påvirker CYP3A4-aktivitet. 400 mg imatinib to gange daglig havde en inhibitorisk effekt på CYP2D6</w:t>
      </w:r>
      <w:r w:rsidRPr="004C2A59">
        <w:rPr>
          <w:b w:val="0"/>
          <w:noProof w:val="0"/>
          <w:color w:val="000000"/>
          <w:szCs w:val="22"/>
          <w:lang w:val="da-DK"/>
        </w:rPr>
        <w:noBreakHyphen/>
        <w:t>medieret metoprololmetabolisme, som gav en stigning af C</w:t>
      </w:r>
      <w:r w:rsidRPr="004C2A59">
        <w:rPr>
          <w:b w:val="0"/>
          <w:noProof w:val="0"/>
          <w:color w:val="000000"/>
          <w:szCs w:val="22"/>
          <w:vertAlign w:val="subscript"/>
          <w:lang w:val="da-DK"/>
        </w:rPr>
        <w:t>max</w:t>
      </w:r>
      <w:r w:rsidRPr="004C2A59">
        <w:rPr>
          <w:b w:val="0"/>
          <w:noProof w:val="0"/>
          <w:color w:val="000000"/>
          <w:szCs w:val="22"/>
          <w:lang w:val="da-DK"/>
        </w:rPr>
        <w:t xml:space="preserve"> og AUC for metoprolol på cirka 23% (90%CI [1,16</w:t>
      </w:r>
      <w:r w:rsidRPr="004C2A59">
        <w:rPr>
          <w:b w:val="0"/>
          <w:noProof w:val="0"/>
          <w:color w:val="000000"/>
          <w:szCs w:val="22"/>
          <w:lang w:val="da-DK"/>
        </w:rPr>
        <w:noBreakHyphen/>
        <w:t>1,30]). Dosisjustering ser ikke ud til at være nødvendigt, når imatinib administreres samtidig med CYP2D6</w:t>
      </w:r>
      <w:r w:rsidRPr="004C2A59">
        <w:rPr>
          <w:b w:val="0"/>
          <w:noProof w:val="0"/>
          <w:color w:val="000000"/>
          <w:szCs w:val="22"/>
          <w:lang w:val="da-DK"/>
        </w:rPr>
        <w:noBreakHyphen/>
        <w:t>substrater. Forsigtighed tilrådes dog ved CYP2D6</w:t>
      </w:r>
      <w:r w:rsidRPr="004C2A59">
        <w:rPr>
          <w:b w:val="0"/>
          <w:noProof w:val="0"/>
          <w:color w:val="000000"/>
          <w:szCs w:val="22"/>
          <w:lang w:val="da-DK"/>
        </w:rPr>
        <w:noBreakHyphen/>
        <w:t>substrater med et snævert terapeutisk vindue som f.eks. metoprolol. Hos patienter, der behandles med metoprolol, bør klinisk monitorering overvejes.</w:t>
      </w:r>
    </w:p>
    <w:p w14:paraId="542E59DC" w14:textId="77777777" w:rsidR="00A573B3" w:rsidRPr="004C2A59" w:rsidRDefault="00A573B3" w:rsidP="00421681">
      <w:pPr>
        <w:pStyle w:val="BodyText"/>
        <w:widowControl w:val="0"/>
        <w:tabs>
          <w:tab w:val="clear" w:pos="-993"/>
          <w:tab w:val="clear" w:pos="-720"/>
        </w:tabs>
        <w:jc w:val="left"/>
        <w:rPr>
          <w:b w:val="0"/>
          <w:color w:val="000000"/>
          <w:lang w:val="da-DK"/>
        </w:rPr>
      </w:pPr>
    </w:p>
    <w:p w14:paraId="113A39CC" w14:textId="77777777" w:rsidR="00A573B3" w:rsidRPr="004C2A59" w:rsidRDefault="00A573B3" w:rsidP="00421681">
      <w:pPr>
        <w:widowControl w:val="0"/>
        <w:rPr>
          <w:color w:val="000000"/>
          <w:sz w:val="22"/>
          <w:szCs w:val="22"/>
          <w:lang w:val="da-DK"/>
        </w:rPr>
      </w:pPr>
      <w:r w:rsidRPr="004C2A59">
        <w:rPr>
          <w:i/>
          <w:color w:val="000000"/>
          <w:sz w:val="22"/>
          <w:szCs w:val="22"/>
          <w:lang w:val="da-DK"/>
        </w:rPr>
        <w:t>In vitro</w:t>
      </w:r>
      <w:r w:rsidRPr="004C2A59">
        <w:rPr>
          <w:color w:val="000000"/>
          <w:sz w:val="22"/>
          <w:szCs w:val="22"/>
          <w:lang w:val="da-DK"/>
        </w:rPr>
        <w:t xml:space="preserve"> hæmmer Glivec O-glucuronidationen af paracetamol med en Ki-værdi på 58,5 mikromol/l. Denne hæmning er ikke observeret </w:t>
      </w:r>
      <w:r w:rsidRPr="004C2A59">
        <w:rPr>
          <w:i/>
          <w:color w:val="000000"/>
          <w:sz w:val="22"/>
          <w:szCs w:val="22"/>
          <w:lang w:val="da-DK"/>
        </w:rPr>
        <w:t>in vivo</w:t>
      </w:r>
      <w:r w:rsidRPr="004C2A59">
        <w:rPr>
          <w:color w:val="000000"/>
          <w:sz w:val="22"/>
          <w:szCs w:val="22"/>
          <w:lang w:val="da-DK"/>
        </w:rPr>
        <w:t xml:space="preserve"> efter administrationen af 400 mg Glivec og 1 g paracetamol. Højere doser af Glivec og paracetamol er ikke blevet undersøgt.</w:t>
      </w:r>
    </w:p>
    <w:p w14:paraId="01C7F7AB" w14:textId="77777777" w:rsidR="00A573B3" w:rsidRPr="004C2A59" w:rsidRDefault="00A573B3" w:rsidP="00421681">
      <w:pPr>
        <w:widowControl w:val="0"/>
        <w:rPr>
          <w:color w:val="000000"/>
          <w:sz w:val="22"/>
          <w:szCs w:val="22"/>
          <w:lang w:val="da-DK"/>
        </w:rPr>
      </w:pPr>
    </w:p>
    <w:p w14:paraId="6F750335" w14:textId="77777777" w:rsidR="00A573B3" w:rsidRPr="004C2A59" w:rsidRDefault="00A573B3" w:rsidP="00421681">
      <w:pPr>
        <w:widowControl w:val="0"/>
        <w:rPr>
          <w:color w:val="000000"/>
          <w:sz w:val="22"/>
          <w:szCs w:val="22"/>
          <w:lang w:val="da-DK"/>
        </w:rPr>
      </w:pPr>
      <w:r w:rsidRPr="004C2A59">
        <w:rPr>
          <w:color w:val="000000"/>
          <w:sz w:val="22"/>
          <w:szCs w:val="22"/>
          <w:lang w:val="da-DK"/>
        </w:rPr>
        <w:t>Der rådes derfor til forsigtighed, når høje doser Glivec og paracetamol anvendes samtidig.</w:t>
      </w:r>
    </w:p>
    <w:p w14:paraId="7708E8E9" w14:textId="77777777" w:rsidR="00A573B3" w:rsidRPr="004C2A59" w:rsidRDefault="00A573B3" w:rsidP="00421681">
      <w:pPr>
        <w:widowControl w:val="0"/>
        <w:rPr>
          <w:color w:val="000000"/>
          <w:sz w:val="22"/>
          <w:szCs w:val="22"/>
          <w:lang w:val="da-DK"/>
        </w:rPr>
      </w:pPr>
    </w:p>
    <w:p w14:paraId="2BDC2FB4" w14:textId="77777777" w:rsidR="00A573B3" w:rsidRPr="004C2A59" w:rsidRDefault="00A573B3" w:rsidP="00421681">
      <w:pPr>
        <w:widowControl w:val="0"/>
        <w:rPr>
          <w:color w:val="000000"/>
          <w:sz w:val="22"/>
          <w:szCs w:val="22"/>
          <w:lang w:val="da-DK"/>
        </w:rPr>
      </w:pPr>
      <w:r w:rsidRPr="004C2A59">
        <w:rPr>
          <w:color w:val="000000"/>
          <w:sz w:val="22"/>
          <w:szCs w:val="22"/>
          <w:lang w:val="da-DK"/>
        </w:rPr>
        <w:t>Plasmaeksponeringen af levothyroxin kan muligvis mindskes, når Glivec gives samtidig til thyreoidektomerede patienter (se pkt. 4.4). Det anbefales derfor at udvise forsigtighed. Mekanismen for den observerede interaktion er dog endnu ukendt.</w:t>
      </w:r>
    </w:p>
    <w:p w14:paraId="391EC603" w14:textId="77777777" w:rsidR="00A573B3" w:rsidRPr="004C2A59" w:rsidRDefault="00A573B3" w:rsidP="00421681">
      <w:pPr>
        <w:widowControl w:val="0"/>
        <w:rPr>
          <w:color w:val="000000"/>
          <w:sz w:val="22"/>
          <w:szCs w:val="22"/>
          <w:lang w:val="da-DK"/>
        </w:rPr>
      </w:pPr>
    </w:p>
    <w:p w14:paraId="6C9F2EB7" w14:textId="77777777" w:rsidR="00A573B3" w:rsidRPr="004C2A59" w:rsidRDefault="00A573B3" w:rsidP="00421681">
      <w:pPr>
        <w:widowControl w:val="0"/>
        <w:rPr>
          <w:color w:val="000000"/>
          <w:sz w:val="22"/>
          <w:szCs w:val="22"/>
          <w:lang w:val="da-DK"/>
        </w:rPr>
      </w:pPr>
      <w:r w:rsidRPr="004C2A59">
        <w:rPr>
          <w:color w:val="000000"/>
          <w:sz w:val="22"/>
          <w:szCs w:val="22"/>
          <w:lang w:val="da-DK"/>
        </w:rPr>
        <w:t xml:space="preserve">Der er klinisk erfaring med administration af Glivec sammen med kemoterapi til patienter med Ph+ </w:t>
      </w:r>
      <w:smartTag w:uri="urn:schemas-microsoft-com:office:smarttags" w:element="metricconverter">
        <w:r w:rsidRPr="004C2A59">
          <w:rPr>
            <w:color w:val="000000"/>
            <w:sz w:val="22"/>
            <w:szCs w:val="22"/>
            <w:lang w:val="da-DK"/>
          </w:rPr>
          <w:t>ALL</w:t>
        </w:r>
      </w:smartTag>
      <w:r w:rsidRPr="004C2A59">
        <w:rPr>
          <w:color w:val="000000"/>
          <w:sz w:val="22"/>
          <w:szCs w:val="22"/>
          <w:lang w:val="da-DK"/>
        </w:rPr>
        <w:t>, men specifikke interaktionsstudier mellem imatinib og kemoterapiregimer er ikke tilstrækkeligt karakteriseret. Bivirkninger af imitanib f.eks. hepatotoksicitet, myelosuppression eller andre kan øges. Det er rapporteret, at samtidig brug med L-asparaginase kan være associeret med øget hepatotoksicitet (se pkt. 4.8). Brug af Glivec i denne kombination kræver derfor særlig forsigtighed.</w:t>
      </w:r>
    </w:p>
    <w:p w14:paraId="31D00337" w14:textId="77777777" w:rsidR="00A573B3" w:rsidRPr="004C2A59" w:rsidRDefault="00A573B3" w:rsidP="00421681">
      <w:pPr>
        <w:widowControl w:val="0"/>
        <w:rPr>
          <w:color w:val="000000"/>
          <w:sz w:val="22"/>
          <w:szCs w:val="22"/>
          <w:lang w:val="da-DK"/>
        </w:rPr>
      </w:pPr>
    </w:p>
    <w:p w14:paraId="14181BA4" w14:textId="77777777" w:rsidR="00A573B3" w:rsidRPr="004C2A59" w:rsidRDefault="00A573B3" w:rsidP="00A125B0">
      <w:pPr>
        <w:keepNext/>
        <w:widowControl w:val="0"/>
        <w:suppressAutoHyphens/>
        <w:ind w:left="567" w:hanging="567"/>
        <w:rPr>
          <w:b/>
          <w:color w:val="000000"/>
          <w:sz w:val="22"/>
          <w:szCs w:val="22"/>
          <w:lang w:val="da-DK"/>
        </w:rPr>
      </w:pPr>
      <w:r w:rsidRPr="004C2A59">
        <w:rPr>
          <w:b/>
          <w:color w:val="000000"/>
          <w:sz w:val="22"/>
          <w:szCs w:val="22"/>
          <w:lang w:val="da-DK"/>
        </w:rPr>
        <w:t>4.6</w:t>
      </w:r>
      <w:r w:rsidRPr="004C2A59">
        <w:rPr>
          <w:b/>
          <w:color w:val="000000"/>
          <w:sz w:val="22"/>
          <w:szCs w:val="22"/>
          <w:lang w:val="da-DK"/>
        </w:rPr>
        <w:tab/>
        <w:t>Fertilitet, graviditet og amning</w:t>
      </w:r>
    </w:p>
    <w:p w14:paraId="7BE92111" w14:textId="77777777" w:rsidR="00A573B3" w:rsidRPr="004C2A59" w:rsidRDefault="00A573B3" w:rsidP="00A125B0">
      <w:pPr>
        <w:keepNext/>
        <w:widowControl w:val="0"/>
        <w:suppressAutoHyphens/>
        <w:ind w:left="567" w:hanging="567"/>
        <w:rPr>
          <w:color w:val="000000"/>
          <w:sz w:val="22"/>
          <w:szCs w:val="22"/>
          <w:lang w:val="da-DK"/>
        </w:rPr>
      </w:pPr>
    </w:p>
    <w:p w14:paraId="39A675BF" w14:textId="77777777" w:rsidR="00A573B3" w:rsidRPr="004C2A59" w:rsidRDefault="00A573B3" w:rsidP="00A125B0">
      <w:pPr>
        <w:pStyle w:val="BodyTextIndent2"/>
        <w:keepNext/>
        <w:widowControl w:val="0"/>
        <w:ind w:left="0" w:firstLine="0"/>
        <w:rPr>
          <w:color w:val="000000"/>
          <w:szCs w:val="22"/>
          <w:u w:val="single"/>
        </w:rPr>
      </w:pPr>
      <w:r w:rsidRPr="004C2A59">
        <w:rPr>
          <w:color w:val="000000"/>
          <w:szCs w:val="22"/>
          <w:u w:val="single"/>
        </w:rPr>
        <w:t>Kvinder i den fertile alder</w:t>
      </w:r>
    </w:p>
    <w:p w14:paraId="420001DE" w14:textId="18B0FC89" w:rsidR="00A573B3" w:rsidRPr="004C2A59" w:rsidRDefault="00A573B3" w:rsidP="00421681">
      <w:pPr>
        <w:pStyle w:val="BodyTextIndent2"/>
        <w:widowControl w:val="0"/>
        <w:ind w:left="0" w:firstLine="0"/>
        <w:rPr>
          <w:color w:val="000000"/>
          <w:szCs w:val="22"/>
        </w:rPr>
      </w:pPr>
      <w:r w:rsidRPr="004C2A59">
        <w:rPr>
          <w:color w:val="000000"/>
          <w:szCs w:val="22"/>
        </w:rPr>
        <w:t>Kvinder i den fertile alder skal tilrådes at anvende sikker kontraception under behandlingen</w:t>
      </w:r>
      <w:r w:rsidR="00243071" w:rsidRPr="00243071">
        <w:rPr>
          <w:color w:val="000000"/>
          <w:szCs w:val="22"/>
        </w:rPr>
        <w:t xml:space="preserve"> </w:t>
      </w:r>
      <w:r w:rsidR="00243071">
        <w:rPr>
          <w:color w:val="000000"/>
          <w:szCs w:val="22"/>
        </w:rPr>
        <w:t>og i mindst 15 dage efter ophør af behandlingen med Glivec.</w:t>
      </w:r>
    </w:p>
    <w:p w14:paraId="1554878E" w14:textId="77777777" w:rsidR="00A573B3" w:rsidRPr="004C2A59" w:rsidRDefault="00A573B3" w:rsidP="00421681">
      <w:pPr>
        <w:pStyle w:val="BodyTextIndent2"/>
        <w:widowControl w:val="0"/>
        <w:ind w:left="0" w:firstLine="0"/>
        <w:rPr>
          <w:color w:val="000000"/>
          <w:szCs w:val="22"/>
        </w:rPr>
      </w:pPr>
    </w:p>
    <w:p w14:paraId="66E10742" w14:textId="77777777" w:rsidR="00A573B3" w:rsidRPr="004C2A59" w:rsidRDefault="00A573B3" w:rsidP="00A125B0">
      <w:pPr>
        <w:keepNext/>
        <w:widowControl w:val="0"/>
        <w:suppressAutoHyphens/>
        <w:ind w:left="567" w:hanging="567"/>
        <w:rPr>
          <w:color w:val="000000"/>
          <w:sz w:val="22"/>
          <w:szCs w:val="22"/>
          <w:u w:val="single"/>
          <w:lang w:val="da-DK"/>
        </w:rPr>
      </w:pPr>
      <w:r w:rsidRPr="004C2A59">
        <w:rPr>
          <w:color w:val="000000"/>
          <w:sz w:val="22"/>
          <w:szCs w:val="22"/>
          <w:u w:val="single"/>
          <w:lang w:val="da-DK"/>
        </w:rPr>
        <w:t>Graviditet</w:t>
      </w:r>
    </w:p>
    <w:p w14:paraId="61E0636A" w14:textId="77777777" w:rsidR="00A573B3" w:rsidRPr="004C2A59" w:rsidRDefault="00A573B3" w:rsidP="00421681">
      <w:pPr>
        <w:pStyle w:val="BodyTextIndent2"/>
        <w:widowControl w:val="0"/>
        <w:ind w:left="0" w:firstLine="0"/>
        <w:rPr>
          <w:color w:val="000000"/>
          <w:szCs w:val="22"/>
        </w:rPr>
      </w:pPr>
      <w:r w:rsidRPr="004C2A59">
        <w:rPr>
          <w:color w:val="000000"/>
          <w:szCs w:val="22"/>
        </w:rPr>
        <w:t xml:space="preserve">Der er utilstrækkelige data fra anvendelse af imatinib til gravide kvinder. </w:t>
      </w:r>
      <w:r w:rsidR="009F755F">
        <w:rPr>
          <w:color w:val="000000"/>
          <w:szCs w:val="22"/>
        </w:rPr>
        <w:t xml:space="preserve">Der har efter markedsføring </w:t>
      </w:r>
      <w:r w:rsidR="009F755F">
        <w:rPr>
          <w:color w:val="000000"/>
          <w:szCs w:val="22"/>
        </w:rPr>
        <w:lastRenderedPageBreak/>
        <w:t xml:space="preserve">været rapporter om spontane aborter og medfødte abnormaliteter hos spædbørn født af kvinder, som har taget Glivec. </w:t>
      </w:r>
      <w:r w:rsidRPr="004C2A59">
        <w:rPr>
          <w:color w:val="000000"/>
          <w:szCs w:val="22"/>
        </w:rPr>
        <w:t>Dyreforsøg har dog påvist reproduktionstoksicitet (se pkt. 5.3). Den potentielle risiko for fostret er ukendt. Glivec bør ikke anvendes under graviditeten, medmindre det er klart nødvendigt. Hvis Glivec anvendes under graviditet, skal patienten informeres om den potentielle risiko for fostret.</w:t>
      </w:r>
    </w:p>
    <w:p w14:paraId="7852BDAF" w14:textId="77777777" w:rsidR="00A573B3" w:rsidRPr="004C2A59" w:rsidRDefault="00A573B3" w:rsidP="00421681">
      <w:pPr>
        <w:pStyle w:val="BodyTextIndent2"/>
        <w:widowControl w:val="0"/>
        <w:ind w:left="0" w:firstLine="0"/>
        <w:rPr>
          <w:color w:val="000000"/>
          <w:szCs w:val="22"/>
        </w:rPr>
      </w:pPr>
    </w:p>
    <w:p w14:paraId="1943DD29" w14:textId="77777777" w:rsidR="00A573B3" w:rsidRPr="004C2A59" w:rsidRDefault="00A573B3" w:rsidP="00A125B0">
      <w:pPr>
        <w:pStyle w:val="BodyTextIndent2"/>
        <w:keepNext/>
        <w:widowControl w:val="0"/>
        <w:ind w:left="0" w:firstLine="0"/>
        <w:rPr>
          <w:color w:val="000000"/>
          <w:szCs w:val="22"/>
          <w:u w:val="single"/>
        </w:rPr>
      </w:pPr>
      <w:r w:rsidRPr="004C2A59">
        <w:rPr>
          <w:color w:val="000000"/>
          <w:szCs w:val="22"/>
          <w:u w:val="single"/>
        </w:rPr>
        <w:t>Amning</w:t>
      </w:r>
    </w:p>
    <w:p w14:paraId="11668053" w14:textId="7531B5F6" w:rsidR="00A573B3" w:rsidRPr="004C2A59" w:rsidRDefault="00A573B3" w:rsidP="00421681">
      <w:pPr>
        <w:pStyle w:val="BodyTextIndent2"/>
        <w:widowControl w:val="0"/>
        <w:ind w:left="0" w:firstLine="0"/>
      </w:pPr>
      <w:r w:rsidRPr="004C2A59">
        <w:rPr>
          <w:color w:val="000000"/>
          <w:szCs w:val="22"/>
        </w:rPr>
        <w:t>Der er begrænset information om fordelingen af imatinib i human mælk. Studier med to ammende kvinder viste, at både imatinib og dets aktive metabolit kan udskilles i human mælk. Mælk/plasma-ratio undersøgt i en enkelt patient blev bestemt til at være 0,5 for imatinib og 0,9 for metabolitten, hvilket tyder på en større udskillelse af metabolitten i mælk. Den totale koncentration af imatinib og metabolitten og spædbørns maksimale daglige indtagelse af mælk taget i betragtning forventes det, at den totale eksponering er lav (</w:t>
      </w:r>
      <w:r w:rsidRPr="004C2A59">
        <w:t>~10% af den terapeutiske dosis). Da effekten af lavdosiseksponering af imatinib hos spædbarnet er ukendt, bør kvinder</w:t>
      </w:r>
      <w:r w:rsidR="00243071">
        <w:t xml:space="preserve"> </w:t>
      </w:r>
      <w:r w:rsidRPr="004C2A59">
        <w:t>ikke amme</w:t>
      </w:r>
      <w:r w:rsidR="00243071">
        <w:t xml:space="preserve"> under behandlingen og i mindst 15 dage efter ophør af behandlingen med Glivec</w:t>
      </w:r>
      <w:r w:rsidRPr="004C2A59">
        <w:t>.</w:t>
      </w:r>
    </w:p>
    <w:p w14:paraId="2455A248" w14:textId="77777777" w:rsidR="00A573B3" w:rsidRPr="004C2A59" w:rsidRDefault="00A573B3" w:rsidP="00421681">
      <w:pPr>
        <w:pStyle w:val="BodyTextIndent2"/>
        <w:widowControl w:val="0"/>
        <w:ind w:left="0" w:firstLine="0"/>
      </w:pPr>
    </w:p>
    <w:p w14:paraId="043F6B7E" w14:textId="77777777" w:rsidR="00A573B3" w:rsidRPr="004C2A59" w:rsidRDefault="00A573B3" w:rsidP="00A125B0">
      <w:pPr>
        <w:pStyle w:val="EndnoteText"/>
        <w:keepNext/>
        <w:tabs>
          <w:tab w:val="clear" w:pos="567"/>
        </w:tabs>
        <w:rPr>
          <w:color w:val="000000"/>
          <w:szCs w:val="22"/>
          <w:u w:val="single"/>
        </w:rPr>
      </w:pPr>
      <w:r w:rsidRPr="004C2A59">
        <w:rPr>
          <w:color w:val="000000"/>
          <w:szCs w:val="22"/>
          <w:u w:val="single"/>
        </w:rPr>
        <w:t>Fertilitet</w:t>
      </w:r>
    </w:p>
    <w:p w14:paraId="100B7141" w14:textId="7DDF8E1B" w:rsidR="00A573B3" w:rsidRPr="004C2A59" w:rsidRDefault="00A573B3" w:rsidP="00421681">
      <w:pPr>
        <w:pStyle w:val="BodyTextIndent2"/>
        <w:widowControl w:val="0"/>
        <w:ind w:left="0" w:firstLine="0"/>
        <w:rPr>
          <w:color w:val="000000"/>
          <w:szCs w:val="22"/>
        </w:rPr>
      </w:pPr>
      <w:r w:rsidRPr="004C2A59">
        <w:rPr>
          <w:color w:val="000000"/>
          <w:szCs w:val="22"/>
        </w:rPr>
        <w:t>I prækliniske studier var fertiliteten hos han- og hunrotter ikke påvirket</w:t>
      </w:r>
      <w:r w:rsidR="00243071">
        <w:rPr>
          <w:color w:val="000000"/>
          <w:szCs w:val="22"/>
        </w:rPr>
        <w:t>,</w:t>
      </w:r>
      <w:r w:rsidR="00243071" w:rsidRPr="00243071">
        <w:rPr>
          <w:color w:val="000000"/>
          <w:szCs w:val="22"/>
        </w:rPr>
        <w:t xml:space="preserve"> </w:t>
      </w:r>
      <w:r w:rsidR="00243071">
        <w:rPr>
          <w:color w:val="000000"/>
          <w:szCs w:val="22"/>
        </w:rPr>
        <w:t xml:space="preserve">selvom der blev observeret </w:t>
      </w:r>
      <w:r w:rsidR="00493E57">
        <w:rPr>
          <w:color w:val="000000"/>
          <w:szCs w:val="22"/>
        </w:rPr>
        <w:t>påvirkninger</w:t>
      </w:r>
      <w:r w:rsidR="00243071">
        <w:rPr>
          <w:color w:val="000000"/>
          <w:szCs w:val="22"/>
        </w:rPr>
        <w:t xml:space="preserve"> af reproduktionsparametre</w:t>
      </w:r>
      <w:r w:rsidRPr="004C2A59">
        <w:rPr>
          <w:color w:val="000000"/>
          <w:szCs w:val="22"/>
        </w:rPr>
        <w:t xml:space="preserve"> (se pkt. 5.3). Der er ikke udført studier med patienter, der fik Glivec, og dets virkning på fertilitet og gametogenese. Patienter, der bekymrer sig om deres fertilitet under Glivec-behandling, bør konsultere deres læge.</w:t>
      </w:r>
    </w:p>
    <w:p w14:paraId="22049219" w14:textId="77777777" w:rsidR="00A573B3" w:rsidRPr="004C2A59" w:rsidRDefault="00A573B3" w:rsidP="00421681">
      <w:pPr>
        <w:pStyle w:val="EndnoteText"/>
        <w:tabs>
          <w:tab w:val="clear" w:pos="567"/>
        </w:tabs>
        <w:rPr>
          <w:color w:val="000000"/>
          <w:szCs w:val="22"/>
        </w:rPr>
      </w:pPr>
    </w:p>
    <w:p w14:paraId="24658780" w14:textId="77777777" w:rsidR="00A573B3" w:rsidRPr="004C2A59" w:rsidRDefault="00A573B3" w:rsidP="00A125B0">
      <w:pPr>
        <w:keepNext/>
        <w:widowControl w:val="0"/>
        <w:suppressAutoHyphens/>
        <w:ind w:left="570" w:hanging="570"/>
        <w:rPr>
          <w:color w:val="000000"/>
          <w:sz w:val="22"/>
          <w:szCs w:val="22"/>
          <w:lang w:val="da-DK"/>
        </w:rPr>
      </w:pPr>
      <w:r w:rsidRPr="004C2A59">
        <w:rPr>
          <w:b/>
          <w:color w:val="000000"/>
          <w:sz w:val="22"/>
          <w:szCs w:val="22"/>
          <w:lang w:val="da-DK"/>
        </w:rPr>
        <w:t>4.7</w:t>
      </w:r>
      <w:r w:rsidRPr="004C2A59">
        <w:rPr>
          <w:b/>
          <w:color w:val="000000"/>
          <w:sz w:val="22"/>
          <w:szCs w:val="22"/>
          <w:lang w:val="da-DK"/>
        </w:rPr>
        <w:tab/>
        <w:t>Virkning på evnen til at føre motorkøretøj og betjene maskiner</w:t>
      </w:r>
    </w:p>
    <w:p w14:paraId="660BF8BD" w14:textId="77777777" w:rsidR="00A573B3" w:rsidRPr="004C2A59" w:rsidRDefault="00A573B3" w:rsidP="00A125B0">
      <w:pPr>
        <w:pStyle w:val="EndnoteText"/>
        <w:keepNext/>
        <w:tabs>
          <w:tab w:val="clear" w:pos="567"/>
        </w:tabs>
        <w:rPr>
          <w:noProof/>
          <w:color w:val="000000"/>
        </w:rPr>
      </w:pPr>
    </w:p>
    <w:p w14:paraId="7452502F" w14:textId="77777777" w:rsidR="00A573B3" w:rsidRPr="004C2A59" w:rsidRDefault="00A573B3" w:rsidP="00421681">
      <w:pPr>
        <w:pStyle w:val="EndnoteText"/>
        <w:tabs>
          <w:tab w:val="clear" w:pos="567"/>
        </w:tabs>
        <w:rPr>
          <w:snapToGrid w:val="0"/>
          <w:color w:val="000000"/>
          <w:szCs w:val="22"/>
        </w:rPr>
      </w:pPr>
      <w:r w:rsidRPr="004C2A59">
        <w:rPr>
          <w:snapToGrid w:val="0"/>
          <w:color w:val="000000"/>
          <w:szCs w:val="22"/>
        </w:rPr>
        <w:t>Patienter skal advares om, at de kan opleve bivirkninger som svimmelhed, sløret syn eller døsighed under behandling med imatinib. Forsigtighed anbefales derfor, når der føres motorkøretøj eller betjenes maskiner.</w:t>
      </w:r>
    </w:p>
    <w:p w14:paraId="14DB2000" w14:textId="77777777" w:rsidR="00A573B3" w:rsidRPr="004C2A59" w:rsidRDefault="00A573B3" w:rsidP="00421681">
      <w:pPr>
        <w:widowControl w:val="0"/>
        <w:rPr>
          <w:color w:val="000000"/>
          <w:sz w:val="22"/>
          <w:szCs w:val="22"/>
          <w:lang w:val="da-DK"/>
        </w:rPr>
      </w:pPr>
    </w:p>
    <w:p w14:paraId="35675C78" w14:textId="77777777" w:rsidR="00A573B3" w:rsidRPr="004C2A59" w:rsidRDefault="00A573B3" w:rsidP="00A125B0">
      <w:pPr>
        <w:keepNext/>
        <w:widowControl w:val="0"/>
        <w:suppressAutoHyphens/>
        <w:ind w:left="567" w:hanging="567"/>
        <w:rPr>
          <w:b/>
          <w:color w:val="000000"/>
          <w:sz w:val="22"/>
          <w:szCs w:val="22"/>
          <w:lang w:val="da-DK"/>
        </w:rPr>
      </w:pPr>
      <w:r w:rsidRPr="004C2A59">
        <w:rPr>
          <w:b/>
          <w:color w:val="000000"/>
          <w:sz w:val="22"/>
          <w:szCs w:val="22"/>
          <w:lang w:val="da-DK"/>
        </w:rPr>
        <w:t>4.8</w:t>
      </w:r>
      <w:r w:rsidRPr="004C2A59">
        <w:rPr>
          <w:b/>
          <w:color w:val="000000"/>
          <w:sz w:val="22"/>
          <w:szCs w:val="22"/>
          <w:lang w:val="da-DK"/>
        </w:rPr>
        <w:tab/>
        <w:t>Bivirkninger</w:t>
      </w:r>
    </w:p>
    <w:p w14:paraId="59533179" w14:textId="77777777" w:rsidR="00A573B3" w:rsidRPr="004C2A59" w:rsidRDefault="00A573B3" w:rsidP="00A125B0">
      <w:pPr>
        <w:keepNext/>
        <w:widowControl w:val="0"/>
        <w:rPr>
          <w:color w:val="000000"/>
          <w:sz w:val="22"/>
          <w:szCs w:val="22"/>
          <w:lang w:val="da-DK"/>
        </w:rPr>
      </w:pPr>
    </w:p>
    <w:p w14:paraId="679DCC8A" w14:textId="77777777" w:rsidR="00A573B3" w:rsidRPr="004C2A59" w:rsidRDefault="00A573B3" w:rsidP="00421681">
      <w:pPr>
        <w:widowControl w:val="0"/>
        <w:rPr>
          <w:color w:val="000000"/>
          <w:sz w:val="22"/>
          <w:szCs w:val="22"/>
          <w:lang w:val="da-DK"/>
        </w:rPr>
      </w:pPr>
      <w:r w:rsidRPr="004C2A59">
        <w:rPr>
          <w:color w:val="000000"/>
          <w:sz w:val="22"/>
          <w:szCs w:val="22"/>
          <w:lang w:val="da-DK"/>
        </w:rPr>
        <w:t>Patienter med fremskredne stadier af maligne lidelser kan frembyde en kompleks blanding af sygdomsbilleder, der kan gøre det svært at vurdere årsagen til bivirkninger på grund af prævalens og stor mangeartethed af symptomer relateret til den underliggende sygdom, sygdommens progression og samtidig administration af adskillige lægemidler.</w:t>
      </w:r>
    </w:p>
    <w:p w14:paraId="2BBCC551" w14:textId="77777777" w:rsidR="00A573B3" w:rsidRPr="004C2A59" w:rsidRDefault="00A573B3" w:rsidP="00421681">
      <w:pPr>
        <w:widowControl w:val="0"/>
        <w:rPr>
          <w:color w:val="000000"/>
          <w:sz w:val="22"/>
          <w:szCs w:val="22"/>
          <w:lang w:val="da-DK"/>
        </w:rPr>
      </w:pPr>
    </w:p>
    <w:p w14:paraId="03EA7F95" w14:textId="77777777" w:rsidR="00A573B3" w:rsidRPr="004C2A59" w:rsidRDefault="00A573B3" w:rsidP="00421681">
      <w:pPr>
        <w:widowControl w:val="0"/>
        <w:rPr>
          <w:color w:val="000000"/>
          <w:sz w:val="22"/>
          <w:szCs w:val="22"/>
          <w:lang w:val="da-DK"/>
        </w:rPr>
      </w:pPr>
      <w:r w:rsidRPr="004C2A59">
        <w:rPr>
          <w:color w:val="000000"/>
          <w:sz w:val="22"/>
          <w:szCs w:val="22"/>
          <w:lang w:val="da-DK"/>
        </w:rPr>
        <w:t>I kliniske undersøgelser i CML blev der hos 2% af nydiagnosticerede patienter, hos 2,4% af patienterne i sen kronisk fase efter svigtende interferonbehandling, hos 4% af patienterne i accelereret fase efter svigtende interferonbehandling og hos 5% af patienterne i blastkrise efter svigtende interferonbehandling observeret seponering af undersøgelsesmedicinen på grund af lægemiddelrelaterede bivirkninger. Hos 4% af GIST-patienterne blev undersøgelsesmedicinen seponeret på grund af lægemiddelrelaterede bivirkninger.</w:t>
      </w:r>
    </w:p>
    <w:p w14:paraId="562D31B9" w14:textId="77777777" w:rsidR="00A573B3" w:rsidRPr="004C2A59" w:rsidRDefault="00A573B3" w:rsidP="00421681">
      <w:pPr>
        <w:widowControl w:val="0"/>
        <w:rPr>
          <w:color w:val="000000"/>
          <w:sz w:val="22"/>
          <w:szCs w:val="22"/>
          <w:lang w:val="da-DK"/>
        </w:rPr>
      </w:pPr>
    </w:p>
    <w:p w14:paraId="1ED961B2" w14:textId="77777777" w:rsidR="00A573B3" w:rsidRPr="004C2A59" w:rsidRDefault="00A573B3" w:rsidP="00421681">
      <w:pPr>
        <w:widowControl w:val="0"/>
        <w:rPr>
          <w:color w:val="000000"/>
          <w:sz w:val="22"/>
          <w:szCs w:val="22"/>
          <w:lang w:val="da-DK"/>
        </w:rPr>
      </w:pPr>
      <w:r w:rsidRPr="004C2A59">
        <w:rPr>
          <w:color w:val="000000"/>
          <w:sz w:val="22"/>
          <w:szCs w:val="22"/>
          <w:lang w:val="da-DK"/>
        </w:rPr>
        <w:t xml:space="preserve">Bivirkningsmønstret var, med 2 undtagelser, det sammme ved alle indikationer. Der sås hyppigere myelosuppression hos CML-patienter end hos GIST-patienter, hvilket sandsynligvis skyldes primærsygdommen. I undersøgelsen med patienter med inoperabel og/eller metastaserende GIST, oplevede 7 (5%) af patienterne </w:t>
      </w:r>
      <w:smartTag w:uri="urn:schemas-microsoft-com:office:smarttags" w:element="metricconverter">
        <w:r w:rsidRPr="004C2A59">
          <w:rPr>
            <w:color w:val="000000"/>
            <w:sz w:val="22"/>
            <w:szCs w:val="22"/>
            <w:lang w:val="da-DK"/>
          </w:rPr>
          <w:t>CTC</w:t>
        </w:r>
      </w:smartTag>
      <w:r w:rsidRPr="004C2A59">
        <w:rPr>
          <w:color w:val="000000"/>
          <w:sz w:val="22"/>
          <w:szCs w:val="22"/>
          <w:lang w:val="da-DK"/>
        </w:rPr>
        <w:t xml:space="preserve"> grad 3–4: gastrointestinale blødninger (3 patienter), intra-tumorale blødninger (3 patienter) eller begge dele (1 patient). De gastrointestinale tumorer kan have været blødningskilden ved den gastrointestinale blødning (se pkt. 4.4). Gastrointestinal og tumoral blødning kan være alvorlig og i visse tilfælde fatal. De mest almindelige rapporterede (</w:t>
      </w:r>
      <w:r w:rsidRPr="004C2A59">
        <w:rPr>
          <w:color w:val="000000"/>
          <w:sz w:val="22"/>
          <w:szCs w:val="22"/>
          <w:lang w:val="da-DK"/>
        </w:rPr>
        <w:sym w:font="Symbol" w:char="F0B3"/>
      </w:r>
      <w:r w:rsidRPr="004C2A59">
        <w:rPr>
          <w:color w:val="000000"/>
          <w:sz w:val="22"/>
          <w:szCs w:val="22"/>
          <w:lang w:val="da-DK"/>
        </w:rPr>
        <w:t>10%) lægemiddelrelaterede bivirkninger var i begge patientgrupper: let kvalme, opkastning, diarré, abdominalsmerter, træthed, myalgi og muskelkramper samt udslæt. Overfladiske ødemer var et hyppigt fund i alle undersøgelser og blev primært beskrevet som værende periorbitale eller ødemer i nedre ekstremiteter. Disse ødemer var dog sjældent svære og kunne behandles med diuretika, andre understøttende tiltag eller ved at reducere dosis af Glivec.</w:t>
      </w:r>
    </w:p>
    <w:p w14:paraId="1485BB30" w14:textId="77777777" w:rsidR="00A573B3" w:rsidRPr="004C2A59" w:rsidRDefault="00A573B3" w:rsidP="00421681">
      <w:pPr>
        <w:widowControl w:val="0"/>
        <w:rPr>
          <w:color w:val="000000"/>
          <w:sz w:val="22"/>
          <w:szCs w:val="22"/>
          <w:lang w:val="da-DK"/>
        </w:rPr>
      </w:pPr>
    </w:p>
    <w:p w14:paraId="696AEBE3" w14:textId="77777777" w:rsidR="00A573B3" w:rsidRPr="004C2A59" w:rsidRDefault="00A573B3" w:rsidP="00421681">
      <w:pPr>
        <w:widowControl w:val="0"/>
        <w:rPr>
          <w:color w:val="000000"/>
          <w:sz w:val="22"/>
          <w:szCs w:val="22"/>
          <w:lang w:val="da-DK"/>
        </w:rPr>
      </w:pPr>
      <w:r w:rsidRPr="004C2A59">
        <w:rPr>
          <w:color w:val="000000"/>
          <w:sz w:val="22"/>
          <w:szCs w:val="22"/>
          <w:lang w:val="da-DK"/>
        </w:rPr>
        <w:t xml:space="preserve">Når imatinib blev kombineret med højdosis kemoterapi hos Ph+ </w:t>
      </w:r>
      <w:smartTag w:uri="urn:schemas-microsoft-com:office:smarttags" w:element="metricconverter">
        <w:r w:rsidRPr="004C2A59">
          <w:rPr>
            <w:color w:val="000000"/>
            <w:sz w:val="22"/>
            <w:szCs w:val="22"/>
            <w:lang w:val="da-DK"/>
          </w:rPr>
          <w:t>ALL</w:t>
        </w:r>
      </w:smartTag>
      <w:r w:rsidRPr="004C2A59">
        <w:rPr>
          <w:color w:val="000000"/>
          <w:sz w:val="22"/>
          <w:szCs w:val="22"/>
          <w:lang w:val="da-DK"/>
        </w:rPr>
        <w:t xml:space="preserve"> patienter, sås forbigående levertoksicitet i form af forhøjet transaminase og hyperbilirubinæmi. Under hensyntagen til den begrænsede sikkerhedsdatabase er de bivirkninger, der hidtil er rapporteret hos børn, i </w:t>
      </w:r>
      <w:r w:rsidRPr="004C2A59">
        <w:rPr>
          <w:color w:val="000000"/>
          <w:sz w:val="22"/>
          <w:szCs w:val="22"/>
          <w:lang w:val="da-DK"/>
        </w:rPr>
        <w:lastRenderedPageBreak/>
        <w:t>overensstemmelse med den kendte sikkerhedsprofil for voksne patienter med Ph+ ALL. Sikkerhedsdatabasen for børn med Ph+ ALL er meget begrænset. Der er dog ikke identificeret nye forhold vedrørende sikkerheden.</w:t>
      </w:r>
    </w:p>
    <w:p w14:paraId="45E8604C" w14:textId="77777777" w:rsidR="00A573B3" w:rsidRPr="004C2A59" w:rsidRDefault="00A573B3" w:rsidP="00421681">
      <w:pPr>
        <w:pStyle w:val="Text"/>
        <w:widowControl w:val="0"/>
        <w:spacing w:before="0"/>
        <w:jc w:val="left"/>
        <w:rPr>
          <w:color w:val="000000"/>
          <w:sz w:val="22"/>
          <w:szCs w:val="22"/>
          <w:lang w:val="da-DK"/>
        </w:rPr>
      </w:pPr>
    </w:p>
    <w:p w14:paraId="7EC30E9C" w14:textId="77777777" w:rsidR="00A573B3" w:rsidRPr="004C2A59" w:rsidRDefault="00A573B3" w:rsidP="00421681">
      <w:pPr>
        <w:pStyle w:val="Text"/>
        <w:widowControl w:val="0"/>
        <w:spacing w:before="0"/>
        <w:jc w:val="left"/>
        <w:rPr>
          <w:color w:val="000000"/>
          <w:sz w:val="22"/>
          <w:szCs w:val="22"/>
          <w:lang w:val="da-DK"/>
        </w:rPr>
      </w:pPr>
      <w:r w:rsidRPr="004C2A59">
        <w:rPr>
          <w:color w:val="000000"/>
          <w:sz w:val="22"/>
          <w:szCs w:val="22"/>
          <w:lang w:val="da-DK"/>
        </w:rPr>
        <w:t>Diverse bivirkninger, som for eksempel pleuraeksudat, ascites, lungeødem og hurtig vægtstigning med eller uden overfladiske ødemer, kan kollektivt betegnes som ”væskeretention”. Disse tilfælde blev sædvanligvis behandlet ved midlertidigt at tilbageholde behandling med Glivec, og behandle med diuretika og andre relevante, understøttende tiltag. I nogle tilfælde kan disse tilstande dog være alvorlige eller livstruende, og flere patienter med blastkrise døde med en kompleks anamnese af pleuraeksudat, kongestivt hjerteinsufficiens og nyresvigt. Der var ingen særlige sikkerhedsmæssige fund i kliniske undersøgelser med børn.</w:t>
      </w:r>
    </w:p>
    <w:p w14:paraId="1C14700F" w14:textId="77777777" w:rsidR="00A573B3" w:rsidRPr="004C2A59" w:rsidRDefault="00A573B3" w:rsidP="00421681">
      <w:pPr>
        <w:widowControl w:val="0"/>
        <w:rPr>
          <w:color w:val="000000"/>
          <w:sz w:val="22"/>
          <w:szCs w:val="22"/>
          <w:lang w:val="da-DK"/>
        </w:rPr>
      </w:pPr>
    </w:p>
    <w:p w14:paraId="571BACD0" w14:textId="77777777" w:rsidR="00A573B3" w:rsidRPr="004C2A59" w:rsidRDefault="00A573B3" w:rsidP="00A125B0">
      <w:pPr>
        <w:pStyle w:val="Text"/>
        <w:keepNext/>
        <w:widowControl w:val="0"/>
        <w:spacing w:before="0"/>
        <w:rPr>
          <w:b/>
          <w:color w:val="000000"/>
          <w:sz w:val="22"/>
          <w:szCs w:val="22"/>
          <w:lang w:val="da-DK"/>
        </w:rPr>
      </w:pPr>
      <w:r w:rsidRPr="004C2A59">
        <w:rPr>
          <w:b/>
          <w:color w:val="000000"/>
          <w:sz w:val="22"/>
          <w:szCs w:val="22"/>
          <w:lang w:val="da-DK"/>
        </w:rPr>
        <w:t>Bivirkninger</w:t>
      </w:r>
    </w:p>
    <w:p w14:paraId="5BC19EB2" w14:textId="77777777" w:rsidR="00A573B3" w:rsidRPr="004C2A59" w:rsidRDefault="00A573B3" w:rsidP="00421681">
      <w:pPr>
        <w:widowControl w:val="0"/>
        <w:rPr>
          <w:color w:val="000000"/>
          <w:sz w:val="22"/>
          <w:szCs w:val="22"/>
          <w:lang w:val="da-DK"/>
        </w:rPr>
      </w:pPr>
      <w:r w:rsidRPr="004C2A59">
        <w:rPr>
          <w:color w:val="000000"/>
          <w:sz w:val="22"/>
          <w:szCs w:val="22"/>
          <w:lang w:val="da-DK"/>
        </w:rPr>
        <w:t>Bivirkninger rapporteret med mere end et isoleret tilfælde er listet nedenfor efter organklasse og frekvens. Frekvenskategorier er defineret ved brug af følgende konvention: Meget almindelig (</w:t>
      </w:r>
      <w:r w:rsidRPr="004C2A59">
        <w:rPr>
          <w:sz w:val="22"/>
          <w:szCs w:val="22"/>
          <w:lang w:val="da-DK"/>
        </w:rPr>
        <w:t>≥</w:t>
      </w:r>
      <w:r w:rsidRPr="004C2A59">
        <w:rPr>
          <w:color w:val="000000"/>
          <w:sz w:val="22"/>
          <w:szCs w:val="22"/>
          <w:lang w:val="da-DK"/>
        </w:rPr>
        <w:t>1/10), almindelig (</w:t>
      </w:r>
      <w:r w:rsidRPr="004C2A59">
        <w:rPr>
          <w:sz w:val="22"/>
          <w:szCs w:val="22"/>
          <w:lang w:val="da-DK"/>
        </w:rPr>
        <w:t>≥</w:t>
      </w:r>
      <w:r w:rsidRPr="004C2A59">
        <w:rPr>
          <w:color w:val="000000"/>
          <w:sz w:val="22"/>
          <w:szCs w:val="22"/>
          <w:lang w:val="da-DK"/>
        </w:rPr>
        <w:t xml:space="preserve">1/100 til </w:t>
      </w:r>
      <w:r w:rsidRPr="004C2A59">
        <w:rPr>
          <w:sz w:val="22"/>
          <w:szCs w:val="22"/>
          <w:lang w:val="da-DK"/>
        </w:rPr>
        <w:t>&lt;</w:t>
      </w:r>
      <w:r w:rsidRPr="004C2A59">
        <w:rPr>
          <w:color w:val="000000"/>
          <w:sz w:val="22"/>
          <w:szCs w:val="22"/>
          <w:lang w:val="da-DK"/>
        </w:rPr>
        <w:t>1/10), ikke almindelig (</w:t>
      </w:r>
      <w:r w:rsidRPr="004C2A59">
        <w:rPr>
          <w:sz w:val="22"/>
          <w:szCs w:val="22"/>
          <w:lang w:val="da-DK"/>
        </w:rPr>
        <w:t>≥</w:t>
      </w:r>
      <w:r w:rsidRPr="004C2A59">
        <w:rPr>
          <w:color w:val="000000"/>
          <w:sz w:val="22"/>
          <w:szCs w:val="22"/>
          <w:lang w:val="da-DK"/>
        </w:rPr>
        <w:t xml:space="preserve">1/1.000 til </w:t>
      </w:r>
      <w:r w:rsidRPr="004C2A59">
        <w:rPr>
          <w:sz w:val="22"/>
          <w:szCs w:val="22"/>
          <w:lang w:val="da-DK"/>
        </w:rPr>
        <w:t>&lt;</w:t>
      </w:r>
      <w:r w:rsidRPr="004C2A59">
        <w:rPr>
          <w:color w:val="000000"/>
          <w:sz w:val="22"/>
          <w:szCs w:val="22"/>
          <w:lang w:val="da-DK"/>
        </w:rPr>
        <w:t>1/100), sjælden (</w:t>
      </w:r>
      <w:r w:rsidRPr="004C2A59">
        <w:rPr>
          <w:sz w:val="22"/>
          <w:szCs w:val="22"/>
          <w:lang w:val="da-DK"/>
        </w:rPr>
        <w:t>≥1/10.000 til &lt;</w:t>
      </w:r>
      <w:r w:rsidRPr="004C2A59">
        <w:rPr>
          <w:color w:val="000000"/>
          <w:sz w:val="22"/>
          <w:szCs w:val="22"/>
          <w:lang w:val="da-DK"/>
        </w:rPr>
        <w:t xml:space="preserve">1/1.000), meget sjælden </w:t>
      </w:r>
      <w:r w:rsidRPr="004C2A59">
        <w:rPr>
          <w:sz w:val="22"/>
          <w:szCs w:val="22"/>
          <w:lang w:val="da-DK"/>
        </w:rPr>
        <w:t xml:space="preserve">(&lt;1/10.000), </w:t>
      </w:r>
      <w:r w:rsidRPr="004C2A59">
        <w:rPr>
          <w:color w:val="000000"/>
          <w:sz w:val="22"/>
          <w:szCs w:val="22"/>
          <w:lang w:val="da-DK"/>
        </w:rPr>
        <w:t>ikke kendt (kan ikke estimeres ud fra forhåndenværende data).</w:t>
      </w:r>
    </w:p>
    <w:p w14:paraId="2DF20B86" w14:textId="77777777" w:rsidR="00A573B3" w:rsidRPr="004C2A59" w:rsidRDefault="00A573B3" w:rsidP="00421681">
      <w:pPr>
        <w:pStyle w:val="Heading4"/>
        <w:keepNext w:val="0"/>
        <w:widowControl w:val="0"/>
        <w:numPr>
          <w:ilvl w:val="0"/>
          <w:numId w:val="0"/>
        </w:numPr>
        <w:spacing w:line="240" w:lineRule="auto"/>
        <w:jc w:val="left"/>
        <w:rPr>
          <w:b w:val="0"/>
          <w:noProof w:val="0"/>
          <w:color w:val="000000"/>
          <w:szCs w:val="22"/>
          <w:lang w:val="da-DK"/>
        </w:rPr>
      </w:pPr>
    </w:p>
    <w:p w14:paraId="39B0ECFF" w14:textId="77777777" w:rsidR="00A573B3" w:rsidRPr="004C2A59" w:rsidRDefault="00A573B3" w:rsidP="00421681">
      <w:pPr>
        <w:rPr>
          <w:noProof/>
          <w:color w:val="000000"/>
          <w:lang w:val="da-DK"/>
        </w:rPr>
      </w:pPr>
      <w:r w:rsidRPr="004C2A59">
        <w:rPr>
          <w:noProof/>
          <w:color w:val="000000"/>
          <w:sz w:val="22"/>
          <w:szCs w:val="22"/>
          <w:lang w:val="da-DK"/>
        </w:rPr>
        <w:t>Inden for hver enkelt frekvensgruppe er bivirkningerne opstillet efter frekvens med de hyppigste først</w:t>
      </w:r>
      <w:r w:rsidRPr="004C2A59">
        <w:rPr>
          <w:noProof/>
          <w:color w:val="000000"/>
          <w:lang w:val="da-DK"/>
        </w:rPr>
        <w:t>.</w:t>
      </w:r>
    </w:p>
    <w:p w14:paraId="5380B9E5" w14:textId="77777777" w:rsidR="00A573B3" w:rsidRPr="004C2A59" w:rsidRDefault="00A573B3" w:rsidP="00421681">
      <w:pPr>
        <w:rPr>
          <w:noProof/>
          <w:color w:val="000000"/>
          <w:sz w:val="22"/>
          <w:szCs w:val="22"/>
          <w:lang w:val="da-DK"/>
        </w:rPr>
      </w:pPr>
    </w:p>
    <w:p w14:paraId="0C685612" w14:textId="77777777" w:rsidR="00FC4A11" w:rsidRPr="004C2A59" w:rsidRDefault="00FC4A11" w:rsidP="00421681">
      <w:pPr>
        <w:rPr>
          <w:noProof/>
          <w:color w:val="000000"/>
          <w:sz w:val="22"/>
          <w:szCs w:val="22"/>
          <w:lang w:val="da-DK"/>
        </w:rPr>
      </w:pPr>
      <w:r w:rsidRPr="004C2A59">
        <w:rPr>
          <w:noProof/>
          <w:color w:val="000000"/>
          <w:sz w:val="22"/>
          <w:szCs w:val="22"/>
          <w:lang w:val="da-DK"/>
        </w:rPr>
        <w:t>Bivirkninger og deres frekvens er angivet i Tabel 1.</w:t>
      </w:r>
    </w:p>
    <w:p w14:paraId="19BA95C8" w14:textId="77777777" w:rsidR="00FC4A11" w:rsidRPr="004C2A59" w:rsidRDefault="00FC4A11" w:rsidP="00421681">
      <w:pPr>
        <w:rPr>
          <w:noProof/>
          <w:color w:val="000000"/>
          <w:sz w:val="22"/>
          <w:szCs w:val="22"/>
          <w:lang w:val="da-DK"/>
        </w:rPr>
      </w:pPr>
    </w:p>
    <w:p w14:paraId="2610D7B3" w14:textId="77777777" w:rsidR="00A573B3" w:rsidRPr="004C2A59" w:rsidRDefault="00FC4A11" w:rsidP="00A125B0">
      <w:pPr>
        <w:keepNext/>
        <w:rPr>
          <w:b/>
          <w:noProof/>
          <w:color w:val="000000"/>
          <w:sz w:val="22"/>
          <w:szCs w:val="22"/>
          <w:lang w:val="da-DK"/>
        </w:rPr>
      </w:pPr>
      <w:r w:rsidRPr="004C2A59">
        <w:rPr>
          <w:b/>
          <w:noProof/>
          <w:color w:val="000000"/>
          <w:sz w:val="22"/>
          <w:szCs w:val="22"/>
          <w:lang w:val="da-DK"/>
        </w:rPr>
        <w:t>Tabel 1</w:t>
      </w:r>
      <w:r w:rsidRPr="004C2A59">
        <w:rPr>
          <w:b/>
          <w:noProof/>
          <w:color w:val="000000"/>
          <w:sz w:val="22"/>
          <w:szCs w:val="22"/>
          <w:lang w:val="da-DK"/>
        </w:rPr>
        <w:tab/>
        <w:t>Opsummering af bivirkninger</w:t>
      </w:r>
    </w:p>
    <w:p w14:paraId="6F2FB0C9" w14:textId="77777777" w:rsidR="00A573B3" w:rsidRPr="004C2A59" w:rsidRDefault="00A573B3" w:rsidP="00A125B0">
      <w:pPr>
        <w:keepNext/>
        <w:rPr>
          <w:color w:val="000000"/>
          <w:sz w:val="22"/>
          <w:szCs w:val="22"/>
          <w:lang w:val="da-DK"/>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A573B3" w:rsidRPr="004C2A59" w14:paraId="30D1FA01" w14:textId="77777777" w:rsidTr="00A125B0">
        <w:trPr>
          <w:cantSplit/>
        </w:trPr>
        <w:tc>
          <w:tcPr>
            <w:tcW w:w="9322" w:type="dxa"/>
            <w:gridSpan w:val="2"/>
          </w:tcPr>
          <w:p w14:paraId="139E0928" w14:textId="77777777" w:rsidR="00A573B3" w:rsidRPr="004C2A59" w:rsidRDefault="00A573B3" w:rsidP="00A125B0">
            <w:pPr>
              <w:keepNext/>
              <w:tabs>
                <w:tab w:val="left" w:pos="567"/>
              </w:tabs>
              <w:rPr>
                <w:color w:val="000000"/>
                <w:sz w:val="22"/>
                <w:szCs w:val="22"/>
                <w:lang w:val="da-DK"/>
              </w:rPr>
            </w:pPr>
            <w:r w:rsidRPr="004C2A59">
              <w:rPr>
                <w:b/>
                <w:color w:val="000000"/>
                <w:sz w:val="22"/>
                <w:szCs w:val="22"/>
                <w:lang w:val="da-DK"/>
              </w:rPr>
              <w:t>Infektioner og parasitære sygdomme</w:t>
            </w:r>
          </w:p>
        </w:tc>
      </w:tr>
      <w:tr w:rsidR="00A573B3" w:rsidRPr="00DA2798" w14:paraId="05D326C2" w14:textId="77777777" w:rsidTr="00A125B0">
        <w:trPr>
          <w:cantSplit/>
        </w:trPr>
        <w:tc>
          <w:tcPr>
            <w:tcW w:w="2235" w:type="dxa"/>
          </w:tcPr>
          <w:p w14:paraId="0270D43B" w14:textId="77777777" w:rsidR="00A573B3" w:rsidRPr="004C2A59" w:rsidRDefault="00A573B3" w:rsidP="00A125B0">
            <w:pPr>
              <w:keepNext/>
              <w:tabs>
                <w:tab w:val="left" w:pos="567"/>
              </w:tabs>
              <w:rPr>
                <w:i/>
                <w:color w:val="000000"/>
                <w:sz w:val="22"/>
                <w:szCs w:val="22"/>
                <w:lang w:val="da-DK"/>
              </w:rPr>
            </w:pPr>
            <w:r w:rsidRPr="004C2A59">
              <w:rPr>
                <w:i/>
                <w:color w:val="000000"/>
                <w:sz w:val="22"/>
                <w:szCs w:val="22"/>
                <w:lang w:val="da-DK"/>
              </w:rPr>
              <w:t>Ikke almindelig:</w:t>
            </w:r>
          </w:p>
        </w:tc>
        <w:tc>
          <w:tcPr>
            <w:tcW w:w="7087" w:type="dxa"/>
          </w:tcPr>
          <w:p w14:paraId="3D8A8312" w14:textId="77777777" w:rsidR="00A573B3" w:rsidRPr="004C2A59" w:rsidRDefault="00A573B3" w:rsidP="00A125B0">
            <w:pPr>
              <w:keepNext/>
              <w:tabs>
                <w:tab w:val="left" w:pos="567"/>
              </w:tabs>
              <w:rPr>
                <w:color w:val="000000"/>
                <w:sz w:val="22"/>
                <w:szCs w:val="22"/>
                <w:lang w:val="da-DK"/>
              </w:rPr>
            </w:pPr>
            <w:r w:rsidRPr="004C2A59">
              <w:rPr>
                <w:color w:val="000000"/>
                <w:sz w:val="22"/>
                <w:szCs w:val="22"/>
                <w:lang w:val="da-DK"/>
              </w:rPr>
              <w:t>Herpes zoster, herpes simplex, nasopharyngitis, pneumoni</w:t>
            </w:r>
            <w:r w:rsidRPr="004C2A59">
              <w:rPr>
                <w:color w:val="000000"/>
                <w:sz w:val="22"/>
                <w:szCs w:val="22"/>
                <w:vertAlign w:val="superscript"/>
                <w:lang w:val="da-DK"/>
              </w:rPr>
              <w:t>1</w:t>
            </w:r>
            <w:r w:rsidRPr="004C2A59">
              <w:rPr>
                <w:color w:val="000000"/>
                <w:sz w:val="22"/>
                <w:szCs w:val="22"/>
                <w:lang w:val="da-DK"/>
              </w:rPr>
              <w:t>, sinuitis, cellulitis, infektioner i øvre luftveje, influenza, urinvejsinfektion, gastroenteritis, sepsis</w:t>
            </w:r>
          </w:p>
        </w:tc>
      </w:tr>
      <w:tr w:rsidR="00A573B3" w:rsidRPr="004C2A59" w14:paraId="6EBECA0D" w14:textId="77777777" w:rsidTr="00A125B0">
        <w:trPr>
          <w:cantSplit/>
        </w:trPr>
        <w:tc>
          <w:tcPr>
            <w:tcW w:w="2235" w:type="dxa"/>
          </w:tcPr>
          <w:p w14:paraId="10828319" w14:textId="77777777" w:rsidR="00A573B3" w:rsidRPr="004C2A59" w:rsidRDefault="00A573B3" w:rsidP="00A125B0">
            <w:pPr>
              <w:keepNext/>
              <w:tabs>
                <w:tab w:val="left" w:pos="567"/>
              </w:tabs>
              <w:rPr>
                <w:i/>
                <w:color w:val="000000"/>
                <w:sz w:val="22"/>
                <w:szCs w:val="22"/>
                <w:lang w:val="da-DK"/>
              </w:rPr>
            </w:pPr>
            <w:r w:rsidRPr="004C2A59">
              <w:rPr>
                <w:i/>
                <w:color w:val="000000"/>
                <w:sz w:val="22"/>
                <w:szCs w:val="22"/>
                <w:lang w:val="da-DK"/>
              </w:rPr>
              <w:t>Sjælden:</w:t>
            </w:r>
          </w:p>
        </w:tc>
        <w:tc>
          <w:tcPr>
            <w:tcW w:w="7087" w:type="dxa"/>
          </w:tcPr>
          <w:p w14:paraId="79EC0668" w14:textId="77777777" w:rsidR="00A573B3" w:rsidRPr="004C2A59" w:rsidRDefault="00A573B3" w:rsidP="00A125B0">
            <w:pPr>
              <w:keepNext/>
              <w:tabs>
                <w:tab w:val="left" w:pos="567"/>
              </w:tabs>
              <w:rPr>
                <w:color w:val="000000"/>
                <w:sz w:val="22"/>
                <w:szCs w:val="22"/>
                <w:lang w:val="da-DK"/>
              </w:rPr>
            </w:pPr>
            <w:r w:rsidRPr="004C2A59">
              <w:rPr>
                <w:color w:val="000000"/>
                <w:sz w:val="22"/>
                <w:szCs w:val="22"/>
                <w:lang w:val="da-DK"/>
              </w:rPr>
              <w:t>Svampeinfektion</w:t>
            </w:r>
          </w:p>
        </w:tc>
      </w:tr>
      <w:tr w:rsidR="00E5610F" w:rsidRPr="004C2A59" w14:paraId="6CE02FD0" w14:textId="77777777" w:rsidTr="00A125B0">
        <w:trPr>
          <w:cantSplit/>
        </w:trPr>
        <w:tc>
          <w:tcPr>
            <w:tcW w:w="2235" w:type="dxa"/>
          </w:tcPr>
          <w:p w14:paraId="285A41BF" w14:textId="77777777" w:rsidR="00E5610F" w:rsidRPr="004C2A59" w:rsidRDefault="00E5610F" w:rsidP="00A125B0">
            <w:pPr>
              <w:keepNext/>
              <w:tabs>
                <w:tab w:val="left" w:pos="567"/>
              </w:tabs>
              <w:rPr>
                <w:i/>
                <w:color w:val="000000"/>
                <w:sz w:val="22"/>
                <w:szCs w:val="22"/>
                <w:lang w:val="da-DK"/>
              </w:rPr>
            </w:pPr>
            <w:r>
              <w:rPr>
                <w:i/>
                <w:color w:val="000000"/>
                <w:sz w:val="22"/>
                <w:szCs w:val="22"/>
                <w:lang w:val="da-DK"/>
              </w:rPr>
              <w:t>Ikke kendt:</w:t>
            </w:r>
          </w:p>
        </w:tc>
        <w:tc>
          <w:tcPr>
            <w:tcW w:w="7087" w:type="dxa"/>
          </w:tcPr>
          <w:p w14:paraId="2998FAF4" w14:textId="77777777" w:rsidR="00E5610F" w:rsidRPr="004C2A59" w:rsidRDefault="00E5610F" w:rsidP="00A125B0">
            <w:pPr>
              <w:keepNext/>
              <w:tabs>
                <w:tab w:val="left" w:pos="567"/>
              </w:tabs>
              <w:rPr>
                <w:color w:val="000000"/>
                <w:sz w:val="22"/>
                <w:szCs w:val="22"/>
                <w:lang w:val="da-DK"/>
              </w:rPr>
            </w:pPr>
            <w:r w:rsidRPr="00B023D7">
              <w:rPr>
                <w:color w:val="000000"/>
                <w:sz w:val="22"/>
                <w:szCs w:val="22"/>
                <w:lang w:val="da-DK"/>
              </w:rPr>
              <w:t>Reaktivering af hepatitis B</w:t>
            </w:r>
            <w:r w:rsidRPr="004C2A59">
              <w:rPr>
                <w:color w:val="000000"/>
                <w:sz w:val="22"/>
                <w:szCs w:val="22"/>
                <w:lang w:val="da-DK"/>
              </w:rPr>
              <w:t>*</w:t>
            </w:r>
          </w:p>
        </w:tc>
      </w:tr>
      <w:tr w:rsidR="00A573B3" w:rsidRPr="00DA2798" w14:paraId="18D3F101" w14:textId="77777777" w:rsidTr="00A125B0">
        <w:trPr>
          <w:cantSplit/>
        </w:trPr>
        <w:tc>
          <w:tcPr>
            <w:tcW w:w="9322" w:type="dxa"/>
            <w:gridSpan w:val="2"/>
          </w:tcPr>
          <w:p w14:paraId="6F974235" w14:textId="77777777" w:rsidR="00A573B3" w:rsidRPr="004C2A59" w:rsidRDefault="00A573B3" w:rsidP="00A125B0">
            <w:pPr>
              <w:keepNext/>
              <w:tabs>
                <w:tab w:val="left" w:pos="567"/>
              </w:tabs>
              <w:rPr>
                <w:color w:val="000000"/>
                <w:sz w:val="22"/>
                <w:szCs w:val="22"/>
                <w:lang w:val="da-DK"/>
              </w:rPr>
            </w:pPr>
            <w:r w:rsidRPr="004C2A59">
              <w:rPr>
                <w:b/>
                <w:color w:val="000000"/>
                <w:sz w:val="22"/>
                <w:szCs w:val="22"/>
                <w:lang w:val="da-DK"/>
              </w:rPr>
              <w:t>Benigne, maligne og uspecificerede tumorer (inkl. cyster og polypper)</w:t>
            </w:r>
          </w:p>
        </w:tc>
      </w:tr>
      <w:tr w:rsidR="00A573B3" w:rsidRPr="004C2A59" w14:paraId="5208D5C8" w14:textId="77777777" w:rsidTr="00A125B0">
        <w:trPr>
          <w:cantSplit/>
        </w:trPr>
        <w:tc>
          <w:tcPr>
            <w:tcW w:w="2235" w:type="dxa"/>
          </w:tcPr>
          <w:p w14:paraId="15D16FAF" w14:textId="77777777" w:rsidR="00A573B3" w:rsidRPr="004C2A59" w:rsidRDefault="00A573B3" w:rsidP="00A125B0">
            <w:pPr>
              <w:keepNext/>
              <w:tabs>
                <w:tab w:val="left" w:pos="567"/>
              </w:tabs>
              <w:rPr>
                <w:color w:val="000000"/>
                <w:sz w:val="22"/>
                <w:szCs w:val="22"/>
                <w:lang w:val="da-DK"/>
              </w:rPr>
            </w:pPr>
            <w:r w:rsidRPr="004C2A59">
              <w:rPr>
                <w:i/>
                <w:color w:val="000000"/>
                <w:sz w:val="22"/>
                <w:szCs w:val="22"/>
                <w:lang w:val="da-DK"/>
              </w:rPr>
              <w:t>Sjælden:</w:t>
            </w:r>
          </w:p>
        </w:tc>
        <w:tc>
          <w:tcPr>
            <w:tcW w:w="7087" w:type="dxa"/>
          </w:tcPr>
          <w:p w14:paraId="1EB64885" w14:textId="77777777" w:rsidR="00A573B3" w:rsidRPr="004C2A59" w:rsidRDefault="00A573B3" w:rsidP="00A125B0">
            <w:pPr>
              <w:keepNext/>
              <w:tabs>
                <w:tab w:val="left" w:pos="567"/>
              </w:tabs>
              <w:rPr>
                <w:color w:val="000000"/>
                <w:sz w:val="22"/>
                <w:szCs w:val="22"/>
                <w:lang w:val="da-DK"/>
              </w:rPr>
            </w:pPr>
            <w:r w:rsidRPr="004C2A59">
              <w:rPr>
                <w:color w:val="000000"/>
                <w:sz w:val="22"/>
                <w:szCs w:val="22"/>
                <w:lang w:val="da-DK"/>
              </w:rPr>
              <w:t>Tumorlysesyndrom</w:t>
            </w:r>
          </w:p>
        </w:tc>
      </w:tr>
      <w:tr w:rsidR="00FD10C4" w:rsidRPr="004C2A59" w14:paraId="3402E502" w14:textId="77777777" w:rsidTr="00A125B0">
        <w:trPr>
          <w:cantSplit/>
        </w:trPr>
        <w:tc>
          <w:tcPr>
            <w:tcW w:w="2235" w:type="dxa"/>
          </w:tcPr>
          <w:p w14:paraId="37FE2DBA" w14:textId="77777777" w:rsidR="00FD10C4" w:rsidRPr="004C2A59" w:rsidRDefault="00FD10C4" w:rsidP="00421681">
            <w:pPr>
              <w:tabs>
                <w:tab w:val="left" w:pos="567"/>
              </w:tabs>
              <w:rPr>
                <w:i/>
                <w:color w:val="000000"/>
                <w:sz w:val="22"/>
                <w:szCs w:val="22"/>
                <w:lang w:val="da-DK"/>
              </w:rPr>
            </w:pPr>
            <w:r w:rsidRPr="004C2A59">
              <w:rPr>
                <w:i/>
                <w:color w:val="000000"/>
                <w:sz w:val="22"/>
                <w:szCs w:val="22"/>
                <w:lang w:val="da-DK"/>
              </w:rPr>
              <w:t>Ikke kendt</w:t>
            </w:r>
          </w:p>
        </w:tc>
        <w:tc>
          <w:tcPr>
            <w:tcW w:w="7087" w:type="dxa"/>
          </w:tcPr>
          <w:p w14:paraId="2D2D0AC5" w14:textId="77777777" w:rsidR="00FD10C4" w:rsidRPr="004C2A59" w:rsidRDefault="00FD10C4" w:rsidP="00421681">
            <w:pPr>
              <w:tabs>
                <w:tab w:val="left" w:pos="567"/>
              </w:tabs>
              <w:rPr>
                <w:color w:val="000000"/>
                <w:sz w:val="22"/>
                <w:szCs w:val="22"/>
                <w:lang w:val="da-DK"/>
              </w:rPr>
            </w:pPr>
            <w:r w:rsidRPr="004C2A59">
              <w:rPr>
                <w:color w:val="000000"/>
                <w:sz w:val="22"/>
                <w:szCs w:val="22"/>
                <w:lang w:val="da-DK"/>
              </w:rPr>
              <w:t>Tumorblødning/tumornekrose*</w:t>
            </w:r>
          </w:p>
        </w:tc>
      </w:tr>
      <w:tr w:rsidR="00FD10C4" w:rsidRPr="004C2A59" w14:paraId="3693AAF8" w14:textId="77777777" w:rsidTr="00A125B0">
        <w:trPr>
          <w:cantSplit/>
        </w:trPr>
        <w:tc>
          <w:tcPr>
            <w:tcW w:w="9322" w:type="dxa"/>
            <w:gridSpan w:val="2"/>
          </w:tcPr>
          <w:p w14:paraId="6E185577" w14:textId="77777777" w:rsidR="00FD10C4" w:rsidRPr="004C2A59" w:rsidRDefault="00FD10C4" w:rsidP="00A125B0">
            <w:pPr>
              <w:keepNext/>
              <w:tabs>
                <w:tab w:val="left" w:pos="567"/>
              </w:tabs>
              <w:rPr>
                <w:color w:val="000000"/>
                <w:sz w:val="22"/>
                <w:szCs w:val="22"/>
                <w:lang w:val="da-DK"/>
              </w:rPr>
            </w:pPr>
            <w:r w:rsidRPr="004C2A59">
              <w:rPr>
                <w:b/>
                <w:color w:val="000000"/>
                <w:sz w:val="22"/>
                <w:szCs w:val="22"/>
                <w:lang w:val="da-DK"/>
              </w:rPr>
              <w:t>Immunsystemet</w:t>
            </w:r>
          </w:p>
        </w:tc>
      </w:tr>
      <w:tr w:rsidR="00FD10C4" w:rsidRPr="004C2A59" w14:paraId="43046887" w14:textId="77777777" w:rsidTr="00A125B0">
        <w:trPr>
          <w:cantSplit/>
        </w:trPr>
        <w:tc>
          <w:tcPr>
            <w:tcW w:w="2235" w:type="dxa"/>
          </w:tcPr>
          <w:p w14:paraId="5A12C5EE" w14:textId="77777777" w:rsidR="00FD10C4" w:rsidRPr="004C2A59" w:rsidRDefault="00FD10C4" w:rsidP="00421681">
            <w:pPr>
              <w:tabs>
                <w:tab w:val="left" w:pos="567"/>
              </w:tabs>
              <w:rPr>
                <w:i/>
                <w:color w:val="000000"/>
                <w:sz w:val="22"/>
                <w:szCs w:val="22"/>
                <w:lang w:val="da-DK"/>
              </w:rPr>
            </w:pPr>
            <w:r w:rsidRPr="004C2A59">
              <w:rPr>
                <w:i/>
                <w:color w:val="000000"/>
                <w:sz w:val="22"/>
                <w:szCs w:val="22"/>
                <w:lang w:val="da-DK"/>
              </w:rPr>
              <w:t>Ikke kendt:</w:t>
            </w:r>
          </w:p>
        </w:tc>
        <w:tc>
          <w:tcPr>
            <w:tcW w:w="7087" w:type="dxa"/>
          </w:tcPr>
          <w:p w14:paraId="1D403380" w14:textId="77777777" w:rsidR="00FD10C4" w:rsidRPr="004C2A59" w:rsidRDefault="00FD10C4" w:rsidP="00421681">
            <w:pPr>
              <w:tabs>
                <w:tab w:val="left" w:pos="567"/>
              </w:tabs>
              <w:rPr>
                <w:color w:val="000000"/>
                <w:sz w:val="22"/>
                <w:szCs w:val="22"/>
                <w:lang w:val="da-DK"/>
              </w:rPr>
            </w:pPr>
            <w:r w:rsidRPr="004C2A59">
              <w:rPr>
                <w:color w:val="000000"/>
                <w:sz w:val="22"/>
                <w:szCs w:val="22"/>
                <w:lang w:val="da-DK"/>
              </w:rPr>
              <w:t>Anafylaktisk shock*</w:t>
            </w:r>
          </w:p>
        </w:tc>
      </w:tr>
      <w:tr w:rsidR="00FD10C4" w:rsidRPr="004C2A59" w14:paraId="54AB0FD1" w14:textId="77777777" w:rsidTr="00A125B0">
        <w:trPr>
          <w:cantSplit/>
        </w:trPr>
        <w:tc>
          <w:tcPr>
            <w:tcW w:w="9322" w:type="dxa"/>
            <w:gridSpan w:val="2"/>
          </w:tcPr>
          <w:p w14:paraId="1B2AD145" w14:textId="77777777" w:rsidR="00FD10C4" w:rsidRPr="004C2A59" w:rsidRDefault="00FD10C4" w:rsidP="00A125B0">
            <w:pPr>
              <w:keepNext/>
              <w:tabs>
                <w:tab w:val="left" w:pos="567"/>
              </w:tabs>
              <w:rPr>
                <w:color w:val="000000"/>
                <w:sz w:val="22"/>
                <w:szCs w:val="22"/>
                <w:lang w:val="da-DK"/>
              </w:rPr>
            </w:pPr>
            <w:r w:rsidRPr="004C2A59">
              <w:rPr>
                <w:b/>
                <w:color w:val="000000"/>
                <w:sz w:val="22"/>
                <w:szCs w:val="22"/>
                <w:lang w:val="da-DK"/>
              </w:rPr>
              <w:t>Blod og lymfesystem</w:t>
            </w:r>
          </w:p>
        </w:tc>
      </w:tr>
      <w:tr w:rsidR="00FD10C4" w:rsidRPr="004C2A59" w14:paraId="470F2B03" w14:textId="77777777" w:rsidTr="00A125B0">
        <w:trPr>
          <w:cantSplit/>
        </w:trPr>
        <w:tc>
          <w:tcPr>
            <w:tcW w:w="2235" w:type="dxa"/>
          </w:tcPr>
          <w:p w14:paraId="418AB744"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Meget almindelig:</w:t>
            </w:r>
          </w:p>
        </w:tc>
        <w:tc>
          <w:tcPr>
            <w:tcW w:w="7087" w:type="dxa"/>
          </w:tcPr>
          <w:p w14:paraId="01A58C97"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en-GB"/>
              </w:rPr>
              <w:t>Neutropeni, trombocytopeni, anæmi</w:t>
            </w:r>
          </w:p>
        </w:tc>
      </w:tr>
      <w:tr w:rsidR="00FD10C4" w:rsidRPr="004C2A59" w14:paraId="00D82315" w14:textId="77777777" w:rsidTr="00A125B0">
        <w:trPr>
          <w:cantSplit/>
        </w:trPr>
        <w:tc>
          <w:tcPr>
            <w:tcW w:w="2235" w:type="dxa"/>
          </w:tcPr>
          <w:p w14:paraId="2BF1E7BC"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Almindelig:</w:t>
            </w:r>
          </w:p>
        </w:tc>
        <w:tc>
          <w:tcPr>
            <w:tcW w:w="7087" w:type="dxa"/>
          </w:tcPr>
          <w:p w14:paraId="7A53EDD6"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Pancytopeni, febril neutropeni</w:t>
            </w:r>
          </w:p>
        </w:tc>
      </w:tr>
      <w:tr w:rsidR="00FD10C4" w:rsidRPr="00F852D1" w14:paraId="7BA91C5A" w14:textId="77777777" w:rsidTr="00A125B0">
        <w:trPr>
          <w:cantSplit/>
        </w:trPr>
        <w:tc>
          <w:tcPr>
            <w:tcW w:w="2235" w:type="dxa"/>
          </w:tcPr>
          <w:p w14:paraId="7EC68550"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Ikke almindelig:</w:t>
            </w:r>
          </w:p>
        </w:tc>
        <w:tc>
          <w:tcPr>
            <w:tcW w:w="7087" w:type="dxa"/>
          </w:tcPr>
          <w:p w14:paraId="20F5401B"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Trombocytæmi, lymfopeni, knoglemarvsdepression, eosinofili, lymfadenopati</w:t>
            </w:r>
          </w:p>
        </w:tc>
      </w:tr>
      <w:tr w:rsidR="00FD10C4" w:rsidRPr="004C2A59" w14:paraId="1CC58E71" w14:textId="77777777" w:rsidTr="00A125B0">
        <w:trPr>
          <w:cantSplit/>
        </w:trPr>
        <w:tc>
          <w:tcPr>
            <w:tcW w:w="2235" w:type="dxa"/>
          </w:tcPr>
          <w:p w14:paraId="21B1B304" w14:textId="77777777" w:rsidR="00FD10C4" w:rsidRPr="004C2A59" w:rsidRDefault="00FD10C4" w:rsidP="00421681">
            <w:pPr>
              <w:tabs>
                <w:tab w:val="left" w:pos="567"/>
              </w:tabs>
              <w:rPr>
                <w:i/>
                <w:color w:val="000000"/>
                <w:sz w:val="22"/>
                <w:szCs w:val="22"/>
                <w:lang w:val="da-DK"/>
              </w:rPr>
            </w:pPr>
            <w:r w:rsidRPr="004C2A59">
              <w:rPr>
                <w:i/>
                <w:color w:val="000000"/>
                <w:sz w:val="22"/>
                <w:szCs w:val="22"/>
                <w:lang w:val="da-DK"/>
              </w:rPr>
              <w:t>Sjælden:</w:t>
            </w:r>
          </w:p>
        </w:tc>
        <w:tc>
          <w:tcPr>
            <w:tcW w:w="7087" w:type="dxa"/>
          </w:tcPr>
          <w:p w14:paraId="392D5FEB" w14:textId="77777777" w:rsidR="00FD10C4" w:rsidRPr="004C2A59" w:rsidRDefault="00FD10C4" w:rsidP="00421681">
            <w:pPr>
              <w:tabs>
                <w:tab w:val="left" w:pos="567"/>
              </w:tabs>
              <w:rPr>
                <w:color w:val="000000"/>
                <w:sz w:val="22"/>
                <w:szCs w:val="22"/>
                <w:lang w:val="da-DK"/>
              </w:rPr>
            </w:pPr>
            <w:r w:rsidRPr="004C2A59">
              <w:rPr>
                <w:color w:val="000000"/>
                <w:sz w:val="22"/>
                <w:szCs w:val="22"/>
                <w:lang w:val="da-DK"/>
              </w:rPr>
              <w:t>Hæmolytisk anæmi</w:t>
            </w:r>
            <w:r w:rsidR="001C2203">
              <w:rPr>
                <w:color w:val="000000"/>
                <w:sz w:val="22"/>
                <w:szCs w:val="22"/>
                <w:lang w:val="da-DK"/>
              </w:rPr>
              <w:t>, trombotisk mikroangiopati</w:t>
            </w:r>
          </w:p>
        </w:tc>
      </w:tr>
      <w:tr w:rsidR="00FD10C4" w:rsidRPr="004C2A59" w14:paraId="427DEFB1" w14:textId="77777777" w:rsidTr="00A125B0">
        <w:trPr>
          <w:cantSplit/>
        </w:trPr>
        <w:tc>
          <w:tcPr>
            <w:tcW w:w="9322" w:type="dxa"/>
            <w:gridSpan w:val="2"/>
          </w:tcPr>
          <w:p w14:paraId="61F6573F" w14:textId="77777777" w:rsidR="00FD10C4" w:rsidRPr="004C2A59" w:rsidRDefault="00FD10C4" w:rsidP="00A125B0">
            <w:pPr>
              <w:keepNext/>
              <w:tabs>
                <w:tab w:val="left" w:pos="567"/>
              </w:tabs>
              <w:rPr>
                <w:color w:val="000000"/>
                <w:sz w:val="22"/>
                <w:szCs w:val="22"/>
                <w:lang w:val="da-DK"/>
              </w:rPr>
            </w:pPr>
            <w:r w:rsidRPr="004C2A59">
              <w:rPr>
                <w:b/>
                <w:color w:val="000000"/>
                <w:sz w:val="22"/>
                <w:szCs w:val="22"/>
                <w:lang w:val="da-DK"/>
              </w:rPr>
              <w:t>Metabolisme og ernæring</w:t>
            </w:r>
          </w:p>
        </w:tc>
      </w:tr>
      <w:tr w:rsidR="00FD10C4" w:rsidRPr="004C2A59" w14:paraId="450FB35A" w14:textId="77777777" w:rsidTr="00A125B0">
        <w:trPr>
          <w:cantSplit/>
        </w:trPr>
        <w:tc>
          <w:tcPr>
            <w:tcW w:w="2235" w:type="dxa"/>
          </w:tcPr>
          <w:p w14:paraId="7461310A" w14:textId="77777777" w:rsidR="00FD10C4" w:rsidRPr="004C2A59" w:rsidRDefault="00FD10C4" w:rsidP="00A125B0">
            <w:pPr>
              <w:keepNext/>
              <w:tabs>
                <w:tab w:val="left" w:pos="567"/>
              </w:tabs>
              <w:rPr>
                <w:i/>
                <w:color w:val="000000"/>
                <w:sz w:val="22"/>
                <w:szCs w:val="22"/>
                <w:lang w:val="da-DK"/>
              </w:rPr>
            </w:pPr>
            <w:r w:rsidRPr="004C2A59">
              <w:rPr>
                <w:i/>
                <w:color w:val="000000"/>
                <w:sz w:val="22"/>
                <w:szCs w:val="22"/>
                <w:lang w:val="da-DK"/>
              </w:rPr>
              <w:t>Almindelig:</w:t>
            </w:r>
          </w:p>
        </w:tc>
        <w:tc>
          <w:tcPr>
            <w:tcW w:w="7087" w:type="dxa"/>
          </w:tcPr>
          <w:p w14:paraId="4FA3415F"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Anoreksi</w:t>
            </w:r>
          </w:p>
        </w:tc>
      </w:tr>
      <w:tr w:rsidR="00FD10C4" w:rsidRPr="00F852D1" w14:paraId="7EC80C5B" w14:textId="77777777" w:rsidTr="00A125B0">
        <w:trPr>
          <w:cantSplit/>
        </w:trPr>
        <w:tc>
          <w:tcPr>
            <w:tcW w:w="2235" w:type="dxa"/>
          </w:tcPr>
          <w:p w14:paraId="0660555F" w14:textId="77777777" w:rsidR="00FD10C4" w:rsidRPr="004C2A59" w:rsidRDefault="00FD10C4" w:rsidP="00A125B0">
            <w:pPr>
              <w:keepNext/>
              <w:tabs>
                <w:tab w:val="left" w:pos="567"/>
              </w:tabs>
              <w:rPr>
                <w:i/>
                <w:color w:val="000000"/>
                <w:sz w:val="22"/>
                <w:szCs w:val="22"/>
                <w:lang w:val="da-DK"/>
              </w:rPr>
            </w:pPr>
            <w:r w:rsidRPr="004C2A59">
              <w:rPr>
                <w:i/>
                <w:color w:val="000000"/>
                <w:sz w:val="22"/>
                <w:szCs w:val="22"/>
                <w:lang w:val="da-DK"/>
              </w:rPr>
              <w:t>Ikke almindelig:</w:t>
            </w:r>
          </w:p>
        </w:tc>
        <w:tc>
          <w:tcPr>
            <w:tcW w:w="7087" w:type="dxa"/>
          </w:tcPr>
          <w:p w14:paraId="38B7D08A"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Hypokaliæmi, øget appetit, hypofosfatæmi, nedsat appetit, dehydrering, gigt, hyperurikæmi, hyperkalcæmi, hyperglykæmi, hyponatriæmi</w:t>
            </w:r>
          </w:p>
        </w:tc>
      </w:tr>
      <w:tr w:rsidR="00FD10C4" w:rsidRPr="004C2A59" w14:paraId="11D98BE9" w14:textId="77777777" w:rsidTr="00A125B0">
        <w:trPr>
          <w:cantSplit/>
        </w:trPr>
        <w:tc>
          <w:tcPr>
            <w:tcW w:w="2235" w:type="dxa"/>
          </w:tcPr>
          <w:p w14:paraId="5B8EF12C" w14:textId="77777777" w:rsidR="00FD10C4" w:rsidRPr="004C2A59" w:rsidRDefault="00FD10C4" w:rsidP="00421681">
            <w:pPr>
              <w:tabs>
                <w:tab w:val="left" w:pos="567"/>
              </w:tabs>
              <w:rPr>
                <w:i/>
                <w:color w:val="000000"/>
                <w:sz w:val="22"/>
                <w:szCs w:val="22"/>
                <w:lang w:val="da-DK"/>
              </w:rPr>
            </w:pPr>
            <w:r w:rsidRPr="004C2A59">
              <w:rPr>
                <w:i/>
                <w:color w:val="000000"/>
                <w:sz w:val="22"/>
                <w:szCs w:val="22"/>
                <w:lang w:val="da-DK"/>
              </w:rPr>
              <w:t>Sjælden:</w:t>
            </w:r>
          </w:p>
        </w:tc>
        <w:tc>
          <w:tcPr>
            <w:tcW w:w="7087" w:type="dxa"/>
          </w:tcPr>
          <w:p w14:paraId="15C71767" w14:textId="77777777" w:rsidR="00FD10C4" w:rsidRPr="004C2A59" w:rsidRDefault="00FD10C4" w:rsidP="00421681">
            <w:pPr>
              <w:tabs>
                <w:tab w:val="left" w:pos="567"/>
              </w:tabs>
              <w:rPr>
                <w:color w:val="000000"/>
                <w:sz w:val="22"/>
                <w:szCs w:val="22"/>
                <w:lang w:val="da-DK"/>
              </w:rPr>
            </w:pPr>
            <w:r w:rsidRPr="004C2A59">
              <w:rPr>
                <w:color w:val="000000"/>
                <w:sz w:val="22"/>
                <w:szCs w:val="22"/>
                <w:lang w:val="da-DK"/>
              </w:rPr>
              <w:t>Hyperkaliæmi, hypomagnesiæmi</w:t>
            </w:r>
          </w:p>
        </w:tc>
      </w:tr>
      <w:tr w:rsidR="00FD10C4" w:rsidRPr="004C2A59" w14:paraId="5FD4D03A" w14:textId="77777777" w:rsidTr="00A125B0">
        <w:trPr>
          <w:cantSplit/>
        </w:trPr>
        <w:tc>
          <w:tcPr>
            <w:tcW w:w="9322" w:type="dxa"/>
            <w:gridSpan w:val="2"/>
          </w:tcPr>
          <w:p w14:paraId="61D913AD" w14:textId="77777777" w:rsidR="00FD10C4" w:rsidRPr="004C2A59" w:rsidRDefault="00FD10C4" w:rsidP="00A125B0">
            <w:pPr>
              <w:keepNext/>
              <w:tabs>
                <w:tab w:val="left" w:pos="567"/>
              </w:tabs>
              <w:rPr>
                <w:color w:val="000000"/>
                <w:sz w:val="22"/>
                <w:szCs w:val="22"/>
                <w:lang w:val="da-DK"/>
              </w:rPr>
            </w:pPr>
            <w:r w:rsidRPr="004C2A59">
              <w:rPr>
                <w:b/>
                <w:color w:val="000000"/>
                <w:sz w:val="22"/>
                <w:szCs w:val="22"/>
                <w:lang w:val="da-DK"/>
              </w:rPr>
              <w:t>Psykiske forstyrrelser</w:t>
            </w:r>
          </w:p>
        </w:tc>
      </w:tr>
      <w:tr w:rsidR="00FD10C4" w:rsidRPr="004C2A59" w14:paraId="35828D84" w14:textId="77777777" w:rsidTr="00A125B0">
        <w:trPr>
          <w:cantSplit/>
        </w:trPr>
        <w:tc>
          <w:tcPr>
            <w:tcW w:w="2235" w:type="dxa"/>
          </w:tcPr>
          <w:p w14:paraId="02452EFF" w14:textId="77777777" w:rsidR="00FD10C4" w:rsidRPr="004C2A59" w:rsidRDefault="00FD10C4" w:rsidP="00A125B0">
            <w:pPr>
              <w:keepNext/>
              <w:tabs>
                <w:tab w:val="left" w:pos="567"/>
              </w:tabs>
              <w:rPr>
                <w:i/>
                <w:color w:val="000000"/>
                <w:sz w:val="22"/>
                <w:szCs w:val="22"/>
                <w:lang w:val="da-DK"/>
              </w:rPr>
            </w:pPr>
            <w:r w:rsidRPr="004C2A59">
              <w:rPr>
                <w:i/>
                <w:color w:val="000000"/>
                <w:sz w:val="22"/>
                <w:szCs w:val="22"/>
                <w:lang w:val="da-DK"/>
              </w:rPr>
              <w:t>Almindelig:</w:t>
            </w:r>
          </w:p>
        </w:tc>
        <w:tc>
          <w:tcPr>
            <w:tcW w:w="7087" w:type="dxa"/>
          </w:tcPr>
          <w:p w14:paraId="33288BA8"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Insomni</w:t>
            </w:r>
          </w:p>
        </w:tc>
      </w:tr>
      <w:tr w:rsidR="00FD10C4" w:rsidRPr="004C2A59" w14:paraId="33F60239" w14:textId="77777777" w:rsidTr="00A125B0">
        <w:trPr>
          <w:cantSplit/>
        </w:trPr>
        <w:tc>
          <w:tcPr>
            <w:tcW w:w="2235" w:type="dxa"/>
          </w:tcPr>
          <w:p w14:paraId="6C7BD77E" w14:textId="77777777" w:rsidR="00FD10C4" w:rsidRPr="004C2A59" w:rsidRDefault="00FD10C4" w:rsidP="00A125B0">
            <w:pPr>
              <w:keepNext/>
              <w:tabs>
                <w:tab w:val="left" w:pos="567"/>
              </w:tabs>
              <w:rPr>
                <w:i/>
                <w:color w:val="000000"/>
                <w:sz w:val="22"/>
                <w:szCs w:val="22"/>
                <w:lang w:val="da-DK"/>
              </w:rPr>
            </w:pPr>
            <w:r w:rsidRPr="004C2A59">
              <w:rPr>
                <w:i/>
                <w:color w:val="000000"/>
                <w:sz w:val="22"/>
                <w:szCs w:val="22"/>
                <w:lang w:val="da-DK"/>
              </w:rPr>
              <w:t>Ikke almindelig:</w:t>
            </w:r>
          </w:p>
        </w:tc>
        <w:tc>
          <w:tcPr>
            <w:tcW w:w="7087" w:type="dxa"/>
          </w:tcPr>
          <w:p w14:paraId="6606F51B"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Depression, nedsat libido, angst</w:t>
            </w:r>
          </w:p>
        </w:tc>
      </w:tr>
      <w:tr w:rsidR="00FD10C4" w:rsidRPr="004C2A59" w14:paraId="16B1B78A" w14:textId="77777777" w:rsidTr="00A125B0">
        <w:trPr>
          <w:cantSplit/>
        </w:trPr>
        <w:tc>
          <w:tcPr>
            <w:tcW w:w="2235" w:type="dxa"/>
          </w:tcPr>
          <w:p w14:paraId="7FC01062" w14:textId="77777777" w:rsidR="00FD10C4" w:rsidRPr="004C2A59" w:rsidRDefault="00FD10C4" w:rsidP="00421681">
            <w:pPr>
              <w:tabs>
                <w:tab w:val="left" w:pos="567"/>
              </w:tabs>
              <w:rPr>
                <w:i/>
                <w:color w:val="000000"/>
                <w:sz w:val="22"/>
                <w:szCs w:val="22"/>
                <w:lang w:val="da-DK"/>
              </w:rPr>
            </w:pPr>
            <w:r w:rsidRPr="004C2A59">
              <w:rPr>
                <w:i/>
                <w:color w:val="000000"/>
                <w:sz w:val="22"/>
                <w:szCs w:val="22"/>
                <w:lang w:val="da-DK"/>
              </w:rPr>
              <w:t>Sjælden:</w:t>
            </w:r>
          </w:p>
        </w:tc>
        <w:tc>
          <w:tcPr>
            <w:tcW w:w="7087" w:type="dxa"/>
          </w:tcPr>
          <w:p w14:paraId="06416AFA" w14:textId="77777777" w:rsidR="00FD10C4" w:rsidRPr="004C2A59" w:rsidRDefault="00FD10C4" w:rsidP="00421681">
            <w:pPr>
              <w:tabs>
                <w:tab w:val="left" w:pos="567"/>
              </w:tabs>
              <w:rPr>
                <w:color w:val="000000"/>
                <w:sz w:val="22"/>
                <w:szCs w:val="22"/>
                <w:lang w:val="da-DK"/>
              </w:rPr>
            </w:pPr>
            <w:r w:rsidRPr="004C2A59">
              <w:rPr>
                <w:color w:val="000000"/>
                <w:sz w:val="22"/>
                <w:szCs w:val="22"/>
                <w:lang w:val="da-DK"/>
              </w:rPr>
              <w:t>Konfusion</w:t>
            </w:r>
          </w:p>
        </w:tc>
      </w:tr>
      <w:tr w:rsidR="00FD10C4" w:rsidRPr="004C2A59" w14:paraId="797EFC24" w14:textId="77777777" w:rsidTr="00A125B0">
        <w:trPr>
          <w:cantSplit/>
        </w:trPr>
        <w:tc>
          <w:tcPr>
            <w:tcW w:w="9322" w:type="dxa"/>
            <w:gridSpan w:val="2"/>
          </w:tcPr>
          <w:p w14:paraId="3ADADDE2" w14:textId="77777777" w:rsidR="00FD10C4" w:rsidRPr="004C2A59" w:rsidRDefault="00FD10C4" w:rsidP="00A125B0">
            <w:pPr>
              <w:keepNext/>
              <w:tabs>
                <w:tab w:val="left" w:pos="567"/>
              </w:tabs>
              <w:rPr>
                <w:color w:val="000000"/>
                <w:sz w:val="22"/>
                <w:szCs w:val="22"/>
                <w:lang w:val="da-DK"/>
              </w:rPr>
            </w:pPr>
            <w:r w:rsidRPr="004C2A59">
              <w:rPr>
                <w:b/>
                <w:color w:val="000000"/>
                <w:sz w:val="22"/>
                <w:szCs w:val="22"/>
                <w:lang w:val="da-DK"/>
              </w:rPr>
              <w:t>Nervesystemet</w:t>
            </w:r>
          </w:p>
        </w:tc>
      </w:tr>
      <w:tr w:rsidR="00FD10C4" w:rsidRPr="004C2A59" w14:paraId="2DF93B13" w14:textId="77777777" w:rsidTr="00A125B0">
        <w:trPr>
          <w:cantSplit/>
        </w:trPr>
        <w:tc>
          <w:tcPr>
            <w:tcW w:w="2235" w:type="dxa"/>
          </w:tcPr>
          <w:p w14:paraId="179BF781"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Meget almindelig:</w:t>
            </w:r>
          </w:p>
        </w:tc>
        <w:tc>
          <w:tcPr>
            <w:tcW w:w="7087" w:type="dxa"/>
          </w:tcPr>
          <w:p w14:paraId="5572BE3E"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Hovedpine</w:t>
            </w:r>
            <w:r w:rsidRPr="004C2A59">
              <w:rPr>
                <w:color w:val="000000"/>
                <w:sz w:val="22"/>
                <w:szCs w:val="22"/>
                <w:vertAlign w:val="superscript"/>
                <w:lang w:val="da-DK"/>
              </w:rPr>
              <w:t>2</w:t>
            </w:r>
          </w:p>
        </w:tc>
      </w:tr>
      <w:tr w:rsidR="00FD10C4" w:rsidRPr="004C2A59" w14:paraId="0B4494A3" w14:textId="77777777" w:rsidTr="00A125B0">
        <w:trPr>
          <w:cantSplit/>
          <w:trHeight w:val="351"/>
        </w:trPr>
        <w:tc>
          <w:tcPr>
            <w:tcW w:w="2235" w:type="dxa"/>
          </w:tcPr>
          <w:p w14:paraId="4D5C069E"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Almindelig:</w:t>
            </w:r>
          </w:p>
        </w:tc>
        <w:tc>
          <w:tcPr>
            <w:tcW w:w="7087" w:type="dxa"/>
          </w:tcPr>
          <w:p w14:paraId="5E76B682"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Svimmelhed, paræstesi, smagsforstyrrelser, hypoæstesi</w:t>
            </w:r>
          </w:p>
        </w:tc>
      </w:tr>
      <w:tr w:rsidR="00FD10C4" w:rsidRPr="00DA2798" w14:paraId="70F81DC5" w14:textId="77777777" w:rsidTr="00A125B0">
        <w:trPr>
          <w:cantSplit/>
        </w:trPr>
        <w:tc>
          <w:tcPr>
            <w:tcW w:w="2235" w:type="dxa"/>
          </w:tcPr>
          <w:p w14:paraId="6106EAE8"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Ikke almindelig:</w:t>
            </w:r>
          </w:p>
        </w:tc>
        <w:tc>
          <w:tcPr>
            <w:tcW w:w="7087" w:type="dxa"/>
          </w:tcPr>
          <w:p w14:paraId="616EC13D"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Migræne, døsighed, synkope, perifer neuropati, hukommelsessvigt, iskias, restless leg syndrome, tremor, hjerneblødning</w:t>
            </w:r>
          </w:p>
        </w:tc>
      </w:tr>
      <w:tr w:rsidR="00FD10C4" w:rsidRPr="00F852D1" w14:paraId="1B283A0D" w14:textId="77777777" w:rsidTr="00A125B0">
        <w:trPr>
          <w:cantSplit/>
        </w:trPr>
        <w:tc>
          <w:tcPr>
            <w:tcW w:w="2235" w:type="dxa"/>
          </w:tcPr>
          <w:p w14:paraId="799AFBE2"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Sjælden:</w:t>
            </w:r>
          </w:p>
        </w:tc>
        <w:tc>
          <w:tcPr>
            <w:tcW w:w="7087" w:type="dxa"/>
          </w:tcPr>
          <w:p w14:paraId="49BE0DE7"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Øget interkranielt tryk, kramper, synsnervebetændelse</w:t>
            </w:r>
          </w:p>
        </w:tc>
      </w:tr>
      <w:tr w:rsidR="00FD10C4" w:rsidRPr="004C2A59" w14:paraId="24EA989C" w14:textId="77777777" w:rsidTr="00A125B0">
        <w:trPr>
          <w:cantSplit/>
        </w:trPr>
        <w:tc>
          <w:tcPr>
            <w:tcW w:w="2235" w:type="dxa"/>
          </w:tcPr>
          <w:p w14:paraId="7147C41C" w14:textId="77777777" w:rsidR="00FD10C4" w:rsidRPr="004C2A59" w:rsidRDefault="00FD10C4" w:rsidP="00421681">
            <w:pPr>
              <w:tabs>
                <w:tab w:val="left" w:pos="567"/>
              </w:tabs>
              <w:rPr>
                <w:i/>
                <w:color w:val="000000"/>
                <w:sz w:val="22"/>
                <w:szCs w:val="22"/>
                <w:lang w:val="da-DK"/>
              </w:rPr>
            </w:pPr>
            <w:r w:rsidRPr="004C2A59">
              <w:rPr>
                <w:i/>
                <w:color w:val="000000"/>
                <w:sz w:val="22"/>
                <w:szCs w:val="22"/>
                <w:lang w:val="da-DK"/>
              </w:rPr>
              <w:t>Ikke kendt:</w:t>
            </w:r>
          </w:p>
        </w:tc>
        <w:tc>
          <w:tcPr>
            <w:tcW w:w="7087" w:type="dxa"/>
          </w:tcPr>
          <w:p w14:paraId="693B59A2" w14:textId="77777777" w:rsidR="00FD10C4" w:rsidRPr="004C2A59" w:rsidRDefault="00FD10C4" w:rsidP="00421681">
            <w:pPr>
              <w:tabs>
                <w:tab w:val="left" w:pos="567"/>
              </w:tabs>
              <w:rPr>
                <w:color w:val="000000"/>
                <w:sz w:val="22"/>
                <w:szCs w:val="22"/>
                <w:lang w:val="da-DK"/>
              </w:rPr>
            </w:pPr>
            <w:r w:rsidRPr="004C2A59">
              <w:rPr>
                <w:color w:val="000000"/>
                <w:sz w:val="22"/>
                <w:szCs w:val="22"/>
                <w:lang w:val="da-DK"/>
              </w:rPr>
              <w:t>Cerebralt ødem*</w:t>
            </w:r>
          </w:p>
        </w:tc>
      </w:tr>
      <w:tr w:rsidR="00FD10C4" w:rsidRPr="004C2A59" w14:paraId="6B0A62E5" w14:textId="77777777" w:rsidTr="00A125B0">
        <w:trPr>
          <w:cantSplit/>
        </w:trPr>
        <w:tc>
          <w:tcPr>
            <w:tcW w:w="9322" w:type="dxa"/>
            <w:gridSpan w:val="2"/>
          </w:tcPr>
          <w:p w14:paraId="56ED5CB5" w14:textId="77777777" w:rsidR="00FD10C4" w:rsidRPr="004C2A59" w:rsidRDefault="00FD10C4" w:rsidP="00A125B0">
            <w:pPr>
              <w:keepNext/>
              <w:tabs>
                <w:tab w:val="left" w:pos="567"/>
              </w:tabs>
              <w:rPr>
                <w:color w:val="000000"/>
                <w:sz w:val="22"/>
                <w:szCs w:val="22"/>
                <w:lang w:val="da-DK"/>
              </w:rPr>
            </w:pPr>
            <w:r w:rsidRPr="004C2A59">
              <w:rPr>
                <w:b/>
                <w:color w:val="000000"/>
                <w:sz w:val="22"/>
                <w:szCs w:val="22"/>
                <w:lang w:val="da-DK"/>
              </w:rPr>
              <w:lastRenderedPageBreak/>
              <w:t>Øjne</w:t>
            </w:r>
          </w:p>
        </w:tc>
      </w:tr>
      <w:tr w:rsidR="00FD10C4" w:rsidRPr="00F852D1" w14:paraId="72527002" w14:textId="77777777" w:rsidTr="00A125B0">
        <w:trPr>
          <w:cantSplit/>
        </w:trPr>
        <w:tc>
          <w:tcPr>
            <w:tcW w:w="2235" w:type="dxa"/>
          </w:tcPr>
          <w:p w14:paraId="0880CE8D"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Almindelig:</w:t>
            </w:r>
          </w:p>
        </w:tc>
        <w:tc>
          <w:tcPr>
            <w:tcW w:w="7087" w:type="dxa"/>
          </w:tcPr>
          <w:p w14:paraId="5080A54E"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Øjenlågsødem, øget tåreflåd, konjunktivalblødning, konjunktivitis, øjentørhed, sløret syn</w:t>
            </w:r>
          </w:p>
        </w:tc>
      </w:tr>
      <w:tr w:rsidR="00FD10C4" w:rsidRPr="00F852D1" w14:paraId="38B3FD23" w14:textId="77777777" w:rsidTr="00A125B0">
        <w:trPr>
          <w:cantSplit/>
        </w:trPr>
        <w:tc>
          <w:tcPr>
            <w:tcW w:w="2235" w:type="dxa"/>
          </w:tcPr>
          <w:p w14:paraId="5F9FF24A"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Ikke almindelig:</w:t>
            </w:r>
          </w:p>
        </w:tc>
        <w:tc>
          <w:tcPr>
            <w:tcW w:w="7087" w:type="dxa"/>
          </w:tcPr>
          <w:p w14:paraId="161EDA93" w14:textId="77777777" w:rsidR="00FD10C4" w:rsidRPr="00F852D1" w:rsidRDefault="00FD10C4" w:rsidP="00A125B0">
            <w:pPr>
              <w:keepNext/>
              <w:tabs>
                <w:tab w:val="left" w:pos="567"/>
              </w:tabs>
              <w:rPr>
                <w:color w:val="000000"/>
                <w:sz w:val="22"/>
                <w:szCs w:val="22"/>
                <w:lang w:val="da-DK"/>
              </w:rPr>
            </w:pPr>
            <w:r w:rsidRPr="00F852D1">
              <w:rPr>
                <w:color w:val="000000"/>
                <w:sz w:val="22"/>
                <w:szCs w:val="22"/>
                <w:lang w:val="da-DK"/>
              </w:rPr>
              <w:t>Øjenirritation, øjensmerter, orbitalt ødem, sclerablødning, retinablødning, blepharitis, makulært ødem</w:t>
            </w:r>
          </w:p>
        </w:tc>
      </w:tr>
      <w:tr w:rsidR="00FD10C4" w:rsidRPr="004C2A59" w14:paraId="17E3A026" w14:textId="77777777" w:rsidTr="00A125B0">
        <w:trPr>
          <w:cantSplit/>
        </w:trPr>
        <w:tc>
          <w:tcPr>
            <w:tcW w:w="2235" w:type="dxa"/>
          </w:tcPr>
          <w:p w14:paraId="6C030958"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Sjælden:</w:t>
            </w:r>
          </w:p>
        </w:tc>
        <w:tc>
          <w:tcPr>
            <w:tcW w:w="7087" w:type="dxa"/>
          </w:tcPr>
          <w:p w14:paraId="4B8A68CF"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Katarakt, glaukom, papilødem</w:t>
            </w:r>
          </w:p>
        </w:tc>
      </w:tr>
      <w:tr w:rsidR="00FD10C4" w:rsidRPr="004C2A59" w14:paraId="1DF07C25" w14:textId="77777777" w:rsidTr="00A125B0">
        <w:trPr>
          <w:cantSplit/>
        </w:trPr>
        <w:tc>
          <w:tcPr>
            <w:tcW w:w="2235" w:type="dxa"/>
          </w:tcPr>
          <w:p w14:paraId="12838835" w14:textId="77777777" w:rsidR="00FD10C4" w:rsidRPr="004C2A59" w:rsidRDefault="00FD10C4" w:rsidP="00421681">
            <w:pPr>
              <w:tabs>
                <w:tab w:val="left" w:pos="567"/>
              </w:tabs>
              <w:rPr>
                <w:i/>
                <w:color w:val="000000"/>
                <w:sz w:val="22"/>
                <w:szCs w:val="22"/>
                <w:lang w:val="da-DK"/>
              </w:rPr>
            </w:pPr>
            <w:r w:rsidRPr="004C2A59">
              <w:rPr>
                <w:i/>
                <w:color w:val="000000"/>
                <w:sz w:val="22"/>
                <w:szCs w:val="22"/>
                <w:lang w:val="da-DK"/>
              </w:rPr>
              <w:t>Ikke kendt:</w:t>
            </w:r>
          </w:p>
        </w:tc>
        <w:tc>
          <w:tcPr>
            <w:tcW w:w="7087" w:type="dxa"/>
          </w:tcPr>
          <w:p w14:paraId="5B0D07C8" w14:textId="77777777" w:rsidR="00FD10C4" w:rsidRPr="004C2A59" w:rsidRDefault="00FD10C4" w:rsidP="00421681">
            <w:pPr>
              <w:tabs>
                <w:tab w:val="left" w:pos="567"/>
              </w:tabs>
              <w:rPr>
                <w:color w:val="000000"/>
                <w:sz w:val="22"/>
                <w:szCs w:val="22"/>
                <w:lang w:val="da-DK"/>
              </w:rPr>
            </w:pPr>
            <w:r w:rsidRPr="004C2A59">
              <w:rPr>
                <w:color w:val="000000"/>
                <w:sz w:val="22"/>
                <w:szCs w:val="22"/>
                <w:lang w:val="da-DK"/>
              </w:rPr>
              <w:t>Glaslegemeblødning*</w:t>
            </w:r>
          </w:p>
        </w:tc>
      </w:tr>
      <w:tr w:rsidR="00FD10C4" w:rsidRPr="004C2A59" w14:paraId="37D4E5DF" w14:textId="77777777" w:rsidTr="00A125B0">
        <w:trPr>
          <w:cantSplit/>
        </w:trPr>
        <w:tc>
          <w:tcPr>
            <w:tcW w:w="9322" w:type="dxa"/>
            <w:gridSpan w:val="2"/>
          </w:tcPr>
          <w:p w14:paraId="2DD74DEA" w14:textId="77777777" w:rsidR="00FD10C4" w:rsidRPr="004C2A59" w:rsidRDefault="00FD10C4" w:rsidP="00A125B0">
            <w:pPr>
              <w:keepNext/>
              <w:tabs>
                <w:tab w:val="left" w:pos="567"/>
              </w:tabs>
              <w:rPr>
                <w:color w:val="000000"/>
                <w:sz w:val="22"/>
                <w:szCs w:val="22"/>
                <w:lang w:val="da-DK"/>
              </w:rPr>
            </w:pPr>
            <w:r w:rsidRPr="004C2A59">
              <w:rPr>
                <w:b/>
                <w:color w:val="000000"/>
                <w:sz w:val="22"/>
                <w:szCs w:val="22"/>
                <w:lang w:val="da-DK"/>
              </w:rPr>
              <w:t>Øre og labyrint</w:t>
            </w:r>
          </w:p>
        </w:tc>
      </w:tr>
      <w:tr w:rsidR="00FD10C4" w:rsidRPr="00F852D1" w14:paraId="103EAC51" w14:textId="77777777" w:rsidTr="00A125B0">
        <w:trPr>
          <w:cantSplit/>
        </w:trPr>
        <w:tc>
          <w:tcPr>
            <w:tcW w:w="2235" w:type="dxa"/>
          </w:tcPr>
          <w:p w14:paraId="7D836A02" w14:textId="77777777" w:rsidR="00FD10C4" w:rsidRPr="004C2A59" w:rsidRDefault="00FD10C4" w:rsidP="00421681">
            <w:pPr>
              <w:tabs>
                <w:tab w:val="left" w:pos="567"/>
              </w:tabs>
              <w:rPr>
                <w:color w:val="000000"/>
                <w:sz w:val="22"/>
                <w:szCs w:val="22"/>
                <w:lang w:val="da-DK"/>
              </w:rPr>
            </w:pPr>
            <w:r w:rsidRPr="004C2A59">
              <w:rPr>
                <w:i/>
                <w:color w:val="000000"/>
                <w:sz w:val="22"/>
                <w:szCs w:val="22"/>
                <w:lang w:val="da-DK"/>
              </w:rPr>
              <w:t>Ikke almindelig:</w:t>
            </w:r>
          </w:p>
        </w:tc>
        <w:tc>
          <w:tcPr>
            <w:tcW w:w="7087" w:type="dxa"/>
          </w:tcPr>
          <w:p w14:paraId="3586D24D" w14:textId="77777777" w:rsidR="00FD10C4" w:rsidRPr="004C2A59" w:rsidRDefault="00FD10C4" w:rsidP="00421681">
            <w:pPr>
              <w:tabs>
                <w:tab w:val="left" w:pos="567"/>
              </w:tabs>
              <w:rPr>
                <w:color w:val="000000"/>
                <w:sz w:val="22"/>
                <w:szCs w:val="22"/>
                <w:lang w:val="da-DK"/>
              </w:rPr>
            </w:pPr>
            <w:r w:rsidRPr="004C2A59">
              <w:rPr>
                <w:color w:val="000000"/>
                <w:sz w:val="22"/>
                <w:szCs w:val="22"/>
                <w:lang w:val="da-DK"/>
              </w:rPr>
              <w:t>Vertigo, tinnitus, tab af hørelse</w:t>
            </w:r>
          </w:p>
        </w:tc>
      </w:tr>
      <w:tr w:rsidR="00FD10C4" w:rsidRPr="004C2A59" w14:paraId="7E0D4F5F" w14:textId="77777777" w:rsidTr="00A125B0">
        <w:trPr>
          <w:cantSplit/>
        </w:trPr>
        <w:tc>
          <w:tcPr>
            <w:tcW w:w="9322" w:type="dxa"/>
            <w:gridSpan w:val="2"/>
          </w:tcPr>
          <w:p w14:paraId="4F6558D2" w14:textId="77777777" w:rsidR="00FD10C4" w:rsidRPr="004C2A59" w:rsidRDefault="00FD10C4" w:rsidP="00A125B0">
            <w:pPr>
              <w:keepNext/>
              <w:tabs>
                <w:tab w:val="left" w:pos="567"/>
              </w:tabs>
              <w:rPr>
                <w:color w:val="000000"/>
                <w:sz w:val="22"/>
                <w:szCs w:val="22"/>
                <w:lang w:val="da-DK"/>
              </w:rPr>
            </w:pPr>
            <w:r w:rsidRPr="004C2A59">
              <w:rPr>
                <w:b/>
                <w:color w:val="000000"/>
                <w:sz w:val="22"/>
                <w:szCs w:val="22"/>
                <w:lang w:val="da-DK"/>
              </w:rPr>
              <w:t>Hjerte</w:t>
            </w:r>
          </w:p>
        </w:tc>
      </w:tr>
      <w:tr w:rsidR="00FD10C4" w:rsidRPr="004C2A59" w14:paraId="3A6A6470" w14:textId="77777777" w:rsidTr="00A125B0">
        <w:trPr>
          <w:cantSplit/>
        </w:trPr>
        <w:tc>
          <w:tcPr>
            <w:tcW w:w="2235" w:type="dxa"/>
          </w:tcPr>
          <w:p w14:paraId="5FAADC9B"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Ikke almindelig:</w:t>
            </w:r>
          </w:p>
        </w:tc>
        <w:tc>
          <w:tcPr>
            <w:tcW w:w="7087" w:type="dxa"/>
          </w:tcPr>
          <w:p w14:paraId="38DE1222" w14:textId="77777777" w:rsidR="00FD10C4" w:rsidRPr="004C2A59" w:rsidRDefault="00FD10C4" w:rsidP="00A125B0">
            <w:pPr>
              <w:keepNext/>
              <w:tabs>
                <w:tab w:val="left" w:pos="567"/>
              </w:tabs>
              <w:rPr>
                <w:color w:val="000000"/>
                <w:sz w:val="22"/>
                <w:szCs w:val="22"/>
              </w:rPr>
            </w:pPr>
            <w:r w:rsidRPr="004C2A59">
              <w:rPr>
                <w:color w:val="000000"/>
                <w:sz w:val="22"/>
                <w:szCs w:val="22"/>
              </w:rPr>
              <w:t xml:space="preserve">Palpitationer, </w:t>
            </w:r>
            <w:r w:rsidRPr="004C2A59">
              <w:rPr>
                <w:color w:val="000000"/>
                <w:sz w:val="22"/>
                <w:szCs w:val="22"/>
                <w:lang w:val="en-GB"/>
              </w:rPr>
              <w:t>takykardi,</w:t>
            </w:r>
            <w:r w:rsidRPr="004C2A59">
              <w:rPr>
                <w:color w:val="000000"/>
                <w:sz w:val="22"/>
                <w:szCs w:val="22"/>
              </w:rPr>
              <w:t xml:space="preserve"> h</w:t>
            </w:r>
            <w:r w:rsidRPr="004C2A59">
              <w:rPr>
                <w:color w:val="000000"/>
                <w:sz w:val="22"/>
                <w:szCs w:val="22"/>
                <w:lang w:val="en-GB"/>
              </w:rPr>
              <w:t>jerteinsufficiens</w:t>
            </w:r>
            <w:r w:rsidRPr="004C2A59">
              <w:rPr>
                <w:color w:val="000000"/>
                <w:sz w:val="22"/>
                <w:szCs w:val="22"/>
                <w:vertAlign w:val="superscript"/>
                <w:lang w:val="en-GB"/>
              </w:rPr>
              <w:t>3</w:t>
            </w:r>
            <w:r w:rsidRPr="004C2A59">
              <w:rPr>
                <w:color w:val="000000"/>
                <w:sz w:val="22"/>
                <w:szCs w:val="22"/>
                <w:lang w:val="en-GB"/>
              </w:rPr>
              <w:t>, lungeødem</w:t>
            </w:r>
          </w:p>
        </w:tc>
      </w:tr>
      <w:tr w:rsidR="00FD10C4" w:rsidRPr="00F852D1" w14:paraId="3E2BA048" w14:textId="77777777" w:rsidTr="00A125B0">
        <w:trPr>
          <w:cantSplit/>
        </w:trPr>
        <w:tc>
          <w:tcPr>
            <w:tcW w:w="2235" w:type="dxa"/>
          </w:tcPr>
          <w:p w14:paraId="1E9BFE79"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Sjælden:</w:t>
            </w:r>
          </w:p>
        </w:tc>
        <w:tc>
          <w:tcPr>
            <w:tcW w:w="7087" w:type="dxa"/>
          </w:tcPr>
          <w:p w14:paraId="617E1D01"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Arytmi, atrieflimren, hjertestop, myokardieinfarkt, angina pectoris, perikardiel effusion</w:t>
            </w:r>
          </w:p>
        </w:tc>
      </w:tr>
      <w:tr w:rsidR="00FD10C4" w:rsidRPr="004C2A59" w14:paraId="0DE40812" w14:textId="77777777" w:rsidTr="00A125B0">
        <w:trPr>
          <w:cantSplit/>
        </w:trPr>
        <w:tc>
          <w:tcPr>
            <w:tcW w:w="2235" w:type="dxa"/>
          </w:tcPr>
          <w:p w14:paraId="2AB0B9BB" w14:textId="77777777" w:rsidR="00FD10C4" w:rsidRPr="004C2A59" w:rsidRDefault="00FD10C4" w:rsidP="00421681">
            <w:pPr>
              <w:tabs>
                <w:tab w:val="left" w:pos="567"/>
              </w:tabs>
              <w:rPr>
                <w:i/>
                <w:color w:val="000000"/>
                <w:sz w:val="22"/>
                <w:szCs w:val="22"/>
                <w:lang w:val="da-DK"/>
              </w:rPr>
            </w:pPr>
            <w:r w:rsidRPr="004C2A59">
              <w:rPr>
                <w:i/>
                <w:color w:val="000000"/>
                <w:sz w:val="22"/>
                <w:szCs w:val="22"/>
                <w:lang w:val="da-DK"/>
              </w:rPr>
              <w:t>Ikke kendt:</w:t>
            </w:r>
          </w:p>
        </w:tc>
        <w:tc>
          <w:tcPr>
            <w:tcW w:w="7087" w:type="dxa"/>
          </w:tcPr>
          <w:p w14:paraId="58D21106" w14:textId="77777777" w:rsidR="00FD10C4" w:rsidRPr="004C2A59" w:rsidRDefault="00FD10C4" w:rsidP="00421681">
            <w:pPr>
              <w:tabs>
                <w:tab w:val="left" w:pos="567"/>
              </w:tabs>
              <w:rPr>
                <w:color w:val="000000"/>
                <w:sz w:val="22"/>
                <w:szCs w:val="22"/>
                <w:lang w:val="da-DK"/>
              </w:rPr>
            </w:pPr>
            <w:r w:rsidRPr="004C2A59">
              <w:rPr>
                <w:color w:val="000000"/>
                <w:sz w:val="22"/>
                <w:szCs w:val="22"/>
                <w:lang w:val="da-DK"/>
              </w:rPr>
              <w:t>Perikardit*, hjertetamponade*</w:t>
            </w:r>
          </w:p>
        </w:tc>
      </w:tr>
      <w:tr w:rsidR="00FD10C4" w:rsidRPr="004C2A59" w14:paraId="74CCA953" w14:textId="77777777" w:rsidTr="00A125B0">
        <w:trPr>
          <w:cantSplit/>
        </w:trPr>
        <w:tc>
          <w:tcPr>
            <w:tcW w:w="9322" w:type="dxa"/>
            <w:gridSpan w:val="2"/>
          </w:tcPr>
          <w:p w14:paraId="00165BCE" w14:textId="77777777" w:rsidR="00FD10C4" w:rsidRPr="004C2A59" w:rsidRDefault="00FD10C4" w:rsidP="00A125B0">
            <w:pPr>
              <w:keepNext/>
              <w:tabs>
                <w:tab w:val="left" w:pos="567"/>
              </w:tabs>
              <w:rPr>
                <w:color w:val="000000"/>
                <w:sz w:val="22"/>
                <w:szCs w:val="22"/>
                <w:lang w:val="da-DK"/>
              </w:rPr>
            </w:pPr>
            <w:r w:rsidRPr="004C2A59">
              <w:rPr>
                <w:b/>
                <w:color w:val="000000"/>
                <w:sz w:val="22"/>
                <w:szCs w:val="22"/>
                <w:lang w:val="da-DK"/>
              </w:rPr>
              <w:t>Vaskulære sygdomme</w:t>
            </w:r>
            <w:r w:rsidRPr="004C2A59">
              <w:rPr>
                <w:color w:val="000000"/>
                <w:sz w:val="22"/>
                <w:szCs w:val="22"/>
                <w:vertAlign w:val="superscript"/>
                <w:lang w:val="da-DK"/>
              </w:rPr>
              <w:t>4</w:t>
            </w:r>
          </w:p>
        </w:tc>
      </w:tr>
      <w:tr w:rsidR="00FD10C4" w:rsidRPr="004C2A59" w14:paraId="14167032" w14:textId="77777777" w:rsidTr="00A125B0">
        <w:trPr>
          <w:cantSplit/>
        </w:trPr>
        <w:tc>
          <w:tcPr>
            <w:tcW w:w="2235" w:type="dxa"/>
          </w:tcPr>
          <w:p w14:paraId="6A88DDE5" w14:textId="77777777" w:rsidR="00FD10C4" w:rsidRPr="004C2A59" w:rsidRDefault="00FD10C4" w:rsidP="00A125B0">
            <w:pPr>
              <w:keepNext/>
              <w:tabs>
                <w:tab w:val="left" w:pos="567"/>
              </w:tabs>
              <w:rPr>
                <w:i/>
                <w:color w:val="000000"/>
                <w:sz w:val="22"/>
                <w:szCs w:val="22"/>
                <w:lang w:val="da-DK"/>
              </w:rPr>
            </w:pPr>
            <w:r w:rsidRPr="004C2A59">
              <w:rPr>
                <w:i/>
                <w:color w:val="000000"/>
                <w:sz w:val="22"/>
                <w:szCs w:val="22"/>
                <w:lang w:val="da-DK"/>
              </w:rPr>
              <w:t>Almindelig:</w:t>
            </w:r>
          </w:p>
        </w:tc>
        <w:tc>
          <w:tcPr>
            <w:tcW w:w="7087" w:type="dxa"/>
          </w:tcPr>
          <w:p w14:paraId="1FB594B4"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Flushing</w:t>
            </w:r>
            <w:r w:rsidRPr="004C2A59">
              <w:rPr>
                <w:color w:val="000000"/>
                <w:sz w:val="22"/>
                <w:szCs w:val="22"/>
                <w:lang w:val="da-DK"/>
              </w:rPr>
              <w:t>, blødning</w:t>
            </w:r>
          </w:p>
        </w:tc>
      </w:tr>
      <w:tr w:rsidR="00FD10C4" w:rsidRPr="00DA2798" w14:paraId="14160E1D" w14:textId="77777777" w:rsidTr="00A125B0">
        <w:trPr>
          <w:cantSplit/>
        </w:trPr>
        <w:tc>
          <w:tcPr>
            <w:tcW w:w="2235" w:type="dxa"/>
          </w:tcPr>
          <w:p w14:paraId="3BDAE77C" w14:textId="77777777" w:rsidR="00FD10C4" w:rsidRPr="004C2A59" w:rsidDel="00655175" w:rsidRDefault="00FD10C4" w:rsidP="00A125B0">
            <w:pPr>
              <w:keepNext/>
              <w:tabs>
                <w:tab w:val="left" w:pos="567"/>
              </w:tabs>
              <w:rPr>
                <w:i/>
                <w:color w:val="000000"/>
                <w:sz w:val="22"/>
                <w:szCs w:val="22"/>
                <w:lang w:val="da-DK"/>
              </w:rPr>
            </w:pPr>
            <w:r w:rsidRPr="004C2A59">
              <w:rPr>
                <w:i/>
                <w:color w:val="000000"/>
                <w:sz w:val="22"/>
                <w:szCs w:val="22"/>
                <w:lang w:val="da-DK"/>
              </w:rPr>
              <w:t>Ikke almindelig:</w:t>
            </w:r>
          </w:p>
        </w:tc>
        <w:tc>
          <w:tcPr>
            <w:tcW w:w="7087" w:type="dxa"/>
          </w:tcPr>
          <w:p w14:paraId="57EF5829" w14:textId="77777777" w:rsidR="00FD10C4" w:rsidRPr="004C2A59" w:rsidDel="00655175" w:rsidRDefault="00FD10C4" w:rsidP="00A125B0">
            <w:pPr>
              <w:keepNext/>
              <w:tabs>
                <w:tab w:val="left" w:pos="567"/>
              </w:tabs>
              <w:rPr>
                <w:color w:val="000000"/>
                <w:sz w:val="22"/>
                <w:szCs w:val="22"/>
                <w:lang w:val="da-DK"/>
              </w:rPr>
            </w:pPr>
            <w:r w:rsidRPr="004C2A59">
              <w:rPr>
                <w:color w:val="000000"/>
                <w:sz w:val="22"/>
                <w:szCs w:val="22"/>
                <w:lang w:val="da-DK"/>
              </w:rPr>
              <w:t>Hypertension, hæmatom, subduralt hæmatom, kuldefornemmelser i ekstremiteter, hypotension, Raynaud’s syndrom</w:t>
            </w:r>
          </w:p>
        </w:tc>
      </w:tr>
      <w:tr w:rsidR="00FD10C4" w:rsidRPr="004C2A59" w14:paraId="1553AC8A" w14:textId="77777777" w:rsidTr="00A125B0">
        <w:trPr>
          <w:cantSplit/>
        </w:trPr>
        <w:tc>
          <w:tcPr>
            <w:tcW w:w="2235" w:type="dxa"/>
          </w:tcPr>
          <w:p w14:paraId="2D28339F" w14:textId="77777777" w:rsidR="00FD10C4" w:rsidRPr="004C2A59" w:rsidRDefault="00FD10C4" w:rsidP="00421681">
            <w:pPr>
              <w:tabs>
                <w:tab w:val="left" w:pos="567"/>
              </w:tabs>
              <w:rPr>
                <w:i/>
                <w:color w:val="000000"/>
                <w:sz w:val="22"/>
                <w:szCs w:val="22"/>
                <w:lang w:val="da-DK"/>
              </w:rPr>
            </w:pPr>
            <w:r w:rsidRPr="004C2A59">
              <w:rPr>
                <w:i/>
                <w:color w:val="000000"/>
                <w:sz w:val="22"/>
                <w:szCs w:val="22"/>
                <w:lang w:val="da-DK"/>
              </w:rPr>
              <w:t>Ikke kendt:</w:t>
            </w:r>
          </w:p>
        </w:tc>
        <w:tc>
          <w:tcPr>
            <w:tcW w:w="7087" w:type="dxa"/>
          </w:tcPr>
          <w:p w14:paraId="7A51205E" w14:textId="77777777" w:rsidR="00FD10C4" w:rsidRPr="004C2A59" w:rsidRDefault="00FD10C4" w:rsidP="00421681">
            <w:pPr>
              <w:tabs>
                <w:tab w:val="left" w:pos="567"/>
              </w:tabs>
              <w:rPr>
                <w:color w:val="000000"/>
                <w:sz w:val="22"/>
                <w:szCs w:val="22"/>
                <w:lang w:val="da-DK"/>
              </w:rPr>
            </w:pPr>
            <w:r w:rsidRPr="004C2A59">
              <w:rPr>
                <w:color w:val="000000"/>
                <w:sz w:val="22"/>
                <w:szCs w:val="22"/>
                <w:lang w:val="da-DK"/>
              </w:rPr>
              <w:t>Trombose/emboli*</w:t>
            </w:r>
          </w:p>
        </w:tc>
      </w:tr>
      <w:tr w:rsidR="00FD10C4" w:rsidRPr="004C2A59" w14:paraId="434CFBDC" w14:textId="77777777" w:rsidTr="00A125B0">
        <w:trPr>
          <w:cantSplit/>
        </w:trPr>
        <w:tc>
          <w:tcPr>
            <w:tcW w:w="9322" w:type="dxa"/>
            <w:gridSpan w:val="2"/>
          </w:tcPr>
          <w:p w14:paraId="460EDD4F" w14:textId="77777777" w:rsidR="00FD10C4" w:rsidRPr="004C2A59" w:rsidRDefault="00FD10C4" w:rsidP="00A125B0">
            <w:pPr>
              <w:keepNext/>
              <w:tabs>
                <w:tab w:val="left" w:pos="567"/>
              </w:tabs>
              <w:rPr>
                <w:color w:val="000000"/>
                <w:sz w:val="22"/>
                <w:szCs w:val="22"/>
              </w:rPr>
            </w:pPr>
            <w:r w:rsidRPr="004C2A59">
              <w:rPr>
                <w:b/>
                <w:color w:val="000000"/>
                <w:sz w:val="22"/>
                <w:szCs w:val="22"/>
              </w:rPr>
              <w:t>Luftveje, thorax og mediastinum</w:t>
            </w:r>
          </w:p>
        </w:tc>
      </w:tr>
      <w:tr w:rsidR="00FD10C4" w:rsidRPr="004C2A59" w14:paraId="549DA195" w14:textId="77777777" w:rsidTr="00A125B0">
        <w:trPr>
          <w:cantSplit/>
        </w:trPr>
        <w:tc>
          <w:tcPr>
            <w:tcW w:w="2235" w:type="dxa"/>
          </w:tcPr>
          <w:p w14:paraId="7B6710CB"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Almindelig:</w:t>
            </w:r>
          </w:p>
        </w:tc>
        <w:tc>
          <w:tcPr>
            <w:tcW w:w="7087" w:type="dxa"/>
          </w:tcPr>
          <w:p w14:paraId="3BFC2ED6"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Dyspnø, næseblod, hoste</w:t>
            </w:r>
          </w:p>
        </w:tc>
      </w:tr>
      <w:tr w:rsidR="00FD10C4" w:rsidRPr="004C2A59" w14:paraId="4D4CCB83" w14:textId="77777777" w:rsidTr="00A125B0">
        <w:trPr>
          <w:cantSplit/>
        </w:trPr>
        <w:tc>
          <w:tcPr>
            <w:tcW w:w="2235" w:type="dxa"/>
          </w:tcPr>
          <w:p w14:paraId="3E4CA2CD"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Ikke almindelig:</w:t>
            </w:r>
          </w:p>
        </w:tc>
        <w:tc>
          <w:tcPr>
            <w:tcW w:w="7087" w:type="dxa"/>
          </w:tcPr>
          <w:p w14:paraId="1D0E6BDD" w14:textId="77777777" w:rsidR="00FD10C4" w:rsidRPr="004C2A59" w:rsidRDefault="00FD10C4" w:rsidP="00A125B0">
            <w:pPr>
              <w:keepNext/>
              <w:tabs>
                <w:tab w:val="left" w:pos="567"/>
              </w:tabs>
              <w:rPr>
                <w:color w:val="000000"/>
                <w:sz w:val="22"/>
                <w:szCs w:val="22"/>
              </w:rPr>
            </w:pPr>
            <w:r w:rsidRPr="004C2A59">
              <w:rPr>
                <w:color w:val="000000"/>
                <w:sz w:val="22"/>
                <w:szCs w:val="22"/>
              </w:rPr>
              <w:t>Pleuraekssudat</w:t>
            </w:r>
            <w:r w:rsidRPr="004C2A59">
              <w:rPr>
                <w:color w:val="000000"/>
                <w:sz w:val="22"/>
                <w:szCs w:val="22"/>
                <w:vertAlign w:val="superscript"/>
              </w:rPr>
              <w:t>5</w:t>
            </w:r>
            <w:r w:rsidRPr="004C2A59">
              <w:rPr>
                <w:color w:val="000000"/>
                <w:sz w:val="22"/>
                <w:szCs w:val="22"/>
              </w:rPr>
              <w:t>, faryngolaryngeale smerter, pharyngitis</w:t>
            </w:r>
          </w:p>
        </w:tc>
      </w:tr>
      <w:tr w:rsidR="00FD10C4" w:rsidRPr="00F852D1" w14:paraId="30E9DFCC" w14:textId="77777777" w:rsidTr="00A125B0">
        <w:trPr>
          <w:cantSplit/>
        </w:trPr>
        <w:tc>
          <w:tcPr>
            <w:tcW w:w="2235" w:type="dxa"/>
          </w:tcPr>
          <w:p w14:paraId="16282C58"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Sjælden:</w:t>
            </w:r>
          </w:p>
        </w:tc>
        <w:tc>
          <w:tcPr>
            <w:tcW w:w="7087" w:type="dxa"/>
          </w:tcPr>
          <w:p w14:paraId="1E39F7F3"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Pleuralgi, lungefibrose, pulmonal hypertension, pulmonal blødning</w:t>
            </w:r>
          </w:p>
        </w:tc>
      </w:tr>
      <w:tr w:rsidR="00FD10C4" w:rsidRPr="004C2A59" w14:paraId="652DB26E" w14:textId="77777777" w:rsidTr="00A125B0">
        <w:trPr>
          <w:cantSplit/>
        </w:trPr>
        <w:tc>
          <w:tcPr>
            <w:tcW w:w="2235" w:type="dxa"/>
          </w:tcPr>
          <w:p w14:paraId="173B69A2" w14:textId="77777777" w:rsidR="00FD10C4" w:rsidRPr="004C2A59" w:rsidRDefault="00FD10C4" w:rsidP="00421681">
            <w:pPr>
              <w:tabs>
                <w:tab w:val="left" w:pos="567"/>
              </w:tabs>
              <w:rPr>
                <w:i/>
                <w:color w:val="000000"/>
                <w:sz w:val="22"/>
                <w:szCs w:val="22"/>
                <w:lang w:val="da-DK"/>
              </w:rPr>
            </w:pPr>
            <w:r w:rsidRPr="004C2A59">
              <w:rPr>
                <w:i/>
                <w:color w:val="000000"/>
                <w:sz w:val="22"/>
                <w:szCs w:val="22"/>
                <w:lang w:val="da-DK"/>
              </w:rPr>
              <w:t>Ikke kendt:</w:t>
            </w:r>
          </w:p>
        </w:tc>
        <w:tc>
          <w:tcPr>
            <w:tcW w:w="7087" w:type="dxa"/>
          </w:tcPr>
          <w:p w14:paraId="5D501B21" w14:textId="77777777" w:rsidR="00FD10C4" w:rsidRPr="004C2A59" w:rsidRDefault="00FD10C4" w:rsidP="00421681">
            <w:pPr>
              <w:tabs>
                <w:tab w:val="left" w:pos="567"/>
              </w:tabs>
              <w:rPr>
                <w:color w:val="000000"/>
                <w:sz w:val="22"/>
                <w:szCs w:val="22"/>
                <w:lang w:val="da-DK"/>
              </w:rPr>
            </w:pPr>
            <w:r w:rsidRPr="004C2A59">
              <w:rPr>
                <w:color w:val="000000"/>
                <w:sz w:val="22"/>
                <w:szCs w:val="22"/>
                <w:lang w:val="da-DK"/>
              </w:rPr>
              <w:t>Akut respirationssvigt</w:t>
            </w:r>
            <w:r w:rsidR="00B47AE8">
              <w:rPr>
                <w:color w:val="000000"/>
                <w:sz w:val="22"/>
                <w:szCs w:val="22"/>
                <w:vertAlign w:val="superscript"/>
                <w:lang w:val="da-DK"/>
              </w:rPr>
              <w:t>11</w:t>
            </w:r>
            <w:r w:rsidRPr="004C2A59">
              <w:rPr>
                <w:color w:val="000000"/>
                <w:sz w:val="22"/>
                <w:szCs w:val="22"/>
                <w:lang w:val="da-DK"/>
              </w:rPr>
              <w:t xml:space="preserve">*, </w:t>
            </w:r>
            <w:r w:rsidRPr="004C2A59">
              <w:rPr>
                <w:color w:val="000000"/>
                <w:sz w:val="22"/>
                <w:szCs w:val="22"/>
              </w:rPr>
              <w:t>interstitiel lungesygdom*</w:t>
            </w:r>
          </w:p>
        </w:tc>
      </w:tr>
      <w:tr w:rsidR="00FD10C4" w:rsidRPr="004C2A59" w14:paraId="4AC1ECE3" w14:textId="77777777" w:rsidTr="00A125B0">
        <w:trPr>
          <w:cantSplit/>
        </w:trPr>
        <w:tc>
          <w:tcPr>
            <w:tcW w:w="9322" w:type="dxa"/>
            <w:gridSpan w:val="2"/>
          </w:tcPr>
          <w:p w14:paraId="2522FFF4" w14:textId="77777777" w:rsidR="00FD10C4" w:rsidRPr="004C2A59" w:rsidRDefault="00FD10C4" w:rsidP="00A125B0">
            <w:pPr>
              <w:keepNext/>
              <w:tabs>
                <w:tab w:val="left" w:pos="567"/>
              </w:tabs>
              <w:rPr>
                <w:color w:val="000000"/>
                <w:sz w:val="22"/>
                <w:szCs w:val="22"/>
                <w:lang w:val="da-DK"/>
              </w:rPr>
            </w:pPr>
            <w:r w:rsidRPr="004C2A59">
              <w:rPr>
                <w:b/>
                <w:color w:val="000000"/>
                <w:sz w:val="22"/>
                <w:szCs w:val="22"/>
                <w:lang w:val="da-DK"/>
              </w:rPr>
              <w:t>Mave-tarm-kanalen</w:t>
            </w:r>
          </w:p>
        </w:tc>
      </w:tr>
      <w:tr w:rsidR="00FD10C4" w:rsidRPr="00F852D1" w14:paraId="2C344ECD" w14:textId="77777777" w:rsidTr="00A125B0">
        <w:trPr>
          <w:cantSplit/>
        </w:trPr>
        <w:tc>
          <w:tcPr>
            <w:tcW w:w="2235" w:type="dxa"/>
          </w:tcPr>
          <w:p w14:paraId="0CA9919E"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Meget almindelig:</w:t>
            </w:r>
          </w:p>
        </w:tc>
        <w:tc>
          <w:tcPr>
            <w:tcW w:w="7087" w:type="dxa"/>
          </w:tcPr>
          <w:p w14:paraId="60440302" w14:textId="77777777" w:rsidR="00FD10C4" w:rsidRPr="00F852D1" w:rsidRDefault="00FD10C4" w:rsidP="00A125B0">
            <w:pPr>
              <w:keepNext/>
              <w:tabs>
                <w:tab w:val="left" w:pos="567"/>
              </w:tabs>
              <w:rPr>
                <w:color w:val="000000"/>
                <w:sz w:val="22"/>
                <w:szCs w:val="22"/>
                <w:lang w:val="da-DK"/>
              </w:rPr>
            </w:pPr>
            <w:r w:rsidRPr="00F852D1">
              <w:rPr>
                <w:color w:val="000000"/>
                <w:sz w:val="22"/>
                <w:szCs w:val="22"/>
                <w:lang w:val="da-DK"/>
              </w:rPr>
              <w:t>Kvalme, diarré, opkast, dyspepsi, abdominalsmerter</w:t>
            </w:r>
            <w:r w:rsidRPr="00F852D1">
              <w:rPr>
                <w:color w:val="000000"/>
                <w:sz w:val="22"/>
                <w:szCs w:val="22"/>
                <w:vertAlign w:val="superscript"/>
                <w:lang w:val="da-DK"/>
              </w:rPr>
              <w:t>6</w:t>
            </w:r>
          </w:p>
        </w:tc>
      </w:tr>
      <w:tr w:rsidR="00FD10C4" w:rsidRPr="00F852D1" w14:paraId="045EC626" w14:textId="77777777" w:rsidTr="00A125B0">
        <w:trPr>
          <w:cantSplit/>
        </w:trPr>
        <w:tc>
          <w:tcPr>
            <w:tcW w:w="2235" w:type="dxa"/>
          </w:tcPr>
          <w:p w14:paraId="6DBFD79A"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Almindelig:</w:t>
            </w:r>
          </w:p>
        </w:tc>
        <w:tc>
          <w:tcPr>
            <w:tcW w:w="7087" w:type="dxa"/>
          </w:tcPr>
          <w:p w14:paraId="73BF1392"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Flatulens, abdominal udspilling, gastrooesophageal refluks, obstipation, mundtørhed, gastritis</w:t>
            </w:r>
          </w:p>
        </w:tc>
      </w:tr>
      <w:tr w:rsidR="00FD10C4" w:rsidRPr="00F852D1" w14:paraId="7D7F3905" w14:textId="77777777" w:rsidTr="00A125B0">
        <w:trPr>
          <w:cantSplit/>
        </w:trPr>
        <w:tc>
          <w:tcPr>
            <w:tcW w:w="2235" w:type="dxa"/>
          </w:tcPr>
          <w:p w14:paraId="42E447E4"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Ikke almindelig:</w:t>
            </w:r>
          </w:p>
        </w:tc>
        <w:tc>
          <w:tcPr>
            <w:tcW w:w="7087" w:type="dxa"/>
          </w:tcPr>
          <w:p w14:paraId="4AA6D67C"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Stomatitis, mundulcera, gastrointestinalblødning</w:t>
            </w:r>
            <w:r w:rsidRPr="004C2A59">
              <w:rPr>
                <w:color w:val="000000"/>
                <w:sz w:val="22"/>
                <w:szCs w:val="22"/>
                <w:vertAlign w:val="superscript"/>
                <w:lang w:val="da-DK"/>
              </w:rPr>
              <w:t>7</w:t>
            </w:r>
            <w:r w:rsidRPr="004C2A59">
              <w:rPr>
                <w:color w:val="000000"/>
                <w:sz w:val="22"/>
                <w:szCs w:val="22"/>
                <w:lang w:val="da-DK"/>
              </w:rPr>
              <w:t>, sure opstød, melæna, betændelse i spiserøret, ascites, mavesår, hæmatemese, cheilitis, dysfagi, pankreatitis</w:t>
            </w:r>
          </w:p>
        </w:tc>
      </w:tr>
      <w:tr w:rsidR="00FD10C4" w:rsidRPr="004C2A59" w14:paraId="5E1E34E1" w14:textId="77777777" w:rsidTr="00A125B0">
        <w:trPr>
          <w:cantSplit/>
        </w:trPr>
        <w:tc>
          <w:tcPr>
            <w:tcW w:w="2235" w:type="dxa"/>
          </w:tcPr>
          <w:p w14:paraId="14BB7D30"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Sjælden:</w:t>
            </w:r>
          </w:p>
        </w:tc>
        <w:tc>
          <w:tcPr>
            <w:tcW w:w="7087" w:type="dxa"/>
          </w:tcPr>
          <w:p w14:paraId="77BE6463" w14:textId="77777777" w:rsidR="00FD10C4" w:rsidRPr="004C2A59" w:rsidRDefault="00FD10C4" w:rsidP="00A125B0">
            <w:pPr>
              <w:keepNext/>
              <w:tabs>
                <w:tab w:val="left" w:pos="567"/>
              </w:tabs>
              <w:rPr>
                <w:snapToGrid w:val="0"/>
                <w:color w:val="000000"/>
                <w:sz w:val="22"/>
                <w:szCs w:val="22"/>
              </w:rPr>
            </w:pPr>
            <w:r w:rsidRPr="004C2A59">
              <w:rPr>
                <w:color w:val="000000"/>
                <w:sz w:val="22"/>
                <w:szCs w:val="22"/>
              </w:rPr>
              <w:t xml:space="preserve">Colitis, </w:t>
            </w:r>
            <w:r w:rsidRPr="004C2A59">
              <w:rPr>
                <w:snapToGrid w:val="0"/>
                <w:color w:val="000000"/>
                <w:sz w:val="22"/>
                <w:szCs w:val="22"/>
              </w:rPr>
              <w:t>ileus, inflammatorisk tarmsygdom</w:t>
            </w:r>
          </w:p>
        </w:tc>
      </w:tr>
      <w:tr w:rsidR="00FD10C4" w:rsidRPr="004C2A59" w14:paraId="37544738" w14:textId="77777777" w:rsidTr="00A125B0">
        <w:trPr>
          <w:cantSplit/>
        </w:trPr>
        <w:tc>
          <w:tcPr>
            <w:tcW w:w="2235" w:type="dxa"/>
          </w:tcPr>
          <w:p w14:paraId="47DF92F3" w14:textId="77777777" w:rsidR="00FD10C4" w:rsidRPr="004C2A59" w:rsidRDefault="00FD10C4" w:rsidP="00421681">
            <w:pPr>
              <w:tabs>
                <w:tab w:val="left" w:pos="567"/>
              </w:tabs>
              <w:rPr>
                <w:i/>
                <w:color w:val="000000"/>
                <w:sz w:val="22"/>
                <w:szCs w:val="22"/>
                <w:lang w:val="da-DK"/>
              </w:rPr>
            </w:pPr>
            <w:r w:rsidRPr="004C2A59">
              <w:rPr>
                <w:i/>
                <w:color w:val="000000"/>
                <w:sz w:val="22"/>
                <w:szCs w:val="22"/>
                <w:lang w:val="da-DK"/>
              </w:rPr>
              <w:t>Ikke kendt:</w:t>
            </w:r>
          </w:p>
        </w:tc>
        <w:tc>
          <w:tcPr>
            <w:tcW w:w="7087" w:type="dxa"/>
          </w:tcPr>
          <w:p w14:paraId="67154DBD" w14:textId="77777777" w:rsidR="00FD10C4" w:rsidRPr="004C2A59" w:rsidRDefault="00FD10C4" w:rsidP="00421681">
            <w:pPr>
              <w:tabs>
                <w:tab w:val="left" w:pos="567"/>
              </w:tabs>
              <w:rPr>
                <w:color w:val="000000"/>
                <w:sz w:val="22"/>
                <w:szCs w:val="22"/>
              </w:rPr>
            </w:pPr>
            <w:r w:rsidRPr="004C2A59">
              <w:rPr>
                <w:color w:val="000000"/>
                <w:sz w:val="22"/>
                <w:szCs w:val="22"/>
                <w:lang w:val="fr-FR"/>
              </w:rPr>
              <w:t>Ileus/intestinal obstruktion</w:t>
            </w:r>
            <w:r w:rsidRPr="004C2A59">
              <w:rPr>
                <w:color w:val="000000"/>
                <w:szCs w:val="22"/>
                <w:lang w:val="fr-FR"/>
              </w:rPr>
              <w:t>*</w:t>
            </w:r>
            <w:r w:rsidRPr="004C2A59">
              <w:rPr>
                <w:color w:val="000000"/>
                <w:sz w:val="22"/>
                <w:szCs w:val="22"/>
                <w:lang w:val="fr-FR"/>
              </w:rPr>
              <w:t xml:space="preserve">, gastrointestinal perforation*, diverticulitis*, </w:t>
            </w:r>
            <w:r w:rsidRPr="004C2A59">
              <w:rPr>
                <w:i/>
                <w:snapToGrid w:val="0"/>
                <w:color w:val="000000"/>
                <w:sz w:val="22"/>
                <w:szCs w:val="22"/>
              </w:rPr>
              <w:t>gastric antral vascular ectasia</w:t>
            </w:r>
            <w:r w:rsidRPr="004C2A59">
              <w:rPr>
                <w:snapToGrid w:val="0"/>
                <w:color w:val="000000"/>
                <w:sz w:val="22"/>
                <w:szCs w:val="22"/>
              </w:rPr>
              <w:t xml:space="preserve"> (GAVE)*</w:t>
            </w:r>
          </w:p>
        </w:tc>
      </w:tr>
      <w:tr w:rsidR="00FD10C4" w:rsidRPr="004C2A59" w14:paraId="38DBA12C" w14:textId="77777777" w:rsidTr="00A125B0">
        <w:trPr>
          <w:cantSplit/>
        </w:trPr>
        <w:tc>
          <w:tcPr>
            <w:tcW w:w="9322" w:type="dxa"/>
            <w:gridSpan w:val="2"/>
          </w:tcPr>
          <w:p w14:paraId="373CF6FA" w14:textId="77777777" w:rsidR="00FD10C4" w:rsidRPr="004C2A59" w:rsidRDefault="00FD10C4" w:rsidP="00A125B0">
            <w:pPr>
              <w:keepNext/>
              <w:tabs>
                <w:tab w:val="left" w:pos="567"/>
              </w:tabs>
              <w:rPr>
                <w:snapToGrid w:val="0"/>
                <w:color w:val="000000"/>
                <w:sz w:val="22"/>
                <w:szCs w:val="22"/>
                <w:lang w:val="da-DK"/>
              </w:rPr>
            </w:pPr>
            <w:r w:rsidRPr="004C2A59">
              <w:rPr>
                <w:b/>
                <w:color w:val="000000"/>
                <w:sz w:val="22"/>
                <w:szCs w:val="22"/>
                <w:lang w:val="da-DK"/>
              </w:rPr>
              <w:t>Lever og galdeveje</w:t>
            </w:r>
          </w:p>
        </w:tc>
      </w:tr>
      <w:tr w:rsidR="00FD10C4" w:rsidRPr="004C2A59" w14:paraId="228E4868" w14:textId="77777777" w:rsidTr="00A125B0">
        <w:trPr>
          <w:cantSplit/>
        </w:trPr>
        <w:tc>
          <w:tcPr>
            <w:tcW w:w="2235" w:type="dxa"/>
          </w:tcPr>
          <w:p w14:paraId="5CC2F258" w14:textId="77777777" w:rsidR="00FD10C4" w:rsidRPr="004C2A59" w:rsidRDefault="00FD10C4" w:rsidP="00A125B0">
            <w:pPr>
              <w:keepNext/>
              <w:tabs>
                <w:tab w:val="left" w:pos="567"/>
              </w:tabs>
              <w:rPr>
                <w:i/>
                <w:color w:val="000000"/>
                <w:sz w:val="22"/>
                <w:szCs w:val="22"/>
                <w:lang w:val="da-DK"/>
              </w:rPr>
            </w:pPr>
            <w:r w:rsidRPr="004C2A59">
              <w:rPr>
                <w:i/>
                <w:color w:val="000000"/>
                <w:sz w:val="22"/>
                <w:szCs w:val="22"/>
                <w:lang w:val="da-DK"/>
              </w:rPr>
              <w:t>Almindelig:</w:t>
            </w:r>
          </w:p>
        </w:tc>
        <w:tc>
          <w:tcPr>
            <w:tcW w:w="7087" w:type="dxa"/>
          </w:tcPr>
          <w:p w14:paraId="3DD8003F"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Forhøjede leverenzymer</w:t>
            </w:r>
          </w:p>
        </w:tc>
      </w:tr>
      <w:tr w:rsidR="00FD10C4" w:rsidRPr="004C2A59" w14:paraId="16664AF3" w14:textId="77777777" w:rsidTr="00A125B0">
        <w:trPr>
          <w:cantSplit/>
        </w:trPr>
        <w:tc>
          <w:tcPr>
            <w:tcW w:w="2235" w:type="dxa"/>
          </w:tcPr>
          <w:p w14:paraId="477C7740" w14:textId="77777777" w:rsidR="00FD10C4" w:rsidRPr="004C2A59" w:rsidRDefault="00FD10C4" w:rsidP="00A125B0">
            <w:pPr>
              <w:keepNext/>
              <w:tabs>
                <w:tab w:val="left" w:pos="567"/>
              </w:tabs>
              <w:rPr>
                <w:i/>
                <w:color w:val="000000"/>
                <w:sz w:val="22"/>
                <w:szCs w:val="22"/>
                <w:lang w:val="da-DK"/>
              </w:rPr>
            </w:pPr>
            <w:r w:rsidRPr="004C2A59">
              <w:rPr>
                <w:i/>
                <w:color w:val="000000"/>
                <w:sz w:val="22"/>
                <w:szCs w:val="22"/>
                <w:lang w:val="da-DK"/>
              </w:rPr>
              <w:t>Ikke almindelig:</w:t>
            </w:r>
          </w:p>
        </w:tc>
        <w:tc>
          <w:tcPr>
            <w:tcW w:w="7087" w:type="dxa"/>
          </w:tcPr>
          <w:p w14:paraId="0CF7B84E"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Hyperbilirubinæmi, hepatitis, gulsot</w:t>
            </w:r>
          </w:p>
        </w:tc>
      </w:tr>
      <w:tr w:rsidR="00FD10C4" w:rsidRPr="004C2A59" w14:paraId="4B8E2FB2" w14:textId="77777777" w:rsidTr="00A125B0">
        <w:trPr>
          <w:cantSplit/>
        </w:trPr>
        <w:tc>
          <w:tcPr>
            <w:tcW w:w="2235" w:type="dxa"/>
          </w:tcPr>
          <w:p w14:paraId="6D56121C" w14:textId="77777777" w:rsidR="00FD10C4" w:rsidRPr="004C2A59" w:rsidRDefault="00FD10C4" w:rsidP="00421681">
            <w:pPr>
              <w:tabs>
                <w:tab w:val="left" w:pos="567"/>
              </w:tabs>
              <w:rPr>
                <w:i/>
                <w:color w:val="000000"/>
                <w:sz w:val="22"/>
                <w:szCs w:val="22"/>
                <w:lang w:val="da-DK"/>
              </w:rPr>
            </w:pPr>
            <w:r w:rsidRPr="004C2A59">
              <w:rPr>
                <w:i/>
                <w:color w:val="000000"/>
                <w:sz w:val="22"/>
                <w:szCs w:val="22"/>
                <w:lang w:val="da-DK"/>
              </w:rPr>
              <w:t>Sjælden:</w:t>
            </w:r>
          </w:p>
        </w:tc>
        <w:tc>
          <w:tcPr>
            <w:tcW w:w="7087" w:type="dxa"/>
          </w:tcPr>
          <w:p w14:paraId="1A01A11A" w14:textId="77777777" w:rsidR="00FD10C4" w:rsidRPr="004C2A59" w:rsidRDefault="00FD10C4" w:rsidP="00421681">
            <w:pPr>
              <w:tabs>
                <w:tab w:val="left" w:pos="567"/>
              </w:tabs>
              <w:rPr>
                <w:color w:val="000000"/>
                <w:sz w:val="22"/>
                <w:szCs w:val="22"/>
                <w:lang w:val="da-DK"/>
              </w:rPr>
            </w:pPr>
            <w:r w:rsidRPr="004C2A59">
              <w:rPr>
                <w:color w:val="000000"/>
                <w:sz w:val="22"/>
                <w:szCs w:val="22"/>
                <w:lang w:val="da-DK"/>
              </w:rPr>
              <w:t>Leversvigt</w:t>
            </w:r>
            <w:r w:rsidRPr="004C2A59">
              <w:rPr>
                <w:color w:val="000000"/>
                <w:sz w:val="22"/>
                <w:szCs w:val="22"/>
                <w:vertAlign w:val="superscript"/>
                <w:lang w:val="da-DK"/>
              </w:rPr>
              <w:t>8</w:t>
            </w:r>
            <w:r w:rsidRPr="004C2A59">
              <w:rPr>
                <w:color w:val="000000"/>
                <w:sz w:val="22"/>
                <w:szCs w:val="22"/>
                <w:lang w:val="da-DK"/>
              </w:rPr>
              <w:t>, levernekrose</w:t>
            </w:r>
          </w:p>
        </w:tc>
      </w:tr>
      <w:tr w:rsidR="00FD10C4" w:rsidRPr="004C2A59" w14:paraId="3445498F" w14:textId="77777777" w:rsidTr="00A125B0">
        <w:trPr>
          <w:cantSplit/>
        </w:trPr>
        <w:tc>
          <w:tcPr>
            <w:tcW w:w="9322" w:type="dxa"/>
            <w:gridSpan w:val="2"/>
          </w:tcPr>
          <w:p w14:paraId="28C8A3EB" w14:textId="77777777" w:rsidR="00FD10C4" w:rsidRPr="004C2A59" w:rsidRDefault="00FD10C4" w:rsidP="00A125B0">
            <w:pPr>
              <w:keepNext/>
              <w:tabs>
                <w:tab w:val="left" w:pos="567"/>
              </w:tabs>
              <w:rPr>
                <w:color w:val="000000"/>
                <w:sz w:val="22"/>
                <w:szCs w:val="22"/>
              </w:rPr>
            </w:pPr>
            <w:r w:rsidRPr="004C2A59">
              <w:rPr>
                <w:b/>
                <w:color w:val="000000"/>
                <w:sz w:val="22"/>
                <w:szCs w:val="22"/>
              </w:rPr>
              <w:t>Hud og subkutane væv</w:t>
            </w:r>
          </w:p>
        </w:tc>
      </w:tr>
      <w:tr w:rsidR="00FD10C4" w:rsidRPr="00F852D1" w14:paraId="43D1784E" w14:textId="77777777" w:rsidTr="00A125B0">
        <w:trPr>
          <w:cantSplit/>
        </w:trPr>
        <w:tc>
          <w:tcPr>
            <w:tcW w:w="2235" w:type="dxa"/>
          </w:tcPr>
          <w:p w14:paraId="6123CEF6"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Meget almindelig:</w:t>
            </w:r>
          </w:p>
        </w:tc>
        <w:tc>
          <w:tcPr>
            <w:tcW w:w="7087" w:type="dxa"/>
          </w:tcPr>
          <w:p w14:paraId="35C78F4E"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Periorbitalt ødem, dermatitis/eksem/udslæt</w:t>
            </w:r>
          </w:p>
        </w:tc>
      </w:tr>
      <w:tr w:rsidR="00FD10C4" w:rsidRPr="00F852D1" w14:paraId="44C6784D" w14:textId="77777777" w:rsidTr="00A125B0">
        <w:trPr>
          <w:cantSplit/>
        </w:trPr>
        <w:tc>
          <w:tcPr>
            <w:tcW w:w="2235" w:type="dxa"/>
          </w:tcPr>
          <w:p w14:paraId="5601216D"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Almindelig:</w:t>
            </w:r>
          </w:p>
        </w:tc>
        <w:tc>
          <w:tcPr>
            <w:tcW w:w="7087" w:type="dxa"/>
          </w:tcPr>
          <w:p w14:paraId="046C2B51"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Pruritus, ansigtsødem, tør hud, erythem, alopeci, natlig svedtendens, lysoverfølsomhedsreaktion</w:t>
            </w:r>
          </w:p>
        </w:tc>
      </w:tr>
      <w:tr w:rsidR="00FD10C4" w:rsidRPr="00F852D1" w14:paraId="2519079A" w14:textId="77777777" w:rsidTr="00A125B0">
        <w:trPr>
          <w:cantSplit/>
        </w:trPr>
        <w:tc>
          <w:tcPr>
            <w:tcW w:w="2235" w:type="dxa"/>
          </w:tcPr>
          <w:p w14:paraId="0D01EC74"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Ikke almindelig:</w:t>
            </w:r>
          </w:p>
        </w:tc>
        <w:tc>
          <w:tcPr>
            <w:tcW w:w="7087" w:type="dxa"/>
          </w:tcPr>
          <w:p w14:paraId="1DD8E6C0"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Pustuløst udslæt, kontusion, øget svedtendens, urticaria, ecchymose, let til knubs og mærker, hypotrichosis, hypopigmentering af huden, dermatitis exfoliativa, onychoclasi, folliculitis, petechier, psoriasis, purpura, hyperpigmentering af huden, bulløst udslæt</w:t>
            </w:r>
          </w:p>
        </w:tc>
      </w:tr>
      <w:tr w:rsidR="00FD10C4" w:rsidRPr="00F852D1" w14:paraId="5A9B40BF" w14:textId="77777777" w:rsidTr="00A125B0">
        <w:trPr>
          <w:cantSplit/>
        </w:trPr>
        <w:tc>
          <w:tcPr>
            <w:tcW w:w="2235" w:type="dxa"/>
          </w:tcPr>
          <w:p w14:paraId="4C456D18"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Sjælden:</w:t>
            </w:r>
          </w:p>
        </w:tc>
        <w:tc>
          <w:tcPr>
            <w:tcW w:w="7087" w:type="dxa"/>
          </w:tcPr>
          <w:p w14:paraId="1E771CDE"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Akut febril neutrofil dermatose (Sweets syndrom), misfarvning af negle, angioødem, vesikulært udslæt, erythema multiforme, leukocytoklastisk vasculitis, Stevens-Johnson syndrom, akut generaliseret eksantematøs pustulose (AGEP)</w:t>
            </w:r>
          </w:p>
        </w:tc>
      </w:tr>
      <w:tr w:rsidR="00FD10C4" w:rsidRPr="00DA2798" w14:paraId="01AD9DB0" w14:textId="77777777" w:rsidTr="00A125B0">
        <w:trPr>
          <w:cantSplit/>
        </w:trPr>
        <w:tc>
          <w:tcPr>
            <w:tcW w:w="2235" w:type="dxa"/>
          </w:tcPr>
          <w:p w14:paraId="110FBFE6" w14:textId="77777777" w:rsidR="00FD10C4" w:rsidRPr="004C2A59" w:rsidRDefault="00A125B0" w:rsidP="00421681">
            <w:pPr>
              <w:tabs>
                <w:tab w:val="left" w:pos="567"/>
              </w:tabs>
              <w:rPr>
                <w:i/>
                <w:color w:val="000000"/>
                <w:sz w:val="22"/>
                <w:szCs w:val="22"/>
                <w:lang w:val="da-DK"/>
              </w:rPr>
            </w:pPr>
            <w:r>
              <w:rPr>
                <w:i/>
                <w:color w:val="000000"/>
                <w:sz w:val="22"/>
                <w:szCs w:val="22"/>
                <w:lang w:val="da-DK"/>
              </w:rPr>
              <w:t>Ikke kendt:</w:t>
            </w:r>
          </w:p>
        </w:tc>
        <w:tc>
          <w:tcPr>
            <w:tcW w:w="7087" w:type="dxa"/>
          </w:tcPr>
          <w:p w14:paraId="24418C3C" w14:textId="77777777" w:rsidR="00FD10C4" w:rsidRPr="004C2A59" w:rsidRDefault="00FD10C4" w:rsidP="00421681">
            <w:pPr>
              <w:tabs>
                <w:tab w:val="left" w:pos="567"/>
              </w:tabs>
              <w:rPr>
                <w:color w:val="000000"/>
                <w:sz w:val="22"/>
                <w:szCs w:val="22"/>
                <w:lang w:val="da-DK"/>
              </w:rPr>
            </w:pPr>
            <w:r w:rsidRPr="004C2A59">
              <w:rPr>
                <w:color w:val="000000"/>
                <w:sz w:val="22"/>
                <w:szCs w:val="22"/>
                <w:lang w:val="da-DK"/>
              </w:rPr>
              <w:t xml:space="preserve">Palmoplantar erytrodysæstesi syndrom*, lichenoid keratosis*, lichen planus*, toksisk epidermal nekrolyse*, </w:t>
            </w:r>
            <w:r w:rsidRPr="004C2A59">
              <w:rPr>
                <w:bCs/>
                <w:sz w:val="22"/>
                <w:szCs w:val="22"/>
                <w:lang w:val="da-DK"/>
              </w:rPr>
              <w:t>medikamentelt udslæt med eosinofili og systemiske symptomer (DRESS)*</w:t>
            </w:r>
            <w:r w:rsidR="005133CC" w:rsidRPr="00B71B3E">
              <w:rPr>
                <w:color w:val="000000"/>
                <w:sz w:val="22"/>
                <w:szCs w:val="22"/>
                <w:lang w:val="da-DK"/>
              </w:rPr>
              <w:t>, pseudoporfyri*</w:t>
            </w:r>
          </w:p>
        </w:tc>
      </w:tr>
      <w:tr w:rsidR="00FD10C4" w:rsidRPr="00F852D1" w14:paraId="63DBBCE4" w14:textId="77777777" w:rsidTr="00A125B0">
        <w:trPr>
          <w:cantSplit/>
        </w:trPr>
        <w:tc>
          <w:tcPr>
            <w:tcW w:w="9322" w:type="dxa"/>
            <w:gridSpan w:val="2"/>
          </w:tcPr>
          <w:p w14:paraId="7C870BC7" w14:textId="77777777" w:rsidR="00FD10C4" w:rsidRPr="004C2A59" w:rsidRDefault="00FD10C4" w:rsidP="00A125B0">
            <w:pPr>
              <w:keepNext/>
              <w:tabs>
                <w:tab w:val="left" w:pos="567"/>
              </w:tabs>
              <w:rPr>
                <w:color w:val="000000"/>
                <w:sz w:val="22"/>
                <w:szCs w:val="22"/>
                <w:lang w:val="da-DK"/>
              </w:rPr>
            </w:pPr>
            <w:r w:rsidRPr="004C2A59">
              <w:rPr>
                <w:b/>
                <w:color w:val="000000"/>
                <w:sz w:val="22"/>
                <w:szCs w:val="22"/>
                <w:lang w:val="da-DK"/>
              </w:rPr>
              <w:lastRenderedPageBreak/>
              <w:t>Knogler, led, muskler og bindevæv</w:t>
            </w:r>
          </w:p>
        </w:tc>
      </w:tr>
      <w:tr w:rsidR="00FD10C4" w:rsidRPr="00DA2798" w14:paraId="468DC9CB" w14:textId="77777777" w:rsidTr="00A125B0">
        <w:trPr>
          <w:cantSplit/>
        </w:trPr>
        <w:tc>
          <w:tcPr>
            <w:tcW w:w="2235" w:type="dxa"/>
          </w:tcPr>
          <w:p w14:paraId="7FEA6173" w14:textId="77777777" w:rsidR="00FD10C4" w:rsidRPr="004C2A59" w:rsidRDefault="00FD10C4" w:rsidP="00A125B0">
            <w:pPr>
              <w:keepNext/>
              <w:tabs>
                <w:tab w:val="left" w:pos="567"/>
              </w:tabs>
              <w:rPr>
                <w:i/>
                <w:color w:val="000000"/>
                <w:sz w:val="22"/>
                <w:szCs w:val="22"/>
                <w:lang w:val="da-DK"/>
              </w:rPr>
            </w:pPr>
            <w:r w:rsidRPr="004C2A59">
              <w:rPr>
                <w:i/>
                <w:color w:val="000000"/>
                <w:sz w:val="22"/>
                <w:szCs w:val="22"/>
                <w:lang w:val="da-DK"/>
              </w:rPr>
              <w:t>Meget almindelig:</w:t>
            </w:r>
          </w:p>
        </w:tc>
        <w:tc>
          <w:tcPr>
            <w:tcW w:w="7087" w:type="dxa"/>
          </w:tcPr>
          <w:p w14:paraId="5DA964D3" w14:textId="77777777" w:rsidR="00FD10C4" w:rsidRPr="004C2A59" w:rsidRDefault="00FD10C4" w:rsidP="00A125B0">
            <w:pPr>
              <w:keepNext/>
              <w:tabs>
                <w:tab w:val="left" w:pos="567"/>
              </w:tabs>
              <w:rPr>
                <w:color w:val="000000"/>
                <w:sz w:val="22"/>
                <w:szCs w:val="22"/>
                <w:vertAlign w:val="superscript"/>
                <w:lang w:val="da-DK"/>
              </w:rPr>
            </w:pPr>
            <w:r w:rsidRPr="004C2A59">
              <w:rPr>
                <w:color w:val="000000"/>
                <w:sz w:val="22"/>
                <w:szCs w:val="22"/>
                <w:lang w:val="da-DK"/>
              </w:rPr>
              <w:t>Muskelspasmer og kramper, muskuloskeletale smerter herunder myalgi</w:t>
            </w:r>
            <w:r w:rsidR="00B47AE8">
              <w:rPr>
                <w:color w:val="000000"/>
                <w:sz w:val="22"/>
                <w:szCs w:val="22"/>
                <w:vertAlign w:val="superscript"/>
                <w:lang w:val="da-DK"/>
              </w:rPr>
              <w:t>9</w:t>
            </w:r>
            <w:r w:rsidRPr="004C2A59">
              <w:rPr>
                <w:color w:val="000000"/>
                <w:sz w:val="22"/>
                <w:szCs w:val="22"/>
                <w:lang w:val="da-DK"/>
              </w:rPr>
              <w:t>, artralgi, knoglesmerter</w:t>
            </w:r>
            <w:r w:rsidR="00B47AE8">
              <w:rPr>
                <w:color w:val="000000"/>
                <w:sz w:val="22"/>
                <w:szCs w:val="22"/>
                <w:vertAlign w:val="superscript"/>
                <w:lang w:val="da-DK"/>
              </w:rPr>
              <w:t>10</w:t>
            </w:r>
          </w:p>
        </w:tc>
      </w:tr>
      <w:tr w:rsidR="00FD10C4" w:rsidRPr="004C2A59" w14:paraId="7BD362C2" w14:textId="77777777" w:rsidTr="00A125B0">
        <w:trPr>
          <w:cantSplit/>
        </w:trPr>
        <w:tc>
          <w:tcPr>
            <w:tcW w:w="2235" w:type="dxa"/>
          </w:tcPr>
          <w:p w14:paraId="4883541A" w14:textId="77777777" w:rsidR="00FD10C4" w:rsidRPr="004C2A59" w:rsidRDefault="00FD10C4" w:rsidP="00A125B0">
            <w:pPr>
              <w:keepNext/>
              <w:tabs>
                <w:tab w:val="left" w:pos="567"/>
              </w:tabs>
              <w:rPr>
                <w:i/>
                <w:color w:val="000000"/>
                <w:sz w:val="22"/>
                <w:szCs w:val="22"/>
                <w:lang w:val="da-DK"/>
              </w:rPr>
            </w:pPr>
            <w:r w:rsidRPr="004C2A59">
              <w:rPr>
                <w:i/>
                <w:color w:val="000000"/>
                <w:sz w:val="22"/>
                <w:szCs w:val="22"/>
                <w:lang w:val="da-DK"/>
              </w:rPr>
              <w:t>Almindelig:</w:t>
            </w:r>
          </w:p>
        </w:tc>
        <w:tc>
          <w:tcPr>
            <w:tcW w:w="7087" w:type="dxa"/>
          </w:tcPr>
          <w:p w14:paraId="713E3DBD"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Hævelse af led</w:t>
            </w:r>
          </w:p>
        </w:tc>
      </w:tr>
      <w:tr w:rsidR="00FD10C4" w:rsidRPr="00F852D1" w14:paraId="1C603AF0" w14:textId="77777777" w:rsidTr="00A125B0">
        <w:trPr>
          <w:cantSplit/>
        </w:trPr>
        <w:tc>
          <w:tcPr>
            <w:tcW w:w="2235" w:type="dxa"/>
          </w:tcPr>
          <w:p w14:paraId="7780AA47" w14:textId="77777777" w:rsidR="00FD10C4" w:rsidRPr="004C2A59" w:rsidRDefault="00FD10C4" w:rsidP="00A125B0">
            <w:pPr>
              <w:keepNext/>
              <w:tabs>
                <w:tab w:val="left" w:pos="567"/>
              </w:tabs>
              <w:rPr>
                <w:i/>
                <w:color w:val="000000"/>
                <w:sz w:val="22"/>
                <w:szCs w:val="22"/>
                <w:lang w:val="da-DK"/>
              </w:rPr>
            </w:pPr>
            <w:r w:rsidRPr="004C2A59">
              <w:rPr>
                <w:i/>
                <w:color w:val="000000"/>
                <w:sz w:val="22"/>
                <w:szCs w:val="22"/>
                <w:lang w:val="da-DK"/>
              </w:rPr>
              <w:t>Ikke almindelig:</w:t>
            </w:r>
          </w:p>
        </w:tc>
        <w:tc>
          <w:tcPr>
            <w:tcW w:w="7087" w:type="dxa"/>
          </w:tcPr>
          <w:p w14:paraId="1E116519"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Stivhed i led og muskler</w:t>
            </w:r>
          </w:p>
        </w:tc>
      </w:tr>
      <w:tr w:rsidR="00FD10C4" w:rsidRPr="004C2A59" w14:paraId="07B464A9" w14:textId="77777777" w:rsidTr="00A125B0">
        <w:trPr>
          <w:cantSplit/>
        </w:trPr>
        <w:tc>
          <w:tcPr>
            <w:tcW w:w="2235" w:type="dxa"/>
          </w:tcPr>
          <w:p w14:paraId="32C1CE46" w14:textId="77777777" w:rsidR="00FD10C4" w:rsidRPr="004C2A59" w:rsidRDefault="00FD10C4" w:rsidP="00A125B0">
            <w:pPr>
              <w:keepNext/>
              <w:tabs>
                <w:tab w:val="left" w:pos="567"/>
                <w:tab w:val="left" w:pos="1230"/>
              </w:tabs>
              <w:rPr>
                <w:i/>
                <w:color w:val="000000"/>
                <w:sz w:val="22"/>
                <w:szCs w:val="22"/>
                <w:lang w:val="da-DK"/>
              </w:rPr>
            </w:pPr>
            <w:r w:rsidRPr="004C2A59">
              <w:rPr>
                <w:i/>
                <w:color w:val="000000"/>
                <w:sz w:val="22"/>
                <w:szCs w:val="22"/>
                <w:lang w:val="da-DK"/>
              </w:rPr>
              <w:t>Sjælden:</w:t>
            </w:r>
          </w:p>
        </w:tc>
        <w:tc>
          <w:tcPr>
            <w:tcW w:w="7087" w:type="dxa"/>
          </w:tcPr>
          <w:p w14:paraId="5013190A" w14:textId="77777777" w:rsidR="00FD10C4" w:rsidRPr="004C2A59" w:rsidRDefault="00FD10C4" w:rsidP="00A125B0">
            <w:pPr>
              <w:keepNext/>
              <w:tabs>
                <w:tab w:val="left" w:pos="567"/>
              </w:tabs>
              <w:rPr>
                <w:color w:val="000000"/>
                <w:sz w:val="22"/>
                <w:szCs w:val="22"/>
                <w:lang w:val="da-DK"/>
              </w:rPr>
            </w:pPr>
            <w:r w:rsidRPr="004C2A59">
              <w:rPr>
                <w:bCs/>
                <w:color w:val="000000"/>
                <w:sz w:val="22"/>
                <w:szCs w:val="22"/>
                <w:lang w:val="da-DK"/>
              </w:rPr>
              <w:t>Musklesvaghed, arthritis, rabdomyolyse/myopati</w:t>
            </w:r>
          </w:p>
        </w:tc>
      </w:tr>
      <w:tr w:rsidR="00FD10C4" w:rsidRPr="00F852D1" w14:paraId="7CAFE166" w14:textId="77777777" w:rsidTr="00A125B0">
        <w:trPr>
          <w:cantSplit/>
        </w:trPr>
        <w:tc>
          <w:tcPr>
            <w:tcW w:w="2235" w:type="dxa"/>
          </w:tcPr>
          <w:p w14:paraId="2E865A92" w14:textId="77777777" w:rsidR="00FD10C4" w:rsidRPr="004C2A59" w:rsidRDefault="00FD10C4" w:rsidP="00421681">
            <w:pPr>
              <w:tabs>
                <w:tab w:val="left" w:pos="567"/>
                <w:tab w:val="left" w:pos="1230"/>
              </w:tabs>
              <w:rPr>
                <w:i/>
                <w:color w:val="000000"/>
                <w:sz w:val="22"/>
                <w:szCs w:val="22"/>
                <w:lang w:val="da-DK"/>
              </w:rPr>
            </w:pPr>
            <w:r w:rsidRPr="004C2A59">
              <w:rPr>
                <w:i/>
                <w:color w:val="000000"/>
                <w:sz w:val="22"/>
                <w:szCs w:val="22"/>
                <w:lang w:val="da-DK"/>
              </w:rPr>
              <w:t>Ikke kendt:</w:t>
            </w:r>
          </w:p>
        </w:tc>
        <w:tc>
          <w:tcPr>
            <w:tcW w:w="7087" w:type="dxa"/>
          </w:tcPr>
          <w:p w14:paraId="734D6F33" w14:textId="77777777" w:rsidR="00FD10C4" w:rsidRPr="004C2A59" w:rsidRDefault="00FD10C4" w:rsidP="00421681">
            <w:pPr>
              <w:tabs>
                <w:tab w:val="left" w:pos="567"/>
              </w:tabs>
              <w:rPr>
                <w:bCs/>
                <w:color w:val="000000"/>
                <w:sz w:val="22"/>
                <w:szCs w:val="22"/>
                <w:lang w:val="da-DK"/>
              </w:rPr>
            </w:pPr>
            <w:r w:rsidRPr="004C2A59">
              <w:rPr>
                <w:color w:val="000000"/>
                <w:sz w:val="22"/>
                <w:szCs w:val="22"/>
                <w:lang w:val="da-DK"/>
              </w:rPr>
              <w:t>Avaskulær nekrose/hoftenekrose*, væksthæmning hos børn*</w:t>
            </w:r>
          </w:p>
        </w:tc>
      </w:tr>
      <w:tr w:rsidR="00FD10C4" w:rsidRPr="004C2A59" w14:paraId="4373BA3A" w14:textId="77777777" w:rsidTr="00A125B0">
        <w:trPr>
          <w:cantSplit/>
        </w:trPr>
        <w:tc>
          <w:tcPr>
            <w:tcW w:w="9322" w:type="dxa"/>
            <w:gridSpan w:val="2"/>
          </w:tcPr>
          <w:p w14:paraId="0266F939" w14:textId="77777777" w:rsidR="00FD10C4" w:rsidRPr="004C2A59" w:rsidRDefault="00FD10C4" w:rsidP="00A125B0">
            <w:pPr>
              <w:keepNext/>
              <w:tabs>
                <w:tab w:val="left" w:pos="567"/>
              </w:tabs>
              <w:rPr>
                <w:b/>
                <w:color w:val="000000"/>
                <w:sz w:val="22"/>
                <w:szCs w:val="22"/>
                <w:lang w:val="da-DK"/>
              </w:rPr>
            </w:pPr>
            <w:r w:rsidRPr="004C2A59">
              <w:rPr>
                <w:b/>
                <w:color w:val="000000"/>
                <w:sz w:val="22"/>
                <w:szCs w:val="22"/>
                <w:lang w:val="da-DK"/>
              </w:rPr>
              <w:t>Nyrer og urinveje</w:t>
            </w:r>
          </w:p>
        </w:tc>
      </w:tr>
      <w:tr w:rsidR="00FD10C4" w:rsidRPr="00F852D1" w14:paraId="28A15EE0" w14:textId="77777777" w:rsidTr="00A125B0">
        <w:trPr>
          <w:cantSplit/>
        </w:trPr>
        <w:tc>
          <w:tcPr>
            <w:tcW w:w="2235" w:type="dxa"/>
          </w:tcPr>
          <w:p w14:paraId="49BC1797"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Ikke almindelig:</w:t>
            </w:r>
          </w:p>
        </w:tc>
        <w:tc>
          <w:tcPr>
            <w:tcW w:w="7087" w:type="dxa"/>
          </w:tcPr>
          <w:p w14:paraId="4FE1E880"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Nyresmerter, hæmaturi, akut nyresvigt, øget vandladningsfrekvens</w:t>
            </w:r>
          </w:p>
        </w:tc>
      </w:tr>
      <w:tr w:rsidR="00C205DB" w:rsidRPr="004C2A59" w14:paraId="73A18CA2" w14:textId="77777777" w:rsidTr="00A125B0">
        <w:trPr>
          <w:cantSplit/>
        </w:trPr>
        <w:tc>
          <w:tcPr>
            <w:tcW w:w="2235" w:type="dxa"/>
          </w:tcPr>
          <w:p w14:paraId="51C19230" w14:textId="77777777" w:rsidR="00C205DB" w:rsidRPr="004C2A59" w:rsidRDefault="00C205DB" w:rsidP="00421681">
            <w:pPr>
              <w:tabs>
                <w:tab w:val="left" w:pos="567"/>
              </w:tabs>
              <w:rPr>
                <w:i/>
                <w:color w:val="000000"/>
                <w:sz w:val="22"/>
                <w:szCs w:val="22"/>
                <w:lang w:val="da-DK"/>
              </w:rPr>
            </w:pPr>
            <w:r>
              <w:rPr>
                <w:i/>
                <w:color w:val="000000"/>
                <w:sz w:val="22"/>
                <w:szCs w:val="22"/>
                <w:lang w:val="da-DK"/>
              </w:rPr>
              <w:t>Ikke kendt:</w:t>
            </w:r>
          </w:p>
        </w:tc>
        <w:tc>
          <w:tcPr>
            <w:tcW w:w="7087" w:type="dxa"/>
          </w:tcPr>
          <w:p w14:paraId="0A121AFA" w14:textId="77777777" w:rsidR="00C205DB" w:rsidRPr="004C2A59" w:rsidRDefault="00C205DB" w:rsidP="00421681">
            <w:pPr>
              <w:tabs>
                <w:tab w:val="left" w:pos="567"/>
              </w:tabs>
              <w:rPr>
                <w:color w:val="000000"/>
                <w:sz w:val="22"/>
                <w:szCs w:val="22"/>
                <w:lang w:val="da-DK"/>
              </w:rPr>
            </w:pPr>
            <w:r>
              <w:rPr>
                <w:color w:val="000000"/>
                <w:sz w:val="22"/>
                <w:szCs w:val="22"/>
                <w:lang w:val="da-DK"/>
              </w:rPr>
              <w:t>Kronisk nyresvigt</w:t>
            </w:r>
          </w:p>
        </w:tc>
      </w:tr>
      <w:tr w:rsidR="00FD10C4" w:rsidRPr="00DA2798" w14:paraId="0153ED7A" w14:textId="77777777" w:rsidTr="00A125B0">
        <w:trPr>
          <w:cantSplit/>
        </w:trPr>
        <w:tc>
          <w:tcPr>
            <w:tcW w:w="9322" w:type="dxa"/>
            <w:gridSpan w:val="2"/>
          </w:tcPr>
          <w:p w14:paraId="179D1C50" w14:textId="77777777" w:rsidR="00FD10C4" w:rsidRPr="004C2A59" w:rsidRDefault="00FD10C4" w:rsidP="00A125B0">
            <w:pPr>
              <w:keepNext/>
              <w:tabs>
                <w:tab w:val="left" w:pos="567"/>
              </w:tabs>
              <w:rPr>
                <w:color w:val="000000"/>
                <w:sz w:val="22"/>
                <w:szCs w:val="22"/>
                <w:lang w:val="da-DK"/>
              </w:rPr>
            </w:pPr>
            <w:r w:rsidRPr="004C2A59">
              <w:rPr>
                <w:b/>
                <w:color w:val="000000"/>
                <w:sz w:val="22"/>
                <w:szCs w:val="22"/>
                <w:lang w:val="da-DK"/>
              </w:rPr>
              <w:t>Det reproduktive system og mammae</w:t>
            </w:r>
          </w:p>
        </w:tc>
      </w:tr>
      <w:tr w:rsidR="00FD10C4" w:rsidRPr="00F852D1" w14:paraId="083933A0" w14:textId="77777777" w:rsidTr="00A125B0">
        <w:trPr>
          <w:cantSplit/>
        </w:trPr>
        <w:tc>
          <w:tcPr>
            <w:tcW w:w="2235" w:type="dxa"/>
          </w:tcPr>
          <w:p w14:paraId="0BCA0E95" w14:textId="77777777" w:rsidR="00FD10C4" w:rsidRPr="004C2A59" w:rsidRDefault="00FD10C4" w:rsidP="00A125B0">
            <w:pPr>
              <w:keepNext/>
              <w:tabs>
                <w:tab w:val="left" w:pos="567"/>
              </w:tabs>
              <w:rPr>
                <w:i/>
                <w:color w:val="000000"/>
                <w:sz w:val="22"/>
                <w:szCs w:val="22"/>
                <w:lang w:val="da-DK"/>
              </w:rPr>
            </w:pPr>
            <w:r w:rsidRPr="004C2A59">
              <w:rPr>
                <w:i/>
                <w:color w:val="000000"/>
                <w:sz w:val="22"/>
                <w:szCs w:val="22"/>
                <w:lang w:val="da-DK"/>
              </w:rPr>
              <w:t>Ikke almindelig:</w:t>
            </w:r>
          </w:p>
        </w:tc>
        <w:tc>
          <w:tcPr>
            <w:tcW w:w="7087" w:type="dxa"/>
          </w:tcPr>
          <w:p w14:paraId="619E1284"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Gynækomasti, erektil dysfunktion, menoragi, uregelmæssig menstruation, seksuel dysfunktion, smerter i brystvorterne, brystforstørrelse, skrotalt ødem</w:t>
            </w:r>
          </w:p>
        </w:tc>
      </w:tr>
      <w:tr w:rsidR="00FD10C4" w:rsidRPr="00F852D1" w14:paraId="275636D0" w14:textId="77777777" w:rsidTr="00A125B0">
        <w:trPr>
          <w:cantSplit/>
        </w:trPr>
        <w:tc>
          <w:tcPr>
            <w:tcW w:w="2235" w:type="dxa"/>
          </w:tcPr>
          <w:p w14:paraId="157E3EDE" w14:textId="77777777" w:rsidR="00FD10C4" w:rsidRPr="004C2A59" w:rsidRDefault="00FD10C4" w:rsidP="00421681">
            <w:pPr>
              <w:tabs>
                <w:tab w:val="left" w:pos="567"/>
              </w:tabs>
              <w:rPr>
                <w:i/>
                <w:color w:val="000000"/>
                <w:sz w:val="22"/>
                <w:szCs w:val="22"/>
                <w:lang w:val="da-DK"/>
              </w:rPr>
            </w:pPr>
            <w:r w:rsidRPr="004C2A59">
              <w:rPr>
                <w:i/>
                <w:color w:val="000000"/>
                <w:sz w:val="22"/>
                <w:szCs w:val="22"/>
                <w:lang w:val="da-DK"/>
              </w:rPr>
              <w:t>Sjælden:</w:t>
            </w:r>
          </w:p>
        </w:tc>
        <w:tc>
          <w:tcPr>
            <w:tcW w:w="7087" w:type="dxa"/>
          </w:tcPr>
          <w:p w14:paraId="273E97E7" w14:textId="77777777" w:rsidR="00FD10C4" w:rsidRPr="00F852D1" w:rsidRDefault="00FD10C4" w:rsidP="00421681">
            <w:pPr>
              <w:tabs>
                <w:tab w:val="left" w:pos="567"/>
              </w:tabs>
              <w:rPr>
                <w:color w:val="000000"/>
                <w:sz w:val="22"/>
                <w:szCs w:val="22"/>
                <w:lang w:val="sv-SE"/>
              </w:rPr>
            </w:pPr>
            <w:r w:rsidRPr="00F852D1">
              <w:rPr>
                <w:color w:val="000000"/>
                <w:sz w:val="22"/>
                <w:szCs w:val="22"/>
                <w:lang w:val="sv-SE"/>
              </w:rPr>
              <w:t>Hæmoragisk corpus luteum/ hæmoragisk ovariecyste</w:t>
            </w:r>
          </w:p>
        </w:tc>
      </w:tr>
      <w:tr w:rsidR="00FD10C4" w:rsidRPr="00DA2798" w14:paraId="4FDA77FA" w14:textId="77777777" w:rsidTr="00A125B0">
        <w:trPr>
          <w:cantSplit/>
        </w:trPr>
        <w:tc>
          <w:tcPr>
            <w:tcW w:w="9322" w:type="dxa"/>
            <w:gridSpan w:val="2"/>
          </w:tcPr>
          <w:p w14:paraId="31817E63" w14:textId="77777777" w:rsidR="00FD10C4" w:rsidRPr="004C2A59" w:rsidRDefault="00FD10C4" w:rsidP="00A125B0">
            <w:pPr>
              <w:keepNext/>
              <w:tabs>
                <w:tab w:val="left" w:pos="567"/>
              </w:tabs>
              <w:rPr>
                <w:color w:val="000000"/>
                <w:sz w:val="22"/>
                <w:szCs w:val="22"/>
                <w:lang w:val="da-DK"/>
              </w:rPr>
            </w:pPr>
            <w:r w:rsidRPr="004C2A59">
              <w:rPr>
                <w:b/>
                <w:color w:val="000000"/>
                <w:sz w:val="22"/>
                <w:szCs w:val="22"/>
                <w:lang w:val="da-DK"/>
              </w:rPr>
              <w:t>Almene symptomer og reaktioner på administrationsstedet</w:t>
            </w:r>
          </w:p>
        </w:tc>
      </w:tr>
      <w:tr w:rsidR="00FD10C4" w:rsidRPr="004C2A59" w14:paraId="31E98E81" w14:textId="77777777" w:rsidTr="00A125B0">
        <w:trPr>
          <w:cantSplit/>
        </w:trPr>
        <w:tc>
          <w:tcPr>
            <w:tcW w:w="2235" w:type="dxa"/>
          </w:tcPr>
          <w:p w14:paraId="0B398DC3" w14:textId="77777777" w:rsidR="00FD10C4" w:rsidRPr="004C2A59" w:rsidRDefault="00FD10C4" w:rsidP="00A125B0">
            <w:pPr>
              <w:keepNext/>
              <w:tabs>
                <w:tab w:val="left" w:pos="567"/>
              </w:tabs>
              <w:rPr>
                <w:i/>
                <w:color w:val="000000"/>
                <w:sz w:val="22"/>
                <w:szCs w:val="22"/>
                <w:lang w:val="da-DK"/>
              </w:rPr>
            </w:pPr>
            <w:r w:rsidRPr="004C2A59">
              <w:rPr>
                <w:i/>
                <w:color w:val="000000"/>
                <w:sz w:val="22"/>
                <w:szCs w:val="22"/>
                <w:lang w:val="da-DK"/>
              </w:rPr>
              <w:t>Meget almindelig:</w:t>
            </w:r>
          </w:p>
        </w:tc>
        <w:tc>
          <w:tcPr>
            <w:tcW w:w="7087" w:type="dxa"/>
          </w:tcPr>
          <w:p w14:paraId="3A002072" w14:textId="77777777" w:rsidR="00FD10C4" w:rsidRPr="004C2A59" w:rsidRDefault="00FD10C4" w:rsidP="00A125B0">
            <w:pPr>
              <w:keepNext/>
              <w:tabs>
                <w:tab w:val="left" w:pos="567"/>
              </w:tabs>
              <w:rPr>
                <w:color w:val="000000"/>
                <w:sz w:val="22"/>
                <w:szCs w:val="22"/>
              </w:rPr>
            </w:pPr>
            <w:r w:rsidRPr="004C2A59">
              <w:rPr>
                <w:color w:val="000000"/>
                <w:sz w:val="22"/>
                <w:szCs w:val="22"/>
              </w:rPr>
              <w:t>Væskeretention og ødem, træthed</w:t>
            </w:r>
          </w:p>
        </w:tc>
      </w:tr>
      <w:tr w:rsidR="00FD10C4" w:rsidRPr="00F852D1" w14:paraId="453FADD8" w14:textId="77777777" w:rsidTr="00A125B0">
        <w:trPr>
          <w:cantSplit/>
        </w:trPr>
        <w:tc>
          <w:tcPr>
            <w:tcW w:w="2235" w:type="dxa"/>
          </w:tcPr>
          <w:p w14:paraId="680CC394" w14:textId="77777777" w:rsidR="00FD10C4" w:rsidRPr="004C2A59" w:rsidRDefault="00FD10C4" w:rsidP="00A125B0">
            <w:pPr>
              <w:keepNext/>
              <w:tabs>
                <w:tab w:val="left" w:pos="567"/>
              </w:tabs>
              <w:rPr>
                <w:i/>
                <w:color w:val="000000"/>
                <w:sz w:val="22"/>
                <w:szCs w:val="22"/>
                <w:lang w:val="da-DK"/>
              </w:rPr>
            </w:pPr>
            <w:r w:rsidRPr="004C2A59">
              <w:rPr>
                <w:i/>
                <w:color w:val="000000"/>
                <w:sz w:val="22"/>
                <w:szCs w:val="22"/>
                <w:lang w:val="da-DK"/>
              </w:rPr>
              <w:t>Almindelig:</w:t>
            </w:r>
          </w:p>
        </w:tc>
        <w:tc>
          <w:tcPr>
            <w:tcW w:w="7087" w:type="dxa"/>
          </w:tcPr>
          <w:p w14:paraId="4CB7E100"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Svaghed, pyre</w:t>
            </w:r>
            <w:r w:rsidR="00C139FD" w:rsidRPr="004C2A59">
              <w:rPr>
                <w:color w:val="000000"/>
                <w:sz w:val="22"/>
                <w:szCs w:val="22"/>
                <w:lang w:val="da-DK"/>
              </w:rPr>
              <w:t>ksi</w:t>
            </w:r>
            <w:r w:rsidRPr="004C2A59">
              <w:rPr>
                <w:color w:val="000000"/>
                <w:sz w:val="22"/>
                <w:szCs w:val="22"/>
                <w:lang w:val="da-DK"/>
              </w:rPr>
              <w:t>, anasarka, kuldegysninger og kulderystelser</w:t>
            </w:r>
          </w:p>
        </w:tc>
      </w:tr>
      <w:tr w:rsidR="00FD10C4" w:rsidRPr="004C2A59" w14:paraId="39FC540D" w14:textId="77777777" w:rsidTr="00A125B0">
        <w:trPr>
          <w:cantSplit/>
        </w:trPr>
        <w:tc>
          <w:tcPr>
            <w:tcW w:w="2235" w:type="dxa"/>
          </w:tcPr>
          <w:p w14:paraId="36FD0013" w14:textId="77777777" w:rsidR="00FD10C4" w:rsidRPr="004C2A59" w:rsidRDefault="00FD10C4" w:rsidP="00421681">
            <w:pPr>
              <w:tabs>
                <w:tab w:val="left" w:pos="567"/>
              </w:tabs>
              <w:rPr>
                <w:i/>
                <w:color w:val="000000"/>
                <w:sz w:val="22"/>
                <w:szCs w:val="22"/>
                <w:lang w:val="da-DK"/>
              </w:rPr>
            </w:pPr>
            <w:r w:rsidRPr="004C2A59">
              <w:rPr>
                <w:i/>
                <w:color w:val="000000"/>
                <w:sz w:val="22"/>
                <w:szCs w:val="22"/>
                <w:lang w:val="da-DK"/>
              </w:rPr>
              <w:t>Ikke almindelig:</w:t>
            </w:r>
          </w:p>
        </w:tc>
        <w:tc>
          <w:tcPr>
            <w:tcW w:w="7087" w:type="dxa"/>
          </w:tcPr>
          <w:p w14:paraId="22F8B31E" w14:textId="77777777" w:rsidR="00FD10C4" w:rsidRPr="004C2A59" w:rsidRDefault="00FD10C4" w:rsidP="00421681">
            <w:pPr>
              <w:tabs>
                <w:tab w:val="left" w:pos="567"/>
              </w:tabs>
              <w:rPr>
                <w:color w:val="000000"/>
                <w:sz w:val="22"/>
                <w:szCs w:val="22"/>
                <w:lang w:val="da-DK"/>
              </w:rPr>
            </w:pPr>
            <w:r w:rsidRPr="004C2A59">
              <w:rPr>
                <w:color w:val="000000"/>
                <w:sz w:val="22"/>
                <w:szCs w:val="22"/>
                <w:lang w:val="da-DK"/>
              </w:rPr>
              <w:t>Brystsmerter, utilpashed</w:t>
            </w:r>
          </w:p>
        </w:tc>
      </w:tr>
      <w:tr w:rsidR="00FD10C4" w:rsidRPr="004C2A59" w14:paraId="1BC4BA54" w14:textId="77777777" w:rsidTr="00A125B0">
        <w:trPr>
          <w:cantSplit/>
        </w:trPr>
        <w:tc>
          <w:tcPr>
            <w:tcW w:w="9322" w:type="dxa"/>
            <w:gridSpan w:val="2"/>
          </w:tcPr>
          <w:p w14:paraId="20313B82" w14:textId="77777777" w:rsidR="00FD10C4" w:rsidRPr="004C2A59" w:rsidRDefault="00FD10C4" w:rsidP="00A125B0">
            <w:pPr>
              <w:keepNext/>
              <w:tabs>
                <w:tab w:val="left" w:pos="567"/>
              </w:tabs>
              <w:rPr>
                <w:color w:val="000000"/>
                <w:sz w:val="22"/>
                <w:szCs w:val="22"/>
                <w:lang w:val="da-DK"/>
              </w:rPr>
            </w:pPr>
            <w:r w:rsidRPr="004C2A59">
              <w:rPr>
                <w:b/>
                <w:color w:val="000000"/>
                <w:sz w:val="22"/>
                <w:szCs w:val="22"/>
                <w:lang w:val="da-DK"/>
              </w:rPr>
              <w:t>Undersøgelser</w:t>
            </w:r>
          </w:p>
        </w:tc>
      </w:tr>
      <w:tr w:rsidR="00FD10C4" w:rsidRPr="004C2A59" w14:paraId="53749D92" w14:textId="77777777" w:rsidTr="00A125B0">
        <w:trPr>
          <w:cantSplit/>
        </w:trPr>
        <w:tc>
          <w:tcPr>
            <w:tcW w:w="2235" w:type="dxa"/>
          </w:tcPr>
          <w:p w14:paraId="652CE2A8"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Meget almindelig:</w:t>
            </w:r>
          </w:p>
        </w:tc>
        <w:tc>
          <w:tcPr>
            <w:tcW w:w="7087" w:type="dxa"/>
          </w:tcPr>
          <w:p w14:paraId="06004570" w14:textId="77777777" w:rsidR="00FD10C4" w:rsidRPr="004C2A59" w:rsidRDefault="00FD10C4" w:rsidP="00A125B0">
            <w:pPr>
              <w:keepNext/>
              <w:tabs>
                <w:tab w:val="left" w:pos="567"/>
              </w:tabs>
              <w:rPr>
                <w:color w:val="000000"/>
                <w:sz w:val="22"/>
                <w:szCs w:val="22"/>
                <w:lang w:val="da-DK"/>
              </w:rPr>
            </w:pPr>
            <w:r w:rsidRPr="004C2A59">
              <w:rPr>
                <w:color w:val="000000"/>
                <w:sz w:val="22"/>
                <w:szCs w:val="22"/>
              </w:rPr>
              <w:t>Vægtstigning</w:t>
            </w:r>
          </w:p>
        </w:tc>
      </w:tr>
      <w:tr w:rsidR="00FD10C4" w:rsidRPr="004C2A59" w14:paraId="29A369D4" w14:textId="77777777" w:rsidTr="00A125B0">
        <w:trPr>
          <w:cantSplit/>
        </w:trPr>
        <w:tc>
          <w:tcPr>
            <w:tcW w:w="2235" w:type="dxa"/>
          </w:tcPr>
          <w:p w14:paraId="3BCDD99C"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Almindelig</w:t>
            </w:r>
            <w:r w:rsidRPr="004C2A59">
              <w:rPr>
                <w:color w:val="000000"/>
                <w:sz w:val="22"/>
                <w:szCs w:val="22"/>
                <w:lang w:val="da-DK"/>
              </w:rPr>
              <w:t>:</w:t>
            </w:r>
          </w:p>
        </w:tc>
        <w:tc>
          <w:tcPr>
            <w:tcW w:w="7087" w:type="dxa"/>
          </w:tcPr>
          <w:p w14:paraId="6321FAE7"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Vægttab</w:t>
            </w:r>
          </w:p>
        </w:tc>
      </w:tr>
      <w:tr w:rsidR="00FD10C4" w:rsidRPr="00F852D1" w14:paraId="1E795340" w14:textId="77777777" w:rsidTr="00A125B0">
        <w:trPr>
          <w:cantSplit/>
        </w:trPr>
        <w:tc>
          <w:tcPr>
            <w:tcW w:w="2235" w:type="dxa"/>
          </w:tcPr>
          <w:p w14:paraId="7D1FB1CB" w14:textId="77777777" w:rsidR="00FD10C4" w:rsidRPr="004C2A59" w:rsidRDefault="00FD10C4" w:rsidP="00A125B0">
            <w:pPr>
              <w:keepNext/>
              <w:tabs>
                <w:tab w:val="left" w:pos="567"/>
              </w:tabs>
              <w:rPr>
                <w:color w:val="000000"/>
                <w:sz w:val="22"/>
                <w:szCs w:val="22"/>
                <w:lang w:val="da-DK"/>
              </w:rPr>
            </w:pPr>
            <w:r w:rsidRPr="004C2A59">
              <w:rPr>
                <w:i/>
                <w:color w:val="000000"/>
                <w:sz w:val="22"/>
                <w:szCs w:val="22"/>
                <w:lang w:val="da-DK"/>
              </w:rPr>
              <w:t>Ikke almindelig</w:t>
            </w:r>
            <w:r w:rsidRPr="004C2A59">
              <w:rPr>
                <w:color w:val="000000"/>
                <w:sz w:val="22"/>
                <w:szCs w:val="22"/>
                <w:lang w:val="da-DK"/>
              </w:rPr>
              <w:t>:</w:t>
            </w:r>
          </w:p>
        </w:tc>
        <w:tc>
          <w:tcPr>
            <w:tcW w:w="7087" w:type="dxa"/>
          </w:tcPr>
          <w:p w14:paraId="43F4B966"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Forhøjet serumkreatinin, forhøjet serumkreatinkinase og forhøjet serumlaktatdehydrogenase, forhøjet alkalisk fosfatase</w:t>
            </w:r>
          </w:p>
        </w:tc>
      </w:tr>
      <w:tr w:rsidR="00FD10C4" w:rsidRPr="004C2A59" w14:paraId="1C7A6E81" w14:textId="77777777" w:rsidTr="00A125B0">
        <w:trPr>
          <w:cantSplit/>
        </w:trPr>
        <w:tc>
          <w:tcPr>
            <w:tcW w:w="2235" w:type="dxa"/>
          </w:tcPr>
          <w:p w14:paraId="2F7B85E2" w14:textId="77777777" w:rsidR="00FD10C4" w:rsidRPr="004C2A59" w:rsidRDefault="00FD10C4" w:rsidP="00A125B0">
            <w:pPr>
              <w:keepNext/>
              <w:tabs>
                <w:tab w:val="left" w:pos="567"/>
              </w:tabs>
              <w:rPr>
                <w:i/>
                <w:color w:val="000000"/>
                <w:sz w:val="22"/>
                <w:szCs w:val="22"/>
                <w:lang w:val="da-DK"/>
              </w:rPr>
            </w:pPr>
            <w:r w:rsidRPr="004C2A59">
              <w:rPr>
                <w:i/>
                <w:color w:val="000000"/>
                <w:sz w:val="22"/>
                <w:szCs w:val="22"/>
                <w:lang w:val="da-DK"/>
              </w:rPr>
              <w:t>Sjælden:</w:t>
            </w:r>
          </w:p>
        </w:tc>
        <w:tc>
          <w:tcPr>
            <w:tcW w:w="7087" w:type="dxa"/>
          </w:tcPr>
          <w:p w14:paraId="30CBFB74" w14:textId="77777777" w:rsidR="00FD10C4" w:rsidRPr="004C2A59" w:rsidRDefault="00FD10C4" w:rsidP="00A125B0">
            <w:pPr>
              <w:keepNext/>
              <w:tabs>
                <w:tab w:val="left" w:pos="567"/>
              </w:tabs>
              <w:rPr>
                <w:color w:val="000000"/>
                <w:sz w:val="22"/>
                <w:szCs w:val="22"/>
                <w:lang w:val="da-DK"/>
              </w:rPr>
            </w:pPr>
            <w:r w:rsidRPr="004C2A59">
              <w:rPr>
                <w:color w:val="000000"/>
                <w:sz w:val="22"/>
                <w:szCs w:val="22"/>
                <w:lang w:val="da-DK"/>
              </w:rPr>
              <w:t>Forhøjet serumamylase</w:t>
            </w:r>
          </w:p>
        </w:tc>
      </w:tr>
    </w:tbl>
    <w:p w14:paraId="1FEE0AC8" w14:textId="77777777" w:rsidR="00C139FD" w:rsidRPr="004C2A59" w:rsidRDefault="00C139FD" w:rsidP="00A125B0">
      <w:pPr>
        <w:keepNext/>
        <w:widowControl w:val="0"/>
        <w:ind w:left="567" w:hanging="567"/>
        <w:rPr>
          <w:color w:val="000000"/>
          <w:sz w:val="22"/>
          <w:szCs w:val="22"/>
          <w:lang w:val="da-DK"/>
        </w:rPr>
      </w:pPr>
    </w:p>
    <w:p w14:paraId="0A204BD0" w14:textId="77777777" w:rsidR="00A573B3" w:rsidRPr="004C2A59" w:rsidRDefault="00FD10C4" w:rsidP="00A125B0">
      <w:pPr>
        <w:keepNext/>
        <w:keepLines/>
        <w:widowControl w:val="0"/>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t xml:space="preserve">Denne type bivirkninger er hovedsageligt blevet rapporteret efter markedsføring af Glivec. Det inkluderer spontane kasuistikker såvel som alvorlige bivirkninger fra igangværende studier, </w:t>
      </w:r>
      <w:r w:rsidRPr="004C2A59">
        <w:rPr>
          <w:i/>
          <w:color w:val="000000"/>
          <w:sz w:val="22"/>
          <w:szCs w:val="22"/>
          <w:lang w:val="da-DK"/>
        </w:rPr>
        <w:t>expanded access</w:t>
      </w:r>
      <w:r w:rsidRPr="004C2A59">
        <w:rPr>
          <w:color w:val="000000"/>
          <w:sz w:val="22"/>
          <w:szCs w:val="22"/>
          <w:lang w:val="da-DK"/>
        </w:rPr>
        <w:t xml:space="preserve"> programmer, klinisk farmakologiske studier og eksplorative studier med ikke godkendte indikationer. Eftersom disse bivirkninger er rapporteret fra en population af ukendt størrelse, er det ikke altid muligt at bestemme frekvensen pålideligt eller at fastlægge en kausal sammenhæng med eksponering for imatinib.</w:t>
      </w:r>
    </w:p>
    <w:p w14:paraId="14092409" w14:textId="77777777" w:rsidR="00A573B3" w:rsidRPr="004C2A59" w:rsidRDefault="00A573B3" w:rsidP="00A125B0">
      <w:pPr>
        <w:keepNext/>
        <w:keepLines/>
        <w:widowControl w:val="0"/>
        <w:ind w:left="567" w:hanging="567"/>
        <w:rPr>
          <w:color w:val="000000"/>
          <w:sz w:val="22"/>
          <w:szCs w:val="22"/>
          <w:lang w:val="da-DK"/>
        </w:rPr>
      </w:pPr>
      <w:r w:rsidRPr="004C2A59">
        <w:rPr>
          <w:color w:val="000000"/>
          <w:sz w:val="22"/>
          <w:szCs w:val="22"/>
          <w:lang w:val="da-DK"/>
        </w:rPr>
        <w:t>1</w:t>
      </w:r>
      <w:r w:rsidRPr="004C2A59">
        <w:rPr>
          <w:color w:val="000000"/>
          <w:sz w:val="22"/>
          <w:szCs w:val="22"/>
          <w:lang w:val="da-DK"/>
        </w:rPr>
        <w:tab/>
        <w:t>Pneumoni blev oftest observeret hos patienter med transformeret CML og hos patienter med GIST.</w:t>
      </w:r>
    </w:p>
    <w:p w14:paraId="3DB82CF6" w14:textId="77777777" w:rsidR="00A573B3" w:rsidRPr="004C2A59" w:rsidRDefault="00A573B3" w:rsidP="00A125B0">
      <w:pPr>
        <w:keepNext/>
        <w:keepLines/>
        <w:widowControl w:val="0"/>
        <w:ind w:left="567" w:hanging="567"/>
        <w:rPr>
          <w:color w:val="000000"/>
          <w:sz w:val="22"/>
          <w:szCs w:val="22"/>
          <w:lang w:val="da-DK"/>
        </w:rPr>
      </w:pPr>
      <w:r w:rsidRPr="004C2A59">
        <w:rPr>
          <w:color w:val="000000"/>
          <w:sz w:val="22"/>
          <w:szCs w:val="22"/>
          <w:lang w:val="da-DK"/>
        </w:rPr>
        <w:t>2</w:t>
      </w:r>
      <w:r w:rsidRPr="004C2A59">
        <w:rPr>
          <w:color w:val="000000"/>
          <w:sz w:val="22"/>
          <w:szCs w:val="22"/>
          <w:lang w:val="da-DK"/>
        </w:rPr>
        <w:tab/>
        <w:t xml:space="preserve">Hovedpine var </w:t>
      </w:r>
      <w:r w:rsidR="00FD10C4" w:rsidRPr="004C2A59">
        <w:rPr>
          <w:color w:val="000000"/>
          <w:sz w:val="22"/>
          <w:szCs w:val="22"/>
          <w:lang w:val="da-DK"/>
        </w:rPr>
        <w:t xml:space="preserve">hyppigst </w:t>
      </w:r>
      <w:r w:rsidRPr="004C2A59">
        <w:rPr>
          <w:color w:val="000000"/>
          <w:sz w:val="22"/>
          <w:szCs w:val="22"/>
          <w:lang w:val="da-DK"/>
        </w:rPr>
        <w:t>hos GIST</w:t>
      </w:r>
      <w:r w:rsidRPr="004C2A59">
        <w:rPr>
          <w:color w:val="000000"/>
          <w:sz w:val="22"/>
          <w:szCs w:val="22"/>
          <w:lang w:val="da-DK"/>
        </w:rPr>
        <w:noBreakHyphen/>
        <w:t>patienter.</w:t>
      </w:r>
    </w:p>
    <w:p w14:paraId="5DA19BFA" w14:textId="77777777" w:rsidR="00A573B3" w:rsidRPr="004C2A59" w:rsidRDefault="00A573B3" w:rsidP="00A125B0">
      <w:pPr>
        <w:keepNext/>
        <w:keepLines/>
        <w:widowControl w:val="0"/>
        <w:ind w:left="567" w:hanging="567"/>
        <w:rPr>
          <w:color w:val="000000"/>
          <w:sz w:val="22"/>
          <w:szCs w:val="22"/>
          <w:lang w:val="da-DK"/>
        </w:rPr>
      </w:pPr>
      <w:r w:rsidRPr="004C2A59">
        <w:rPr>
          <w:color w:val="000000"/>
          <w:sz w:val="22"/>
          <w:szCs w:val="22"/>
          <w:lang w:val="da-DK"/>
        </w:rPr>
        <w:t>3</w:t>
      </w:r>
      <w:r w:rsidRPr="004C2A59">
        <w:rPr>
          <w:color w:val="000000"/>
          <w:sz w:val="22"/>
          <w:szCs w:val="22"/>
          <w:lang w:val="da-DK"/>
        </w:rPr>
        <w:tab/>
        <w:t>På patientårsbasis blev kardielle hændelser, herunder hjerteinsufficiens, observeret oftere hos patienter med transformeret CML end hos patienter med kronisk CML.</w:t>
      </w:r>
    </w:p>
    <w:p w14:paraId="1BE9B205" w14:textId="77777777" w:rsidR="00A573B3" w:rsidRPr="004C2A59" w:rsidRDefault="00A573B3" w:rsidP="00A125B0">
      <w:pPr>
        <w:keepNext/>
        <w:keepLines/>
        <w:widowControl w:val="0"/>
        <w:ind w:left="567" w:hanging="567"/>
        <w:rPr>
          <w:color w:val="000000"/>
          <w:sz w:val="22"/>
          <w:szCs w:val="22"/>
          <w:lang w:val="da-DK"/>
        </w:rPr>
      </w:pPr>
      <w:r w:rsidRPr="004C2A59">
        <w:rPr>
          <w:color w:val="000000"/>
          <w:sz w:val="22"/>
          <w:szCs w:val="22"/>
          <w:lang w:val="da-DK"/>
        </w:rPr>
        <w:t>4</w:t>
      </w:r>
      <w:r w:rsidRPr="004C2A59">
        <w:rPr>
          <w:color w:val="000000"/>
          <w:sz w:val="22"/>
          <w:szCs w:val="22"/>
          <w:lang w:val="da-DK"/>
        </w:rPr>
        <w:tab/>
      </w:r>
      <w:r w:rsidRPr="004C2A59">
        <w:rPr>
          <w:i/>
          <w:color w:val="000000"/>
          <w:sz w:val="22"/>
          <w:szCs w:val="22"/>
          <w:lang w:val="da-DK"/>
        </w:rPr>
        <w:t>Flushing</w:t>
      </w:r>
      <w:r w:rsidRPr="004C2A59">
        <w:rPr>
          <w:color w:val="000000"/>
          <w:sz w:val="22"/>
          <w:szCs w:val="22"/>
          <w:lang w:val="da-DK"/>
        </w:rPr>
        <w:t xml:space="preserve"> var almindeligst host patienter med GIST, og blødning (hæmatom og blødning) var almindeligst hos patienter med GIST og med transformeret CML (CML</w:t>
      </w:r>
      <w:r w:rsidRPr="004C2A59">
        <w:rPr>
          <w:color w:val="000000"/>
          <w:sz w:val="22"/>
          <w:szCs w:val="22"/>
          <w:lang w:val="da-DK"/>
        </w:rPr>
        <w:noBreakHyphen/>
        <w:t>AP og CML</w:t>
      </w:r>
      <w:r w:rsidRPr="004C2A59">
        <w:rPr>
          <w:color w:val="000000"/>
          <w:sz w:val="22"/>
          <w:szCs w:val="22"/>
          <w:lang w:val="da-DK"/>
        </w:rPr>
        <w:noBreakHyphen/>
        <w:t>BC).</w:t>
      </w:r>
    </w:p>
    <w:p w14:paraId="6F5F2861" w14:textId="77777777" w:rsidR="00A573B3" w:rsidRPr="004C2A59" w:rsidRDefault="00A573B3" w:rsidP="00A125B0">
      <w:pPr>
        <w:keepNext/>
        <w:keepLines/>
        <w:widowControl w:val="0"/>
        <w:ind w:left="567" w:hanging="567"/>
        <w:rPr>
          <w:color w:val="000000"/>
          <w:sz w:val="22"/>
          <w:szCs w:val="22"/>
          <w:lang w:val="da-DK"/>
        </w:rPr>
      </w:pPr>
      <w:r w:rsidRPr="004C2A59">
        <w:rPr>
          <w:color w:val="000000"/>
          <w:sz w:val="22"/>
          <w:szCs w:val="22"/>
          <w:lang w:val="da-DK"/>
        </w:rPr>
        <w:t>5</w:t>
      </w:r>
      <w:r w:rsidRPr="004C2A59">
        <w:rPr>
          <w:color w:val="000000"/>
          <w:sz w:val="22"/>
          <w:szCs w:val="22"/>
          <w:lang w:val="da-DK"/>
        </w:rPr>
        <w:tab/>
        <w:t>Pleural effusion blev observeret oftere hos patienter med GIST og hos patienter med transformeret CML (CML</w:t>
      </w:r>
      <w:r w:rsidRPr="004C2A59">
        <w:rPr>
          <w:color w:val="000000"/>
          <w:sz w:val="22"/>
          <w:szCs w:val="22"/>
          <w:lang w:val="da-DK"/>
        </w:rPr>
        <w:noBreakHyphen/>
        <w:t>AP og CML</w:t>
      </w:r>
      <w:r w:rsidRPr="004C2A59">
        <w:rPr>
          <w:color w:val="000000"/>
          <w:sz w:val="22"/>
          <w:szCs w:val="22"/>
          <w:lang w:val="da-DK"/>
        </w:rPr>
        <w:noBreakHyphen/>
        <w:t>BC) end hos patienter med kronisk CML.</w:t>
      </w:r>
    </w:p>
    <w:p w14:paraId="309D04C7" w14:textId="77777777" w:rsidR="00A573B3" w:rsidRPr="004C2A59" w:rsidRDefault="00A573B3" w:rsidP="00A125B0">
      <w:pPr>
        <w:keepNext/>
        <w:keepLines/>
        <w:widowControl w:val="0"/>
        <w:ind w:left="567" w:hanging="567"/>
        <w:rPr>
          <w:color w:val="000000"/>
          <w:sz w:val="22"/>
          <w:szCs w:val="22"/>
          <w:lang w:val="da-DK"/>
        </w:rPr>
      </w:pPr>
      <w:r w:rsidRPr="004C2A59">
        <w:rPr>
          <w:color w:val="000000"/>
          <w:sz w:val="22"/>
          <w:szCs w:val="22"/>
          <w:lang w:val="da-DK"/>
        </w:rPr>
        <w:t>6+7</w:t>
      </w:r>
      <w:r w:rsidRPr="004C2A59">
        <w:rPr>
          <w:color w:val="000000"/>
          <w:sz w:val="22"/>
          <w:szCs w:val="22"/>
          <w:lang w:val="da-DK"/>
        </w:rPr>
        <w:tab/>
        <w:t>Abdominalsmerter og gastrointestinalblødning blev oftest observeret hos patienter med GIST.</w:t>
      </w:r>
    </w:p>
    <w:p w14:paraId="12CD23BB" w14:textId="77777777" w:rsidR="00A573B3" w:rsidRPr="004C2A59" w:rsidRDefault="00A573B3" w:rsidP="00A125B0">
      <w:pPr>
        <w:keepNext/>
        <w:keepLines/>
        <w:widowControl w:val="0"/>
        <w:ind w:left="567" w:hanging="567"/>
        <w:rPr>
          <w:color w:val="000000"/>
          <w:sz w:val="22"/>
          <w:szCs w:val="22"/>
          <w:lang w:val="da-DK"/>
        </w:rPr>
      </w:pPr>
      <w:r w:rsidRPr="004C2A59">
        <w:rPr>
          <w:color w:val="000000"/>
          <w:sz w:val="22"/>
          <w:szCs w:val="22"/>
          <w:lang w:val="da-DK"/>
        </w:rPr>
        <w:t>8</w:t>
      </w:r>
      <w:r w:rsidRPr="004C2A59">
        <w:rPr>
          <w:color w:val="000000"/>
          <w:sz w:val="22"/>
          <w:szCs w:val="22"/>
          <w:lang w:val="da-DK"/>
        </w:rPr>
        <w:tab/>
        <w:t>Der er rapporteret tilfælde af letalt leversvigt og levernekrose.</w:t>
      </w:r>
    </w:p>
    <w:p w14:paraId="62E083D0" w14:textId="77777777" w:rsidR="00707ABF" w:rsidRDefault="00A573B3" w:rsidP="00A125B0">
      <w:pPr>
        <w:keepNext/>
        <w:keepLines/>
        <w:widowControl w:val="0"/>
        <w:ind w:left="567" w:hanging="567"/>
        <w:rPr>
          <w:color w:val="000000"/>
          <w:sz w:val="22"/>
          <w:szCs w:val="22"/>
          <w:lang w:val="da-DK"/>
        </w:rPr>
      </w:pPr>
      <w:r w:rsidRPr="004C2A59">
        <w:rPr>
          <w:color w:val="000000"/>
          <w:sz w:val="22"/>
          <w:szCs w:val="22"/>
          <w:lang w:val="da-DK"/>
        </w:rPr>
        <w:t>9</w:t>
      </w:r>
      <w:r w:rsidRPr="004C2A59">
        <w:rPr>
          <w:color w:val="000000"/>
          <w:sz w:val="22"/>
          <w:szCs w:val="22"/>
          <w:lang w:val="da-DK"/>
        </w:rPr>
        <w:tab/>
      </w:r>
      <w:r w:rsidR="00707ABF">
        <w:rPr>
          <w:color w:val="000000"/>
          <w:sz w:val="22"/>
          <w:szCs w:val="22"/>
          <w:lang w:val="da-DK"/>
        </w:rPr>
        <w:t>Muskuloskeletal</w:t>
      </w:r>
      <w:r w:rsidR="00BA6F04">
        <w:rPr>
          <w:color w:val="000000"/>
          <w:sz w:val="22"/>
          <w:szCs w:val="22"/>
          <w:lang w:val="da-DK"/>
        </w:rPr>
        <w:t>e</w:t>
      </w:r>
      <w:r w:rsidR="00707ABF">
        <w:rPr>
          <w:color w:val="000000"/>
          <w:sz w:val="22"/>
          <w:szCs w:val="22"/>
          <w:lang w:val="da-DK"/>
        </w:rPr>
        <w:t xml:space="preserve"> smerte</w:t>
      </w:r>
      <w:r w:rsidR="00BA6F04">
        <w:rPr>
          <w:color w:val="000000"/>
          <w:sz w:val="22"/>
          <w:szCs w:val="22"/>
          <w:lang w:val="da-DK"/>
        </w:rPr>
        <w:t>r</w:t>
      </w:r>
      <w:r w:rsidR="00707ABF">
        <w:rPr>
          <w:color w:val="000000"/>
          <w:sz w:val="22"/>
          <w:szCs w:val="22"/>
          <w:lang w:val="da-DK"/>
        </w:rPr>
        <w:t xml:space="preserve"> under behandling med </w:t>
      </w:r>
      <w:r w:rsidR="00707ABF" w:rsidRPr="00BE3BD9">
        <w:rPr>
          <w:color w:val="000000"/>
          <w:sz w:val="22"/>
          <w:szCs w:val="22"/>
          <w:lang w:val="da-DK"/>
        </w:rPr>
        <w:t xml:space="preserve">imatinib eller efter </w:t>
      </w:r>
      <w:r w:rsidR="00BA6F04" w:rsidRPr="00BE3BD9">
        <w:rPr>
          <w:color w:val="000000"/>
          <w:sz w:val="22"/>
          <w:szCs w:val="22"/>
          <w:lang w:val="da-DK"/>
        </w:rPr>
        <w:t xml:space="preserve">seponering </w:t>
      </w:r>
      <w:r w:rsidR="00707ABF" w:rsidRPr="00BE3BD9">
        <w:rPr>
          <w:color w:val="000000"/>
          <w:sz w:val="22"/>
          <w:szCs w:val="22"/>
          <w:lang w:val="da-DK"/>
        </w:rPr>
        <w:t>er blevet</w:t>
      </w:r>
      <w:r w:rsidR="00707ABF">
        <w:rPr>
          <w:color w:val="000000"/>
          <w:sz w:val="22"/>
          <w:szCs w:val="22"/>
          <w:lang w:val="da-DK"/>
        </w:rPr>
        <w:t xml:space="preserve"> observeret efter markedsføring.</w:t>
      </w:r>
    </w:p>
    <w:p w14:paraId="5A2DBC52" w14:textId="77777777" w:rsidR="00A573B3" w:rsidRPr="004C2A59" w:rsidRDefault="00707ABF" w:rsidP="00A125B0">
      <w:pPr>
        <w:keepNext/>
        <w:keepLines/>
        <w:widowControl w:val="0"/>
        <w:ind w:left="567" w:hanging="567"/>
        <w:rPr>
          <w:color w:val="000000"/>
          <w:sz w:val="22"/>
          <w:szCs w:val="22"/>
          <w:lang w:val="da-DK"/>
        </w:rPr>
      </w:pPr>
      <w:r>
        <w:rPr>
          <w:color w:val="000000"/>
          <w:sz w:val="22"/>
          <w:szCs w:val="22"/>
          <w:lang w:val="da-DK"/>
        </w:rPr>
        <w:t>10</w:t>
      </w:r>
      <w:r>
        <w:rPr>
          <w:color w:val="000000"/>
          <w:sz w:val="22"/>
          <w:szCs w:val="22"/>
          <w:lang w:val="da-DK"/>
        </w:rPr>
        <w:tab/>
      </w:r>
      <w:r w:rsidR="00A573B3" w:rsidRPr="004C2A59">
        <w:rPr>
          <w:color w:val="000000"/>
          <w:sz w:val="22"/>
          <w:szCs w:val="22"/>
          <w:lang w:val="da-DK"/>
        </w:rPr>
        <w:t>Muskuloskeletale smerter og relaterede hændelser blev observeret oftere hos patienter med CML end hos patienter med GIST.</w:t>
      </w:r>
    </w:p>
    <w:p w14:paraId="279E7600" w14:textId="77777777" w:rsidR="00FD10C4" w:rsidRPr="004C2A59" w:rsidRDefault="00707ABF" w:rsidP="00A125B0">
      <w:pPr>
        <w:keepLines/>
        <w:widowControl w:val="0"/>
        <w:ind w:left="567" w:hanging="567"/>
        <w:rPr>
          <w:color w:val="000000"/>
          <w:sz w:val="22"/>
          <w:szCs w:val="22"/>
          <w:lang w:val="da-DK"/>
        </w:rPr>
      </w:pPr>
      <w:r>
        <w:rPr>
          <w:color w:val="000000"/>
          <w:sz w:val="22"/>
          <w:szCs w:val="22"/>
          <w:lang w:val="da-DK"/>
        </w:rPr>
        <w:t>11</w:t>
      </w:r>
      <w:r w:rsidR="00FD10C4" w:rsidRPr="004C2A59">
        <w:rPr>
          <w:color w:val="000000"/>
          <w:sz w:val="22"/>
          <w:szCs w:val="22"/>
          <w:lang w:val="da-DK"/>
        </w:rPr>
        <w:tab/>
        <w:t>Der er blevet rapporteret dødelige tilfælde hos patienter med fremskreden sygdom, alvorlige infektioner, alvorlig neutropeni og andre alvorlige, samtidige tilstande.</w:t>
      </w:r>
    </w:p>
    <w:p w14:paraId="05219A2C" w14:textId="77777777" w:rsidR="00A573B3" w:rsidRPr="004C2A59" w:rsidRDefault="00A573B3" w:rsidP="00421681">
      <w:pPr>
        <w:widowControl w:val="0"/>
        <w:jc w:val="both"/>
        <w:rPr>
          <w:color w:val="000000"/>
          <w:sz w:val="22"/>
          <w:szCs w:val="22"/>
          <w:lang w:val="da-DK"/>
        </w:rPr>
      </w:pPr>
    </w:p>
    <w:p w14:paraId="752437FD" w14:textId="77777777" w:rsidR="00A573B3" w:rsidRPr="004C2A59" w:rsidRDefault="00A573B3" w:rsidP="00A125B0">
      <w:pPr>
        <w:keepNext/>
        <w:widowControl w:val="0"/>
        <w:suppressAutoHyphens/>
        <w:ind w:left="567" w:hanging="567"/>
        <w:jc w:val="both"/>
        <w:rPr>
          <w:color w:val="000000"/>
          <w:sz w:val="22"/>
          <w:szCs w:val="22"/>
          <w:u w:val="single"/>
          <w:lang w:val="da-DK"/>
        </w:rPr>
      </w:pPr>
      <w:r w:rsidRPr="004C2A59">
        <w:rPr>
          <w:color w:val="000000"/>
          <w:sz w:val="22"/>
          <w:szCs w:val="22"/>
          <w:u w:val="single"/>
          <w:lang w:val="da-DK"/>
        </w:rPr>
        <w:t>Afvigelser i laboratorieværdier</w:t>
      </w:r>
    </w:p>
    <w:p w14:paraId="0984D2FC" w14:textId="77777777" w:rsidR="00A573B3" w:rsidRPr="004C2A59" w:rsidRDefault="00A573B3" w:rsidP="00A125B0">
      <w:pPr>
        <w:keepNext/>
        <w:widowControl w:val="0"/>
        <w:suppressAutoHyphens/>
        <w:ind w:left="567" w:hanging="567"/>
        <w:jc w:val="both"/>
        <w:rPr>
          <w:i/>
          <w:color w:val="000000"/>
          <w:sz w:val="22"/>
          <w:szCs w:val="22"/>
          <w:lang w:val="da-DK"/>
        </w:rPr>
      </w:pPr>
      <w:r w:rsidRPr="004C2A59">
        <w:rPr>
          <w:i/>
          <w:color w:val="000000"/>
          <w:sz w:val="22"/>
          <w:szCs w:val="22"/>
          <w:lang w:val="da-DK"/>
        </w:rPr>
        <w:t>Hæmatologi</w:t>
      </w:r>
    </w:p>
    <w:p w14:paraId="479EBA94" w14:textId="77777777" w:rsidR="00A573B3" w:rsidRPr="004C2A59" w:rsidRDefault="00A573B3" w:rsidP="00421681">
      <w:pPr>
        <w:widowControl w:val="0"/>
        <w:suppressAutoHyphens/>
        <w:rPr>
          <w:color w:val="000000"/>
          <w:sz w:val="22"/>
          <w:szCs w:val="22"/>
          <w:lang w:val="da-DK"/>
        </w:rPr>
      </w:pPr>
      <w:r w:rsidRPr="004C2A59">
        <w:rPr>
          <w:color w:val="000000"/>
          <w:sz w:val="22"/>
          <w:szCs w:val="22"/>
          <w:lang w:val="da-DK"/>
        </w:rPr>
        <w:t xml:space="preserve">Cytopeni hos CML-patienter, særligt neutropeni og trombocytopeni, har været gennemgående fund i alle undersøgelser med tegn på større hyppighed ved doser </w:t>
      </w:r>
      <w:r w:rsidRPr="004C2A59">
        <w:rPr>
          <w:color w:val="000000"/>
          <w:sz w:val="22"/>
          <w:szCs w:val="22"/>
          <w:lang w:val="da-DK"/>
        </w:rPr>
        <w:sym w:font="Symbol" w:char="F0B3"/>
      </w:r>
      <w:r w:rsidRPr="004C2A59">
        <w:rPr>
          <w:color w:val="000000"/>
          <w:sz w:val="22"/>
          <w:szCs w:val="22"/>
          <w:lang w:val="da-DK"/>
        </w:rPr>
        <w:t>750 mg (fase I undersøgelse). Incidensen af cytopeni hang imidlertid også tydeligt sammen med sygdomsstadiet, idet hyppighed af 3. eller 4. grads neutropeni (ANC &lt;1,0 x 10</w:t>
      </w:r>
      <w:r w:rsidRPr="004C2A59">
        <w:rPr>
          <w:color w:val="000000"/>
          <w:sz w:val="22"/>
          <w:szCs w:val="22"/>
          <w:vertAlign w:val="superscript"/>
          <w:lang w:val="da-DK"/>
        </w:rPr>
        <w:t>9</w:t>
      </w:r>
      <w:r w:rsidRPr="004C2A59">
        <w:rPr>
          <w:color w:val="000000"/>
          <w:sz w:val="22"/>
          <w:szCs w:val="22"/>
          <w:lang w:val="da-DK"/>
        </w:rPr>
        <w:t>/l) og trombocytopeni (trombocyttal &lt;50 x 10</w:t>
      </w:r>
      <w:r w:rsidRPr="004C2A59">
        <w:rPr>
          <w:color w:val="000000"/>
          <w:sz w:val="22"/>
          <w:szCs w:val="22"/>
          <w:vertAlign w:val="superscript"/>
          <w:lang w:val="da-DK"/>
        </w:rPr>
        <w:t>9</w:t>
      </w:r>
      <w:r w:rsidRPr="004C2A59">
        <w:rPr>
          <w:color w:val="000000"/>
          <w:sz w:val="22"/>
          <w:szCs w:val="22"/>
          <w:lang w:val="da-DK"/>
        </w:rPr>
        <w:t xml:space="preserve">/l) var 4–6 gange højere ved blastkrise og accelereret fase (59–64% og 44–63% for henholdsvis neutropeni og </w:t>
      </w:r>
      <w:r w:rsidRPr="004C2A59">
        <w:rPr>
          <w:color w:val="000000"/>
          <w:sz w:val="22"/>
          <w:szCs w:val="22"/>
          <w:lang w:val="da-DK"/>
        </w:rPr>
        <w:lastRenderedPageBreak/>
        <w:t>trombopeni) end ved sammenligning med nydiagnosticerede patienter med kronisk fase CML (16,7% neutropeni og 8,9% trombocytopeni). Der sås 4. grads neutropeni (ANC &lt;0,5 x 10</w:t>
      </w:r>
      <w:r w:rsidRPr="004C2A59">
        <w:rPr>
          <w:color w:val="000000"/>
          <w:sz w:val="22"/>
          <w:szCs w:val="22"/>
          <w:vertAlign w:val="superscript"/>
          <w:lang w:val="da-DK"/>
        </w:rPr>
        <w:t>9</w:t>
      </w:r>
      <w:r w:rsidRPr="004C2A59">
        <w:rPr>
          <w:color w:val="000000"/>
          <w:sz w:val="22"/>
          <w:szCs w:val="22"/>
          <w:lang w:val="da-DK"/>
        </w:rPr>
        <w:t>/l) og trombopeni (trombocyttal &lt;10 x 10</w:t>
      </w:r>
      <w:r w:rsidRPr="004C2A59">
        <w:rPr>
          <w:color w:val="000000"/>
          <w:sz w:val="22"/>
          <w:szCs w:val="22"/>
          <w:vertAlign w:val="superscript"/>
          <w:lang w:val="da-DK"/>
        </w:rPr>
        <w:t>9</w:t>
      </w:r>
      <w:r w:rsidRPr="004C2A59">
        <w:rPr>
          <w:color w:val="000000"/>
          <w:sz w:val="22"/>
          <w:szCs w:val="22"/>
          <w:lang w:val="da-DK"/>
        </w:rPr>
        <w:t xml:space="preserve">/l) hos henholdsvis 3,6% og </w:t>
      </w:r>
      <w:r w:rsidRPr="004C2A59">
        <w:rPr>
          <w:color w:val="000000"/>
          <w:sz w:val="22"/>
          <w:szCs w:val="22"/>
          <w:lang w:val="da-DK"/>
        </w:rPr>
        <w:sym w:font="Symbol" w:char="F03C"/>
      </w:r>
      <w:r w:rsidRPr="004C2A59">
        <w:rPr>
          <w:color w:val="000000"/>
          <w:sz w:val="22"/>
          <w:szCs w:val="22"/>
          <w:lang w:val="da-DK"/>
        </w:rPr>
        <w:t>1% af patienterne med nydiagnosticeret CML i kronisk fase. Den gennemsnitlige varighed af neutropeni- og trombocytopeniepisoderne varierede sædvanligvis fra henholdsvis 2–3 uger og 3–4 uger. Disse episoder kan sædvanligvis behandles med enten dosisreduktion eller seponering af Glivec, men kan i sjældne tilfælde medføre permanent seponering af behandlingen. De hyppigst observerede alvorlige bivirkninger hos børn med CML var grad 3 eller 4 cytopenier med neutropeni, trombocytopeni og anæmi. Disse opstår almindeligvis indenfor de første måneders behandling.</w:t>
      </w:r>
    </w:p>
    <w:p w14:paraId="2F689FFA" w14:textId="77777777" w:rsidR="00A573B3" w:rsidRPr="004C2A59" w:rsidRDefault="00A573B3" w:rsidP="00421681">
      <w:pPr>
        <w:widowControl w:val="0"/>
        <w:suppressAutoHyphens/>
        <w:rPr>
          <w:color w:val="000000"/>
          <w:sz w:val="22"/>
          <w:szCs w:val="22"/>
          <w:lang w:val="da-DK"/>
        </w:rPr>
      </w:pPr>
    </w:p>
    <w:p w14:paraId="5BCDF5FD" w14:textId="77777777" w:rsidR="00A573B3" w:rsidRPr="004C2A59" w:rsidRDefault="00A573B3" w:rsidP="00421681">
      <w:pPr>
        <w:widowControl w:val="0"/>
        <w:suppressAutoHyphens/>
        <w:rPr>
          <w:color w:val="000000"/>
          <w:sz w:val="22"/>
          <w:szCs w:val="22"/>
          <w:lang w:val="da-DK"/>
        </w:rPr>
      </w:pPr>
      <w:r w:rsidRPr="004C2A59">
        <w:rPr>
          <w:color w:val="000000"/>
          <w:sz w:val="22"/>
          <w:szCs w:val="22"/>
          <w:lang w:val="da-DK"/>
        </w:rPr>
        <w:t>I undersøgelsen med patienter med inoperabel og/eller metastaserende GIST rapporteredes anæmi grad 3 og 4 hos henholdsvis 5,4% og 0,7% af patienterne, hvilket kan hænge sammen med gastrointestinal eller intra-tumoral blødning, i hvert fald hos enkelte af patienterne. Grad 3 og 4 neutropeni sås hos henholdsvis 7,5% og 2,7% af patienterne og grad 3 trombocytopeni hos 0,7% af patienterne. Ingen patienter udviklede grad 4 trombocytopeni. Fald i leukocytter (WBC) og neutrofiltal sås primært i løbet af de første 6 uger af behandlingen, herefter sås relativ stabilisering af værdierne.</w:t>
      </w:r>
    </w:p>
    <w:p w14:paraId="0762BF48" w14:textId="77777777" w:rsidR="00A573B3" w:rsidRPr="004C2A59" w:rsidRDefault="00A573B3" w:rsidP="00421681">
      <w:pPr>
        <w:widowControl w:val="0"/>
        <w:suppressAutoHyphens/>
        <w:rPr>
          <w:color w:val="000000"/>
          <w:sz w:val="22"/>
          <w:szCs w:val="22"/>
          <w:lang w:val="da-DK"/>
        </w:rPr>
      </w:pPr>
    </w:p>
    <w:p w14:paraId="7250F4DC" w14:textId="77777777" w:rsidR="00A573B3" w:rsidRPr="004C2A59" w:rsidRDefault="00A573B3" w:rsidP="00421681">
      <w:pPr>
        <w:pStyle w:val="Heading6"/>
        <w:widowControl w:val="0"/>
        <w:numPr>
          <w:ilvl w:val="0"/>
          <w:numId w:val="0"/>
        </w:numPr>
        <w:tabs>
          <w:tab w:val="clear" w:pos="-720"/>
          <w:tab w:val="clear" w:pos="567"/>
          <w:tab w:val="clear" w:pos="4536"/>
        </w:tabs>
        <w:spacing w:line="240" w:lineRule="auto"/>
        <w:rPr>
          <w:color w:val="000000"/>
          <w:szCs w:val="22"/>
          <w:lang w:val="da-DK"/>
        </w:rPr>
      </w:pPr>
      <w:r w:rsidRPr="004C2A59">
        <w:rPr>
          <w:color w:val="000000"/>
          <w:szCs w:val="22"/>
          <w:lang w:val="da-DK"/>
        </w:rPr>
        <w:t>Biokemi</w:t>
      </w:r>
    </w:p>
    <w:p w14:paraId="26CE959B" w14:textId="77777777" w:rsidR="00A573B3" w:rsidRPr="004C2A59" w:rsidRDefault="00A573B3" w:rsidP="00421681">
      <w:pPr>
        <w:widowControl w:val="0"/>
        <w:suppressAutoHyphens/>
        <w:rPr>
          <w:color w:val="000000"/>
          <w:sz w:val="22"/>
          <w:szCs w:val="22"/>
          <w:lang w:val="da-DK"/>
        </w:rPr>
      </w:pPr>
      <w:r w:rsidRPr="004C2A59">
        <w:rPr>
          <w:color w:val="000000"/>
          <w:sz w:val="22"/>
          <w:szCs w:val="22"/>
          <w:lang w:val="da-DK"/>
        </w:rPr>
        <w:t>Svære stigninger i transaminaser (&lt;5%) eller bilirubin (&lt;1%) blev observeret hos CML-patienterne og blev sædvanligvis behandlet med dosisreduktion eller seponering (den gennemsnitlige varighed af disse episoder var ca. 1 uge). Færre end 1% af CML-patienterne fik seponeret behandlingen permanent på grund af abnormaliteter i levertal. Der blev hos GIST patienter (studie B2222) observeret stigning i grad 3 eller 4 ALAT (alaninaminotransferase) hos 6,8% og stigning i grad 3 eller 4 ASAT (aspartataminotransferase) hos 4,8%. Stigning af bilirubin var under 3%.</w:t>
      </w:r>
    </w:p>
    <w:p w14:paraId="5E4E348C" w14:textId="77777777" w:rsidR="00A573B3" w:rsidRPr="004C2A59" w:rsidRDefault="00A573B3" w:rsidP="00421681">
      <w:pPr>
        <w:widowControl w:val="0"/>
        <w:suppressAutoHyphens/>
        <w:rPr>
          <w:color w:val="000000"/>
          <w:sz w:val="22"/>
          <w:szCs w:val="22"/>
          <w:lang w:val="da-DK"/>
        </w:rPr>
      </w:pPr>
    </w:p>
    <w:p w14:paraId="7942C582" w14:textId="77777777" w:rsidR="00E5610F" w:rsidRDefault="00A573B3" w:rsidP="00421681">
      <w:pPr>
        <w:widowControl w:val="0"/>
        <w:suppressAutoHyphens/>
        <w:rPr>
          <w:color w:val="000000"/>
          <w:sz w:val="22"/>
          <w:szCs w:val="22"/>
          <w:lang w:val="da-DK"/>
        </w:rPr>
      </w:pPr>
      <w:r w:rsidRPr="004C2A59">
        <w:rPr>
          <w:color w:val="000000"/>
          <w:sz w:val="22"/>
          <w:szCs w:val="22"/>
          <w:lang w:val="da-DK"/>
        </w:rPr>
        <w:t>Der har været tilfælde af cytolytisk og cholestatisk hepatitis samt leversvigt, i nogle tilfælde var udfaldet letalt, inkluderende én patient, der fik højdosis paracetamol.</w:t>
      </w:r>
    </w:p>
    <w:p w14:paraId="11A00696" w14:textId="77777777" w:rsidR="007F2E31" w:rsidRPr="007F2E31" w:rsidRDefault="007F2E31" w:rsidP="00421681">
      <w:pPr>
        <w:widowControl w:val="0"/>
        <w:suppressAutoHyphens/>
        <w:rPr>
          <w:sz w:val="22"/>
          <w:szCs w:val="22"/>
          <w:lang w:val="da-DK"/>
        </w:rPr>
      </w:pPr>
    </w:p>
    <w:p w14:paraId="432973CC" w14:textId="77777777" w:rsidR="00E5610F" w:rsidRPr="007F2E31" w:rsidRDefault="00E5610F" w:rsidP="00421681">
      <w:pPr>
        <w:keepNext/>
        <w:widowControl w:val="0"/>
        <w:rPr>
          <w:color w:val="000000"/>
          <w:sz w:val="22"/>
          <w:szCs w:val="22"/>
          <w:u w:val="single"/>
          <w:lang w:val="da-DK"/>
        </w:rPr>
      </w:pPr>
      <w:r w:rsidRPr="007F2E31">
        <w:rPr>
          <w:color w:val="000000"/>
          <w:sz w:val="22"/>
          <w:szCs w:val="22"/>
          <w:u w:val="single"/>
          <w:lang w:val="da-DK"/>
        </w:rPr>
        <w:t>Beskrivelse af udvalgte bivirkninger</w:t>
      </w:r>
    </w:p>
    <w:p w14:paraId="284C21A4" w14:textId="77777777" w:rsidR="00E5610F" w:rsidRPr="007F2E31" w:rsidRDefault="00E5610F" w:rsidP="00421681">
      <w:pPr>
        <w:keepNext/>
        <w:widowControl w:val="0"/>
        <w:rPr>
          <w:i/>
          <w:color w:val="000000"/>
          <w:sz w:val="22"/>
          <w:szCs w:val="22"/>
          <w:u w:val="single"/>
          <w:lang w:val="da-DK"/>
        </w:rPr>
      </w:pPr>
      <w:r w:rsidRPr="007F2E31">
        <w:rPr>
          <w:i/>
          <w:color w:val="000000"/>
          <w:sz w:val="22"/>
          <w:szCs w:val="22"/>
          <w:u w:val="single"/>
          <w:lang w:val="da-DK"/>
        </w:rPr>
        <w:t>Reaktivering af hepatitis B</w:t>
      </w:r>
    </w:p>
    <w:p w14:paraId="0BB363D4" w14:textId="77777777" w:rsidR="00E5610F" w:rsidRPr="004C2A59" w:rsidRDefault="00E5610F" w:rsidP="00421681">
      <w:pPr>
        <w:widowControl w:val="0"/>
        <w:suppressAutoHyphens/>
        <w:rPr>
          <w:color w:val="000000"/>
          <w:sz w:val="22"/>
          <w:szCs w:val="22"/>
          <w:lang w:val="da-DK"/>
        </w:rPr>
      </w:pPr>
      <w:r w:rsidRPr="00E5610F">
        <w:rPr>
          <w:color w:val="000000"/>
          <w:sz w:val="22"/>
          <w:szCs w:val="22"/>
          <w:lang w:val="da-DK"/>
        </w:rPr>
        <w:t>Reaktivering af hepatitis B er beskrevet i forbindelse med behandling med BCR-ABL-tyrosinkinasehæmmere. I nogle tilfælde har dette medført akut leversvigt eller fulminant hepatitis, førende til levertranspl</w:t>
      </w:r>
      <w:r w:rsidR="00636691">
        <w:rPr>
          <w:color w:val="000000"/>
          <w:sz w:val="22"/>
          <w:szCs w:val="22"/>
          <w:lang w:val="da-DK"/>
        </w:rPr>
        <w:t>antation eller død (se pkt. </w:t>
      </w:r>
      <w:r w:rsidRPr="00E5610F">
        <w:rPr>
          <w:color w:val="000000"/>
          <w:sz w:val="22"/>
          <w:szCs w:val="22"/>
          <w:lang w:val="da-DK"/>
        </w:rPr>
        <w:t>4.4).</w:t>
      </w:r>
    </w:p>
    <w:p w14:paraId="7C0967EC" w14:textId="77777777" w:rsidR="00A573B3" w:rsidRPr="004C2A59" w:rsidRDefault="00A573B3" w:rsidP="00421681">
      <w:pPr>
        <w:widowControl w:val="0"/>
        <w:suppressAutoHyphens/>
        <w:rPr>
          <w:color w:val="000000"/>
          <w:sz w:val="22"/>
          <w:szCs w:val="22"/>
          <w:lang w:val="da-DK"/>
        </w:rPr>
      </w:pPr>
    </w:p>
    <w:p w14:paraId="0FE4B383" w14:textId="77777777" w:rsidR="00A573B3" w:rsidRPr="004C2A59" w:rsidRDefault="00A573B3" w:rsidP="00A125B0">
      <w:pPr>
        <w:keepNext/>
        <w:autoSpaceDE w:val="0"/>
        <w:autoSpaceDN w:val="0"/>
        <w:adjustRightInd w:val="0"/>
        <w:rPr>
          <w:sz w:val="22"/>
          <w:szCs w:val="22"/>
          <w:u w:val="single"/>
          <w:lang w:val="da-DK"/>
        </w:rPr>
      </w:pPr>
      <w:r w:rsidRPr="004C2A59">
        <w:rPr>
          <w:noProof/>
          <w:sz w:val="22"/>
          <w:szCs w:val="22"/>
          <w:u w:val="single"/>
          <w:lang w:val="da-DK"/>
        </w:rPr>
        <w:t>Indberetning af formodede bivirkninger</w:t>
      </w:r>
    </w:p>
    <w:p w14:paraId="53C755EC" w14:textId="77777777" w:rsidR="00A573B3" w:rsidRPr="004C2A59" w:rsidRDefault="00A573B3" w:rsidP="00421681">
      <w:pPr>
        <w:widowControl w:val="0"/>
        <w:suppressAutoHyphens/>
        <w:rPr>
          <w:color w:val="000000"/>
          <w:sz w:val="22"/>
          <w:szCs w:val="22"/>
          <w:lang w:val="da-DK"/>
        </w:rPr>
      </w:pPr>
      <w:r w:rsidRPr="004C2A59">
        <w:rPr>
          <w:noProof/>
          <w:sz w:val="22"/>
          <w:szCs w:val="22"/>
          <w:lang w:val="da-DK"/>
        </w:rPr>
        <w:t>Når lægemidlet er godkendt, er indberetning af formodede bivirkninger vigtig.</w:t>
      </w:r>
      <w:r w:rsidRPr="004C2A59">
        <w:rPr>
          <w:sz w:val="22"/>
          <w:szCs w:val="22"/>
          <w:lang w:val="da-DK"/>
        </w:rPr>
        <w:t xml:space="preserve"> </w:t>
      </w:r>
      <w:r w:rsidRPr="004C2A59">
        <w:rPr>
          <w:noProof/>
          <w:sz w:val="22"/>
          <w:szCs w:val="22"/>
          <w:lang w:val="da-DK"/>
        </w:rPr>
        <w:t>Det muliggør løbende overvågning af benefit/risk-forholdet for lægemidlet.</w:t>
      </w:r>
      <w:r w:rsidRPr="004C2A59">
        <w:rPr>
          <w:sz w:val="22"/>
          <w:szCs w:val="22"/>
          <w:lang w:val="da-DK"/>
        </w:rPr>
        <w:t xml:space="preserve"> </w:t>
      </w:r>
      <w:r w:rsidRPr="004C2A59">
        <w:rPr>
          <w:noProof/>
          <w:sz w:val="22"/>
          <w:szCs w:val="22"/>
          <w:lang w:val="da-DK"/>
        </w:rPr>
        <w:t xml:space="preserve">Læger og sundhedspersonale anmodes om at indberette alle formodede bivirkninger </w:t>
      </w:r>
      <w:r w:rsidRPr="004C2A59">
        <w:rPr>
          <w:noProof/>
          <w:sz w:val="22"/>
          <w:szCs w:val="22"/>
          <w:shd w:val="clear" w:color="auto" w:fill="D9D9D9"/>
          <w:lang w:val="da-DK"/>
        </w:rPr>
        <w:t xml:space="preserve">via det nationale rapporteringssystem anført i </w:t>
      </w:r>
      <w:hyperlink r:id="rId15" w:history="1">
        <w:r w:rsidRPr="004C2A59">
          <w:rPr>
            <w:rStyle w:val="Hyperlink"/>
            <w:noProof/>
            <w:sz w:val="22"/>
            <w:szCs w:val="22"/>
            <w:shd w:val="clear" w:color="auto" w:fill="D9D9D9"/>
            <w:lang w:val="da-DK"/>
          </w:rPr>
          <w:t>Appendiks V</w:t>
        </w:r>
      </w:hyperlink>
      <w:r w:rsidRPr="004C2A59">
        <w:rPr>
          <w:rStyle w:val="Hyperlink"/>
          <w:noProof/>
          <w:sz w:val="22"/>
          <w:szCs w:val="22"/>
          <w:lang w:val="da-DK"/>
        </w:rPr>
        <w:t>.</w:t>
      </w:r>
    </w:p>
    <w:p w14:paraId="21381474" w14:textId="77777777" w:rsidR="00A573B3" w:rsidRPr="004C2A59" w:rsidRDefault="00A573B3" w:rsidP="00421681">
      <w:pPr>
        <w:widowControl w:val="0"/>
        <w:suppressAutoHyphens/>
        <w:rPr>
          <w:color w:val="000000"/>
          <w:sz w:val="22"/>
          <w:szCs w:val="22"/>
          <w:lang w:val="da-DK"/>
        </w:rPr>
      </w:pPr>
    </w:p>
    <w:p w14:paraId="7F75782F" w14:textId="77777777" w:rsidR="00A573B3" w:rsidRPr="004C2A59" w:rsidRDefault="00A573B3" w:rsidP="00A125B0">
      <w:pPr>
        <w:keepNext/>
        <w:widowControl w:val="0"/>
        <w:suppressAutoHyphens/>
        <w:ind w:left="567" w:hanging="567"/>
        <w:rPr>
          <w:color w:val="000000"/>
          <w:sz w:val="22"/>
          <w:szCs w:val="22"/>
          <w:lang w:val="da-DK"/>
        </w:rPr>
      </w:pPr>
      <w:r w:rsidRPr="004C2A59">
        <w:rPr>
          <w:b/>
          <w:color w:val="000000"/>
          <w:sz w:val="22"/>
          <w:szCs w:val="22"/>
          <w:lang w:val="da-DK"/>
        </w:rPr>
        <w:t>4.9</w:t>
      </w:r>
      <w:r w:rsidRPr="004C2A59">
        <w:rPr>
          <w:b/>
          <w:color w:val="000000"/>
          <w:sz w:val="22"/>
          <w:szCs w:val="22"/>
          <w:lang w:val="da-DK"/>
        </w:rPr>
        <w:tab/>
        <w:t>Overdosering</w:t>
      </w:r>
    </w:p>
    <w:p w14:paraId="58909F4E" w14:textId="77777777" w:rsidR="00A573B3" w:rsidRPr="004C2A59" w:rsidRDefault="00A573B3" w:rsidP="00A125B0">
      <w:pPr>
        <w:pStyle w:val="EndnoteText"/>
        <w:keepNext/>
        <w:tabs>
          <w:tab w:val="clear" w:pos="567"/>
        </w:tabs>
        <w:rPr>
          <w:color w:val="000000"/>
          <w:szCs w:val="22"/>
        </w:rPr>
      </w:pPr>
    </w:p>
    <w:p w14:paraId="3F3C5378" w14:textId="77777777" w:rsidR="00A573B3" w:rsidRPr="004C2A59" w:rsidRDefault="00A573B3" w:rsidP="00421681">
      <w:pPr>
        <w:rPr>
          <w:color w:val="000000"/>
          <w:sz w:val="22"/>
          <w:szCs w:val="22"/>
          <w:lang w:val="da-DK"/>
        </w:rPr>
      </w:pPr>
      <w:r w:rsidRPr="004C2A59">
        <w:rPr>
          <w:color w:val="000000"/>
          <w:sz w:val="22"/>
          <w:szCs w:val="22"/>
          <w:lang w:val="da-DK"/>
        </w:rPr>
        <w:t>Der er begrænset erfaring med doser højere end den anbefalede terapeutiske dosis. Enkelte tilfælde af overdosering med Glivec er blevet spontant rapporteret i literaturen. I tilfælde af overdosis bør patienten observeres og passende symptomatisk behandling institueres. Generelt var de rapporterede udfald i disse sager ”forbedret” eller ”blevet rask”. Tilfælde, der er blevet rapporteret i forskellige dosisintervaller, er følgende:</w:t>
      </w:r>
    </w:p>
    <w:p w14:paraId="085AFE29" w14:textId="77777777" w:rsidR="00A573B3" w:rsidRPr="004C2A59" w:rsidRDefault="00A573B3" w:rsidP="00421681">
      <w:pPr>
        <w:rPr>
          <w:color w:val="000000"/>
          <w:sz w:val="22"/>
          <w:szCs w:val="22"/>
          <w:lang w:val="da-DK"/>
        </w:rPr>
      </w:pPr>
    </w:p>
    <w:p w14:paraId="25D51D06" w14:textId="77777777" w:rsidR="00A573B3" w:rsidRPr="004C2A59" w:rsidRDefault="00A573B3" w:rsidP="00A125B0">
      <w:pPr>
        <w:keepNext/>
        <w:rPr>
          <w:i/>
          <w:color w:val="000000"/>
          <w:sz w:val="22"/>
          <w:szCs w:val="22"/>
          <w:lang w:val="da-DK"/>
        </w:rPr>
      </w:pPr>
      <w:r w:rsidRPr="004C2A59">
        <w:rPr>
          <w:i/>
          <w:color w:val="000000"/>
          <w:sz w:val="22"/>
          <w:szCs w:val="22"/>
          <w:lang w:val="da-DK"/>
        </w:rPr>
        <w:t>Voksen population</w:t>
      </w:r>
    </w:p>
    <w:p w14:paraId="7BC73682" w14:textId="77777777" w:rsidR="00A573B3" w:rsidRPr="004C2A59" w:rsidRDefault="00A573B3" w:rsidP="00421681">
      <w:pPr>
        <w:rPr>
          <w:color w:val="000000"/>
          <w:sz w:val="22"/>
          <w:szCs w:val="22"/>
          <w:lang w:val="da-DK"/>
        </w:rPr>
      </w:pPr>
      <w:r w:rsidRPr="004C2A59">
        <w:rPr>
          <w:color w:val="000000"/>
          <w:sz w:val="22"/>
          <w:szCs w:val="22"/>
          <w:lang w:val="da-DK"/>
        </w:rPr>
        <w:t>1200 til 1600 mg (varighed varierer mellem 1 og 10 dage): Kvalme, opkastning, diarré, rødme, erytem, ødem, hævelse, træthed, muskelkramper, trombocytopeni, pancytopeni, abdominalsmerter, hovedpine, nedsat appetit.</w:t>
      </w:r>
    </w:p>
    <w:p w14:paraId="2483166F" w14:textId="77777777" w:rsidR="00A573B3" w:rsidRPr="004C2A59" w:rsidRDefault="00A573B3" w:rsidP="00421681">
      <w:pPr>
        <w:rPr>
          <w:color w:val="000000"/>
          <w:sz w:val="22"/>
          <w:szCs w:val="22"/>
          <w:lang w:val="da-DK"/>
        </w:rPr>
      </w:pPr>
      <w:r w:rsidRPr="004C2A59">
        <w:rPr>
          <w:color w:val="000000"/>
          <w:sz w:val="22"/>
          <w:szCs w:val="22"/>
          <w:lang w:val="da-DK"/>
        </w:rPr>
        <w:t>1800 til 3200 mg (så høj som 3200 mg daglig i 6 dage): Svaghed, myalgi, øget kreatininfosfokinase, øget bilirubin, gastrointestinale smerter.</w:t>
      </w:r>
    </w:p>
    <w:p w14:paraId="540067E1" w14:textId="77777777" w:rsidR="00A573B3" w:rsidRPr="004C2A59" w:rsidRDefault="00A573B3" w:rsidP="00421681">
      <w:pPr>
        <w:rPr>
          <w:color w:val="000000"/>
          <w:sz w:val="22"/>
          <w:szCs w:val="22"/>
          <w:lang w:val="da-DK"/>
        </w:rPr>
      </w:pPr>
      <w:r w:rsidRPr="004C2A59">
        <w:rPr>
          <w:color w:val="000000"/>
          <w:sz w:val="22"/>
          <w:szCs w:val="22"/>
          <w:lang w:val="da-DK"/>
        </w:rPr>
        <w:t>6400 mg (enkeltdosis): Der er beskrevet et tilfælde i litteraturen om en patient, der fik kvalme, opkastning, abdominalsmerter, feber, hævelse af ansigt, nedsat neutrofiltal, stigning i transaminaser.</w:t>
      </w:r>
    </w:p>
    <w:p w14:paraId="2E9E0E7D" w14:textId="77777777" w:rsidR="00A573B3" w:rsidRPr="004C2A59" w:rsidRDefault="00A573B3" w:rsidP="00421681">
      <w:pPr>
        <w:rPr>
          <w:color w:val="000000"/>
          <w:sz w:val="22"/>
          <w:szCs w:val="22"/>
          <w:lang w:val="da-DK"/>
        </w:rPr>
      </w:pPr>
      <w:r w:rsidRPr="004C2A59">
        <w:rPr>
          <w:color w:val="000000"/>
          <w:sz w:val="22"/>
          <w:szCs w:val="22"/>
          <w:lang w:val="da-DK"/>
        </w:rPr>
        <w:t>8 til 10 g (enkeltdosis): Opkastning og gastrointestinale smerter er blevet rapporteret.</w:t>
      </w:r>
    </w:p>
    <w:p w14:paraId="009E8C88" w14:textId="77777777" w:rsidR="00A573B3" w:rsidRPr="004C2A59" w:rsidRDefault="00A573B3" w:rsidP="00421681">
      <w:pPr>
        <w:rPr>
          <w:color w:val="000000"/>
          <w:sz w:val="22"/>
          <w:szCs w:val="22"/>
          <w:lang w:val="da-DK"/>
        </w:rPr>
      </w:pPr>
    </w:p>
    <w:p w14:paraId="5D81FCF2" w14:textId="77777777" w:rsidR="00A573B3" w:rsidRPr="004C2A59" w:rsidRDefault="00A573B3" w:rsidP="00A125B0">
      <w:pPr>
        <w:keepNext/>
        <w:rPr>
          <w:i/>
          <w:color w:val="000000"/>
          <w:sz w:val="22"/>
          <w:szCs w:val="22"/>
          <w:lang w:val="da-DK"/>
        </w:rPr>
      </w:pPr>
      <w:r w:rsidRPr="004C2A59">
        <w:rPr>
          <w:i/>
          <w:color w:val="000000"/>
          <w:sz w:val="22"/>
          <w:szCs w:val="22"/>
          <w:lang w:val="da-DK"/>
        </w:rPr>
        <w:t>Pædiatrisk population</w:t>
      </w:r>
    </w:p>
    <w:p w14:paraId="5ED1AAF4" w14:textId="77777777" w:rsidR="00A573B3" w:rsidRPr="004C2A59" w:rsidRDefault="00A573B3" w:rsidP="00421681">
      <w:pPr>
        <w:rPr>
          <w:color w:val="000000"/>
          <w:sz w:val="22"/>
          <w:szCs w:val="22"/>
          <w:lang w:val="da-DK"/>
        </w:rPr>
      </w:pPr>
      <w:r w:rsidRPr="004C2A59">
        <w:rPr>
          <w:color w:val="000000"/>
          <w:sz w:val="22"/>
          <w:szCs w:val="22"/>
          <w:lang w:val="da-DK"/>
        </w:rPr>
        <w:t>En 3-årig dreng, der fik en enkelt dosis på 400 mg, oplevede opkastning, diarré og appetitløshed, og en anden 3-årig dreng, der fik en enkelt dosis på 980 mg, oplevede nedsat antal hvide blodlegemer og diarré.</w:t>
      </w:r>
    </w:p>
    <w:p w14:paraId="2C982C2E" w14:textId="77777777" w:rsidR="00A573B3" w:rsidRPr="004C2A59" w:rsidRDefault="00A573B3" w:rsidP="00421681">
      <w:pPr>
        <w:rPr>
          <w:color w:val="000000"/>
          <w:sz w:val="22"/>
          <w:szCs w:val="22"/>
          <w:lang w:val="da-DK"/>
        </w:rPr>
      </w:pPr>
    </w:p>
    <w:p w14:paraId="64E3BCDF" w14:textId="77777777" w:rsidR="00A573B3" w:rsidRPr="004C2A59" w:rsidRDefault="00A573B3" w:rsidP="00421681">
      <w:pPr>
        <w:widowControl w:val="0"/>
        <w:rPr>
          <w:color w:val="000000"/>
          <w:sz w:val="22"/>
          <w:szCs w:val="22"/>
          <w:lang w:val="da-DK"/>
        </w:rPr>
      </w:pPr>
      <w:r w:rsidRPr="004C2A59">
        <w:rPr>
          <w:color w:val="000000"/>
          <w:sz w:val="22"/>
          <w:szCs w:val="22"/>
          <w:lang w:val="da-DK"/>
        </w:rPr>
        <w:t>I tilfælde af overdosering bør patienten observeres, og der bør gives relevant understøttende behandling.</w:t>
      </w:r>
    </w:p>
    <w:p w14:paraId="0FD1A0E3" w14:textId="77777777" w:rsidR="00A573B3" w:rsidRPr="004C2A59" w:rsidRDefault="00A573B3" w:rsidP="00421681">
      <w:pPr>
        <w:widowControl w:val="0"/>
        <w:rPr>
          <w:color w:val="000000"/>
          <w:sz w:val="22"/>
          <w:szCs w:val="22"/>
          <w:lang w:val="da-DK"/>
        </w:rPr>
      </w:pPr>
    </w:p>
    <w:p w14:paraId="7815F130" w14:textId="77777777" w:rsidR="00A573B3" w:rsidRPr="004C2A59" w:rsidRDefault="00A573B3" w:rsidP="00421681">
      <w:pPr>
        <w:widowControl w:val="0"/>
        <w:rPr>
          <w:color w:val="000000"/>
          <w:sz w:val="22"/>
          <w:szCs w:val="22"/>
          <w:lang w:val="da-DK"/>
        </w:rPr>
      </w:pPr>
    </w:p>
    <w:p w14:paraId="7CD2BEA3" w14:textId="77777777" w:rsidR="00A573B3" w:rsidRPr="004C2A59" w:rsidRDefault="00A573B3" w:rsidP="00A125B0">
      <w:pPr>
        <w:keepNext/>
        <w:widowControl w:val="0"/>
        <w:suppressAutoHyphens/>
        <w:ind w:left="567" w:hanging="567"/>
        <w:rPr>
          <w:color w:val="000000"/>
          <w:sz w:val="22"/>
          <w:szCs w:val="22"/>
          <w:lang w:val="da-DK"/>
        </w:rPr>
      </w:pPr>
      <w:r w:rsidRPr="004C2A59">
        <w:rPr>
          <w:b/>
          <w:color w:val="000000"/>
          <w:sz w:val="22"/>
          <w:szCs w:val="22"/>
          <w:lang w:val="da-DK"/>
        </w:rPr>
        <w:t>5.</w:t>
      </w:r>
      <w:r w:rsidRPr="004C2A59">
        <w:rPr>
          <w:b/>
          <w:color w:val="000000"/>
          <w:sz w:val="22"/>
          <w:szCs w:val="22"/>
          <w:lang w:val="da-DK"/>
        </w:rPr>
        <w:tab/>
        <w:t>FARMAKOLOGISKE EGENSKABER</w:t>
      </w:r>
    </w:p>
    <w:p w14:paraId="3BE86B53" w14:textId="77777777" w:rsidR="00A573B3" w:rsidRPr="004C2A59" w:rsidRDefault="00A573B3" w:rsidP="00A125B0">
      <w:pPr>
        <w:keepNext/>
        <w:widowControl w:val="0"/>
        <w:suppressAutoHyphens/>
        <w:ind w:left="567" w:hanging="567"/>
        <w:rPr>
          <w:color w:val="000000"/>
          <w:sz w:val="22"/>
          <w:szCs w:val="22"/>
          <w:lang w:val="da-DK"/>
        </w:rPr>
      </w:pPr>
    </w:p>
    <w:p w14:paraId="5E6A2F95" w14:textId="77777777" w:rsidR="00A573B3" w:rsidRPr="004C2A59" w:rsidRDefault="00A573B3" w:rsidP="00A125B0">
      <w:pPr>
        <w:keepNext/>
        <w:widowControl w:val="0"/>
        <w:suppressAutoHyphens/>
        <w:ind w:left="567" w:hanging="567"/>
        <w:rPr>
          <w:color w:val="000000"/>
          <w:sz w:val="22"/>
          <w:szCs w:val="22"/>
          <w:lang w:val="da-DK"/>
        </w:rPr>
      </w:pPr>
      <w:r w:rsidRPr="004C2A59">
        <w:rPr>
          <w:b/>
          <w:color w:val="000000"/>
          <w:sz w:val="22"/>
          <w:szCs w:val="22"/>
          <w:lang w:val="da-DK"/>
        </w:rPr>
        <w:t>5.1</w:t>
      </w:r>
      <w:r w:rsidRPr="004C2A59">
        <w:rPr>
          <w:b/>
          <w:color w:val="000000"/>
          <w:sz w:val="22"/>
          <w:szCs w:val="22"/>
          <w:lang w:val="da-DK"/>
        </w:rPr>
        <w:tab/>
        <w:t>Farmakodynamiske egenskaber</w:t>
      </w:r>
    </w:p>
    <w:p w14:paraId="2AB05E91" w14:textId="77777777" w:rsidR="00A573B3" w:rsidRPr="004C2A59" w:rsidRDefault="00A573B3" w:rsidP="00A125B0">
      <w:pPr>
        <w:keepNext/>
        <w:widowControl w:val="0"/>
        <w:rPr>
          <w:color w:val="000000"/>
          <w:sz w:val="22"/>
          <w:szCs w:val="22"/>
          <w:lang w:val="da-DK"/>
        </w:rPr>
      </w:pPr>
    </w:p>
    <w:p w14:paraId="4B28A8AE" w14:textId="77777777" w:rsidR="00A573B3" w:rsidRPr="004C2A59" w:rsidRDefault="00A573B3" w:rsidP="00A125B0">
      <w:pPr>
        <w:keepNext/>
        <w:widowControl w:val="0"/>
        <w:suppressAutoHyphens/>
        <w:ind w:left="567" w:hanging="567"/>
        <w:rPr>
          <w:color w:val="000000"/>
          <w:sz w:val="22"/>
          <w:szCs w:val="22"/>
          <w:lang w:val="da-DK"/>
        </w:rPr>
      </w:pPr>
      <w:r w:rsidRPr="004C2A59">
        <w:rPr>
          <w:color w:val="000000"/>
          <w:sz w:val="22"/>
          <w:szCs w:val="22"/>
          <w:lang w:val="da-DK"/>
        </w:rPr>
        <w:t>Farmakoterapeutisk klassifikation: Protein-tyrosinkinasehæmmer, ATC-kode: L01XE01</w:t>
      </w:r>
    </w:p>
    <w:p w14:paraId="71DC0A67" w14:textId="77777777" w:rsidR="00A573B3" w:rsidRPr="004C2A59" w:rsidRDefault="00A573B3" w:rsidP="00A125B0">
      <w:pPr>
        <w:keepNext/>
        <w:widowControl w:val="0"/>
        <w:rPr>
          <w:color w:val="000000"/>
          <w:sz w:val="22"/>
          <w:szCs w:val="22"/>
          <w:lang w:val="da-DK"/>
        </w:rPr>
      </w:pPr>
    </w:p>
    <w:p w14:paraId="2188008A" w14:textId="77777777" w:rsidR="00A573B3" w:rsidRPr="004C2A59" w:rsidRDefault="00A573B3" w:rsidP="00A125B0">
      <w:pPr>
        <w:keepNext/>
        <w:widowControl w:val="0"/>
        <w:rPr>
          <w:sz w:val="22"/>
          <w:szCs w:val="22"/>
          <w:u w:val="single"/>
          <w:lang w:val="da-DK"/>
        </w:rPr>
      </w:pPr>
      <w:r w:rsidRPr="004C2A59">
        <w:rPr>
          <w:sz w:val="22"/>
          <w:szCs w:val="22"/>
          <w:u w:val="single"/>
          <w:lang w:val="da-DK"/>
        </w:rPr>
        <w:t>Virkningsmekanisme</w:t>
      </w:r>
    </w:p>
    <w:p w14:paraId="79896FFE" w14:textId="77777777" w:rsidR="00A573B3" w:rsidRPr="004C2A59" w:rsidRDefault="00A573B3" w:rsidP="00421681">
      <w:pPr>
        <w:autoSpaceDE w:val="0"/>
        <w:autoSpaceDN w:val="0"/>
        <w:adjustRightInd w:val="0"/>
        <w:rPr>
          <w:sz w:val="22"/>
          <w:szCs w:val="22"/>
          <w:lang w:val="da-DK"/>
        </w:rPr>
      </w:pPr>
      <w:r w:rsidRPr="004C2A59">
        <w:rPr>
          <w:sz w:val="22"/>
          <w:szCs w:val="22"/>
          <w:lang w:val="da-DK"/>
        </w:rPr>
        <w:t>Imatinib er et lille molekyle. Det er en potent protein-tyrosinkinasehæmmer, der hæmmer aktiviteten af Bcr-Abl-tyrosinkinase (TK) såvel som adskillige TK-receptorer: Kit, receptoren for stamcellefaktoren (SCF) kodet for af c-kit proto-onkogenet, discoidin-domænereceptorerne (DDR1 og DDR2), receptoren for den kolonistimulerende faktor (CSF-1R) og receptorerne for trombocytafledte vækstfaktorer alfa og beta (PDGFR-alfa og PDGFR-beta). Imatinib kan også hæmme cellulære signaler medieret ved aktivering af disse receptorkinaser.</w:t>
      </w:r>
    </w:p>
    <w:p w14:paraId="289A5684" w14:textId="77777777" w:rsidR="00A573B3" w:rsidRPr="004C2A59" w:rsidRDefault="00A573B3" w:rsidP="00421681">
      <w:pPr>
        <w:widowControl w:val="0"/>
        <w:rPr>
          <w:sz w:val="22"/>
          <w:szCs w:val="22"/>
          <w:lang w:val="da-DK"/>
        </w:rPr>
      </w:pPr>
    </w:p>
    <w:p w14:paraId="43F5C784" w14:textId="77777777" w:rsidR="00A573B3" w:rsidRPr="004C2A59" w:rsidRDefault="00A573B3" w:rsidP="00A125B0">
      <w:pPr>
        <w:keepNext/>
        <w:widowControl w:val="0"/>
        <w:rPr>
          <w:color w:val="000000"/>
          <w:sz w:val="22"/>
          <w:szCs w:val="22"/>
          <w:lang w:val="da-DK"/>
        </w:rPr>
      </w:pPr>
      <w:r w:rsidRPr="004C2A59">
        <w:rPr>
          <w:sz w:val="22"/>
          <w:szCs w:val="22"/>
          <w:u w:val="single"/>
          <w:lang w:val="da-DK"/>
        </w:rPr>
        <w:t>Farmakodynamisk virkning</w:t>
      </w:r>
    </w:p>
    <w:p w14:paraId="46F3EA52" w14:textId="77777777" w:rsidR="00A573B3" w:rsidRPr="004C2A59" w:rsidRDefault="00A573B3" w:rsidP="00421681">
      <w:pPr>
        <w:widowControl w:val="0"/>
        <w:rPr>
          <w:color w:val="000000"/>
          <w:sz w:val="22"/>
          <w:szCs w:val="22"/>
          <w:lang w:val="da-DK"/>
        </w:rPr>
      </w:pPr>
      <w:r w:rsidRPr="004C2A59">
        <w:rPr>
          <w:color w:val="000000"/>
          <w:sz w:val="22"/>
          <w:szCs w:val="22"/>
          <w:lang w:val="da-DK"/>
        </w:rPr>
        <w:t xml:space="preserve">Imatinib er en protein-tyrosinkinasehæmmer, som potent hæmmer Bcr-Abl tyrosinkinasen </w:t>
      </w:r>
      <w:r w:rsidRPr="004C2A59">
        <w:rPr>
          <w:i/>
          <w:color w:val="000000"/>
          <w:sz w:val="22"/>
          <w:szCs w:val="22"/>
          <w:lang w:val="da-DK"/>
        </w:rPr>
        <w:t>in vitro</w:t>
      </w:r>
      <w:r w:rsidRPr="004C2A59">
        <w:rPr>
          <w:color w:val="000000"/>
          <w:sz w:val="22"/>
          <w:szCs w:val="22"/>
          <w:lang w:val="da-DK"/>
        </w:rPr>
        <w:t xml:space="preserve">, </w:t>
      </w:r>
      <w:r w:rsidRPr="004C2A59">
        <w:rPr>
          <w:i/>
          <w:color w:val="000000"/>
          <w:sz w:val="22"/>
          <w:szCs w:val="22"/>
          <w:lang w:val="da-DK"/>
        </w:rPr>
        <w:t>in vivo</w:t>
      </w:r>
      <w:r w:rsidRPr="004C2A59">
        <w:rPr>
          <w:color w:val="000000"/>
          <w:sz w:val="22"/>
          <w:szCs w:val="22"/>
          <w:lang w:val="da-DK"/>
        </w:rPr>
        <w:t xml:space="preserve"> og på cellulært niveau. Stoffet hæmmer selektivt proliferationen og inducerer apoptosis i Bcr-Abl-positive cellelinier såvel som i friske leukæmiceller fra Philadelphia-kromosom-positiv (Ph</w:t>
      </w:r>
      <w:r w:rsidRPr="004C2A59">
        <w:rPr>
          <w:color w:val="000000"/>
          <w:sz w:val="22"/>
          <w:szCs w:val="22"/>
          <w:vertAlign w:val="superscript"/>
          <w:lang w:val="da-DK"/>
        </w:rPr>
        <w:t>+</w:t>
      </w:r>
      <w:r w:rsidRPr="004C2A59">
        <w:rPr>
          <w:color w:val="000000"/>
          <w:sz w:val="22"/>
          <w:szCs w:val="22"/>
          <w:lang w:val="da-DK"/>
        </w:rPr>
        <w:t>) CML og hos patienter med akut lymfoblastisk leukæmi (</w:t>
      </w:r>
      <w:smartTag w:uri="urn:schemas-microsoft-com:office:smarttags" w:element="metricconverter">
        <w:r w:rsidRPr="004C2A59">
          <w:rPr>
            <w:color w:val="000000"/>
            <w:sz w:val="22"/>
            <w:szCs w:val="22"/>
            <w:lang w:val="da-DK"/>
          </w:rPr>
          <w:t>ALL</w:t>
        </w:r>
      </w:smartTag>
      <w:r w:rsidRPr="004C2A59">
        <w:rPr>
          <w:color w:val="000000"/>
          <w:sz w:val="22"/>
          <w:szCs w:val="22"/>
          <w:lang w:val="da-DK"/>
        </w:rPr>
        <w:t>).</w:t>
      </w:r>
    </w:p>
    <w:p w14:paraId="16711DB0" w14:textId="77777777" w:rsidR="00A573B3" w:rsidRPr="004C2A59" w:rsidRDefault="00A573B3" w:rsidP="00421681">
      <w:pPr>
        <w:widowControl w:val="0"/>
        <w:rPr>
          <w:color w:val="000000"/>
          <w:sz w:val="22"/>
          <w:szCs w:val="22"/>
          <w:lang w:val="da-DK"/>
        </w:rPr>
      </w:pPr>
    </w:p>
    <w:p w14:paraId="0C8CB0DF" w14:textId="77777777" w:rsidR="00A573B3" w:rsidRPr="004C2A59" w:rsidRDefault="00A573B3" w:rsidP="00421681">
      <w:pPr>
        <w:widowControl w:val="0"/>
        <w:rPr>
          <w:color w:val="000000"/>
          <w:sz w:val="22"/>
          <w:szCs w:val="22"/>
          <w:lang w:val="da-DK"/>
        </w:rPr>
      </w:pPr>
      <w:r w:rsidRPr="004C2A59">
        <w:rPr>
          <w:color w:val="000000"/>
          <w:sz w:val="22"/>
          <w:szCs w:val="22"/>
          <w:lang w:val="da-DK"/>
        </w:rPr>
        <w:t>I dyremodeller, hvor der anvendes Bcr-Abl-positive tumorceller, har stoffet som enkeltstof</w:t>
      </w:r>
      <w:r w:rsidRPr="004C2A59">
        <w:rPr>
          <w:i/>
          <w:color w:val="000000"/>
          <w:sz w:val="22"/>
          <w:szCs w:val="22"/>
          <w:lang w:val="da-DK"/>
        </w:rPr>
        <w:t xml:space="preserve"> in vivo</w:t>
      </w:r>
      <w:r w:rsidRPr="004C2A59">
        <w:rPr>
          <w:color w:val="000000"/>
          <w:sz w:val="22"/>
          <w:szCs w:val="22"/>
          <w:lang w:val="da-DK"/>
        </w:rPr>
        <w:t xml:space="preserve"> antitumoraktivitet.</w:t>
      </w:r>
    </w:p>
    <w:p w14:paraId="0C6A1CE1" w14:textId="77777777" w:rsidR="00A573B3" w:rsidRPr="004C2A59" w:rsidRDefault="00A573B3" w:rsidP="00421681">
      <w:pPr>
        <w:widowControl w:val="0"/>
        <w:rPr>
          <w:color w:val="000000"/>
          <w:sz w:val="22"/>
          <w:szCs w:val="22"/>
          <w:lang w:val="da-DK"/>
        </w:rPr>
      </w:pPr>
    </w:p>
    <w:p w14:paraId="5DE28A40" w14:textId="77777777" w:rsidR="00A573B3" w:rsidRPr="004C2A59" w:rsidRDefault="00A573B3" w:rsidP="00421681">
      <w:pPr>
        <w:widowControl w:val="0"/>
        <w:rPr>
          <w:color w:val="000000"/>
          <w:sz w:val="22"/>
          <w:szCs w:val="22"/>
          <w:lang w:val="da-DK"/>
        </w:rPr>
      </w:pPr>
      <w:r w:rsidRPr="004C2A59">
        <w:rPr>
          <w:color w:val="000000"/>
          <w:sz w:val="22"/>
          <w:szCs w:val="22"/>
          <w:lang w:val="da-DK"/>
        </w:rPr>
        <w:t xml:space="preserve">Imatinib hæmmer også receptortyrosinkinaserne for trombocytafledte vækstfaktorer (PDGF), PDGF-R, og stamcellefaktorer (SCF), c-Kit, og hæmmer PDGF- og SCF-medierede cellulære signaler. </w:t>
      </w:r>
      <w:r w:rsidRPr="004C2A59">
        <w:rPr>
          <w:i/>
          <w:color w:val="000000"/>
          <w:sz w:val="22"/>
          <w:szCs w:val="22"/>
          <w:lang w:val="da-DK"/>
        </w:rPr>
        <w:t>In vitro</w:t>
      </w:r>
      <w:r w:rsidRPr="004C2A59">
        <w:rPr>
          <w:color w:val="000000"/>
          <w:sz w:val="22"/>
          <w:szCs w:val="22"/>
          <w:lang w:val="da-DK"/>
        </w:rPr>
        <w:t xml:space="preserve"> hæmmer imatinib proliferationen og inducerer apoptose i GIST-tumorcellerne, som udtrykker </w:t>
      </w:r>
      <w:r w:rsidRPr="004C2A59">
        <w:rPr>
          <w:i/>
          <w:color w:val="000000"/>
          <w:sz w:val="22"/>
          <w:szCs w:val="22"/>
          <w:lang w:val="da-DK"/>
        </w:rPr>
        <w:t>kit</w:t>
      </w:r>
      <w:r w:rsidRPr="004C2A59">
        <w:rPr>
          <w:color w:val="000000"/>
          <w:sz w:val="22"/>
          <w:szCs w:val="22"/>
          <w:lang w:val="da-DK"/>
        </w:rPr>
        <w:t xml:space="preserve">-mutationen. Vedvarende aktivering af PDGF receptoren eller Abl protein tyrosinkinase, der opstår på grund af en fusion med andre proteiner eller konstitutiv produktion af PDGF er blevet impliceret i patogenesen af </w:t>
      </w:r>
      <w:smartTag w:uri="urn:schemas-microsoft-com:office:smarttags" w:element="metricconverter">
        <w:r w:rsidRPr="004C2A59">
          <w:rPr>
            <w:color w:val="000000"/>
            <w:sz w:val="22"/>
            <w:szCs w:val="22"/>
            <w:lang w:val="da-DK"/>
          </w:rPr>
          <w:t>MDS</w:t>
        </w:r>
      </w:smartTag>
      <w:r w:rsidRPr="004C2A59">
        <w:rPr>
          <w:color w:val="000000"/>
          <w:sz w:val="22"/>
          <w:szCs w:val="22"/>
          <w:lang w:val="da-DK"/>
        </w:rPr>
        <w:t>/MPD, HES/</w:t>
      </w:r>
      <w:smartTag w:uri="urn:schemas-microsoft-com:office:smarttags" w:element="metricconverter">
        <w:r w:rsidRPr="004C2A59">
          <w:rPr>
            <w:color w:val="000000"/>
            <w:sz w:val="22"/>
            <w:szCs w:val="22"/>
            <w:lang w:val="da-DK"/>
          </w:rPr>
          <w:t>CEL</w:t>
        </w:r>
      </w:smartTag>
      <w:r w:rsidRPr="004C2A59">
        <w:rPr>
          <w:color w:val="000000"/>
          <w:sz w:val="22"/>
          <w:szCs w:val="22"/>
          <w:lang w:val="da-DK"/>
        </w:rPr>
        <w:t xml:space="preserve"> og DFSP. Imatinib hæmmer signalleringen og vækst af celler, der drives af dysreguleret PDGFR og Abl kinaseaktivitet.</w:t>
      </w:r>
    </w:p>
    <w:p w14:paraId="56DEA106" w14:textId="77777777" w:rsidR="00A573B3" w:rsidRPr="004C2A59" w:rsidRDefault="00A573B3" w:rsidP="00421681">
      <w:pPr>
        <w:pStyle w:val="EndnoteText"/>
        <w:tabs>
          <w:tab w:val="clear" w:pos="567"/>
        </w:tabs>
        <w:rPr>
          <w:color w:val="000000"/>
          <w:szCs w:val="22"/>
        </w:rPr>
      </w:pPr>
    </w:p>
    <w:p w14:paraId="35D452F9" w14:textId="77777777" w:rsidR="00A573B3" w:rsidRPr="004C2A59" w:rsidRDefault="00A573B3" w:rsidP="00A125B0">
      <w:pPr>
        <w:keepNext/>
        <w:widowControl w:val="0"/>
        <w:rPr>
          <w:color w:val="000000"/>
          <w:sz w:val="22"/>
          <w:szCs w:val="22"/>
          <w:u w:val="single"/>
          <w:lang w:val="da-DK"/>
        </w:rPr>
      </w:pPr>
      <w:r w:rsidRPr="004C2A59">
        <w:rPr>
          <w:color w:val="000000"/>
          <w:sz w:val="22"/>
          <w:szCs w:val="22"/>
          <w:u w:val="single"/>
          <w:lang w:val="da-DK"/>
        </w:rPr>
        <w:t>Kliniske undersøgelser vedrørende kronisk myeloid leukæmi</w:t>
      </w:r>
    </w:p>
    <w:p w14:paraId="2D7FF499" w14:textId="77777777" w:rsidR="00A573B3" w:rsidRPr="004C2A59" w:rsidRDefault="00A573B3" w:rsidP="00421681">
      <w:pPr>
        <w:rPr>
          <w:color w:val="000000"/>
          <w:sz w:val="22"/>
          <w:szCs w:val="22"/>
          <w:lang w:val="da-DK"/>
        </w:rPr>
      </w:pPr>
      <w:r w:rsidRPr="004C2A59">
        <w:rPr>
          <w:color w:val="000000"/>
          <w:sz w:val="22"/>
          <w:szCs w:val="22"/>
          <w:lang w:val="da-DK"/>
        </w:rPr>
        <w:t>Glivecs effekt er baseret på generelle hæmatologiske og cytogene responsrater og progressionsfri overlevelse. Der er ingen kontrollerede undersøgelser, undtagen hos nyligt diagnosticerede kronisk fase CML-patienter, der har vist klinisk bedring såsom forbedring af sygdomsrelaterede symptomer eller øget overlevelse.</w:t>
      </w:r>
    </w:p>
    <w:p w14:paraId="20D758C4" w14:textId="77777777" w:rsidR="00A573B3" w:rsidRPr="004C2A59" w:rsidRDefault="00A573B3" w:rsidP="00421681">
      <w:pPr>
        <w:widowControl w:val="0"/>
        <w:rPr>
          <w:color w:val="000000"/>
          <w:sz w:val="22"/>
          <w:szCs w:val="22"/>
          <w:lang w:val="da-DK"/>
        </w:rPr>
      </w:pPr>
    </w:p>
    <w:p w14:paraId="0075201D" w14:textId="77777777" w:rsidR="00A573B3" w:rsidRPr="004C2A59" w:rsidRDefault="00A573B3" w:rsidP="00421681">
      <w:pPr>
        <w:widowControl w:val="0"/>
        <w:rPr>
          <w:color w:val="000000"/>
          <w:sz w:val="22"/>
          <w:szCs w:val="22"/>
          <w:lang w:val="da-DK"/>
        </w:rPr>
      </w:pPr>
      <w:r w:rsidRPr="004C2A59">
        <w:rPr>
          <w:color w:val="000000"/>
          <w:sz w:val="22"/>
          <w:szCs w:val="22"/>
          <w:lang w:val="da-DK"/>
        </w:rPr>
        <w:t>Der er udført 3 store, internationale, åbne, ikke-kontrollerede fase II undersøgelser med patienter med Philadelphia-kromosom-positiv (Ph</w:t>
      </w:r>
      <w:r w:rsidRPr="004C2A59">
        <w:rPr>
          <w:color w:val="000000"/>
          <w:sz w:val="22"/>
          <w:szCs w:val="22"/>
          <w:vertAlign w:val="superscript"/>
          <w:lang w:val="da-DK"/>
        </w:rPr>
        <w:t>+</w:t>
      </w:r>
      <w:r w:rsidRPr="004C2A59">
        <w:rPr>
          <w:color w:val="000000"/>
          <w:sz w:val="22"/>
          <w:szCs w:val="22"/>
          <w:lang w:val="da-DK"/>
        </w:rPr>
        <w:t>) CML i fremskreden blastkrise eller accelereret fase, andre Ph</w:t>
      </w:r>
      <w:r w:rsidRPr="004C2A59">
        <w:rPr>
          <w:color w:val="000000"/>
          <w:sz w:val="22"/>
          <w:szCs w:val="22"/>
          <w:vertAlign w:val="superscript"/>
          <w:lang w:val="da-DK"/>
        </w:rPr>
        <w:t>+</w:t>
      </w:r>
      <w:r w:rsidRPr="004C2A59">
        <w:rPr>
          <w:color w:val="000000"/>
          <w:sz w:val="22"/>
          <w:szCs w:val="22"/>
          <w:lang w:val="da-DK"/>
        </w:rPr>
        <w:t>-leukæmier eller med CML i kronisk fase men tidligere behandlet med alfa-interferonbehandling (IFN) uden effekt. Der er gennemført en større, åben, international, randomiseret, fase </w:t>
      </w:r>
      <w:smartTag w:uri="urn:schemas-microsoft-com:office:smarttags" w:element="metricconverter">
        <w:r w:rsidRPr="004C2A59">
          <w:rPr>
            <w:color w:val="000000"/>
            <w:sz w:val="22"/>
            <w:szCs w:val="22"/>
            <w:lang w:val="da-DK"/>
          </w:rPr>
          <w:t>III</w:t>
        </w:r>
      </w:smartTag>
      <w:r w:rsidRPr="004C2A59">
        <w:rPr>
          <w:color w:val="000000"/>
          <w:sz w:val="22"/>
          <w:szCs w:val="22"/>
          <w:lang w:val="da-DK"/>
        </w:rPr>
        <w:t xml:space="preserve"> multicenterundersøgelse med patienter med nydiagnosticeret Ph+ CML. Derudover er der behandlet børn i 2 fase I undersøgelser og et fase II studie.</w:t>
      </w:r>
    </w:p>
    <w:p w14:paraId="285DA1E6" w14:textId="77777777" w:rsidR="00A573B3" w:rsidRPr="004C2A59" w:rsidRDefault="00A573B3" w:rsidP="00421681">
      <w:pPr>
        <w:widowControl w:val="0"/>
        <w:rPr>
          <w:color w:val="000000"/>
          <w:sz w:val="22"/>
          <w:szCs w:val="22"/>
          <w:lang w:val="da-DK"/>
        </w:rPr>
      </w:pPr>
    </w:p>
    <w:p w14:paraId="2B18B239" w14:textId="77777777" w:rsidR="00A573B3" w:rsidRPr="004C2A59" w:rsidRDefault="00A573B3" w:rsidP="00421681">
      <w:pPr>
        <w:widowControl w:val="0"/>
        <w:rPr>
          <w:color w:val="000000"/>
          <w:sz w:val="22"/>
          <w:szCs w:val="22"/>
          <w:lang w:val="da-DK"/>
        </w:rPr>
      </w:pPr>
      <w:r w:rsidRPr="004C2A59">
        <w:rPr>
          <w:color w:val="000000"/>
          <w:sz w:val="22"/>
          <w:szCs w:val="22"/>
          <w:lang w:val="da-DK"/>
        </w:rPr>
        <w:t xml:space="preserve">I de kliniske undersøgelser var 38–40% af patienterne </w:t>
      </w:r>
      <w:r w:rsidRPr="004C2A59">
        <w:rPr>
          <w:color w:val="000000"/>
          <w:sz w:val="22"/>
          <w:szCs w:val="22"/>
          <w:lang w:val="da-DK"/>
        </w:rPr>
        <w:sym w:font="Symbol" w:char="F0B3"/>
      </w:r>
      <w:r w:rsidRPr="004C2A59">
        <w:rPr>
          <w:color w:val="000000"/>
          <w:sz w:val="22"/>
          <w:szCs w:val="22"/>
          <w:lang w:val="da-DK"/>
        </w:rPr>
        <w:t xml:space="preserve">60 år, og 10–12% af patienterne var </w:t>
      </w:r>
      <w:r w:rsidRPr="004C2A59">
        <w:rPr>
          <w:color w:val="000000"/>
          <w:sz w:val="22"/>
          <w:szCs w:val="22"/>
          <w:lang w:val="da-DK"/>
        </w:rPr>
        <w:sym w:font="Symbol" w:char="F0B3"/>
      </w:r>
      <w:r w:rsidRPr="004C2A59">
        <w:rPr>
          <w:color w:val="000000"/>
          <w:sz w:val="22"/>
          <w:szCs w:val="22"/>
          <w:lang w:val="da-DK"/>
        </w:rPr>
        <w:t>70 år.</w:t>
      </w:r>
    </w:p>
    <w:p w14:paraId="6D7A067D" w14:textId="77777777" w:rsidR="00A573B3" w:rsidRPr="004C2A59" w:rsidRDefault="00A573B3" w:rsidP="00421681">
      <w:pPr>
        <w:widowControl w:val="0"/>
        <w:rPr>
          <w:color w:val="000000"/>
          <w:sz w:val="22"/>
          <w:szCs w:val="22"/>
          <w:lang w:val="da-DK"/>
        </w:rPr>
      </w:pPr>
    </w:p>
    <w:p w14:paraId="7D57E06E" w14:textId="77777777" w:rsidR="00A573B3" w:rsidRPr="004C2A59" w:rsidRDefault="00A573B3" w:rsidP="00421681">
      <w:pPr>
        <w:pStyle w:val="EndnoteText"/>
        <w:rPr>
          <w:color w:val="000000"/>
          <w:szCs w:val="22"/>
        </w:rPr>
      </w:pPr>
      <w:r w:rsidRPr="004C2A59">
        <w:rPr>
          <w:i/>
          <w:color w:val="000000"/>
          <w:szCs w:val="22"/>
        </w:rPr>
        <w:t>Kronisk fase, nydiagnosticeret:</w:t>
      </w:r>
      <w:r w:rsidRPr="004C2A59">
        <w:rPr>
          <w:color w:val="000000"/>
          <w:szCs w:val="22"/>
        </w:rPr>
        <w:t xml:space="preserve"> Denne fase </w:t>
      </w:r>
      <w:smartTag w:uri="urn:schemas-microsoft-com:office:smarttags" w:element="metricconverter">
        <w:r w:rsidRPr="004C2A59">
          <w:rPr>
            <w:color w:val="000000"/>
            <w:szCs w:val="22"/>
          </w:rPr>
          <w:t>III</w:t>
        </w:r>
      </w:smartTag>
      <w:r w:rsidRPr="004C2A59">
        <w:rPr>
          <w:color w:val="000000"/>
          <w:szCs w:val="22"/>
        </w:rPr>
        <w:t xml:space="preserve"> undersøgelse hos voksne patienter sammenlignede </w:t>
      </w:r>
      <w:r w:rsidRPr="004C2A59">
        <w:rPr>
          <w:color w:val="000000"/>
          <w:szCs w:val="22"/>
        </w:rPr>
        <w:lastRenderedPageBreak/>
        <w:t>enkeltstof-behandling med Glivec med behandling med en kombination af interferon-alfa (IFN) og cytarabin (Ara-C). Patienter, der ikke viste respons (manglende fuldstændig hæmatologisk respons (</w:t>
      </w:r>
      <w:smartTag w:uri="urn:schemas-microsoft-com:office:smarttags" w:element="metricconverter">
        <w:r w:rsidRPr="004C2A59">
          <w:rPr>
            <w:color w:val="000000"/>
            <w:szCs w:val="22"/>
          </w:rPr>
          <w:t>CHR</w:t>
        </w:r>
      </w:smartTag>
      <w:r w:rsidRPr="004C2A59">
        <w:rPr>
          <w:color w:val="000000"/>
          <w:szCs w:val="22"/>
        </w:rPr>
        <w:t xml:space="preserve">) efter 6 måneder, øget leukocyttal, intet større cytogenetisk respons (MCyR) efter 24 måneder), tab af respons (tab af </w:t>
      </w:r>
      <w:smartTag w:uri="urn:schemas-microsoft-com:office:smarttags" w:element="metricconverter">
        <w:r w:rsidRPr="004C2A59">
          <w:rPr>
            <w:color w:val="000000"/>
            <w:szCs w:val="22"/>
          </w:rPr>
          <w:t>CHR</w:t>
        </w:r>
      </w:smartTag>
      <w:r w:rsidRPr="004C2A59">
        <w:rPr>
          <w:color w:val="000000"/>
          <w:szCs w:val="22"/>
        </w:rPr>
        <w:t xml:space="preserve"> eller MCyR) eller svær intolerance over for behandling, fik lov at krydse over til den anden behandlingsarm. I Glivec-armen blev patienterne behandlet med 400 mg daglig. I IFN-armen blev patienterne behandlet med en måldosis IFN på 5 MIE/m</w:t>
      </w:r>
      <w:r w:rsidRPr="004C2A59">
        <w:rPr>
          <w:color w:val="000000"/>
          <w:szCs w:val="22"/>
          <w:vertAlign w:val="superscript"/>
        </w:rPr>
        <w:t>2</w:t>
      </w:r>
      <w:r w:rsidRPr="004C2A59">
        <w:rPr>
          <w:color w:val="000000"/>
          <w:szCs w:val="22"/>
        </w:rPr>
        <w:t>/dag subkutant i kombination med subkutant Ara-C 20 mg/m</w:t>
      </w:r>
      <w:r w:rsidRPr="004C2A59">
        <w:rPr>
          <w:color w:val="000000"/>
          <w:szCs w:val="22"/>
          <w:vertAlign w:val="superscript"/>
        </w:rPr>
        <w:t>2</w:t>
      </w:r>
      <w:r w:rsidRPr="004C2A59">
        <w:rPr>
          <w:color w:val="000000"/>
          <w:szCs w:val="22"/>
        </w:rPr>
        <w:t>/dag i 10 dage/måned.</w:t>
      </w:r>
    </w:p>
    <w:p w14:paraId="2F49DDAA" w14:textId="77777777" w:rsidR="00A573B3" w:rsidRPr="004C2A59" w:rsidRDefault="00A573B3" w:rsidP="00421681">
      <w:pPr>
        <w:pStyle w:val="EndnoteText"/>
        <w:rPr>
          <w:color w:val="000000"/>
          <w:szCs w:val="22"/>
        </w:rPr>
      </w:pPr>
    </w:p>
    <w:p w14:paraId="3FC9866B" w14:textId="77777777" w:rsidR="00A573B3" w:rsidRPr="004C2A59" w:rsidRDefault="00A573B3" w:rsidP="00421681">
      <w:pPr>
        <w:pStyle w:val="EndnoteText"/>
        <w:rPr>
          <w:color w:val="000000"/>
          <w:szCs w:val="22"/>
        </w:rPr>
      </w:pPr>
      <w:r w:rsidRPr="004C2A59">
        <w:rPr>
          <w:color w:val="000000"/>
          <w:szCs w:val="22"/>
        </w:rPr>
        <w:t>I</w:t>
      </w:r>
      <w:r w:rsidR="00FD10C4" w:rsidRPr="004C2A59">
        <w:rPr>
          <w:color w:val="000000"/>
          <w:szCs w:val="22"/>
        </w:rPr>
        <w:t xml:space="preserve"> </w:t>
      </w:r>
      <w:r w:rsidRPr="004C2A59">
        <w:rPr>
          <w:color w:val="000000"/>
          <w:szCs w:val="22"/>
        </w:rPr>
        <w:t xml:space="preserve">alt randomiseredes 1.106 patienter, 553 til hver arm. </w:t>
      </w:r>
      <w:r w:rsidRPr="00ED22AB">
        <w:rPr>
          <w:i/>
          <w:color w:val="000000"/>
          <w:szCs w:val="22"/>
        </w:rPr>
        <w:t>Baseline</w:t>
      </w:r>
      <w:r w:rsidRPr="004C2A59">
        <w:rPr>
          <w:color w:val="000000"/>
          <w:szCs w:val="22"/>
        </w:rPr>
        <w:t xml:space="preserve">karakteristika var velafbalancerede mellem de to arme. Gennemsnitsalderen var 51 år (range 18–70 år), med 21,9% patienter ≥60 år. 59% var mænd, 41% kvinder; 89,9% var af kaukatisk afstamning og 4,7% af negroid afstamning. Medianvarigheden af førstevalgsbehandling var henholdsvis 82 og 8 måneder i Glivec- og </w:t>
      </w:r>
      <w:smartTag w:uri="urn:schemas-microsoft-com:office:smarttags" w:element="metricconverter">
        <w:r w:rsidRPr="004C2A59">
          <w:rPr>
            <w:color w:val="000000"/>
            <w:szCs w:val="22"/>
          </w:rPr>
          <w:t>INF</w:t>
        </w:r>
      </w:smartTag>
      <w:r w:rsidRPr="004C2A59">
        <w:rPr>
          <w:color w:val="000000"/>
          <w:szCs w:val="22"/>
        </w:rPr>
        <w:t>-armene syv år efter, at den sidste patient var rekrutteret. Medianvarigheden af andenlinjebehandling med Glivec var 64 måneder. Overordnet var den gennemsnitlige daglige dosis 406 </w:t>
      </w:r>
      <w:r w:rsidRPr="004C2A59">
        <w:rPr>
          <w:color w:val="000000"/>
        </w:rPr>
        <w:t>± 76 mg hos patienter som fik Glivec som førstevalg.</w:t>
      </w:r>
      <w:r w:rsidRPr="004C2A59">
        <w:rPr>
          <w:color w:val="000000"/>
          <w:szCs w:val="22"/>
        </w:rPr>
        <w:t xml:space="preserve"> Undersøgelsens primære effektmål er progressionsfri overlevelse. Progression blev defineret som enhver af følgende hændelser: progression til accellereret fase eller blastkrise, død, tab af </w:t>
      </w:r>
      <w:smartTag w:uri="urn:schemas-microsoft-com:office:smarttags" w:element="metricconverter">
        <w:r w:rsidRPr="004C2A59">
          <w:rPr>
            <w:color w:val="000000"/>
            <w:szCs w:val="22"/>
          </w:rPr>
          <w:t>CHR</w:t>
        </w:r>
      </w:smartTag>
      <w:r w:rsidRPr="004C2A59">
        <w:rPr>
          <w:color w:val="000000"/>
          <w:szCs w:val="22"/>
        </w:rPr>
        <w:t xml:space="preserve"> eller MCyR, eller patienter der ikke opnår </w:t>
      </w:r>
      <w:smartTag w:uri="urn:schemas-microsoft-com:office:smarttags" w:element="metricconverter">
        <w:r w:rsidRPr="004C2A59">
          <w:rPr>
            <w:color w:val="000000"/>
            <w:szCs w:val="22"/>
          </w:rPr>
          <w:t>CHR</w:t>
        </w:r>
      </w:smartTag>
      <w:r w:rsidRPr="004C2A59">
        <w:rPr>
          <w:color w:val="000000"/>
          <w:szCs w:val="22"/>
        </w:rPr>
        <w:t xml:space="preserve"> eller øget leukocyttal på trods af relevant terapeutisk behandling. Større cytogenetisk respons, hæmatologisk respons, molekulær respons (evaluering af minimal tilbageværende sygdom), tid til accellereret fase eller blastkrise samt overlevelse er de sekundære hovedeffektmål. Responsdata fremgår af Tabel </w:t>
      </w:r>
      <w:r w:rsidR="00FD10C4" w:rsidRPr="004C2A59">
        <w:rPr>
          <w:color w:val="000000"/>
          <w:szCs w:val="22"/>
        </w:rPr>
        <w:t>2</w:t>
      </w:r>
      <w:r w:rsidRPr="004C2A59">
        <w:rPr>
          <w:color w:val="000000"/>
          <w:szCs w:val="22"/>
        </w:rPr>
        <w:t>.</w:t>
      </w:r>
    </w:p>
    <w:p w14:paraId="31369189" w14:textId="77777777" w:rsidR="00A573B3" w:rsidRPr="004C2A59" w:rsidRDefault="00A573B3" w:rsidP="00421681">
      <w:pPr>
        <w:pStyle w:val="EndnoteText"/>
        <w:rPr>
          <w:color w:val="000000"/>
          <w:szCs w:val="22"/>
        </w:rPr>
      </w:pPr>
    </w:p>
    <w:p w14:paraId="157A065F" w14:textId="77777777" w:rsidR="00A573B3" w:rsidRPr="004C2A59" w:rsidRDefault="00A573B3" w:rsidP="00A125B0">
      <w:pPr>
        <w:pStyle w:val="EndnoteText"/>
        <w:keepNext/>
        <w:tabs>
          <w:tab w:val="clear" w:pos="567"/>
          <w:tab w:val="left" w:pos="1134"/>
        </w:tabs>
        <w:rPr>
          <w:b/>
          <w:color w:val="000000"/>
          <w:szCs w:val="22"/>
        </w:rPr>
      </w:pPr>
      <w:r w:rsidRPr="004C2A59">
        <w:rPr>
          <w:b/>
          <w:color w:val="000000"/>
          <w:szCs w:val="22"/>
        </w:rPr>
        <w:t>Tabel </w:t>
      </w:r>
      <w:r w:rsidR="00FD10C4" w:rsidRPr="004C2A59">
        <w:rPr>
          <w:b/>
          <w:color w:val="000000"/>
          <w:szCs w:val="22"/>
        </w:rPr>
        <w:t>2</w:t>
      </w:r>
      <w:r w:rsidRPr="004C2A59">
        <w:rPr>
          <w:b/>
          <w:color w:val="000000"/>
          <w:szCs w:val="22"/>
        </w:rPr>
        <w:tab/>
        <w:t>Respons i undersøgelsen vedrørende nydiagnosticeret CML (84 måneders data)</w:t>
      </w:r>
    </w:p>
    <w:p w14:paraId="05531693" w14:textId="77777777" w:rsidR="00A573B3" w:rsidRPr="004C2A59" w:rsidRDefault="00A573B3" w:rsidP="00A125B0">
      <w:pPr>
        <w:pStyle w:val="EndnoteText"/>
        <w:keepNext/>
        <w:rPr>
          <w:color w:val="000000"/>
          <w:szCs w:val="22"/>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A573B3" w:rsidRPr="004C2A59" w14:paraId="502D4BB8" w14:textId="77777777" w:rsidTr="00A125B0">
        <w:trPr>
          <w:cantSplit/>
        </w:trPr>
        <w:tc>
          <w:tcPr>
            <w:tcW w:w="3794" w:type="dxa"/>
            <w:tcBorders>
              <w:top w:val="single" w:sz="4" w:space="0" w:color="auto"/>
              <w:left w:val="single" w:sz="4" w:space="0" w:color="auto"/>
              <w:bottom w:val="nil"/>
            </w:tcBorders>
          </w:tcPr>
          <w:p w14:paraId="5F95B162"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p>
        </w:tc>
        <w:tc>
          <w:tcPr>
            <w:tcW w:w="2693" w:type="dxa"/>
            <w:tcBorders>
              <w:top w:val="single" w:sz="4" w:space="0" w:color="auto"/>
              <w:bottom w:val="nil"/>
            </w:tcBorders>
          </w:tcPr>
          <w:p w14:paraId="0CC2EE59" w14:textId="77777777" w:rsidR="00A573B3" w:rsidRPr="004C2A59" w:rsidRDefault="00A573B3" w:rsidP="00A125B0">
            <w:pPr>
              <w:pStyle w:val="Table"/>
              <w:keepLines w:val="0"/>
              <w:widowControl w:val="0"/>
              <w:spacing w:before="0" w:after="0"/>
              <w:jc w:val="center"/>
              <w:rPr>
                <w:rFonts w:ascii="Times New Roman" w:hAnsi="Times New Roman"/>
                <w:b/>
                <w:color w:val="000000"/>
                <w:sz w:val="22"/>
                <w:szCs w:val="22"/>
                <w:lang w:val="da-DK"/>
              </w:rPr>
            </w:pPr>
            <w:r w:rsidRPr="004C2A59">
              <w:rPr>
                <w:rFonts w:ascii="Times New Roman" w:hAnsi="Times New Roman"/>
                <w:b/>
                <w:color w:val="000000"/>
                <w:sz w:val="22"/>
                <w:szCs w:val="22"/>
                <w:lang w:val="da-DK"/>
              </w:rPr>
              <w:t>Glivec</w:t>
            </w:r>
          </w:p>
        </w:tc>
        <w:tc>
          <w:tcPr>
            <w:tcW w:w="2718" w:type="dxa"/>
            <w:tcBorders>
              <w:top w:val="single" w:sz="4" w:space="0" w:color="auto"/>
              <w:bottom w:val="nil"/>
              <w:right w:val="single" w:sz="4" w:space="0" w:color="auto"/>
            </w:tcBorders>
          </w:tcPr>
          <w:p w14:paraId="2D3E7578" w14:textId="77777777" w:rsidR="00A573B3" w:rsidRPr="004C2A59" w:rsidRDefault="00A573B3" w:rsidP="00A125B0">
            <w:pPr>
              <w:pStyle w:val="Table"/>
              <w:keepLines w:val="0"/>
              <w:widowControl w:val="0"/>
              <w:spacing w:before="0" w:after="0"/>
              <w:jc w:val="center"/>
              <w:rPr>
                <w:rFonts w:ascii="Times New Roman" w:hAnsi="Times New Roman"/>
                <w:b/>
                <w:color w:val="000000"/>
                <w:sz w:val="22"/>
                <w:szCs w:val="22"/>
                <w:lang w:val="da-DK"/>
              </w:rPr>
            </w:pPr>
            <w:r w:rsidRPr="004C2A59">
              <w:rPr>
                <w:rFonts w:ascii="Times New Roman" w:hAnsi="Times New Roman"/>
                <w:b/>
                <w:color w:val="000000"/>
                <w:sz w:val="22"/>
                <w:szCs w:val="22"/>
                <w:lang w:val="da-DK"/>
              </w:rPr>
              <w:t>IFN+Ara-C</w:t>
            </w:r>
          </w:p>
        </w:tc>
      </w:tr>
      <w:tr w:rsidR="00A573B3" w:rsidRPr="004C2A59" w14:paraId="0CABFA4C" w14:textId="77777777" w:rsidTr="00A125B0">
        <w:trPr>
          <w:cantSplit/>
        </w:trPr>
        <w:tc>
          <w:tcPr>
            <w:tcW w:w="3794" w:type="dxa"/>
            <w:tcBorders>
              <w:top w:val="nil"/>
              <w:left w:val="single" w:sz="4" w:space="0" w:color="auto"/>
              <w:bottom w:val="single" w:sz="4" w:space="0" w:color="auto"/>
            </w:tcBorders>
          </w:tcPr>
          <w:p w14:paraId="74BEA47D" w14:textId="77777777" w:rsidR="00A573B3" w:rsidRPr="004C2A59" w:rsidRDefault="00A573B3" w:rsidP="00A125B0">
            <w:pPr>
              <w:pStyle w:val="Table"/>
              <w:keepLines w:val="0"/>
              <w:widowControl w:val="0"/>
              <w:spacing w:before="0" w:after="0"/>
              <w:rPr>
                <w:rFonts w:ascii="Times New Roman" w:hAnsi="Times New Roman"/>
                <w:b/>
                <w:color w:val="000000"/>
                <w:sz w:val="22"/>
                <w:szCs w:val="22"/>
                <w:lang w:val="da-DK"/>
              </w:rPr>
            </w:pPr>
            <w:r w:rsidRPr="004C2A59">
              <w:rPr>
                <w:rFonts w:ascii="Times New Roman" w:hAnsi="Times New Roman"/>
                <w:b/>
                <w:color w:val="000000"/>
                <w:sz w:val="22"/>
                <w:szCs w:val="22"/>
                <w:lang w:val="da-DK"/>
              </w:rPr>
              <w:t>(Bedste respons)</w:t>
            </w:r>
          </w:p>
        </w:tc>
        <w:tc>
          <w:tcPr>
            <w:tcW w:w="2693" w:type="dxa"/>
            <w:tcBorders>
              <w:top w:val="nil"/>
              <w:bottom w:val="single" w:sz="4" w:space="0" w:color="auto"/>
            </w:tcBorders>
          </w:tcPr>
          <w:p w14:paraId="50B936A9"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lang w:val="da-DK"/>
              </w:rPr>
            </w:pPr>
            <w:r w:rsidRPr="004C2A59">
              <w:rPr>
                <w:rFonts w:ascii="Times New Roman" w:hAnsi="Times New Roman"/>
                <w:color w:val="000000"/>
                <w:sz w:val="22"/>
                <w:szCs w:val="22"/>
                <w:lang w:val="da-DK"/>
              </w:rPr>
              <w:t>n=553</w:t>
            </w:r>
          </w:p>
        </w:tc>
        <w:tc>
          <w:tcPr>
            <w:tcW w:w="2718" w:type="dxa"/>
            <w:tcBorders>
              <w:top w:val="nil"/>
              <w:bottom w:val="single" w:sz="4" w:space="0" w:color="auto"/>
              <w:right w:val="single" w:sz="4" w:space="0" w:color="auto"/>
            </w:tcBorders>
          </w:tcPr>
          <w:p w14:paraId="6C72D6EC"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lang w:val="da-DK"/>
              </w:rPr>
            </w:pPr>
            <w:r w:rsidRPr="004C2A59">
              <w:rPr>
                <w:rFonts w:ascii="Times New Roman" w:hAnsi="Times New Roman"/>
                <w:color w:val="000000"/>
                <w:sz w:val="22"/>
                <w:szCs w:val="22"/>
                <w:lang w:val="da-DK"/>
              </w:rPr>
              <w:t>n=553</w:t>
            </w:r>
          </w:p>
        </w:tc>
      </w:tr>
      <w:tr w:rsidR="00A573B3" w:rsidRPr="004C2A59" w14:paraId="14939171" w14:textId="77777777" w:rsidTr="00A125B0">
        <w:trPr>
          <w:cantSplit/>
        </w:trPr>
        <w:tc>
          <w:tcPr>
            <w:tcW w:w="3794" w:type="dxa"/>
            <w:tcBorders>
              <w:top w:val="nil"/>
              <w:left w:val="single" w:sz="4" w:space="0" w:color="auto"/>
            </w:tcBorders>
          </w:tcPr>
          <w:p w14:paraId="3CADF214" w14:textId="77777777" w:rsidR="00A573B3" w:rsidRPr="004C2A59" w:rsidRDefault="00A573B3" w:rsidP="00A125B0">
            <w:pPr>
              <w:pStyle w:val="Table"/>
              <w:keepLines w:val="0"/>
              <w:widowControl w:val="0"/>
              <w:spacing w:before="0" w:after="0"/>
              <w:rPr>
                <w:rFonts w:ascii="Times New Roman" w:hAnsi="Times New Roman"/>
                <w:b/>
                <w:color w:val="000000"/>
                <w:sz w:val="22"/>
                <w:szCs w:val="22"/>
                <w:lang w:val="da-DK"/>
              </w:rPr>
            </w:pPr>
            <w:r w:rsidRPr="004C2A59">
              <w:rPr>
                <w:rFonts w:ascii="Times New Roman" w:hAnsi="Times New Roman"/>
                <w:b/>
                <w:color w:val="000000"/>
                <w:sz w:val="22"/>
                <w:szCs w:val="22"/>
                <w:lang w:val="da-DK"/>
              </w:rPr>
              <w:t>Hæmatologisk respons</w:t>
            </w:r>
          </w:p>
        </w:tc>
        <w:tc>
          <w:tcPr>
            <w:tcW w:w="2693" w:type="dxa"/>
            <w:tcBorders>
              <w:top w:val="nil"/>
            </w:tcBorders>
          </w:tcPr>
          <w:p w14:paraId="782CB324" w14:textId="77777777" w:rsidR="00A573B3" w:rsidRPr="004C2A59" w:rsidRDefault="00A573B3" w:rsidP="00A125B0">
            <w:pPr>
              <w:pStyle w:val="Table"/>
              <w:keepLines w:val="0"/>
              <w:widowControl w:val="0"/>
              <w:spacing w:before="0" w:after="0"/>
              <w:jc w:val="center"/>
              <w:rPr>
                <w:rFonts w:ascii="Times New Roman" w:hAnsi="Times New Roman"/>
                <w:b/>
                <w:color w:val="000000"/>
                <w:sz w:val="22"/>
                <w:szCs w:val="22"/>
                <w:lang w:val="da-DK"/>
              </w:rPr>
            </w:pPr>
          </w:p>
        </w:tc>
        <w:tc>
          <w:tcPr>
            <w:tcW w:w="2718" w:type="dxa"/>
            <w:tcBorders>
              <w:top w:val="nil"/>
              <w:right w:val="single" w:sz="4" w:space="0" w:color="auto"/>
            </w:tcBorders>
          </w:tcPr>
          <w:p w14:paraId="65E17006" w14:textId="77777777" w:rsidR="00A573B3" w:rsidRPr="004C2A59" w:rsidRDefault="00A573B3" w:rsidP="00A125B0">
            <w:pPr>
              <w:pStyle w:val="Table"/>
              <w:keepLines w:val="0"/>
              <w:widowControl w:val="0"/>
              <w:spacing w:before="0" w:after="0"/>
              <w:jc w:val="center"/>
              <w:rPr>
                <w:rFonts w:ascii="Times New Roman" w:hAnsi="Times New Roman"/>
                <w:b/>
                <w:color w:val="000000"/>
                <w:sz w:val="22"/>
                <w:szCs w:val="22"/>
                <w:lang w:val="da-DK"/>
              </w:rPr>
            </w:pPr>
          </w:p>
        </w:tc>
      </w:tr>
      <w:tr w:rsidR="00A573B3" w:rsidRPr="004C2A59" w14:paraId="461EDC39" w14:textId="77777777" w:rsidTr="00A125B0">
        <w:trPr>
          <w:cantSplit/>
        </w:trPr>
        <w:tc>
          <w:tcPr>
            <w:tcW w:w="3794" w:type="dxa"/>
            <w:tcBorders>
              <w:top w:val="nil"/>
              <w:left w:val="single" w:sz="4" w:space="0" w:color="auto"/>
            </w:tcBorders>
          </w:tcPr>
          <w:p w14:paraId="7C3F47CE"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CHR</w:t>
              </w:r>
            </w:smartTag>
            <w:r w:rsidRPr="004C2A59">
              <w:rPr>
                <w:rFonts w:ascii="Times New Roman" w:hAnsi="Times New Roman"/>
                <w:color w:val="000000"/>
                <w:sz w:val="22"/>
                <w:szCs w:val="22"/>
                <w:lang w:val="da-DK"/>
              </w:rPr>
              <w:t xml:space="preserve"> rate n (%)</w:t>
            </w:r>
          </w:p>
        </w:tc>
        <w:tc>
          <w:tcPr>
            <w:tcW w:w="2693" w:type="dxa"/>
            <w:tcBorders>
              <w:top w:val="nil"/>
            </w:tcBorders>
          </w:tcPr>
          <w:p w14:paraId="22B2AD0A"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lang w:val="da-DK"/>
              </w:rPr>
            </w:pPr>
            <w:r w:rsidRPr="004C2A59">
              <w:rPr>
                <w:rFonts w:ascii="Times New Roman" w:hAnsi="Times New Roman"/>
                <w:color w:val="000000"/>
                <w:sz w:val="22"/>
                <w:szCs w:val="22"/>
                <w:lang w:val="da-DK"/>
              </w:rPr>
              <w:t>534 (96,6%)*</w:t>
            </w:r>
          </w:p>
        </w:tc>
        <w:tc>
          <w:tcPr>
            <w:tcW w:w="2718" w:type="dxa"/>
            <w:tcBorders>
              <w:top w:val="nil"/>
              <w:right w:val="single" w:sz="4" w:space="0" w:color="auto"/>
            </w:tcBorders>
          </w:tcPr>
          <w:p w14:paraId="3BA50E35"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lang w:val="da-DK"/>
              </w:rPr>
            </w:pPr>
            <w:r w:rsidRPr="004C2A59">
              <w:rPr>
                <w:rFonts w:ascii="Times New Roman" w:hAnsi="Times New Roman"/>
                <w:color w:val="000000"/>
                <w:sz w:val="22"/>
                <w:szCs w:val="22"/>
                <w:lang w:val="da-DK"/>
              </w:rPr>
              <w:t>313 (56,6%)*</w:t>
            </w:r>
          </w:p>
        </w:tc>
      </w:tr>
      <w:tr w:rsidR="00A573B3" w:rsidRPr="004C2A59" w14:paraId="0C440C4F" w14:textId="77777777" w:rsidTr="00A125B0">
        <w:trPr>
          <w:cantSplit/>
        </w:trPr>
        <w:tc>
          <w:tcPr>
            <w:tcW w:w="3794" w:type="dxa"/>
            <w:tcBorders>
              <w:left w:val="single" w:sz="4" w:space="0" w:color="auto"/>
            </w:tcBorders>
          </w:tcPr>
          <w:p w14:paraId="28F34FCC"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ab/>
              <w:t>[95% CI]</w:t>
            </w:r>
          </w:p>
        </w:tc>
        <w:tc>
          <w:tcPr>
            <w:tcW w:w="2693" w:type="dxa"/>
          </w:tcPr>
          <w:p w14:paraId="19491DD4"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[94,7%, 97,9%]</w:t>
            </w:r>
          </w:p>
        </w:tc>
        <w:tc>
          <w:tcPr>
            <w:tcW w:w="2718" w:type="dxa"/>
            <w:tcBorders>
              <w:right w:val="single" w:sz="4" w:space="0" w:color="auto"/>
            </w:tcBorders>
          </w:tcPr>
          <w:p w14:paraId="250A03E4"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[52,4%, 60,8%]</w:t>
            </w:r>
          </w:p>
        </w:tc>
      </w:tr>
      <w:tr w:rsidR="00A573B3" w:rsidRPr="004C2A59" w14:paraId="0F243BBD" w14:textId="77777777" w:rsidTr="00A125B0">
        <w:trPr>
          <w:cantSplit/>
        </w:trPr>
        <w:tc>
          <w:tcPr>
            <w:tcW w:w="3794" w:type="dxa"/>
            <w:tcBorders>
              <w:left w:val="single" w:sz="4" w:space="0" w:color="auto"/>
            </w:tcBorders>
          </w:tcPr>
          <w:p w14:paraId="2998FB4E"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c>
          <w:tcPr>
            <w:tcW w:w="2693" w:type="dxa"/>
          </w:tcPr>
          <w:p w14:paraId="6CEDB98C"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c>
          <w:tcPr>
            <w:tcW w:w="2718" w:type="dxa"/>
            <w:tcBorders>
              <w:right w:val="single" w:sz="4" w:space="0" w:color="auto"/>
            </w:tcBorders>
          </w:tcPr>
          <w:p w14:paraId="76F4245F"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r>
      <w:tr w:rsidR="00A573B3" w:rsidRPr="004C2A59" w14:paraId="773A55B9" w14:textId="77777777" w:rsidTr="00A125B0">
        <w:trPr>
          <w:cantSplit/>
        </w:trPr>
        <w:tc>
          <w:tcPr>
            <w:tcW w:w="3794" w:type="dxa"/>
            <w:tcBorders>
              <w:left w:val="single" w:sz="4" w:space="0" w:color="auto"/>
            </w:tcBorders>
          </w:tcPr>
          <w:p w14:paraId="7C14726F" w14:textId="77777777" w:rsidR="00A573B3" w:rsidRPr="004C2A59" w:rsidRDefault="00A573B3" w:rsidP="00A125B0">
            <w:pPr>
              <w:pStyle w:val="Table"/>
              <w:keepLines w:val="0"/>
              <w:widowControl w:val="0"/>
              <w:spacing w:before="0" w:after="0"/>
              <w:rPr>
                <w:rFonts w:ascii="Times New Roman" w:hAnsi="Times New Roman"/>
                <w:b/>
                <w:color w:val="000000"/>
                <w:sz w:val="22"/>
                <w:szCs w:val="22"/>
              </w:rPr>
            </w:pPr>
            <w:r w:rsidRPr="004C2A59">
              <w:rPr>
                <w:rFonts w:ascii="Times New Roman" w:hAnsi="Times New Roman"/>
                <w:b/>
                <w:color w:val="000000"/>
                <w:sz w:val="22"/>
                <w:szCs w:val="22"/>
              </w:rPr>
              <w:t>Cytogenetisk respons</w:t>
            </w:r>
          </w:p>
        </w:tc>
        <w:tc>
          <w:tcPr>
            <w:tcW w:w="2693" w:type="dxa"/>
          </w:tcPr>
          <w:p w14:paraId="3777160B" w14:textId="77777777" w:rsidR="00A573B3" w:rsidRPr="004C2A59" w:rsidRDefault="00A573B3" w:rsidP="00A125B0">
            <w:pPr>
              <w:pStyle w:val="Table"/>
              <w:keepLines w:val="0"/>
              <w:widowControl w:val="0"/>
              <w:spacing w:before="0" w:after="0"/>
              <w:rPr>
                <w:rFonts w:ascii="Times New Roman" w:hAnsi="Times New Roman"/>
                <w:b/>
                <w:color w:val="000000"/>
                <w:sz w:val="22"/>
                <w:szCs w:val="22"/>
              </w:rPr>
            </w:pPr>
          </w:p>
        </w:tc>
        <w:tc>
          <w:tcPr>
            <w:tcW w:w="2718" w:type="dxa"/>
            <w:tcBorders>
              <w:right w:val="single" w:sz="4" w:space="0" w:color="auto"/>
            </w:tcBorders>
          </w:tcPr>
          <w:p w14:paraId="6E957870" w14:textId="77777777" w:rsidR="00A573B3" w:rsidRPr="004C2A59" w:rsidRDefault="00A573B3" w:rsidP="00A125B0">
            <w:pPr>
              <w:pStyle w:val="Table"/>
              <w:keepLines w:val="0"/>
              <w:widowControl w:val="0"/>
              <w:spacing w:before="0" w:after="0"/>
              <w:rPr>
                <w:rFonts w:ascii="Times New Roman" w:hAnsi="Times New Roman"/>
                <w:b/>
                <w:color w:val="000000"/>
                <w:sz w:val="22"/>
                <w:szCs w:val="22"/>
              </w:rPr>
            </w:pPr>
          </w:p>
        </w:tc>
      </w:tr>
      <w:tr w:rsidR="00A573B3" w:rsidRPr="004C2A59" w14:paraId="7BBAD527" w14:textId="77777777" w:rsidTr="00A125B0">
        <w:trPr>
          <w:cantSplit/>
        </w:trPr>
        <w:tc>
          <w:tcPr>
            <w:tcW w:w="3794" w:type="dxa"/>
            <w:tcBorders>
              <w:left w:val="single" w:sz="4" w:space="0" w:color="auto"/>
            </w:tcBorders>
          </w:tcPr>
          <w:p w14:paraId="13F78FEC"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Major respons n (%)</w:t>
            </w:r>
          </w:p>
        </w:tc>
        <w:tc>
          <w:tcPr>
            <w:tcW w:w="2693" w:type="dxa"/>
          </w:tcPr>
          <w:p w14:paraId="1B591200"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490 (88,6%)*</w:t>
            </w:r>
          </w:p>
        </w:tc>
        <w:tc>
          <w:tcPr>
            <w:tcW w:w="2718" w:type="dxa"/>
            <w:tcBorders>
              <w:right w:val="single" w:sz="4" w:space="0" w:color="auto"/>
            </w:tcBorders>
          </w:tcPr>
          <w:p w14:paraId="4314457E"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129 (23,3%)*</w:t>
            </w:r>
          </w:p>
        </w:tc>
      </w:tr>
      <w:tr w:rsidR="00A573B3" w:rsidRPr="004C2A59" w14:paraId="59E86DF0" w14:textId="77777777" w:rsidTr="00A125B0">
        <w:trPr>
          <w:cantSplit/>
        </w:trPr>
        <w:tc>
          <w:tcPr>
            <w:tcW w:w="3794" w:type="dxa"/>
            <w:tcBorders>
              <w:left w:val="single" w:sz="4" w:space="0" w:color="auto"/>
            </w:tcBorders>
          </w:tcPr>
          <w:p w14:paraId="499025F7"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ab/>
              <w:t>[95% CI]</w:t>
            </w:r>
          </w:p>
        </w:tc>
        <w:tc>
          <w:tcPr>
            <w:tcW w:w="2693" w:type="dxa"/>
          </w:tcPr>
          <w:p w14:paraId="3A0D44AE"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[85,7%, 91,1%]</w:t>
            </w:r>
          </w:p>
        </w:tc>
        <w:tc>
          <w:tcPr>
            <w:tcW w:w="2718" w:type="dxa"/>
            <w:tcBorders>
              <w:right w:val="single" w:sz="4" w:space="0" w:color="auto"/>
            </w:tcBorders>
          </w:tcPr>
          <w:p w14:paraId="2A1099C9"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[19,9%, 27,1%]</w:t>
            </w:r>
          </w:p>
        </w:tc>
      </w:tr>
      <w:tr w:rsidR="00A573B3" w:rsidRPr="004C2A59" w14:paraId="5A1D401D" w14:textId="77777777" w:rsidTr="00A125B0">
        <w:trPr>
          <w:cantSplit/>
        </w:trPr>
        <w:tc>
          <w:tcPr>
            <w:tcW w:w="3794" w:type="dxa"/>
            <w:tcBorders>
              <w:left w:val="single" w:sz="4" w:space="0" w:color="auto"/>
            </w:tcBorders>
          </w:tcPr>
          <w:p w14:paraId="44CE79B0"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ab/>
              <w:t>Komplet CyR n (%)</w:t>
            </w:r>
          </w:p>
        </w:tc>
        <w:tc>
          <w:tcPr>
            <w:tcW w:w="2693" w:type="dxa"/>
          </w:tcPr>
          <w:p w14:paraId="401F2530"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456 (82,5%)*</w:t>
            </w:r>
          </w:p>
        </w:tc>
        <w:tc>
          <w:tcPr>
            <w:tcW w:w="2718" w:type="dxa"/>
            <w:tcBorders>
              <w:right w:val="single" w:sz="4" w:space="0" w:color="auto"/>
            </w:tcBorders>
          </w:tcPr>
          <w:p w14:paraId="05E26A86"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64 (11,6%)*</w:t>
            </w:r>
          </w:p>
        </w:tc>
      </w:tr>
      <w:tr w:rsidR="00A573B3" w:rsidRPr="004C2A59" w14:paraId="1BE335E9" w14:textId="77777777" w:rsidTr="00A125B0">
        <w:trPr>
          <w:cantSplit/>
        </w:trPr>
        <w:tc>
          <w:tcPr>
            <w:tcW w:w="3794" w:type="dxa"/>
            <w:tcBorders>
              <w:left w:val="single" w:sz="4" w:space="0" w:color="auto"/>
            </w:tcBorders>
          </w:tcPr>
          <w:p w14:paraId="2F318389"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ab/>
              <w:t>Delvis CyR n (%)</w:t>
            </w:r>
          </w:p>
        </w:tc>
        <w:tc>
          <w:tcPr>
            <w:tcW w:w="2693" w:type="dxa"/>
          </w:tcPr>
          <w:p w14:paraId="198FE0EF"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34 (6,1)</w:t>
            </w:r>
          </w:p>
        </w:tc>
        <w:tc>
          <w:tcPr>
            <w:tcW w:w="2718" w:type="dxa"/>
            <w:tcBorders>
              <w:right w:val="single" w:sz="4" w:space="0" w:color="auto"/>
            </w:tcBorders>
          </w:tcPr>
          <w:p w14:paraId="3FB4F336"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65 (11,8%)</w:t>
            </w:r>
          </w:p>
        </w:tc>
      </w:tr>
      <w:tr w:rsidR="00A573B3" w:rsidRPr="004C2A59" w14:paraId="3052BE8B" w14:textId="77777777" w:rsidTr="00A125B0">
        <w:trPr>
          <w:cantSplit/>
        </w:trPr>
        <w:tc>
          <w:tcPr>
            <w:tcW w:w="3794" w:type="dxa"/>
            <w:tcBorders>
              <w:left w:val="single" w:sz="4" w:space="0" w:color="auto"/>
              <w:bottom w:val="nil"/>
            </w:tcBorders>
          </w:tcPr>
          <w:p w14:paraId="7697F692"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c>
          <w:tcPr>
            <w:tcW w:w="2693" w:type="dxa"/>
            <w:tcBorders>
              <w:bottom w:val="nil"/>
            </w:tcBorders>
          </w:tcPr>
          <w:p w14:paraId="3EDB3174"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7A051710"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r>
      <w:tr w:rsidR="00A573B3" w:rsidRPr="004C2A59" w14:paraId="0DEF1BF0" w14:textId="77777777" w:rsidTr="00A125B0">
        <w:trPr>
          <w:cantSplit/>
        </w:trPr>
        <w:tc>
          <w:tcPr>
            <w:tcW w:w="3794" w:type="dxa"/>
            <w:tcBorders>
              <w:left w:val="single" w:sz="4" w:space="0" w:color="auto"/>
              <w:bottom w:val="nil"/>
            </w:tcBorders>
          </w:tcPr>
          <w:p w14:paraId="7164AC8A" w14:textId="77777777" w:rsidR="00A573B3" w:rsidRPr="004C2A59" w:rsidRDefault="00A573B3" w:rsidP="00A125B0">
            <w:pPr>
              <w:pStyle w:val="Table"/>
              <w:keepLines w:val="0"/>
              <w:widowControl w:val="0"/>
              <w:spacing w:before="0" w:after="0"/>
              <w:rPr>
                <w:rFonts w:ascii="Times New Roman" w:hAnsi="Times New Roman"/>
                <w:b/>
                <w:color w:val="000000"/>
                <w:sz w:val="22"/>
                <w:szCs w:val="22"/>
              </w:rPr>
            </w:pPr>
            <w:r w:rsidRPr="004C2A59">
              <w:rPr>
                <w:rFonts w:ascii="Times New Roman" w:hAnsi="Times New Roman"/>
                <w:b/>
                <w:color w:val="000000"/>
                <w:sz w:val="22"/>
                <w:szCs w:val="22"/>
              </w:rPr>
              <w:t>Molekulær respons</w:t>
            </w:r>
            <w:r w:rsidRPr="004C2A59">
              <w:rPr>
                <w:rFonts w:ascii="Times New Roman" w:hAnsi="Times New Roman"/>
                <w:color w:val="000000"/>
                <w:sz w:val="22"/>
                <w:szCs w:val="22"/>
                <w:lang w:val="da-DK"/>
              </w:rPr>
              <w:t>**</w:t>
            </w:r>
          </w:p>
        </w:tc>
        <w:tc>
          <w:tcPr>
            <w:tcW w:w="2693" w:type="dxa"/>
            <w:tcBorders>
              <w:bottom w:val="nil"/>
            </w:tcBorders>
          </w:tcPr>
          <w:p w14:paraId="3E3C265D"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24989DEC"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r>
      <w:tr w:rsidR="00A573B3" w:rsidRPr="004C2A59" w14:paraId="3E47C845" w14:textId="77777777" w:rsidTr="00A125B0">
        <w:trPr>
          <w:cantSplit/>
        </w:trPr>
        <w:tc>
          <w:tcPr>
            <w:tcW w:w="3794" w:type="dxa"/>
            <w:tcBorders>
              <w:left w:val="single" w:sz="4" w:space="0" w:color="auto"/>
              <w:bottom w:val="nil"/>
            </w:tcBorders>
          </w:tcPr>
          <w:p w14:paraId="290F7851"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Major respons ved 12 måneder (%)</w:t>
            </w:r>
          </w:p>
        </w:tc>
        <w:tc>
          <w:tcPr>
            <w:tcW w:w="2693" w:type="dxa"/>
            <w:tcBorders>
              <w:bottom w:val="nil"/>
            </w:tcBorders>
          </w:tcPr>
          <w:p w14:paraId="518782C2"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153/305=50,2%</w:t>
            </w:r>
          </w:p>
        </w:tc>
        <w:tc>
          <w:tcPr>
            <w:tcW w:w="2718" w:type="dxa"/>
            <w:tcBorders>
              <w:bottom w:val="nil"/>
              <w:right w:val="single" w:sz="4" w:space="0" w:color="auto"/>
            </w:tcBorders>
          </w:tcPr>
          <w:p w14:paraId="56B02351"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8/83=9,6%</w:t>
            </w:r>
          </w:p>
        </w:tc>
      </w:tr>
      <w:tr w:rsidR="00A573B3" w:rsidRPr="004C2A59" w14:paraId="46A675BD" w14:textId="77777777" w:rsidTr="00A125B0">
        <w:trPr>
          <w:cantSplit/>
        </w:trPr>
        <w:tc>
          <w:tcPr>
            <w:tcW w:w="3794" w:type="dxa"/>
            <w:tcBorders>
              <w:left w:val="single" w:sz="4" w:space="0" w:color="auto"/>
              <w:bottom w:val="nil"/>
            </w:tcBorders>
          </w:tcPr>
          <w:p w14:paraId="62DAE3D8"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Major respons ved 24 måneder (%)</w:t>
            </w:r>
          </w:p>
        </w:tc>
        <w:tc>
          <w:tcPr>
            <w:tcW w:w="2693" w:type="dxa"/>
            <w:tcBorders>
              <w:bottom w:val="nil"/>
            </w:tcBorders>
          </w:tcPr>
          <w:p w14:paraId="0263BB13"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73/104=70,2%</w:t>
            </w:r>
          </w:p>
        </w:tc>
        <w:tc>
          <w:tcPr>
            <w:tcW w:w="2718" w:type="dxa"/>
            <w:tcBorders>
              <w:bottom w:val="nil"/>
              <w:right w:val="single" w:sz="4" w:space="0" w:color="auto"/>
            </w:tcBorders>
          </w:tcPr>
          <w:p w14:paraId="470C8711"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3/12=25%</w:t>
            </w:r>
          </w:p>
        </w:tc>
      </w:tr>
      <w:tr w:rsidR="00A573B3" w:rsidRPr="004C2A59" w14:paraId="5E4B3D54" w14:textId="77777777" w:rsidTr="00A125B0">
        <w:trPr>
          <w:cantSplit/>
        </w:trPr>
        <w:tc>
          <w:tcPr>
            <w:tcW w:w="3794" w:type="dxa"/>
            <w:tcBorders>
              <w:left w:val="single" w:sz="4" w:space="0" w:color="auto"/>
              <w:bottom w:val="nil"/>
            </w:tcBorders>
          </w:tcPr>
          <w:p w14:paraId="7AFFA6FA"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Major respons ved 84 måneder (%)</w:t>
            </w:r>
          </w:p>
        </w:tc>
        <w:tc>
          <w:tcPr>
            <w:tcW w:w="2693" w:type="dxa"/>
            <w:tcBorders>
              <w:bottom w:val="nil"/>
            </w:tcBorders>
          </w:tcPr>
          <w:p w14:paraId="3CB5C46C"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102/116=87,9%</w:t>
            </w:r>
          </w:p>
        </w:tc>
        <w:tc>
          <w:tcPr>
            <w:tcW w:w="2718" w:type="dxa"/>
            <w:tcBorders>
              <w:bottom w:val="nil"/>
              <w:right w:val="single" w:sz="4" w:space="0" w:color="auto"/>
            </w:tcBorders>
          </w:tcPr>
          <w:p w14:paraId="243D49F7" w14:textId="77777777" w:rsidR="00A573B3" w:rsidRPr="004C2A59" w:rsidRDefault="00A573B3" w:rsidP="00A125B0">
            <w:pPr>
              <w:pStyle w:val="Table"/>
              <w:keepLines w:val="0"/>
              <w:widowControl w:val="0"/>
              <w:spacing w:before="0" w:after="0"/>
              <w:jc w:val="center"/>
              <w:rPr>
                <w:rFonts w:ascii="Times New Roman" w:hAnsi="Times New Roman"/>
                <w:color w:val="000000"/>
                <w:sz w:val="22"/>
                <w:szCs w:val="22"/>
              </w:rPr>
            </w:pPr>
            <w:r w:rsidRPr="004C2A59">
              <w:rPr>
                <w:rFonts w:ascii="Times New Roman" w:hAnsi="Times New Roman"/>
                <w:color w:val="000000"/>
                <w:sz w:val="22"/>
                <w:szCs w:val="22"/>
              </w:rPr>
              <w:t>3/4=75%</w:t>
            </w:r>
          </w:p>
        </w:tc>
      </w:tr>
      <w:tr w:rsidR="00A573B3" w:rsidRPr="00F852D1" w14:paraId="4B1B9A9A" w14:textId="77777777" w:rsidTr="00A125B0">
        <w:trPr>
          <w:cantSplit/>
        </w:trPr>
        <w:tc>
          <w:tcPr>
            <w:tcW w:w="9205" w:type="dxa"/>
            <w:gridSpan w:val="3"/>
            <w:tcBorders>
              <w:top w:val="single" w:sz="4" w:space="0" w:color="auto"/>
              <w:left w:val="single" w:sz="4" w:space="0" w:color="auto"/>
              <w:bottom w:val="single" w:sz="4" w:space="0" w:color="auto"/>
              <w:right w:val="single" w:sz="4" w:space="0" w:color="auto"/>
            </w:tcBorders>
          </w:tcPr>
          <w:p w14:paraId="077CACFD" w14:textId="77777777" w:rsidR="00A573B3" w:rsidRPr="004C2A59" w:rsidRDefault="00A573B3" w:rsidP="00421681">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 p&lt;0,001, Fischers exact test</w:t>
            </w:r>
          </w:p>
          <w:p w14:paraId="550527D9" w14:textId="77777777" w:rsidR="00A573B3" w:rsidRPr="004C2A59" w:rsidRDefault="00A573B3" w:rsidP="00421681">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 Procentvise molekylære respons er baseret på tilgængelige prøver.</w:t>
            </w:r>
          </w:p>
          <w:p w14:paraId="41D683AD" w14:textId="77777777" w:rsidR="00A573B3" w:rsidRPr="004C2A59" w:rsidRDefault="00A573B3" w:rsidP="00421681">
            <w:pPr>
              <w:pStyle w:val="Table"/>
              <w:keepNext w:val="0"/>
              <w:keepLines w:val="0"/>
              <w:widowControl w:val="0"/>
              <w:spacing w:before="0" w:after="0"/>
              <w:rPr>
                <w:rFonts w:ascii="Times New Roman" w:hAnsi="Times New Roman"/>
                <w:b/>
                <w:color w:val="000000"/>
                <w:sz w:val="22"/>
                <w:szCs w:val="22"/>
                <w:lang w:val="da-DK"/>
              </w:rPr>
            </w:pPr>
            <w:r w:rsidRPr="004C2A59">
              <w:rPr>
                <w:rFonts w:ascii="Times New Roman" w:hAnsi="Times New Roman"/>
                <w:b/>
                <w:color w:val="000000"/>
                <w:sz w:val="22"/>
                <w:szCs w:val="22"/>
                <w:lang w:val="da-DK"/>
              </w:rPr>
              <w:t xml:space="preserve">Hæmatologiske responskriterier (alle respons skal bekræftes efter </w:t>
            </w:r>
            <w:r w:rsidRPr="004C2A59">
              <w:rPr>
                <w:rFonts w:ascii="Times New Roman" w:hAnsi="Times New Roman"/>
                <w:b/>
                <w:color w:val="000000"/>
                <w:sz w:val="22"/>
                <w:szCs w:val="22"/>
              </w:rPr>
              <w:sym w:font="Symbol" w:char="F0B3"/>
            </w:r>
            <w:r w:rsidRPr="004C2A59">
              <w:rPr>
                <w:rFonts w:ascii="Times New Roman" w:hAnsi="Times New Roman"/>
                <w:b/>
                <w:color w:val="000000"/>
                <w:sz w:val="22"/>
                <w:szCs w:val="22"/>
                <w:lang w:val="da-DK"/>
              </w:rPr>
              <w:t>4 uger):</w:t>
            </w:r>
          </w:p>
          <w:p w14:paraId="5D866780" w14:textId="77777777" w:rsidR="00A573B3" w:rsidRPr="004C2A59" w:rsidRDefault="00A573B3" w:rsidP="00421681">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Leukocytter&lt;10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trombocytter &lt;450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myelocytter+metamyelocytter &lt;5% i blod, ingen blaster og promyelocytter i blod, basofile &lt;20%, ingen ekstramedullær påvirkning</w:t>
            </w:r>
          </w:p>
          <w:p w14:paraId="083D89AC" w14:textId="77777777" w:rsidR="00A573B3" w:rsidRPr="004C2A59" w:rsidRDefault="00A573B3" w:rsidP="00421681">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b/>
                <w:color w:val="000000"/>
                <w:sz w:val="22"/>
                <w:szCs w:val="22"/>
                <w:lang w:val="da-DK"/>
              </w:rPr>
              <w:t xml:space="preserve">Cytogenetiske responskriterier: </w:t>
            </w:r>
            <w:r w:rsidRPr="004C2A59">
              <w:rPr>
                <w:rFonts w:ascii="Times New Roman" w:hAnsi="Times New Roman"/>
                <w:color w:val="000000"/>
                <w:sz w:val="22"/>
                <w:szCs w:val="22"/>
                <w:lang w:val="da-DK"/>
              </w:rPr>
              <w:t>fuldstændig (0% Ph+ metafaser), delvis (1–35%), mindre (36–65%) eller minimal (66–95%). Et større respons (0–35%) omfatter både fuldstændig og delvis respons.</w:t>
            </w:r>
          </w:p>
          <w:p w14:paraId="3BD73BBD" w14:textId="77777777" w:rsidR="00A573B3" w:rsidRPr="004C2A59" w:rsidRDefault="00A573B3" w:rsidP="00421681">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b/>
                <w:color w:val="000000"/>
                <w:sz w:val="22"/>
                <w:szCs w:val="22"/>
                <w:lang w:val="da-DK"/>
              </w:rPr>
              <w:t>Molekulær major responskriterier:</w:t>
            </w:r>
            <w:r w:rsidRPr="004C2A59">
              <w:rPr>
                <w:rFonts w:ascii="Times New Roman" w:hAnsi="Times New Roman"/>
                <w:color w:val="000000"/>
                <w:sz w:val="22"/>
                <w:szCs w:val="22"/>
                <w:lang w:val="da-DK"/>
              </w:rPr>
              <w:t xml:space="preserve"> I den perifere blodreduktion på ≥3 logaritmer i antallet af Bcr-</w:t>
            </w:r>
            <w:smartTag w:uri="urn:schemas-microsoft-com:office:smarttags" w:element="metricconverter">
              <w:r w:rsidRPr="004C2A59">
                <w:rPr>
                  <w:rFonts w:ascii="Times New Roman" w:hAnsi="Times New Roman"/>
                  <w:color w:val="000000"/>
                  <w:sz w:val="22"/>
                  <w:szCs w:val="22"/>
                  <w:lang w:val="da-DK"/>
                </w:rPr>
                <w:t>ABL</w:t>
              </w:r>
            </w:smartTag>
            <w:r w:rsidRPr="004C2A59">
              <w:rPr>
                <w:rFonts w:ascii="Times New Roman" w:hAnsi="Times New Roman"/>
                <w:color w:val="000000"/>
                <w:sz w:val="22"/>
                <w:szCs w:val="22"/>
                <w:lang w:val="da-DK"/>
              </w:rPr>
              <w:t xml:space="preserve">-transkriptioner (målt ved real-time kvantitativ reverse transkriptase </w:t>
            </w:r>
            <w:smartTag w:uri="urn:schemas-microsoft-com:office:smarttags" w:element="metricconverter">
              <w:r w:rsidRPr="004C2A59">
                <w:rPr>
                  <w:rFonts w:ascii="Times New Roman" w:hAnsi="Times New Roman"/>
                  <w:color w:val="000000"/>
                  <w:sz w:val="22"/>
                  <w:szCs w:val="22"/>
                  <w:lang w:val="da-DK"/>
                </w:rPr>
                <w:t>PCR</w:t>
              </w:r>
            </w:smartTag>
            <w:r w:rsidRPr="004C2A59">
              <w:rPr>
                <w:rFonts w:ascii="Times New Roman" w:hAnsi="Times New Roman"/>
                <w:color w:val="000000"/>
                <w:sz w:val="22"/>
                <w:szCs w:val="22"/>
                <w:lang w:val="da-DK"/>
              </w:rPr>
              <w:t xml:space="preserve"> assay) over for en standardiserede </w:t>
            </w:r>
            <w:r w:rsidRPr="00ED22AB">
              <w:rPr>
                <w:rFonts w:ascii="Times New Roman" w:hAnsi="Times New Roman"/>
                <w:i/>
                <w:color w:val="000000"/>
                <w:sz w:val="22"/>
                <w:szCs w:val="22"/>
                <w:lang w:val="da-DK"/>
              </w:rPr>
              <w:t>baseline</w:t>
            </w:r>
            <w:r w:rsidRPr="004C2A59">
              <w:rPr>
                <w:rFonts w:ascii="Times New Roman" w:hAnsi="Times New Roman"/>
                <w:color w:val="000000"/>
                <w:sz w:val="22"/>
                <w:szCs w:val="22"/>
                <w:lang w:val="da-DK"/>
              </w:rPr>
              <w:t>.</w:t>
            </w:r>
          </w:p>
        </w:tc>
      </w:tr>
    </w:tbl>
    <w:p w14:paraId="7D06D0B8" w14:textId="77777777" w:rsidR="00A573B3" w:rsidRPr="004C2A59" w:rsidRDefault="00A573B3" w:rsidP="00421681">
      <w:pPr>
        <w:widowControl w:val="0"/>
        <w:rPr>
          <w:i/>
          <w:color w:val="000000"/>
          <w:sz w:val="22"/>
          <w:szCs w:val="22"/>
          <w:lang w:val="da-DK"/>
        </w:rPr>
      </w:pPr>
    </w:p>
    <w:p w14:paraId="09822DB1" w14:textId="77777777" w:rsidR="00A573B3" w:rsidRPr="004C2A59" w:rsidRDefault="00A573B3" w:rsidP="00421681">
      <w:pPr>
        <w:pStyle w:val="EndnoteText"/>
        <w:rPr>
          <w:color w:val="000000"/>
          <w:szCs w:val="22"/>
        </w:rPr>
      </w:pPr>
      <w:r w:rsidRPr="004C2A59">
        <w:rPr>
          <w:color w:val="000000"/>
          <w:szCs w:val="22"/>
        </w:rPr>
        <w:t xml:space="preserve">Frekvensen for fuldstændig hæmatologisk respons, cytogenetisk respons og fuldstændig cytogenetisk respons for førstevalgsbehandling blev estimeret ved brug af Kaplan-Meier-metoden, hvor patienter, der ikke responderede, blev sorteret fra ved datoen for sidste undersøgelse. Ved brug af denne metode øgedes den estimerede kumulative responsfrekvens for førstevalgsbehandling med Glivec fra 12 måneders behandling til 84 måneders behandling som følgende: </w:t>
      </w:r>
      <w:smartTag w:uri="urn:schemas-microsoft-com:office:smarttags" w:element="metricconverter">
        <w:r w:rsidRPr="004C2A59">
          <w:rPr>
            <w:color w:val="000000"/>
            <w:szCs w:val="22"/>
          </w:rPr>
          <w:t>CHR</w:t>
        </w:r>
      </w:smartTag>
      <w:r w:rsidRPr="004C2A59">
        <w:rPr>
          <w:color w:val="000000"/>
          <w:szCs w:val="22"/>
        </w:rPr>
        <w:t xml:space="preserve"> fra 96,4% til 98,4% og CCyR fra 69,5% til 87,2%).</w:t>
      </w:r>
    </w:p>
    <w:p w14:paraId="621F82BD" w14:textId="77777777" w:rsidR="00A573B3" w:rsidRPr="004C2A59" w:rsidRDefault="00A573B3" w:rsidP="00421681">
      <w:pPr>
        <w:pStyle w:val="EndnoteText"/>
        <w:rPr>
          <w:color w:val="000000"/>
          <w:szCs w:val="22"/>
        </w:rPr>
      </w:pPr>
    </w:p>
    <w:p w14:paraId="6DE789A3" w14:textId="77777777" w:rsidR="00A573B3" w:rsidRPr="004C2A59" w:rsidRDefault="00A573B3" w:rsidP="00421681">
      <w:pPr>
        <w:pStyle w:val="EndnoteText"/>
        <w:rPr>
          <w:color w:val="000000"/>
          <w:szCs w:val="22"/>
        </w:rPr>
      </w:pPr>
      <w:r w:rsidRPr="004C2A59">
        <w:rPr>
          <w:color w:val="000000"/>
          <w:szCs w:val="22"/>
        </w:rPr>
        <w:t>Ved 7</w:t>
      </w:r>
      <w:r w:rsidRPr="004C2A59">
        <w:rPr>
          <w:color w:val="000000"/>
          <w:szCs w:val="22"/>
        </w:rPr>
        <w:noBreakHyphen/>
        <w:t xml:space="preserve">års opfølgning var der 93 (16,8%) progressionshændelser i Glivec-armen: 37 (6,7%) omhandlede progression til accelereret fase/blastkrise, 31 (5,6%) tab af MCyR, 15 (2,7%) tab af </w:t>
      </w:r>
      <w:smartTag w:uri="urn:schemas-microsoft-com:office:smarttags" w:element="metricconverter">
        <w:r w:rsidRPr="004C2A59">
          <w:rPr>
            <w:color w:val="000000"/>
            <w:szCs w:val="22"/>
          </w:rPr>
          <w:t>CHR</w:t>
        </w:r>
      </w:smartTag>
      <w:r w:rsidRPr="004C2A59">
        <w:rPr>
          <w:color w:val="000000"/>
          <w:szCs w:val="22"/>
        </w:rPr>
        <w:t xml:space="preserve"> eller stigning i WBC, og 10 (1,8%) dødsfald ikke relateret til CML. Til sammenligning var der 165 (29,8%) hændelser i IFN+Ara</w:t>
      </w:r>
      <w:r w:rsidRPr="004C2A59">
        <w:rPr>
          <w:color w:val="000000"/>
          <w:szCs w:val="22"/>
        </w:rPr>
        <w:noBreakHyphen/>
        <w:t>C-armen, af hvilke 130 opstod under førstevalgsbehandling med IFN+Ara-C.</w:t>
      </w:r>
    </w:p>
    <w:p w14:paraId="66983184" w14:textId="77777777" w:rsidR="00A573B3" w:rsidRPr="004C2A59" w:rsidRDefault="00A573B3" w:rsidP="00421681">
      <w:pPr>
        <w:pStyle w:val="EndnoteText"/>
        <w:rPr>
          <w:color w:val="000000"/>
          <w:szCs w:val="22"/>
        </w:rPr>
      </w:pPr>
    </w:p>
    <w:p w14:paraId="77B0862B" w14:textId="77777777" w:rsidR="00A573B3" w:rsidRPr="004C2A59" w:rsidRDefault="00A573B3" w:rsidP="00421681">
      <w:pPr>
        <w:pStyle w:val="EndnoteText"/>
        <w:rPr>
          <w:color w:val="000000"/>
          <w:szCs w:val="22"/>
        </w:rPr>
      </w:pPr>
      <w:r w:rsidRPr="004C2A59">
        <w:rPr>
          <w:color w:val="000000"/>
          <w:szCs w:val="22"/>
        </w:rPr>
        <w:t xml:space="preserve">Den estimerede frekvens af patienter fri for progressions til fremskreden fase eller blastkrise efter 84 måneder var signifikant højere i Glivec-armen end i IFN-armen (92,5% </w:t>
      </w:r>
      <w:r w:rsidRPr="004C2A59">
        <w:rPr>
          <w:i/>
          <w:color w:val="000000"/>
          <w:szCs w:val="22"/>
        </w:rPr>
        <w:t>vs.</w:t>
      </w:r>
      <w:r w:rsidRPr="004C2A59">
        <w:rPr>
          <w:color w:val="000000"/>
          <w:szCs w:val="22"/>
        </w:rPr>
        <w:t xml:space="preserve"> 85,1%, p&lt;0,001). Den årlige frekvens for progression til fremskreden fase eller blastkrise aftog, jo længere behandlingen stod på, og var mindre end 1% årlig i fjerde og femte år. Den estimerede progressionsfri overlevelse efter 84 måneder var 81,2% i Glivec-armen og 60,6% i kontrolarmen (p&lt;0,001). Årlige frekvenser af enhver type progression blev reduceret over tid med Glivec.</w:t>
      </w:r>
    </w:p>
    <w:p w14:paraId="4A180B11" w14:textId="77777777" w:rsidR="00A573B3" w:rsidRPr="004C2A59" w:rsidRDefault="00A573B3" w:rsidP="00421681">
      <w:pPr>
        <w:pStyle w:val="EndnoteText"/>
        <w:rPr>
          <w:color w:val="000000"/>
          <w:szCs w:val="22"/>
        </w:rPr>
      </w:pPr>
    </w:p>
    <w:p w14:paraId="176D774D" w14:textId="77777777" w:rsidR="00A573B3" w:rsidRPr="004C2A59" w:rsidRDefault="00A573B3" w:rsidP="00421681">
      <w:pPr>
        <w:pStyle w:val="EndnoteText"/>
        <w:rPr>
          <w:color w:val="000000"/>
          <w:szCs w:val="22"/>
        </w:rPr>
      </w:pPr>
      <w:r w:rsidRPr="004C2A59">
        <w:rPr>
          <w:color w:val="000000"/>
          <w:szCs w:val="22"/>
        </w:rPr>
        <w:t xml:space="preserve">I alt døde 71 (12,8%) og 85 (15,4%) patienter i henholdsvis Glivec- og IFN+Ara-C-grupperne. Ved 84 måneder var den estimerede samlede overlevelse 86,4% (83, 90) </w:t>
      </w:r>
      <w:r w:rsidRPr="004C2A59">
        <w:rPr>
          <w:i/>
          <w:color w:val="000000"/>
          <w:szCs w:val="22"/>
        </w:rPr>
        <w:t>vs.</w:t>
      </w:r>
      <w:r w:rsidRPr="004C2A59">
        <w:rPr>
          <w:color w:val="000000"/>
          <w:szCs w:val="22"/>
        </w:rPr>
        <w:t xml:space="preserve"> 83,3% (80, 87) i henholdsvis de randomiserede Glivec- og IFN+Ara</w:t>
      </w:r>
      <w:r w:rsidRPr="004C2A59">
        <w:rPr>
          <w:color w:val="000000"/>
          <w:szCs w:val="22"/>
        </w:rPr>
        <w:noBreakHyphen/>
        <w:t xml:space="preserve">C-grupper (p=0,073, log-rank test). Dette tid-til-hændelse effektmål er stærkt påvirket af det høje antal skift fra IFN+Ara-C-armen til Glivec-armen. Effekten af Glivec-behandling på overlevelse i kronisk fase, nyligt diagnostiseret CML er blevet yderligere undersøgt i en retrospektiv analyse af ovenstående rapporterede Glivec-data med primærdata fra et andet fase </w:t>
      </w:r>
      <w:smartTag w:uri="urn:schemas-microsoft-com:office:smarttags" w:element="metricconverter">
        <w:r w:rsidRPr="004C2A59">
          <w:rPr>
            <w:color w:val="000000"/>
            <w:szCs w:val="22"/>
          </w:rPr>
          <w:t>III</w:t>
        </w:r>
      </w:smartTag>
      <w:r w:rsidRPr="004C2A59">
        <w:rPr>
          <w:color w:val="000000"/>
          <w:szCs w:val="22"/>
        </w:rPr>
        <w:t>-studie hvor IFN+Ara-C (n=325) blev anvendt i et tilsvarende behandlingsregime. I denne retrospektive analyse af total overlevelse blev Glivecs overlegenhed vist i forhold til IFN+Ara-C (p&lt;0,001); inden for 42 måneder var 47 (8,5%) Glivec-patienter og 63 (19,4%) IFN+Ara-C-patienter døde.</w:t>
      </w:r>
    </w:p>
    <w:p w14:paraId="5D867C91" w14:textId="77777777" w:rsidR="00A573B3" w:rsidRPr="004C2A59" w:rsidRDefault="00A573B3" w:rsidP="00421681">
      <w:pPr>
        <w:pStyle w:val="EndnoteText"/>
        <w:rPr>
          <w:color w:val="000000"/>
          <w:szCs w:val="22"/>
        </w:rPr>
      </w:pPr>
    </w:p>
    <w:p w14:paraId="0B65BE57" w14:textId="77777777" w:rsidR="00A573B3" w:rsidRPr="004C2A59" w:rsidRDefault="00A573B3" w:rsidP="00421681">
      <w:pPr>
        <w:pStyle w:val="EndnoteText"/>
        <w:rPr>
          <w:color w:val="000000"/>
          <w:szCs w:val="22"/>
        </w:rPr>
      </w:pPr>
      <w:r w:rsidRPr="004C2A59">
        <w:rPr>
          <w:color w:val="000000"/>
          <w:szCs w:val="22"/>
        </w:rPr>
        <w:t>Graden af cytogenisk respons og molekylært respons havde en klar effekt på langtidsudfaldet for patienter i Glivec-behandling. Hvor estimeret 96% (93%) af patienterne med CCyR (PCyR) ved 12 måneder var fri for progression til accelereret fase/blastkrise ved 84 måneder, var kun 81% af patienterne uden CCyR ved 12 måneder fri for progression til fremskreden CML ved 84 måneder (p&lt;0,001 samlet, p=0,25 mellem CCyR og PCyR). For patienter med reduktion i Bcr-Abl transkripter på mindst 3 logaritmer ved 12 måneder, var sandsynligheden for at forblive fri for progression til accelereret fase/blastkrise 99% efter 84 måneder. Lignende resultater fandtes baseret på analysen efter 18 måneder.</w:t>
      </w:r>
    </w:p>
    <w:p w14:paraId="5943C627" w14:textId="77777777" w:rsidR="00A573B3" w:rsidRPr="004C2A59" w:rsidRDefault="00A573B3" w:rsidP="00421681">
      <w:pPr>
        <w:pStyle w:val="EndnoteText"/>
        <w:rPr>
          <w:color w:val="000000"/>
          <w:szCs w:val="22"/>
        </w:rPr>
      </w:pPr>
    </w:p>
    <w:p w14:paraId="1815A900" w14:textId="77777777" w:rsidR="00A573B3" w:rsidRPr="004C2A59" w:rsidRDefault="00A573B3" w:rsidP="00421681">
      <w:pPr>
        <w:pStyle w:val="EndnoteText"/>
        <w:rPr>
          <w:color w:val="000000"/>
          <w:szCs w:val="22"/>
        </w:rPr>
      </w:pPr>
      <w:r w:rsidRPr="004C2A59">
        <w:rPr>
          <w:color w:val="000000"/>
          <w:szCs w:val="22"/>
        </w:rPr>
        <w:t>I dette studie var dosisoptrapning tilladt fra 400 mg daglig til 600 mg daglig og derefter fra 600 mg daglig til 800 mg daglig. Efter 42 måneders opfølgning fik 11 patienter bekræftet tab (inden for 4 uger) af cytogenetiske respons (indenfor 4 uger). Af disse 11 patienter, blev 4 patienter optrappet til 800 mg daglig, hvoraf 2 af dem genopnåede cytogenetisk respons (1 delvist og 1 fuldstændigt, og den sidst nævnte opnåede også et molekulær respons), mens kun 1 af de 7 patienter, som ikke fik større dosis genopnåede et fuldstændigt cytogenetisk respons. Procentdelen af nogle bivirkninger var højere hos de 40 patienter, hvor dosis blev øget til 800 mg daglig sammenlignet med patientpopulationen inden dosisstigning (n=551). De mere hyppige bivirkninger var gastrointestinalblødning, konjunktivitis og stigning i transaminase eller bilirubin. Andre bivirkninger blev indberettet med lavere eller den samme hyppighed.</w:t>
      </w:r>
    </w:p>
    <w:p w14:paraId="12012EE2" w14:textId="77777777" w:rsidR="00A573B3" w:rsidRPr="004C2A59" w:rsidRDefault="00A573B3" w:rsidP="00421681">
      <w:pPr>
        <w:pStyle w:val="EndnoteText"/>
        <w:rPr>
          <w:color w:val="000000"/>
          <w:szCs w:val="22"/>
        </w:rPr>
      </w:pPr>
    </w:p>
    <w:p w14:paraId="52704B53" w14:textId="77777777" w:rsidR="00A573B3" w:rsidRPr="004C2A59" w:rsidRDefault="00A573B3" w:rsidP="00421681">
      <w:pPr>
        <w:widowControl w:val="0"/>
        <w:rPr>
          <w:color w:val="000000"/>
          <w:sz w:val="22"/>
          <w:szCs w:val="22"/>
          <w:lang w:val="da-DK"/>
        </w:rPr>
      </w:pPr>
      <w:r w:rsidRPr="004C2A59">
        <w:rPr>
          <w:i/>
          <w:color w:val="000000"/>
          <w:sz w:val="22"/>
          <w:szCs w:val="22"/>
          <w:lang w:val="da-DK"/>
        </w:rPr>
        <w:t xml:space="preserve">Kronisk fase; manglende effekt med Interferon: </w:t>
      </w:r>
      <w:r w:rsidRPr="004C2A59">
        <w:rPr>
          <w:color w:val="000000"/>
          <w:sz w:val="22"/>
          <w:szCs w:val="22"/>
          <w:lang w:val="da-DK"/>
        </w:rPr>
        <w:t xml:space="preserve">532 voksne patienter blev behandlet med en startdosis på 400 mg. Patienterne blev fordelt i 3 hovedkategorier: Manglende hæmatologisk effekt (29%), manglende cytogenetisk effekt (35%) eller interferonintolerans (36%). Patienterne havde i gennemsnit tidligere modtaget 14 måneders IFN-behandling med doser </w:t>
      </w:r>
      <w:r w:rsidRPr="004C2A59">
        <w:rPr>
          <w:color w:val="000000"/>
          <w:sz w:val="22"/>
          <w:szCs w:val="22"/>
          <w:lang w:val="da-DK"/>
        </w:rPr>
        <w:sym w:font="Symbol" w:char="F0B3"/>
      </w:r>
      <w:r w:rsidRPr="004C2A59">
        <w:rPr>
          <w:color w:val="000000"/>
          <w:sz w:val="22"/>
          <w:szCs w:val="22"/>
          <w:lang w:val="da-DK"/>
        </w:rPr>
        <w:t>25 x 10</w:t>
      </w:r>
      <w:r w:rsidRPr="004C2A59">
        <w:rPr>
          <w:color w:val="000000"/>
          <w:sz w:val="22"/>
          <w:szCs w:val="22"/>
          <w:vertAlign w:val="superscript"/>
          <w:lang w:val="da-DK"/>
        </w:rPr>
        <w:t>6</w:t>
      </w:r>
      <w:r w:rsidRPr="004C2A59">
        <w:rPr>
          <w:color w:val="000000"/>
          <w:sz w:val="22"/>
          <w:szCs w:val="22"/>
          <w:lang w:val="da-DK"/>
        </w:rPr>
        <w:t xml:space="preserve"> IU/uge og var alle i sen kronisk fase med en gennemsnitlig tid siden diagnose på 32 måneder. Undersøgelsens primære effektvariable var graden af det cytogenetiske hovedrespons (fuldstændigt plus partielt respons, 0–35% Ph</w:t>
      </w:r>
      <w:r w:rsidRPr="004C2A59">
        <w:rPr>
          <w:color w:val="000000"/>
          <w:sz w:val="22"/>
          <w:szCs w:val="22"/>
          <w:vertAlign w:val="superscript"/>
          <w:lang w:val="da-DK"/>
        </w:rPr>
        <w:t>+</w:t>
      </w:r>
      <w:r w:rsidRPr="004C2A59">
        <w:rPr>
          <w:color w:val="000000"/>
          <w:sz w:val="22"/>
          <w:szCs w:val="22"/>
          <w:lang w:val="da-DK"/>
        </w:rPr>
        <w:t>-metafaser i knoglemarven).</w:t>
      </w:r>
    </w:p>
    <w:p w14:paraId="390683F9" w14:textId="77777777" w:rsidR="00A573B3" w:rsidRPr="004C2A59" w:rsidRDefault="00A573B3" w:rsidP="00421681">
      <w:pPr>
        <w:pStyle w:val="EndnoteText"/>
        <w:tabs>
          <w:tab w:val="clear" w:pos="567"/>
        </w:tabs>
        <w:rPr>
          <w:color w:val="000000"/>
          <w:szCs w:val="22"/>
        </w:rPr>
      </w:pPr>
    </w:p>
    <w:p w14:paraId="4A01B29C" w14:textId="77777777" w:rsidR="00A573B3" w:rsidRPr="004C2A59" w:rsidRDefault="00A573B3" w:rsidP="00421681">
      <w:pPr>
        <w:widowControl w:val="0"/>
        <w:rPr>
          <w:color w:val="000000"/>
          <w:sz w:val="22"/>
          <w:szCs w:val="22"/>
          <w:lang w:val="da-DK"/>
        </w:rPr>
      </w:pPr>
      <w:r w:rsidRPr="004C2A59">
        <w:rPr>
          <w:color w:val="000000"/>
          <w:sz w:val="22"/>
          <w:szCs w:val="22"/>
          <w:lang w:val="da-DK"/>
        </w:rPr>
        <w:t>I denne undersøgelse opnåede 65% af patienterne et cytogenetisk hovedrespons, som var fuldstændigt hos 53% (bekræftet 43%) af patienterne (Tabel </w:t>
      </w:r>
      <w:r w:rsidR="00FD10C4" w:rsidRPr="004C2A59">
        <w:rPr>
          <w:color w:val="000000"/>
          <w:sz w:val="22"/>
          <w:szCs w:val="22"/>
          <w:lang w:val="da-DK"/>
        </w:rPr>
        <w:t>3</w:t>
      </w:r>
      <w:r w:rsidRPr="004C2A59">
        <w:rPr>
          <w:color w:val="000000"/>
          <w:sz w:val="22"/>
          <w:szCs w:val="22"/>
          <w:lang w:val="da-DK"/>
        </w:rPr>
        <w:t>). Fuldstændigt hæmatologisk respons opnåedes hos 95% af patienterne.</w:t>
      </w:r>
    </w:p>
    <w:p w14:paraId="3E2DEBA1" w14:textId="77777777" w:rsidR="00A573B3" w:rsidRPr="004C2A59" w:rsidRDefault="00A573B3" w:rsidP="00421681">
      <w:pPr>
        <w:widowControl w:val="0"/>
        <w:rPr>
          <w:color w:val="000000"/>
          <w:sz w:val="22"/>
          <w:szCs w:val="22"/>
          <w:lang w:val="da-DK"/>
        </w:rPr>
      </w:pPr>
    </w:p>
    <w:p w14:paraId="02B55AFB" w14:textId="77777777" w:rsidR="00A573B3" w:rsidRPr="004C2A59" w:rsidRDefault="00A573B3" w:rsidP="00421681">
      <w:pPr>
        <w:widowControl w:val="0"/>
        <w:rPr>
          <w:color w:val="000000"/>
          <w:sz w:val="22"/>
          <w:szCs w:val="22"/>
          <w:lang w:val="da-DK"/>
        </w:rPr>
      </w:pPr>
      <w:r w:rsidRPr="004C2A59">
        <w:rPr>
          <w:i/>
          <w:color w:val="000000"/>
          <w:sz w:val="22"/>
          <w:szCs w:val="22"/>
          <w:lang w:val="da-DK"/>
        </w:rPr>
        <w:lastRenderedPageBreak/>
        <w:t>Accelereret fase:</w:t>
      </w:r>
      <w:r w:rsidRPr="004C2A59">
        <w:rPr>
          <w:color w:val="000000"/>
          <w:sz w:val="22"/>
          <w:szCs w:val="22"/>
          <w:lang w:val="da-DK"/>
        </w:rPr>
        <w:t xml:space="preserve"> Der inkluderedes 235 voksne patienter med accelereret sygdomsfase. De første 77 patienter startede med en dosis på 400 mg, protokollen blev efterfølgende ændret og tillod højere doser, hvorefter de resterende 158 patienter startede med en dosis på 600 mg.</w:t>
      </w:r>
    </w:p>
    <w:p w14:paraId="026FFA59" w14:textId="77777777" w:rsidR="00A573B3" w:rsidRPr="004C2A59" w:rsidRDefault="00A573B3" w:rsidP="00421681">
      <w:pPr>
        <w:widowControl w:val="0"/>
        <w:rPr>
          <w:color w:val="000000"/>
          <w:sz w:val="22"/>
          <w:szCs w:val="22"/>
          <w:lang w:val="da-DK"/>
        </w:rPr>
      </w:pPr>
    </w:p>
    <w:p w14:paraId="1CE3CD6D" w14:textId="77777777" w:rsidR="00A573B3" w:rsidRPr="004C2A59" w:rsidRDefault="00A573B3" w:rsidP="00421681">
      <w:pPr>
        <w:widowControl w:val="0"/>
        <w:rPr>
          <w:color w:val="000000"/>
          <w:sz w:val="22"/>
          <w:szCs w:val="22"/>
          <w:lang w:val="da-DK"/>
        </w:rPr>
      </w:pPr>
      <w:r w:rsidRPr="004C2A59">
        <w:rPr>
          <w:color w:val="000000"/>
          <w:sz w:val="22"/>
          <w:szCs w:val="22"/>
          <w:lang w:val="da-DK"/>
        </w:rPr>
        <w:t>Den primære effektvariable var graden af hæmatologisk hovedrespons, rapporteret enten som fuldstændigt hæmatologisk respons, intet tegn på leukæmi (f.eks. clearance af blaster fra knoglemarv og blod, men uden fuldstændig restitution i perifert blod som ved fuldstændigt respons) eller remission til CML i kronisk fase. Der opnåedes konfirmeret hæmatologisk respons hos 71,5% af patienterne (Tabel </w:t>
      </w:r>
      <w:r w:rsidR="00FD10C4" w:rsidRPr="004C2A59">
        <w:rPr>
          <w:color w:val="000000"/>
          <w:sz w:val="22"/>
          <w:szCs w:val="22"/>
          <w:lang w:val="da-DK"/>
        </w:rPr>
        <w:t>3</w:t>
      </w:r>
      <w:r w:rsidRPr="004C2A59">
        <w:rPr>
          <w:color w:val="000000"/>
          <w:sz w:val="22"/>
          <w:szCs w:val="22"/>
          <w:lang w:val="da-DK"/>
        </w:rPr>
        <w:t>). Væsentligt er det, at 27,7% af patienterne også opnåede et cytogenetisk hovedrespons, hvilket var fuldstændigt hos 20,4% (bekræftet 16%) af patienterne. For patienter behandlet med 600 mg, var de nuværende estimater for median progressionsfri overlevelse og overlevelse i det hele taget henholdsvis 22,9 og 42,5 måneder.</w:t>
      </w:r>
    </w:p>
    <w:p w14:paraId="6A4C95B3" w14:textId="77777777" w:rsidR="00A573B3" w:rsidRPr="004C2A59" w:rsidRDefault="00A573B3" w:rsidP="00421681">
      <w:pPr>
        <w:widowControl w:val="0"/>
        <w:rPr>
          <w:color w:val="000000"/>
          <w:sz w:val="22"/>
          <w:szCs w:val="22"/>
          <w:lang w:val="da-DK"/>
        </w:rPr>
      </w:pPr>
    </w:p>
    <w:p w14:paraId="1717D4B0" w14:textId="77777777" w:rsidR="00A573B3" w:rsidRPr="004C2A59" w:rsidRDefault="00A573B3" w:rsidP="00421681">
      <w:pPr>
        <w:widowControl w:val="0"/>
        <w:rPr>
          <w:color w:val="000000"/>
          <w:sz w:val="22"/>
          <w:szCs w:val="22"/>
          <w:lang w:val="da-DK"/>
        </w:rPr>
      </w:pPr>
      <w:r w:rsidRPr="004C2A59">
        <w:rPr>
          <w:i/>
          <w:color w:val="000000"/>
          <w:sz w:val="22"/>
          <w:szCs w:val="22"/>
          <w:lang w:val="da-DK"/>
        </w:rPr>
        <w:t xml:space="preserve">Myeloid blastkrise: </w:t>
      </w:r>
      <w:r w:rsidRPr="004C2A59">
        <w:rPr>
          <w:color w:val="000000"/>
          <w:sz w:val="22"/>
          <w:szCs w:val="22"/>
          <w:lang w:val="da-DK"/>
        </w:rPr>
        <w:t>Der inkluderedes 260 patienter med myeloid blastkrise. 95 (37%) havde tidligere modtaget kemoterapi til behandling af enten accelereret fase eller blastkrise (”tidligere behandlede patienter”), hvorimod 165 (63%) ikke havde (”ubehandlede patienter”). De første 37 patienter startede med 400 mg, protokollen blev efterfølgende ændret og tillod højere doser, hvorefter de resterende 223 patienter startede med 600 mg.</w:t>
      </w:r>
    </w:p>
    <w:p w14:paraId="0847238E" w14:textId="77777777" w:rsidR="00A573B3" w:rsidRPr="004C2A59" w:rsidRDefault="00A573B3" w:rsidP="00421681">
      <w:pPr>
        <w:widowControl w:val="0"/>
        <w:rPr>
          <w:color w:val="000000"/>
          <w:sz w:val="22"/>
          <w:szCs w:val="22"/>
          <w:lang w:val="da-DK"/>
        </w:rPr>
      </w:pPr>
    </w:p>
    <w:p w14:paraId="2C2BBA3B" w14:textId="77777777" w:rsidR="00A573B3" w:rsidRPr="004C2A59" w:rsidRDefault="00A573B3" w:rsidP="00421681">
      <w:pPr>
        <w:widowControl w:val="0"/>
        <w:rPr>
          <w:color w:val="000000"/>
          <w:sz w:val="22"/>
          <w:szCs w:val="22"/>
          <w:lang w:val="da-DK"/>
        </w:rPr>
      </w:pPr>
      <w:r w:rsidRPr="004C2A59">
        <w:rPr>
          <w:color w:val="000000"/>
          <w:sz w:val="22"/>
          <w:szCs w:val="22"/>
          <w:lang w:val="da-DK"/>
        </w:rPr>
        <w:t>Den primære effektvariable var graden af hæmatologisk hovedrespons, rapporteret enten som fuldstændigt hæmatologisk respons, intet tegn på leukæmi, eller remission til CML i kronisk fase, med anvendelse af samme kriterier som i undersøgelsen med patienter i accelereret fase. I denne undersøgelse opnåede 31% af patienterne et hæmatologisk respons (36% af de tidligere ”ubehandlede patienter” og 22% af de ”tidligere behandlede patienter”). Hovedresponsniveauet var også større hos patienter behandlet med 600 mg (33%) sammenlignet med patienter behandlet med 400 mg (16%, p=0,0220). Den aktuelle estimerede gennemsnitlige overlevelse hos tidligere ”ubehandlede” og ”behandlede patienter” var henholdsvis 7,7 og 4,7 måneder.</w:t>
      </w:r>
    </w:p>
    <w:p w14:paraId="24943364" w14:textId="77777777" w:rsidR="00A573B3" w:rsidRPr="004C2A59" w:rsidRDefault="00A573B3" w:rsidP="00421681">
      <w:pPr>
        <w:rPr>
          <w:color w:val="000000"/>
          <w:sz w:val="22"/>
          <w:szCs w:val="22"/>
          <w:lang w:val="da-DK"/>
        </w:rPr>
      </w:pPr>
    </w:p>
    <w:p w14:paraId="64844184" w14:textId="77777777" w:rsidR="00A573B3" w:rsidRPr="004C2A59" w:rsidRDefault="00A573B3" w:rsidP="00421681">
      <w:pPr>
        <w:pStyle w:val="BodyText"/>
        <w:jc w:val="left"/>
        <w:rPr>
          <w:b w:val="0"/>
          <w:noProof w:val="0"/>
          <w:color w:val="000000"/>
          <w:szCs w:val="22"/>
          <w:lang w:val="da-DK"/>
        </w:rPr>
      </w:pPr>
      <w:r w:rsidRPr="004C2A59">
        <w:rPr>
          <w:b w:val="0"/>
          <w:i/>
          <w:noProof w:val="0"/>
          <w:color w:val="000000"/>
          <w:szCs w:val="22"/>
          <w:lang w:val="da-DK"/>
        </w:rPr>
        <w:t>Lymfoid blastkrise</w:t>
      </w:r>
      <w:r w:rsidRPr="004C2A59">
        <w:rPr>
          <w:b w:val="0"/>
          <w:noProof w:val="0"/>
          <w:color w:val="000000"/>
          <w:szCs w:val="22"/>
          <w:lang w:val="da-DK"/>
        </w:rPr>
        <w:t>: der inkluderedes et begrænset antal patienter i fase I undersøgelser (n=10). Incidensen af hæmatologisk respons var 70% med en varighed på 2</w:t>
      </w:r>
      <w:r w:rsidRPr="004C2A59">
        <w:rPr>
          <w:color w:val="000000"/>
          <w:szCs w:val="22"/>
          <w:lang w:val="da-DK"/>
        </w:rPr>
        <w:t>–</w:t>
      </w:r>
      <w:r w:rsidRPr="004C2A59">
        <w:rPr>
          <w:b w:val="0"/>
          <w:noProof w:val="0"/>
          <w:color w:val="000000"/>
          <w:szCs w:val="22"/>
          <w:lang w:val="da-DK"/>
        </w:rPr>
        <w:t>3 måneder.</w:t>
      </w:r>
    </w:p>
    <w:p w14:paraId="40D25C04" w14:textId="77777777" w:rsidR="00A573B3" w:rsidRPr="004C2A59" w:rsidRDefault="00A573B3" w:rsidP="00421681">
      <w:pPr>
        <w:widowControl w:val="0"/>
        <w:rPr>
          <w:color w:val="000000"/>
          <w:sz w:val="22"/>
          <w:szCs w:val="22"/>
          <w:lang w:val="da-DK"/>
        </w:rPr>
      </w:pPr>
    </w:p>
    <w:p w14:paraId="6120D0FB" w14:textId="77777777" w:rsidR="00A573B3" w:rsidRPr="004C2A59" w:rsidRDefault="00A573B3" w:rsidP="00A125B0">
      <w:pPr>
        <w:pStyle w:val="Heading9"/>
        <w:widowControl w:val="0"/>
        <w:numPr>
          <w:ilvl w:val="0"/>
          <w:numId w:val="0"/>
        </w:numPr>
        <w:tabs>
          <w:tab w:val="left" w:pos="1134"/>
        </w:tabs>
        <w:suppressAutoHyphens w:val="0"/>
        <w:rPr>
          <w:color w:val="000000"/>
          <w:szCs w:val="22"/>
        </w:rPr>
      </w:pPr>
      <w:r w:rsidRPr="004C2A59">
        <w:rPr>
          <w:color w:val="000000"/>
          <w:szCs w:val="22"/>
        </w:rPr>
        <w:lastRenderedPageBreak/>
        <w:t>Tabel </w:t>
      </w:r>
      <w:r w:rsidR="00FD10C4" w:rsidRPr="004C2A59">
        <w:rPr>
          <w:color w:val="000000"/>
          <w:szCs w:val="22"/>
        </w:rPr>
        <w:t>3</w:t>
      </w:r>
      <w:r w:rsidRPr="004C2A59">
        <w:rPr>
          <w:color w:val="000000"/>
          <w:szCs w:val="22"/>
        </w:rPr>
        <w:tab/>
        <w:t>Respons hos voksne CML-patienter</w:t>
      </w:r>
    </w:p>
    <w:p w14:paraId="42FE0A9F" w14:textId="77777777" w:rsidR="00A573B3" w:rsidRPr="004C2A59" w:rsidRDefault="00A573B3" w:rsidP="00A125B0">
      <w:pPr>
        <w:keepNext/>
        <w:widowControl w:val="0"/>
        <w:rPr>
          <w:color w:val="000000"/>
          <w:sz w:val="22"/>
          <w:szCs w:val="22"/>
          <w:lang w:val="da-DK"/>
        </w:rPr>
      </w:pPr>
    </w:p>
    <w:tbl>
      <w:tblPr>
        <w:tblW w:w="9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8"/>
        <w:gridCol w:w="1969"/>
        <w:gridCol w:w="2031"/>
        <w:gridCol w:w="2084"/>
      </w:tblGrid>
      <w:tr w:rsidR="00A573B3" w:rsidRPr="00DA2798" w14:paraId="3BFFE50C" w14:textId="77777777" w:rsidTr="00A125B0">
        <w:trPr>
          <w:cantSplit/>
          <w:jc w:val="center"/>
        </w:trPr>
        <w:tc>
          <w:tcPr>
            <w:tcW w:w="3388" w:type="dxa"/>
            <w:tcBorders>
              <w:bottom w:val="nil"/>
            </w:tcBorders>
          </w:tcPr>
          <w:p w14:paraId="26EA3CA5" w14:textId="77777777" w:rsidR="00A573B3" w:rsidRPr="004C2A59" w:rsidRDefault="00A573B3" w:rsidP="00A125B0">
            <w:pPr>
              <w:pStyle w:val="EndnoteText"/>
              <w:keepNext/>
              <w:tabs>
                <w:tab w:val="clear" w:pos="567"/>
              </w:tabs>
              <w:rPr>
                <w:color w:val="000000"/>
                <w:szCs w:val="22"/>
              </w:rPr>
            </w:pPr>
          </w:p>
        </w:tc>
        <w:tc>
          <w:tcPr>
            <w:tcW w:w="1969" w:type="dxa"/>
            <w:tcBorders>
              <w:bottom w:val="nil"/>
            </w:tcBorders>
          </w:tcPr>
          <w:p w14:paraId="03255957"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Undersøgelse 0110</w:t>
            </w:r>
          </w:p>
          <w:p w14:paraId="4AE11873"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37 måneders data</w:t>
            </w:r>
          </w:p>
          <w:p w14:paraId="3873D650"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Kronisk fase, IFN-svigt</w:t>
            </w:r>
          </w:p>
          <w:p w14:paraId="4EF18012"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(n=532)</w:t>
            </w:r>
          </w:p>
        </w:tc>
        <w:tc>
          <w:tcPr>
            <w:tcW w:w="2031" w:type="dxa"/>
            <w:tcBorders>
              <w:bottom w:val="nil"/>
            </w:tcBorders>
          </w:tcPr>
          <w:p w14:paraId="21CB178B"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Undersøgelse 0109</w:t>
            </w:r>
          </w:p>
          <w:p w14:paraId="075303A5"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40,5 måneders data</w:t>
            </w:r>
          </w:p>
          <w:p w14:paraId="16BF83BF"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Accelereret fase</w:t>
            </w:r>
          </w:p>
          <w:p w14:paraId="4C2DEFB5"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(n=235)</w:t>
            </w:r>
          </w:p>
        </w:tc>
        <w:tc>
          <w:tcPr>
            <w:tcW w:w="2084" w:type="dxa"/>
            <w:tcBorders>
              <w:bottom w:val="nil"/>
            </w:tcBorders>
          </w:tcPr>
          <w:p w14:paraId="1951CADF"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Undersøgelse 0102</w:t>
            </w:r>
          </w:p>
          <w:p w14:paraId="71E097DD"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38 måneders data</w:t>
            </w:r>
          </w:p>
          <w:p w14:paraId="502EE4BB"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Myeloid blastkrise</w:t>
            </w:r>
          </w:p>
          <w:p w14:paraId="3209C60E"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(n=260)</w:t>
            </w:r>
          </w:p>
        </w:tc>
      </w:tr>
      <w:tr w:rsidR="00A573B3" w:rsidRPr="004C2A59" w14:paraId="1EA20362" w14:textId="77777777" w:rsidTr="00A125B0">
        <w:trPr>
          <w:cantSplit/>
          <w:jc w:val="center"/>
        </w:trPr>
        <w:tc>
          <w:tcPr>
            <w:tcW w:w="3388" w:type="dxa"/>
            <w:tcBorders>
              <w:bottom w:val="nil"/>
              <w:right w:val="nil"/>
            </w:tcBorders>
          </w:tcPr>
          <w:p w14:paraId="6302CEA8" w14:textId="77777777" w:rsidR="00A573B3" w:rsidRPr="004C2A59" w:rsidRDefault="00A573B3" w:rsidP="00A125B0">
            <w:pPr>
              <w:pStyle w:val="EndnoteText"/>
              <w:keepNext/>
              <w:tabs>
                <w:tab w:val="clear" w:pos="567"/>
              </w:tabs>
              <w:rPr>
                <w:color w:val="000000"/>
                <w:szCs w:val="22"/>
              </w:rPr>
            </w:pPr>
          </w:p>
        </w:tc>
        <w:tc>
          <w:tcPr>
            <w:tcW w:w="6084" w:type="dxa"/>
            <w:gridSpan w:val="3"/>
            <w:tcBorders>
              <w:left w:val="nil"/>
              <w:bottom w:val="nil"/>
            </w:tcBorders>
          </w:tcPr>
          <w:p w14:paraId="7DBEDFF0"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 patienter (CI</w:t>
            </w:r>
            <w:r w:rsidRPr="004C2A59">
              <w:rPr>
                <w:color w:val="000000"/>
                <w:szCs w:val="22"/>
                <w:vertAlign w:val="subscript"/>
              </w:rPr>
              <w:t>95%</w:t>
            </w:r>
            <w:r w:rsidRPr="004C2A59">
              <w:rPr>
                <w:color w:val="000000"/>
                <w:szCs w:val="22"/>
              </w:rPr>
              <w:t>)</w:t>
            </w:r>
          </w:p>
        </w:tc>
      </w:tr>
      <w:tr w:rsidR="00A573B3" w:rsidRPr="004C2A59" w14:paraId="37BD4799" w14:textId="77777777" w:rsidTr="00A125B0">
        <w:trPr>
          <w:cantSplit/>
          <w:jc w:val="center"/>
        </w:trPr>
        <w:tc>
          <w:tcPr>
            <w:tcW w:w="3388" w:type="dxa"/>
            <w:tcBorders>
              <w:bottom w:val="nil"/>
              <w:right w:val="single" w:sz="4" w:space="0" w:color="auto"/>
            </w:tcBorders>
          </w:tcPr>
          <w:p w14:paraId="4868908E" w14:textId="77777777" w:rsidR="00A573B3" w:rsidRPr="004C2A59" w:rsidRDefault="00A573B3" w:rsidP="00A125B0">
            <w:pPr>
              <w:pStyle w:val="EndnoteText"/>
              <w:keepNext/>
              <w:tabs>
                <w:tab w:val="clear" w:pos="567"/>
              </w:tabs>
              <w:rPr>
                <w:color w:val="000000"/>
                <w:szCs w:val="22"/>
                <w:vertAlign w:val="superscript"/>
              </w:rPr>
            </w:pPr>
            <w:r w:rsidRPr="004C2A59">
              <w:rPr>
                <w:color w:val="000000"/>
                <w:szCs w:val="22"/>
              </w:rPr>
              <w:t>Hæmatologisk respons</w:t>
            </w:r>
            <w:r w:rsidRPr="004C2A59">
              <w:rPr>
                <w:color w:val="000000"/>
                <w:szCs w:val="22"/>
                <w:vertAlign w:val="superscript"/>
              </w:rPr>
              <w:t>1</w:t>
            </w:r>
          </w:p>
        </w:tc>
        <w:tc>
          <w:tcPr>
            <w:tcW w:w="1969" w:type="dxa"/>
            <w:tcBorders>
              <w:left w:val="single" w:sz="4" w:space="0" w:color="auto"/>
              <w:bottom w:val="nil"/>
              <w:right w:val="single" w:sz="4" w:space="0" w:color="auto"/>
            </w:tcBorders>
          </w:tcPr>
          <w:p w14:paraId="6E7E7C23"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95% (92,3</w:t>
            </w:r>
            <w:r w:rsidRPr="004C2A59">
              <w:rPr>
                <w:color w:val="000000"/>
                <w:szCs w:val="22"/>
              </w:rPr>
              <w:noBreakHyphen/>
              <w:t>96,3)</w:t>
            </w:r>
          </w:p>
        </w:tc>
        <w:tc>
          <w:tcPr>
            <w:tcW w:w="2031" w:type="dxa"/>
            <w:tcBorders>
              <w:left w:val="single" w:sz="4" w:space="0" w:color="auto"/>
              <w:bottom w:val="nil"/>
              <w:right w:val="single" w:sz="4" w:space="0" w:color="auto"/>
            </w:tcBorders>
          </w:tcPr>
          <w:p w14:paraId="056D41C8"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71% (65,3</w:t>
            </w:r>
            <w:r w:rsidRPr="004C2A59">
              <w:rPr>
                <w:color w:val="000000"/>
                <w:szCs w:val="22"/>
              </w:rPr>
              <w:noBreakHyphen/>
              <w:t>77,2)</w:t>
            </w:r>
          </w:p>
        </w:tc>
        <w:tc>
          <w:tcPr>
            <w:tcW w:w="2084" w:type="dxa"/>
            <w:tcBorders>
              <w:left w:val="single" w:sz="4" w:space="0" w:color="auto"/>
              <w:bottom w:val="nil"/>
            </w:tcBorders>
          </w:tcPr>
          <w:p w14:paraId="4B813AE5"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31% (25,2–36,8)</w:t>
            </w:r>
          </w:p>
        </w:tc>
      </w:tr>
      <w:tr w:rsidR="00A573B3" w:rsidRPr="004C2A59" w14:paraId="30AF0300" w14:textId="77777777" w:rsidTr="00A125B0">
        <w:trPr>
          <w:cantSplit/>
          <w:jc w:val="center"/>
        </w:trPr>
        <w:tc>
          <w:tcPr>
            <w:tcW w:w="3388" w:type="dxa"/>
            <w:tcBorders>
              <w:top w:val="nil"/>
              <w:bottom w:val="nil"/>
              <w:right w:val="single" w:sz="4" w:space="0" w:color="auto"/>
            </w:tcBorders>
          </w:tcPr>
          <w:p w14:paraId="73707B57" w14:textId="77777777" w:rsidR="00A573B3" w:rsidRPr="004C2A59" w:rsidRDefault="00A573B3" w:rsidP="00A125B0">
            <w:pPr>
              <w:pStyle w:val="EndnoteText"/>
              <w:keepNext/>
              <w:tabs>
                <w:tab w:val="clear" w:pos="567"/>
              </w:tabs>
              <w:ind w:left="163"/>
              <w:rPr>
                <w:color w:val="000000"/>
                <w:szCs w:val="22"/>
              </w:rPr>
            </w:pPr>
            <w:r w:rsidRPr="004C2A59">
              <w:rPr>
                <w:color w:val="000000"/>
                <w:szCs w:val="22"/>
              </w:rPr>
              <w:t>Fuldstændigt hæmatologisk respons (</w:t>
            </w:r>
            <w:smartTag w:uri="urn:schemas-microsoft-com:office:smarttags" w:element="metricconverter">
              <w:r w:rsidRPr="004C2A59">
                <w:rPr>
                  <w:color w:val="000000"/>
                  <w:szCs w:val="22"/>
                </w:rPr>
                <w:t>CHR</w:t>
              </w:r>
            </w:smartTag>
            <w:r w:rsidRPr="004C2A59">
              <w:rPr>
                <w:color w:val="000000"/>
                <w:szCs w:val="22"/>
              </w:rPr>
              <w:t>)</w:t>
            </w:r>
          </w:p>
        </w:tc>
        <w:tc>
          <w:tcPr>
            <w:tcW w:w="1969" w:type="dxa"/>
            <w:tcBorders>
              <w:top w:val="nil"/>
              <w:left w:val="single" w:sz="4" w:space="0" w:color="auto"/>
              <w:bottom w:val="nil"/>
              <w:right w:val="single" w:sz="4" w:space="0" w:color="auto"/>
            </w:tcBorders>
          </w:tcPr>
          <w:p w14:paraId="3D38B2BD"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95%</w:t>
            </w:r>
          </w:p>
        </w:tc>
        <w:tc>
          <w:tcPr>
            <w:tcW w:w="2031" w:type="dxa"/>
            <w:tcBorders>
              <w:top w:val="nil"/>
              <w:left w:val="single" w:sz="4" w:space="0" w:color="auto"/>
              <w:bottom w:val="nil"/>
              <w:right w:val="single" w:sz="4" w:space="0" w:color="auto"/>
            </w:tcBorders>
          </w:tcPr>
          <w:p w14:paraId="432DD97F"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42%</w:t>
            </w:r>
          </w:p>
        </w:tc>
        <w:tc>
          <w:tcPr>
            <w:tcW w:w="2084" w:type="dxa"/>
            <w:tcBorders>
              <w:top w:val="nil"/>
              <w:left w:val="single" w:sz="4" w:space="0" w:color="auto"/>
              <w:bottom w:val="nil"/>
            </w:tcBorders>
          </w:tcPr>
          <w:p w14:paraId="50FDB900"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8%</w:t>
            </w:r>
          </w:p>
        </w:tc>
      </w:tr>
      <w:tr w:rsidR="00A573B3" w:rsidRPr="004C2A59" w14:paraId="7C5761D4" w14:textId="77777777" w:rsidTr="00A125B0">
        <w:trPr>
          <w:cantSplit/>
          <w:jc w:val="center"/>
        </w:trPr>
        <w:tc>
          <w:tcPr>
            <w:tcW w:w="3388" w:type="dxa"/>
            <w:tcBorders>
              <w:top w:val="nil"/>
              <w:bottom w:val="nil"/>
              <w:right w:val="single" w:sz="4" w:space="0" w:color="auto"/>
            </w:tcBorders>
          </w:tcPr>
          <w:p w14:paraId="4512F436" w14:textId="77777777" w:rsidR="00A573B3" w:rsidRPr="004C2A59" w:rsidRDefault="00A573B3" w:rsidP="00A125B0">
            <w:pPr>
              <w:pStyle w:val="EndnoteText"/>
              <w:keepNext/>
              <w:tabs>
                <w:tab w:val="clear" w:pos="567"/>
              </w:tabs>
              <w:ind w:left="163"/>
              <w:rPr>
                <w:color w:val="000000"/>
                <w:szCs w:val="22"/>
              </w:rPr>
            </w:pPr>
            <w:r w:rsidRPr="004C2A59">
              <w:rPr>
                <w:color w:val="000000"/>
                <w:szCs w:val="22"/>
              </w:rPr>
              <w:t>Intet tegn på leukæmi (NEL)</w:t>
            </w:r>
          </w:p>
        </w:tc>
        <w:tc>
          <w:tcPr>
            <w:tcW w:w="1969" w:type="dxa"/>
            <w:tcBorders>
              <w:top w:val="nil"/>
              <w:left w:val="single" w:sz="4" w:space="0" w:color="auto"/>
              <w:bottom w:val="nil"/>
              <w:right w:val="single" w:sz="4" w:space="0" w:color="auto"/>
            </w:tcBorders>
          </w:tcPr>
          <w:p w14:paraId="032F93F6"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Ikke relevant</w:t>
            </w:r>
          </w:p>
        </w:tc>
        <w:tc>
          <w:tcPr>
            <w:tcW w:w="2031" w:type="dxa"/>
            <w:tcBorders>
              <w:top w:val="nil"/>
              <w:left w:val="single" w:sz="4" w:space="0" w:color="auto"/>
              <w:bottom w:val="nil"/>
              <w:right w:val="single" w:sz="4" w:space="0" w:color="auto"/>
            </w:tcBorders>
          </w:tcPr>
          <w:p w14:paraId="534BFDC3"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12%</w:t>
            </w:r>
          </w:p>
        </w:tc>
        <w:tc>
          <w:tcPr>
            <w:tcW w:w="2084" w:type="dxa"/>
            <w:tcBorders>
              <w:top w:val="nil"/>
              <w:left w:val="single" w:sz="4" w:space="0" w:color="auto"/>
              <w:bottom w:val="nil"/>
            </w:tcBorders>
          </w:tcPr>
          <w:p w14:paraId="255300EE"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5%</w:t>
            </w:r>
          </w:p>
        </w:tc>
      </w:tr>
      <w:tr w:rsidR="00A573B3" w:rsidRPr="004C2A59" w14:paraId="27B863BC" w14:textId="77777777" w:rsidTr="00A125B0">
        <w:trPr>
          <w:cantSplit/>
          <w:jc w:val="center"/>
        </w:trPr>
        <w:tc>
          <w:tcPr>
            <w:tcW w:w="3388" w:type="dxa"/>
            <w:tcBorders>
              <w:top w:val="nil"/>
              <w:bottom w:val="single" w:sz="4" w:space="0" w:color="auto"/>
              <w:right w:val="single" w:sz="4" w:space="0" w:color="auto"/>
            </w:tcBorders>
          </w:tcPr>
          <w:p w14:paraId="3F510B23" w14:textId="77777777" w:rsidR="00A573B3" w:rsidRPr="004C2A59" w:rsidRDefault="00A573B3" w:rsidP="00A125B0">
            <w:pPr>
              <w:pStyle w:val="EndnoteText"/>
              <w:keepNext/>
              <w:tabs>
                <w:tab w:val="clear" w:pos="567"/>
              </w:tabs>
              <w:ind w:left="163"/>
              <w:rPr>
                <w:color w:val="000000"/>
                <w:szCs w:val="22"/>
              </w:rPr>
            </w:pPr>
            <w:r w:rsidRPr="004C2A59">
              <w:rPr>
                <w:color w:val="000000"/>
                <w:szCs w:val="22"/>
              </w:rPr>
              <w:t>Remission til kronisk fase (</w:t>
            </w:r>
            <w:smartTag w:uri="urn:schemas-microsoft-com:office:smarttags" w:element="metricconverter">
              <w:r w:rsidRPr="004C2A59">
                <w:rPr>
                  <w:color w:val="000000"/>
                  <w:szCs w:val="22"/>
                </w:rPr>
                <w:t>RTC</w:t>
              </w:r>
            </w:smartTag>
            <w:r w:rsidRPr="004C2A59">
              <w:rPr>
                <w:color w:val="000000"/>
                <w:szCs w:val="22"/>
              </w:rPr>
              <w:t>)</w:t>
            </w:r>
          </w:p>
        </w:tc>
        <w:tc>
          <w:tcPr>
            <w:tcW w:w="1969" w:type="dxa"/>
            <w:tcBorders>
              <w:top w:val="nil"/>
              <w:left w:val="single" w:sz="4" w:space="0" w:color="auto"/>
              <w:bottom w:val="single" w:sz="4" w:space="0" w:color="auto"/>
              <w:right w:val="single" w:sz="4" w:space="0" w:color="auto"/>
            </w:tcBorders>
          </w:tcPr>
          <w:p w14:paraId="232500C7"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Ikke relevant</w:t>
            </w:r>
          </w:p>
        </w:tc>
        <w:tc>
          <w:tcPr>
            <w:tcW w:w="2031" w:type="dxa"/>
            <w:tcBorders>
              <w:top w:val="nil"/>
              <w:left w:val="single" w:sz="4" w:space="0" w:color="auto"/>
              <w:bottom w:val="single" w:sz="4" w:space="0" w:color="auto"/>
              <w:right w:val="single" w:sz="4" w:space="0" w:color="auto"/>
            </w:tcBorders>
          </w:tcPr>
          <w:p w14:paraId="5D9B9B92"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17%</w:t>
            </w:r>
          </w:p>
        </w:tc>
        <w:tc>
          <w:tcPr>
            <w:tcW w:w="2084" w:type="dxa"/>
            <w:tcBorders>
              <w:top w:val="nil"/>
              <w:left w:val="single" w:sz="4" w:space="0" w:color="auto"/>
              <w:bottom w:val="single" w:sz="4" w:space="0" w:color="auto"/>
            </w:tcBorders>
          </w:tcPr>
          <w:p w14:paraId="35AC229B"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18%</w:t>
            </w:r>
          </w:p>
        </w:tc>
      </w:tr>
      <w:tr w:rsidR="00A573B3" w:rsidRPr="004C2A59" w14:paraId="484B8230" w14:textId="77777777" w:rsidTr="00A125B0">
        <w:trPr>
          <w:cantSplit/>
          <w:jc w:val="center"/>
        </w:trPr>
        <w:tc>
          <w:tcPr>
            <w:tcW w:w="3388" w:type="dxa"/>
            <w:tcBorders>
              <w:top w:val="nil"/>
              <w:bottom w:val="nil"/>
              <w:right w:val="single" w:sz="4" w:space="0" w:color="auto"/>
            </w:tcBorders>
          </w:tcPr>
          <w:p w14:paraId="67D6EB73" w14:textId="77777777" w:rsidR="00A573B3" w:rsidRPr="004C2A59" w:rsidRDefault="00A573B3" w:rsidP="00A125B0">
            <w:pPr>
              <w:pStyle w:val="EndnoteText"/>
              <w:keepNext/>
              <w:tabs>
                <w:tab w:val="clear" w:pos="567"/>
              </w:tabs>
              <w:rPr>
                <w:color w:val="000000"/>
                <w:szCs w:val="22"/>
                <w:vertAlign w:val="superscript"/>
              </w:rPr>
            </w:pPr>
            <w:r w:rsidRPr="004C2A59">
              <w:rPr>
                <w:color w:val="000000"/>
                <w:szCs w:val="22"/>
              </w:rPr>
              <w:t>Cytogenetisk hovedrespons</w:t>
            </w:r>
            <w:r w:rsidRPr="004C2A59">
              <w:rPr>
                <w:color w:val="000000"/>
                <w:szCs w:val="22"/>
                <w:vertAlign w:val="superscript"/>
              </w:rPr>
              <w:t>2</w:t>
            </w:r>
          </w:p>
        </w:tc>
        <w:tc>
          <w:tcPr>
            <w:tcW w:w="1969" w:type="dxa"/>
            <w:tcBorders>
              <w:top w:val="nil"/>
              <w:left w:val="single" w:sz="4" w:space="0" w:color="auto"/>
              <w:bottom w:val="nil"/>
              <w:right w:val="single" w:sz="4" w:space="0" w:color="auto"/>
            </w:tcBorders>
          </w:tcPr>
          <w:p w14:paraId="3B1397E9"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65% (61,2</w:t>
            </w:r>
            <w:r w:rsidRPr="004C2A59">
              <w:rPr>
                <w:color w:val="000000"/>
                <w:szCs w:val="22"/>
              </w:rPr>
              <w:noBreakHyphen/>
              <w:t>69,5)</w:t>
            </w:r>
          </w:p>
        </w:tc>
        <w:tc>
          <w:tcPr>
            <w:tcW w:w="2031" w:type="dxa"/>
            <w:tcBorders>
              <w:top w:val="nil"/>
              <w:left w:val="single" w:sz="4" w:space="0" w:color="auto"/>
              <w:bottom w:val="nil"/>
              <w:right w:val="single" w:sz="4" w:space="0" w:color="auto"/>
            </w:tcBorders>
          </w:tcPr>
          <w:p w14:paraId="79B78628"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28% (22,0</w:t>
            </w:r>
            <w:r w:rsidRPr="004C2A59">
              <w:rPr>
                <w:color w:val="000000"/>
                <w:szCs w:val="22"/>
              </w:rPr>
              <w:noBreakHyphen/>
              <w:t>33,9)</w:t>
            </w:r>
          </w:p>
        </w:tc>
        <w:tc>
          <w:tcPr>
            <w:tcW w:w="2084" w:type="dxa"/>
            <w:tcBorders>
              <w:top w:val="nil"/>
              <w:left w:val="single" w:sz="4" w:space="0" w:color="auto"/>
              <w:bottom w:val="nil"/>
            </w:tcBorders>
          </w:tcPr>
          <w:p w14:paraId="10A2956F"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15% (11,2–20,4)</w:t>
            </w:r>
          </w:p>
        </w:tc>
      </w:tr>
      <w:tr w:rsidR="00A573B3" w:rsidRPr="004C2A59" w14:paraId="7F853691" w14:textId="77777777" w:rsidTr="00A125B0">
        <w:trPr>
          <w:cantSplit/>
          <w:jc w:val="center"/>
        </w:trPr>
        <w:tc>
          <w:tcPr>
            <w:tcW w:w="3388" w:type="dxa"/>
            <w:tcBorders>
              <w:top w:val="nil"/>
              <w:bottom w:val="nil"/>
              <w:right w:val="single" w:sz="4" w:space="0" w:color="auto"/>
            </w:tcBorders>
          </w:tcPr>
          <w:p w14:paraId="13CE547D" w14:textId="77777777" w:rsidR="00A573B3" w:rsidRPr="004C2A59" w:rsidRDefault="00A573B3" w:rsidP="00A125B0">
            <w:pPr>
              <w:pStyle w:val="EndnoteText"/>
              <w:keepNext/>
              <w:tabs>
                <w:tab w:val="clear" w:pos="567"/>
              </w:tabs>
              <w:ind w:left="163"/>
              <w:rPr>
                <w:color w:val="000000"/>
                <w:szCs w:val="22"/>
              </w:rPr>
            </w:pPr>
            <w:r w:rsidRPr="004C2A59">
              <w:rPr>
                <w:color w:val="000000"/>
                <w:szCs w:val="22"/>
              </w:rPr>
              <w:t>Fuldstændigt</w:t>
            </w:r>
          </w:p>
        </w:tc>
        <w:tc>
          <w:tcPr>
            <w:tcW w:w="1969" w:type="dxa"/>
            <w:tcBorders>
              <w:top w:val="nil"/>
              <w:left w:val="single" w:sz="4" w:space="0" w:color="auto"/>
              <w:bottom w:val="nil"/>
              <w:right w:val="single" w:sz="4" w:space="0" w:color="auto"/>
            </w:tcBorders>
          </w:tcPr>
          <w:p w14:paraId="6D8C0C36"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53%</w:t>
            </w:r>
          </w:p>
        </w:tc>
        <w:tc>
          <w:tcPr>
            <w:tcW w:w="2031" w:type="dxa"/>
            <w:tcBorders>
              <w:top w:val="nil"/>
              <w:left w:val="single" w:sz="4" w:space="0" w:color="auto"/>
              <w:bottom w:val="nil"/>
              <w:right w:val="single" w:sz="4" w:space="0" w:color="auto"/>
            </w:tcBorders>
          </w:tcPr>
          <w:p w14:paraId="30BD546D"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20%</w:t>
            </w:r>
          </w:p>
        </w:tc>
        <w:tc>
          <w:tcPr>
            <w:tcW w:w="2084" w:type="dxa"/>
            <w:tcBorders>
              <w:top w:val="nil"/>
              <w:left w:val="single" w:sz="4" w:space="0" w:color="auto"/>
              <w:bottom w:val="nil"/>
            </w:tcBorders>
          </w:tcPr>
          <w:p w14:paraId="6A5CA725"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7%</w:t>
            </w:r>
          </w:p>
        </w:tc>
      </w:tr>
      <w:tr w:rsidR="00A573B3" w:rsidRPr="004C2A59" w14:paraId="03DCC50F" w14:textId="77777777" w:rsidTr="00A125B0">
        <w:trPr>
          <w:cantSplit/>
          <w:jc w:val="center"/>
        </w:trPr>
        <w:tc>
          <w:tcPr>
            <w:tcW w:w="3388" w:type="dxa"/>
            <w:tcBorders>
              <w:top w:val="nil"/>
              <w:bottom w:val="nil"/>
              <w:right w:val="single" w:sz="4" w:space="0" w:color="auto"/>
            </w:tcBorders>
          </w:tcPr>
          <w:p w14:paraId="348B49BE" w14:textId="77777777" w:rsidR="00A573B3" w:rsidRPr="004C2A59" w:rsidRDefault="00A573B3" w:rsidP="00A125B0">
            <w:pPr>
              <w:pStyle w:val="EndnoteText"/>
              <w:keepNext/>
              <w:tabs>
                <w:tab w:val="clear" w:pos="567"/>
              </w:tabs>
              <w:ind w:left="163"/>
              <w:rPr>
                <w:color w:val="000000"/>
                <w:szCs w:val="22"/>
              </w:rPr>
            </w:pPr>
            <w:r w:rsidRPr="004C2A59">
              <w:rPr>
                <w:color w:val="000000"/>
                <w:szCs w:val="22"/>
              </w:rPr>
              <w:t>(Bekræftet</w:t>
            </w:r>
            <w:r w:rsidRPr="004C2A59">
              <w:rPr>
                <w:color w:val="000000"/>
                <w:szCs w:val="22"/>
                <w:vertAlign w:val="superscript"/>
              </w:rPr>
              <w:t>3</w:t>
            </w:r>
            <w:r w:rsidRPr="004C2A59">
              <w:rPr>
                <w:color w:val="000000"/>
                <w:szCs w:val="22"/>
              </w:rPr>
              <w:t>) [95% CI]</w:t>
            </w:r>
          </w:p>
        </w:tc>
        <w:tc>
          <w:tcPr>
            <w:tcW w:w="1969" w:type="dxa"/>
            <w:tcBorders>
              <w:top w:val="nil"/>
              <w:left w:val="single" w:sz="4" w:space="0" w:color="auto"/>
              <w:bottom w:val="nil"/>
              <w:right w:val="single" w:sz="4" w:space="0" w:color="auto"/>
            </w:tcBorders>
          </w:tcPr>
          <w:p w14:paraId="5E98DB9B"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(43%) [38,6</w:t>
            </w:r>
            <w:r w:rsidRPr="004C2A59">
              <w:rPr>
                <w:color w:val="000000"/>
                <w:szCs w:val="22"/>
              </w:rPr>
              <w:noBreakHyphen/>
              <w:t>47,2]</w:t>
            </w:r>
          </w:p>
        </w:tc>
        <w:tc>
          <w:tcPr>
            <w:tcW w:w="2031" w:type="dxa"/>
            <w:tcBorders>
              <w:top w:val="nil"/>
              <w:left w:val="single" w:sz="4" w:space="0" w:color="auto"/>
              <w:bottom w:val="nil"/>
              <w:right w:val="single" w:sz="4" w:space="0" w:color="auto"/>
            </w:tcBorders>
          </w:tcPr>
          <w:p w14:paraId="292DC47E"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(16%) [11,3</w:t>
            </w:r>
            <w:r w:rsidRPr="004C2A59">
              <w:rPr>
                <w:color w:val="000000"/>
                <w:szCs w:val="22"/>
              </w:rPr>
              <w:noBreakHyphen/>
              <w:t>21,0]</w:t>
            </w:r>
          </w:p>
        </w:tc>
        <w:tc>
          <w:tcPr>
            <w:tcW w:w="2084" w:type="dxa"/>
            <w:tcBorders>
              <w:top w:val="nil"/>
              <w:left w:val="single" w:sz="4" w:space="0" w:color="auto"/>
              <w:bottom w:val="nil"/>
            </w:tcBorders>
          </w:tcPr>
          <w:p w14:paraId="5BD7E0ED"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(2%) [0,6</w:t>
            </w:r>
            <w:r w:rsidRPr="004C2A59">
              <w:rPr>
                <w:color w:val="000000"/>
                <w:szCs w:val="22"/>
              </w:rPr>
              <w:noBreakHyphen/>
              <w:t>4,4]</w:t>
            </w:r>
          </w:p>
        </w:tc>
      </w:tr>
      <w:tr w:rsidR="00A573B3" w:rsidRPr="004C2A59" w14:paraId="7346E04D" w14:textId="77777777" w:rsidTr="00A125B0">
        <w:trPr>
          <w:cantSplit/>
          <w:jc w:val="center"/>
        </w:trPr>
        <w:tc>
          <w:tcPr>
            <w:tcW w:w="3388" w:type="dxa"/>
            <w:tcBorders>
              <w:top w:val="nil"/>
              <w:bottom w:val="nil"/>
              <w:right w:val="single" w:sz="4" w:space="0" w:color="auto"/>
            </w:tcBorders>
          </w:tcPr>
          <w:p w14:paraId="47808593" w14:textId="77777777" w:rsidR="00A573B3" w:rsidRPr="004C2A59" w:rsidRDefault="00A573B3" w:rsidP="00A125B0">
            <w:pPr>
              <w:pStyle w:val="EndnoteText"/>
              <w:keepNext/>
              <w:tabs>
                <w:tab w:val="clear" w:pos="567"/>
              </w:tabs>
              <w:ind w:left="163"/>
              <w:rPr>
                <w:color w:val="000000"/>
                <w:szCs w:val="22"/>
              </w:rPr>
            </w:pPr>
            <w:r w:rsidRPr="004C2A59">
              <w:rPr>
                <w:color w:val="000000"/>
                <w:szCs w:val="22"/>
              </w:rPr>
              <w:t>Delvist</w:t>
            </w:r>
          </w:p>
        </w:tc>
        <w:tc>
          <w:tcPr>
            <w:tcW w:w="1969" w:type="dxa"/>
            <w:tcBorders>
              <w:top w:val="nil"/>
              <w:left w:val="single" w:sz="4" w:space="0" w:color="auto"/>
              <w:bottom w:val="nil"/>
              <w:right w:val="single" w:sz="4" w:space="0" w:color="auto"/>
            </w:tcBorders>
          </w:tcPr>
          <w:p w14:paraId="289129ED"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12%</w:t>
            </w:r>
          </w:p>
        </w:tc>
        <w:tc>
          <w:tcPr>
            <w:tcW w:w="2031" w:type="dxa"/>
            <w:tcBorders>
              <w:top w:val="nil"/>
              <w:left w:val="single" w:sz="4" w:space="0" w:color="auto"/>
              <w:bottom w:val="nil"/>
              <w:right w:val="single" w:sz="4" w:space="0" w:color="auto"/>
            </w:tcBorders>
          </w:tcPr>
          <w:p w14:paraId="6402348C"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7%</w:t>
            </w:r>
          </w:p>
        </w:tc>
        <w:tc>
          <w:tcPr>
            <w:tcW w:w="2084" w:type="dxa"/>
            <w:tcBorders>
              <w:top w:val="nil"/>
              <w:left w:val="single" w:sz="4" w:space="0" w:color="auto"/>
              <w:bottom w:val="nil"/>
            </w:tcBorders>
          </w:tcPr>
          <w:p w14:paraId="43A6DBB1" w14:textId="77777777" w:rsidR="00A573B3" w:rsidRPr="004C2A59" w:rsidRDefault="00A573B3" w:rsidP="00A125B0">
            <w:pPr>
              <w:pStyle w:val="EndnoteText"/>
              <w:keepNext/>
              <w:tabs>
                <w:tab w:val="clear" w:pos="567"/>
              </w:tabs>
              <w:jc w:val="center"/>
              <w:rPr>
                <w:color w:val="000000"/>
                <w:szCs w:val="22"/>
              </w:rPr>
            </w:pPr>
            <w:r w:rsidRPr="004C2A59">
              <w:rPr>
                <w:color w:val="000000"/>
                <w:szCs w:val="22"/>
              </w:rPr>
              <w:t>8%</w:t>
            </w:r>
          </w:p>
        </w:tc>
      </w:tr>
      <w:tr w:rsidR="00A573B3" w:rsidRPr="00F852D1" w14:paraId="6BF19CC2" w14:textId="77777777" w:rsidTr="00A125B0">
        <w:trPr>
          <w:cantSplit/>
          <w:jc w:val="center"/>
        </w:trPr>
        <w:tc>
          <w:tcPr>
            <w:tcW w:w="9472" w:type="dxa"/>
            <w:gridSpan w:val="4"/>
            <w:tcBorders>
              <w:top w:val="single" w:sz="4" w:space="0" w:color="auto"/>
            </w:tcBorders>
          </w:tcPr>
          <w:p w14:paraId="0117E35C" w14:textId="77777777" w:rsidR="00A573B3" w:rsidRPr="004C2A59" w:rsidRDefault="00A573B3" w:rsidP="00421681">
            <w:pPr>
              <w:pStyle w:val="Table"/>
              <w:keepNext w:val="0"/>
              <w:keepLines w:val="0"/>
              <w:widowControl w:val="0"/>
              <w:tabs>
                <w:tab w:val="clear" w:pos="284"/>
              </w:tabs>
              <w:spacing w:before="0" w:after="0"/>
              <w:rPr>
                <w:rFonts w:ascii="Times New Roman" w:hAnsi="Times New Roman"/>
                <w:b/>
                <w:color w:val="000000"/>
                <w:sz w:val="22"/>
                <w:szCs w:val="22"/>
                <w:lang w:val="da-DK"/>
              </w:rPr>
            </w:pPr>
            <w:r w:rsidRPr="004C2A59">
              <w:rPr>
                <w:rFonts w:ascii="Times New Roman" w:hAnsi="Times New Roman"/>
                <w:color w:val="000000"/>
                <w:sz w:val="22"/>
                <w:szCs w:val="22"/>
                <w:vertAlign w:val="superscript"/>
                <w:lang w:val="da-DK"/>
              </w:rPr>
              <w:t>1</w:t>
            </w:r>
            <w:r w:rsidRPr="004C2A59">
              <w:rPr>
                <w:rFonts w:ascii="Times New Roman" w:hAnsi="Times New Roman"/>
                <w:b/>
                <w:color w:val="000000"/>
                <w:sz w:val="22"/>
                <w:szCs w:val="22"/>
                <w:lang w:val="da-DK"/>
              </w:rPr>
              <w:t>Hæmatologiske responskriterier (hvert respons skal bekræftes ≥4 uger):</w:t>
            </w:r>
          </w:p>
          <w:p w14:paraId="0C79FDCB" w14:textId="77777777" w:rsidR="00A573B3" w:rsidRPr="004C2A59" w:rsidRDefault="00A573B3" w:rsidP="00421681">
            <w:pPr>
              <w:pStyle w:val="Table"/>
              <w:keepNext w:val="0"/>
              <w:keepLines w:val="0"/>
              <w:widowControl w:val="0"/>
              <w:tabs>
                <w:tab w:val="clear" w:pos="284"/>
              </w:tabs>
              <w:spacing w:before="0" w:after="0"/>
              <w:ind w:left="567" w:hanging="567"/>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CHR</w:t>
              </w:r>
            </w:smartTag>
            <w:r w:rsidRPr="004C2A59">
              <w:rPr>
                <w:rFonts w:ascii="Times New Roman" w:hAnsi="Times New Roman"/>
                <w:color w:val="000000"/>
                <w:sz w:val="22"/>
                <w:szCs w:val="22"/>
                <w:lang w:val="da-DK"/>
              </w:rPr>
              <w:t>:</w:t>
            </w:r>
            <w:r w:rsidRPr="004C2A59">
              <w:rPr>
                <w:rFonts w:ascii="Times New Roman" w:hAnsi="Times New Roman"/>
                <w:color w:val="000000"/>
                <w:sz w:val="22"/>
                <w:szCs w:val="22"/>
                <w:lang w:val="da-DK"/>
              </w:rPr>
              <w:tab/>
              <w:t>Undersøgelse 0110 [leukocytter &lt;10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trombocytter &lt;450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 xml:space="preserve">/l, myelocyt + metamyelocyt &lt;5% i blodet, ingen blaster eller promyelocytter i blodet, basophiler &lt;20%, ingen ekstramedullær involvering] og i undersøgelse 0102 and 0109 [ANC </w:t>
            </w:r>
            <w:r w:rsidRPr="004C2A59">
              <w:rPr>
                <w:rFonts w:ascii="Times New Roman" w:hAnsi="Times New Roman"/>
                <w:color w:val="000000"/>
                <w:sz w:val="22"/>
                <w:szCs w:val="22"/>
                <w:lang w:val="da-DK"/>
              </w:rPr>
              <w:sym w:font="Symbol" w:char="F0B3"/>
            </w:r>
            <w:r w:rsidRPr="004C2A59">
              <w:rPr>
                <w:rFonts w:ascii="Times New Roman" w:hAnsi="Times New Roman"/>
                <w:color w:val="000000"/>
                <w:sz w:val="22"/>
                <w:szCs w:val="22"/>
                <w:lang w:val="da-DK"/>
              </w:rPr>
              <w:t>1,5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 xml:space="preserve">/l, trombocytter </w:t>
            </w:r>
            <w:r w:rsidRPr="004C2A59">
              <w:rPr>
                <w:rFonts w:ascii="Times New Roman" w:hAnsi="Times New Roman"/>
                <w:color w:val="000000"/>
                <w:sz w:val="22"/>
                <w:szCs w:val="22"/>
                <w:lang w:val="da-DK"/>
              </w:rPr>
              <w:sym w:font="Symbol" w:char="F0B3"/>
            </w:r>
            <w:r w:rsidRPr="004C2A59">
              <w:rPr>
                <w:rFonts w:ascii="Times New Roman" w:hAnsi="Times New Roman"/>
                <w:color w:val="000000"/>
                <w:sz w:val="22"/>
                <w:szCs w:val="22"/>
                <w:lang w:val="da-DK"/>
              </w:rPr>
              <w:t>100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ingen blaster i blodet, BM-blaster &lt;5% og ingen ekstramedullær sygdom].</w:t>
            </w:r>
          </w:p>
          <w:p w14:paraId="3F09FF28" w14:textId="77777777" w:rsidR="00A573B3" w:rsidRPr="004C2A59" w:rsidRDefault="00A573B3" w:rsidP="00421681">
            <w:pPr>
              <w:pStyle w:val="Table"/>
              <w:keepNext w:val="0"/>
              <w:keepLines w:val="0"/>
              <w:widowControl w:val="0"/>
              <w:tabs>
                <w:tab w:val="clear" w:pos="284"/>
              </w:tabs>
              <w:spacing w:before="0" w:after="0"/>
              <w:ind w:left="567" w:hanging="567"/>
              <w:rPr>
                <w:rFonts w:ascii="Times New Roman" w:hAnsi="Times New Roman"/>
                <w:color w:val="000000"/>
                <w:sz w:val="22"/>
                <w:szCs w:val="22"/>
                <w:lang w:val="da-DK"/>
              </w:rPr>
            </w:pPr>
            <w:r w:rsidRPr="004C2A59">
              <w:rPr>
                <w:rFonts w:ascii="Times New Roman" w:hAnsi="Times New Roman"/>
                <w:color w:val="000000"/>
                <w:sz w:val="22"/>
                <w:szCs w:val="22"/>
                <w:lang w:val="da-DK"/>
              </w:rPr>
              <w:t xml:space="preserve">NEL: Samme kriterier som for </w:t>
            </w:r>
            <w:smartTag w:uri="urn:schemas-microsoft-com:office:smarttags" w:element="metricconverter">
              <w:r w:rsidRPr="004C2A59">
                <w:rPr>
                  <w:rFonts w:ascii="Times New Roman" w:hAnsi="Times New Roman"/>
                  <w:color w:val="000000"/>
                  <w:sz w:val="22"/>
                  <w:szCs w:val="22"/>
                  <w:lang w:val="da-DK"/>
                </w:rPr>
                <w:t>CHR</w:t>
              </w:r>
            </w:smartTag>
            <w:r w:rsidRPr="004C2A59">
              <w:rPr>
                <w:rFonts w:ascii="Times New Roman" w:hAnsi="Times New Roman"/>
                <w:color w:val="000000"/>
                <w:sz w:val="22"/>
                <w:szCs w:val="22"/>
                <w:lang w:val="da-DK"/>
              </w:rPr>
              <w:t xml:space="preserve">, men ANC </w:t>
            </w:r>
            <w:r w:rsidRPr="004C2A59">
              <w:rPr>
                <w:rFonts w:ascii="Times New Roman" w:hAnsi="Times New Roman"/>
                <w:color w:val="000000"/>
                <w:sz w:val="22"/>
                <w:szCs w:val="22"/>
                <w:lang w:val="da-DK"/>
              </w:rPr>
              <w:sym w:font="Symbol" w:char="F0B3"/>
            </w:r>
            <w:r w:rsidRPr="004C2A59">
              <w:rPr>
                <w:rFonts w:ascii="Times New Roman" w:hAnsi="Times New Roman"/>
                <w:color w:val="000000"/>
                <w:sz w:val="22"/>
                <w:szCs w:val="22"/>
                <w:lang w:val="da-DK"/>
              </w:rPr>
              <w:t>1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 xml:space="preserve">/l og trombocytter </w:t>
            </w:r>
            <w:r w:rsidRPr="004C2A59">
              <w:rPr>
                <w:rFonts w:ascii="Times New Roman" w:hAnsi="Times New Roman"/>
                <w:color w:val="000000"/>
                <w:sz w:val="22"/>
                <w:szCs w:val="22"/>
                <w:lang w:val="da-DK"/>
              </w:rPr>
              <w:sym w:font="Symbol" w:char="F0B3"/>
            </w:r>
            <w:r w:rsidRPr="004C2A59">
              <w:rPr>
                <w:rFonts w:ascii="Times New Roman" w:hAnsi="Times New Roman"/>
                <w:color w:val="000000"/>
                <w:sz w:val="22"/>
                <w:szCs w:val="22"/>
                <w:lang w:val="da-DK"/>
              </w:rPr>
              <w:t>20 x 10</w:t>
            </w:r>
            <w:r w:rsidRPr="004C2A59">
              <w:rPr>
                <w:rFonts w:ascii="Times New Roman" w:hAnsi="Times New Roman"/>
                <w:color w:val="000000"/>
                <w:sz w:val="22"/>
                <w:szCs w:val="22"/>
                <w:vertAlign w:val="superscript"/>
                <w:lang w:val="da-DK"/>
              </w:rPr>
              <w:t>9</w:t>
            </w:r>
            <w:r w:rsidRPr="004C2A59">
              <w:rPr>
                <w:rFonts w:ascii="Times New Roman" w:hAnsi="Times New Roman"/>
                <w:color w:val="000000"/>
                <w:sz w:val="22"/>
                <w:szCs w:val="22"/>
                <w:lang w:val="da-DK"/>
              </w:rPr>
              <w:t>/l (kun 0102 og 0109).</w:t>
            </w:r>
          </w:p>
          <w:p w14:paraId="7D8E7F86" w14:textId="77777777" w:rsidR="00A573B3" w:rsidRPr="004C2A59" w:rsidRDefault="00A573B3" w:rsidP="00421681">
            <w:pPr>
              <w:pStyle w:val="Table"/>
              <w:keepNext w:val="0"/>
              <w:keepLines w:val="0"/>
              <w:widowControl w:val="0"/>
              <w:tabs>
                <w:tab w:val="clear" w:pos="284"/>
              </w:tabs>
              <w:spacing w:before="0" w:after="0"/>
              <w:ind w:left="567" w:hanging="567"/>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RTC</w:t>
              </w:r>
            </w:smartTag>
            <w:r w:rsidRPr="004C2A59">
              <w:rPr>
                <w:rFonts w:ascii="Times New Roman" w:hAnsi="Times New Roman"/>
                <w:color w:val="000000"/>
                <w:sz w:val="22"/>
                <w:szCs w:val="22"/>
                <w:lang w:val="da-DK"/>
              </w:rPr>
              <w:t>:</w:t>
            </w:r>
            <w:r w:rsidRPr="004C2A59">
              <w:rPr>
                <w:rFonts w:ascii="Times New Roman" w:hAnsi="Times New Roman"/>
                <w:color w:val="000000"/>
                <w:sz w:val="22"/>
                <w:szCs w:val="22"/>
                <w:lang w:val="da-DK"/>
              </w:rPr>
              <w:tab/>
              <w:t>&lt;15% blaster I BM og PB, &lt;30% blaster + promyelocytter in BM og PB, &lt;20% basofilocytter i PB, ingen ekstramedullær sygdom andet end milt og lever (kun 0102 og 0109).</w:t>
            </w:r>
          </w:p>
          <w:p w14:paraId="5EBF460B" w14:textId="77777777" w:rsidR="00A573B3" w:rsidRPr="004C2A59" w:rsidRDefault="00A573B3" w:rsidP="00421681">
            <w:pPr>
              <w:pStyle w:val="Table"/>
              <w:keepNext w:val="0"/>
              <w:keepLines w:val="0"/>
              <w:widowControl w:val="0"/>
              <w:tabs>
                <w:tab w:val="clear" w:pos="284"/>
              </w:tabs>
              <w:spacing w:before="0" w:after="0"/>
              <w:ind w:left="567" w:hanging="567"/>
              <w:rPr>
                <w:rFonts w:ascii="Times New Roman" w:hAnsi="Times New Roman"/>
                <w:color w:val="000000"/>
                <w:sz w:val="22"/>
                <w:szCs w:val="22"/>
                <w:lang w:val="da-DK"/>
              </w:rPr>
            </w:pPr>
            <w:r w:rsidRPr="004C2A59">
              <w:rPr>
                <w:rFonts w:ascii="Times New Roman" w:hAnsi="Times New Roman"/>
                <w:color w:val="000000"/>
                <w:sz w:val="22"/>
                <w:szCs w:val="22"/>
                <w:lang w:val="da-DK"/>
              </w:rPr>
              <w:t>BM = Knoglemarv; PB = Perifert blod.</w:t>
            </w:r>
          </w:p>
          <w:p w14:paraId="6AEEF254" w14:textId="77777777" w:rsidR="00A573B3" w:rsidRPr="004C2A59" w:rsidRDefault="00A573B3" w:rsidP="00421681">
            <w:pPr>
              <w:pStyle w:val="Table"/>
              <w:keepNext w:val="0"/>
              <w:keepLines w:val="0"/>
              <w:widowControl w:val="0"/>
              <w:tabs>
                <w:tab w:val="clear" w:pos="284"/>
              </w:tabs>
              <w:spacing w:before="0" w:after="0"/>
              <w:rPr>
                <w:rFonts w:ascii="Times New Roman" w:hAnsi="Times New Roman"/>
                <w:color w:val="000000"/>
                <w:sz w:val="22"/>
                <w:szCs w:val="22"/>
                <w:lang w:val="da-DK"/>
              </w:rPr>
            </w:pPr>
            <w:r w:rsidRPr="004C2A59">
              <w:rPr>
                <w:rFonts w:ascii="Times New Roman" w:hAnsi="Times New Roman"/>
                <w:color w:val="000000"/>
                <w:sz w:val="22"/>
                <w:szCs w:val="22"/>
                <w:vertAlign w:val="superscript"/>
                <w:lang w:val="da-DK"/>
              </w:rPr>
              <w:t>2</w:t>
            </w:r>
            <w:r w:rsidRPr="004C2A59">
              <w:rPr>
                <w:rFonts w:ascii="Times New Roman" w:hAnsi="Times New Roman"/>
                <w:b/>
                <w:color w:val="000000"/>
                <w:sz w:val="22"/>
                <w:szCs w:val="22"/>
                <w:lang w:val="da-DK"/>
              </w:rPr>
              <w:t>Cytogenetiske responskriterier:</w:t>
            </w:r>
          </w:p>
          <w:p w14:paraId="6BD374A7" w14:textId="77777777" w:rsidR="00A573B3" w:rsidRPr="004C2A59" w:rsidRDefault="00A573B3" w:rsidP="00421681">
            <w:pPr>
              <w:pStyle w:val="EndnoteText"/>
              <w:tabs>
                <w:tab w:val="clear" w:pos="567"/>
              </w:tabs>
              <w:rPr>
                <w:color w:val="000000"/>
                <w:szCs w:val="22"/>
              </w:rPr>
            </w:pPr>
            <w:r w:rsidRPr="004C2A59">
              <w:rPr>
                <w:color w:val="000000"/>
                <w:szCs w:val="22"/>
              </w:rPr>
              <w:t>Et hovedrespons kombinerer både fuldstændig og partiel respons: Fuldstændig (0% Ph</w:t>
            </w:r>
            <w:r w:rsidRPr="004C2A59">
              <w:rPr>
                <w:color w:val="000000"/>
                <w:szCs w:val="22"/>
                <w:vertAlign w:val="superscript"/>
              </w:rPr>
              <w:t>+</w:t>
            </w:r>
            <w:r w:rsidRPr="004C2A59">
              <w:rPr>
                <w:color w:val="000000"/>
                <w:szCs w:val="22"/>
              </w:rPr>
              <w:t xml:space="preserve"> metafaser), delvis (1–35%).</w:t>
            </w:r>
          </w:p>
          <w:p w14:paraId="2A2F197D" w14:textId="77777777" w:rsidR="00A573B3" w:rsidRPr="004C2A59" w:rsidRDefault="00A573B3" w:rsidP="00421681">
            <w:pPr>
              <w:pStyle w:val="EndnoteText"/>
              <w:tabs>
                <w:tab w:val="clear" w:pos="567"/>
              </w:tabs>
              <w:rPr>
                <w:color w:val="000000"/>
                <w:szCs w:val="22"/>
              </w:rPr>
            </w:pPr>
            <w:r w:rsidRPr="004C2A59">
              <w:rPr>
                <w:color w:val="000000"/>
                <w:szCs w:val="22"/>
                <w:vertAlign w:val="superscript"/>
              </w:rPr>
              <w:t>3</w:t>
            </w:r>
            <w:r w:rsidRPr="004C2A59">
              <w:rPr>
                <w:color w:val="000000"/>
                <w:szCs w:val="22"/>
              </w:rPr>
              <w:t>Fuldstændigt cytogenetisk respons bekræftet ved endnu en cytogenetisk knoglemarvsundersøgelse udført mindst 1 måned efter den initiale knoglemarvsundersøgelse.</w:t>
            </w:r>
          </w:p>
        </w:tc>
      </w:tr>
    </w:tbl>
    <w:p w14:paraId="2F17C234" w14:textId="77777777" w:rsidR="00A573B3" w:rsidRPr="004C2A59" w:rsidRDefault="00A573B3" w:rsidP="00421681">
      <w:pPr>
        <w:widowControl w:val="0"/>
        <w:rPr>
          <w:color w:val="000000"/>
          <w:sz w:val="22"/>
          <w:szCs w:val="22"/>
          <w:lang w:val="da-DK"/>
        </w:rPr>
      </w:pPr>
    </w:p>
    <w:p w14:paraId="3D8204F4" w14:textId="77777777" w:rsidR="00A573B3" w:rsidRPr="004C2A59" w:rsidRDefault="00A573B3" w:rsidP="00421681">
      <w:pPr>
        <w:pStyle w:val="EndnoteText"/>
        <w:rPr>
          <w:color w:val="000000"/>
          <w:szCs w:val="22"/>
        </w:rPr>
      </w:pPr>
      <w:r w:rsidRPr="004C2A59">
        <w:rPr>
          <w:i/>
          <w:color w:val="000000"/>
          <w:szCs w:val="22"/>
        </w:rPr>
        <w:t>Pædiatriske patienter</w:t>
      </w:r>
      <w:r w:rsidRPr="004C2A59">
        <w:rPr>
          <w:color w:val="000000"/>
          <w:szCs w:val="22"/>
        </w:rPr>
        <w:t>: Ialt 26 pædiatriske patienter i alderen &lt;18 år med enten CML i kronisk fase (n=11) eller CML i blastkrise eller Ph+ akut leukæmi (n=15) blev inkluderet i en fase I undersøgelse med dosis-eskalering. Det var en population af patienter, der i udtalt grad tidligere havde modtaget anden behandling, eftersom 46% tidligere havde modtaget BMT og 73% tidligere havde modtaget multi-stof kemoterapi. Patienterne blev behandlet med Glivec-doser på 260 mg/m</w:t>
      </w:r>
      <w:r w:rsidRPr="004C2A59">
        <w:rPr>
          <w:color w:val="000000"/>
          <w:szCs w:val="22"/>
          <w:vertAlign w:val="superscript"/>
        </w:rPr>
        <w:t>2</w:t>
      </w:r>
      <w:r w:rsidRPr="004C2A59">
        <w:rPr>
          <w:color w:val="000000"/>
          <w:szCs w:val="22"/>
        </w:rPr>
        <w:t>/dag (n=5), 340 mg/m</w:t>
      </w:r>
      <w:r w:rsidRPr="004C2A59">
        <w:rPr>
          <w:color w:val="000000"/>
          <w:szCs w:val="22"/>
          <w:vertAlign w:val="superscript"/>
        </w:rPr>
        <w:t>2</w:t>
      </w:r>
      <w:r w:rsidRPr="004C2A59">
        <w:rPr>
          <w:color w:val="000000"/>
          <w:szCs w:val="22"/>
        </w:rPr>
        <w:t>/dag (n=9), 440 mg/m</w:t>
      </w:r>
      <w:r w:rsidRPr="004C2A59">
        <w:rPr>
          <w:color w:val="000000"/>
          <w:szCs w:val="22"/>
          <w:vertAlign w:val="superscript"/>
        </w:rPr>
        <w:t>2</w:t>
      </w:r>
      <w:r w:rsidRPr="004C2A59">
        <w:rPr>
          <w:color w:val="000000"/>
          <w:szCs w:val="22"/>
        </w:rPr>
        <w:t>/dag (n=7) og 570 mg/m</w:t>
      </w:r>
      <w:r w:rsidRPr="004C2A59">
        <w:rPr>
          <w:color w:val="000000"/>
          <w:szCs w:val="22"/>
          <w:vertAlign w:val="superscript"/>
        </w:rPr>
        <w:t>2</w:t>
      </w:r>
      <w:r w:rsidRPr="004C2A59">
        <w:rPr>
          <w:color w:val="000000"/>
          <w:szCs w:val="22"/>
        </w:rPr>
        <w:t>/dag (n=5). Af 9 patienter med kronisk fase CML og tilgængelige cytogenetiske data opnåede henholdsvis 4 (44%) og 3 (33%) fuldstændigt og delvist cytogenetisk respons, med en McyR-rate på 77%.</w:t>
      </w:r>
    </w:p>
    <w:p w14:paraId="4004EA18" w14:textId="77777777" w:rsidR="00A573B3" w:rsidRPr="004C2A59" w:rsidRDefault="00A573B3" w:rsidP="00421681">
      <w:pPr>
        <w:pStyle w:val="EndnoteText"/>
        <w:tabs>
          <w:tab w:val="clear" w:pos="567"/>
        </w:tabs>
        <w:rPr>
          <w:color w:val="000000"/>
          <w:szCs w:val="22"/>
        </w:rPr>
      </w:pPr>
    </w:p>
    <w:p w14:paraId="17957250" w14:textId="77777777" w:rsidR="00A573B3" w:rsidRPr="004C2A59" w:rsidRDefault="00A573B3" w:rsidP="00421681">
      <w:pPr>
        <w:pStyle w:val="EndnoteText"/>
        <w:tabs>
          <w:tab w:val="clear" w:pos="567"/>
        </w:tabs>
        <w:rPr>
          <w:color w:val="000000"/>
          <w:szCs w:val="22"/>
        </w:rPr>
      </w:pPr>
      <w:r w:rsidRPr="004C2A59">
        <w:rPr>
          <w:color w:val="000000"/>
          <w:szCs w:val="22"/>
        </w:rPr>
        <w:t>I alt 51 børn med nydiagnosticeret og ubehandlet CML i kronisk fase blev inkluderet i en åben, multicenter, enkeltarm fase II undersøgelse. Hvis der ikke var dosisbegrænsende toksicitet, blev patienterne behandlet med 340 mg/m</w:t>
      </w:r>
      <w:r w:rsidRPr="004C2A59">
        <w:rPr>
          <w:color w:val="000000"/>
          <w:szCs w:val="22"/>
          <w:vertAlign w:val="superscript"/>
        </w:rPr>
        <w:t>2</w:t>
      </w:r>
      <w:r w:rsidRPr="004C2A59">
        <w:rPr>
          <w:color w:val="000000"/>
          <w:szCs w:val="22"/>
        </w:rPr>
        <w:t xml:space="preserve">/dag uden afbrydelse. Glivec-behandling inducerer et hurtigt respons hos nydiagnosticerede pædiatriske CML-patienter med en </w:t>
      </w:r>
      <w:smartTag w:uri="urn:schemas-microsoft-com:office:smarttags" w:element="metricconverter">
        <w:r w:rsidRPr="004C2A59">
          <w:rPr>
            <w:color w:val="000000"/>
            <w:szCs w:val="22"/>
          </w:rPr>
          <w:t>CHR</w:t>
        </w:r>
      </w:smartTag>
      <w:r w:rsidRPr="004C2A59">
        <w:rPr>
          <w:color w:val="000000"/>
          <w:szCs w:val="22"/>
        </w:rPr>
        <w:t xml:space="preserve"> hos 78% efter 8 ugers behandling. Den høje rate af </w:t>
      </w:r>
      <w:smartTag w:uri="urn:schemas-microsoft-com:office:smarttags" w:element="metricconverter">
        <w:r w:rsidRPr="004C2A59">
          <w:rPr>
            <w:color w:val="000000"/>
            <w:szCs w:val="22"/>
          </w:rPr>
          <w:t>CHR</w:t>
        </w:r>
      </w:smartTag>
      <w:r w:rsidRPr="004C2A59">
        <w:rPr>
          <w:color w:val="000000"/>
          <w:szCs w:val="22"/>
        </w:rPr>
        <w:t xml:space="preserve"> er ledsaget af udvikling af komplet cytogenetisk respons (CCyR) hos 65%, hvilket er sammenligneligt med resultater observeret hos voksne. Derudover sås partielt cytogetisk respons (PCyR) hos 16%, dermed MCyR hos 81%. Hovedparten af patienterne, som opnåede CCyR, udviklede dette mellem 3. og 10. måned med en mediantid til respons på 5,6 måneder baseret på et Kaplan-Meier estimat.</w:t>
      </w:r>
    </w:p>
    <w:p w14:paraId="5B4F2780" w14:textId="77777777" w:rsidR="00A573B3" w:rsidRPr="004C2A59" w:rsidRDefault="00A573B3" w:rsidP="00421681">
      <w:pPr>
        <w:pStyle w:val="EndnoteText"/>
        <w:tabs>
          <w:tab w:val="clear" w:pos="567"/>
        </w:tabs>
        <w:rPr>
          <w:color w:val="000000"/>
          <w:szCs w:val="22"/>
        </w:rPr>
      </w:pPr>
    </w:p>
    <w:p w14:paraId="06AB3B6F" w14:textId="77777777" w:rsidR="00A573B3" w:rsidRPr="004C2A59" w:rsidRDefault="00A573B3" w:rsidP="00421681">
      <w:pPr>
        <w:pStyle w:val="EndnoteText"/>
        <w:tabs>
          <w:tab w:val="clear" w:pos="567"/>
        </w:tabs>
        <w:rPr>
          <w:color w:val="000000"/>
          <w:szCs w:val="22"/>
        </w:rPr>
      </w:pPr>
      <w:r w:rsidRPr="004C2A59">
        <w:rPr>
          <w:color w:val="000000"/>
          <w:szCs w:val="22"/>
        </w:rPr>
        <w:t>Det Europæiske Lægemiddelagentur har dispenseret fra kravet om at fremlægge resultaterne af studier med Glivec i alle undergrupper af den pædiatriske population med Philadelphia-kromosom (bcr-abl translokation)-positiv kronisk myeloid leukæmi (se pkt. 4.2 for oplysninger om pædiatrisk anvendelse).</w:t>
      </w:r>
    </w:p>
    <w:p w14:paraId="7213D44F" w14:textId="77777777" w:rsidR="00A573B3" w:rsidRPr="004C2A59" w:rsidRDefault="00A573B3" w:rsidP="00421681">
      <w:pPr>
        <w:pStyle w:val="EndnoteText"/>
        <w:tabs>
          <w:tab w:val="clear" w:pos="567"/>
        </w:tabs>
        <w:rPr>
          <w:color w:val="000000"/>
          <w:szCs w:val="22"/>
          <w:u w:val="single"/>
        </w:rPr>
      </w:pPr>
    </w:p>
    <w:p w14:paraId="7DC4C35F" w14:textId="77777777" w:rsidR="00A573B3" w:rsidRPr="004C2A59" w:rsidRDefault="00A573B3" w:rsidP="00A125B0">
      <w:pPr>
        <w:pStyle w:val="EndnoteText"/>
        <w:keepNext/>
        <w:rPr>
          <w:color w:val="000000"/>
          <w:szCs w:val="22"/>
          <w:u w:val="single"/>
        </w:rPr>
      </w:pPr>
      <w:r w:rsidRPr="004C2A59">
        <w:rPr>
          <w:color w:val="000000"/>
          <w:szCs w:val="22"/>
          <w:u w:val="single"/>
        </w:rPr>
        <w:lastRenderedPageBreak/>
        <w:t xml:space="preserve">Kliniske studier ved Ph+ </w:t>
      </w:r>
      <w:smartTag w:uri="urn:schemas-microsoft-com:office:smarttags" w:element="metricconverter">
        <w:r w:rsidRPr="004C2A59">
          <w:rPr>
            <w:color w:val="000000"/>
            <w:szCs w:val="22"/>
            <w:u w:val="single"/>
          </w:rPr>
          <w:t>ALL</w:t>
        </w:r>
      </w:smartTag>
    </w:p>
    <w:p w14:paraId="00880A47" w14:textId="77777777" w:rsidR="00A573B3" w:rsidRPr="004C2A59" w:rsidRDefault="00A573B3" w:rsidP="00421681">
      <w:pPr>
        <w:pStyle w:val="EndnoteText"/>
        <w:rPr>
          <w:color w:val="000000"/>
          <w:szCs w:val="22"/>
        </w:rPr>
      </w:pPr>
      <w:r w:rsidRPr="004C2A59">
        <w:rPr>
          <w:color w:val="000000"/>
          <w:szCs w:val="22"/>
        </w:rPr>
        <w:t> </w:t>
      </w:r>
      <w:r w:rsidRPr="004C2A59">
        <w:rPr>
          <w:i/>
          <w:color w:val="000000"/>
          <w:szCs w:val="22"/>
        </w:rPr>
        <w:t xml:space="preserve">Nydiagnostiseret Ph+ </w:t>
      </w:r>
      <w:smartTag w:uri="urn:schemas-microsoft-com:office:smarttags" w:element="metricconverter">
        <w:r w:rsidRPr="004C2A59">
          <w:rPr>
            <w:i/>
            <w:color w:val="000000"/>
            <w:szCs w:val="22"/>
          </w:rPr>
          <w:t>ALL</w:t>
        </w:r>
      </w:smartTag>
      <w:r w:rsidRPr="004C2A59">
        <w:rPr>
          <w:color w:val="000000"/>
          <w:szCs w:val="22"/>
        </w:rPr>
        <w:t xml:space="preserve">: I et kontrolleret studie (ADE10) hvor imatinib blev sammenlignet med kemoterapi-induktion hos 55 nydiagnostiserede patienter i alderen 55 år og derover, gav imatinib brugt som monoterapi anledning til en signifikant højere ratio af hæmalogisk respons end kemopterapi (96,3% </w:t>
      </w:r>
      <w:r w:rsidRPr="004C2A59">
        <w:rPr>
          <w:i/>
          <w:color w:val="000000"/>
          <w:szCs w:val="22"/>
        </w:rPr>
        <w:t>vs.</w:t>
      </w:r>
      <w:r w:rsidRPr="004C2A59">
        <w:rPr>
          <w:color w:val="000000"/>
          <w:szCs w:val="22"/>
        </w:rPr>
        <w:t xml:space="preserve"> 50%, p=0,0001). Da imatinib blev givet som ”salvage therapy” til patienter, som ikke responderede eller som responderede dårligt på kemoterapi, opnåedes komplet hæmatologisk respons hos 9 (81,8%) ud af 11 patienter. Denne kliniske effekt var efter 2 ugers behandling forbundet med en højere reduktion i bcr-abl transkriptionen hos de imatinibbehandlede patienter end i kemoterapiarmen (p=0,02). Alle patienter blev efter induktion behandlet med imatinib og standard kemoterapi (se Tabel </w:t>
      </w:r>
      <w:r w:rsidR="00FD10C4" w:rsidRPr="004C2A59">
        <w:rPr>
          <w:color w:val="000000"/>
          <w:szCs w:val="22"/>
        </w:rPr>
        <w:t>4</w:t>
      </w:r>
      <w:r w:rsidRPr="004C2A59">
        <w:rPr>
          <w:color w:val="000000"/>
          <w:szCs w:val="22"/>
        </w:rPr>
        <w:t>), og bcr-abl transkriptionerne var identiske i de to arme efter 8 ugers behandling. Som det var forventet på basis af studiedesignet, sås ingen forskel i varighed af remission, sygdomsfri overlevelse eller generel overlevelse, skønt patienter med komplet molekylær respons og forblivende i minimal residual sygdom havde større udbytte af behandlingen i form af både varighed af remission (p=0,01) og sygdomsfri overlevelse (p=0,02).</w:t>
      </w:r>
    </w:p>
    <w:p w14:paraId="7DFEF585" w14:textId="77777777" w:rsidR="00A573B3" w:rsidRPr="004C2A59" w:rsidRDefault="00A573B3" w:rsidP="00421681">
      <w:pPr>
        <w:pStyle w:val="EndnoteText"/>
        <w:rPr>
          <w:color w:val="000000"/>
          <w:szCs w:val="22"/>
        </w:rPr>
      </w:pPr>
    </w:p>
    <w:p w14:paraId="391DE435" w14:textId="77777777" w:rsidR="00A573B3" w:rsidRPr="004C2A59" w:rsidRDefault="00A573B3" w:rsidP="00421681">
      <w:pPr>
        <w:pStyle w:val="EndnoteText"/>
        <w:rPr>
          <w:color w:val="000000"/>
          <w:szCs w:val="22"/>
        </w:rPr>
      </w:pPr>
      <w:r w:rsidRPr="004C2A59">
        <w:rPr>
          <w:color w:val="000000"/>
          <w:szCs w:val="22"/>
        </w:rPr>
        <w:t xml:space="preserve">Resultaterne, som blev opnået i en population af 211 nydiagnosticerede Ph+ </w:t>
      </w:r>
      <w:smartTag w:uri="urn:schemas-microsoft-com:office:smarttags" w:element="metricconverter">
        <w:r w:rsidRPr="004C2A59">
          <w:rPr>
            <w:color w:val="000000"/>
            <w:szCs w:val="22"/>
          </w:rPr>
          <w:t>ALL</w:t>
        </w:r>
      </w:smartTag>
      <w:r w:rsidRPr="004C2A59">
        <w:rPr>
          <w:color w:val="000000"/>
          <w:szCs w:val="22"/>
        </w:rPr>
        <w:t xml:space="preserve"> patienter i fire ikke kontrollerede studier (AAU02, ADE04, AJP01 og AUS01), er i overensstemmelse med resultaterne beskrevet ovenfor. Imatinib givet i kombination med kemoterapi-induktion (se Tabel </w:t>
      </w:r>
      <w:r w:rsidR="00FD10C4" w:rsidRPr="004C2A59">
        <w:rPr>
          <w:color w:val="000000"/>
          <w:szCs w:val="22"/>
        </w:rPr>
        <w:t>4</w:t>
      </w:r>
      <w:r w:rsidRPr="004C2A59">
        <w:rPr>
          <w:color w:val="000000"/>
          <w:szCs w:val="22"/>
        </w:rPr>
        <w:t xml:space="preserve">) resulterede i en komplet hæmatologisk responsrate på 93% (147 ud af 158 evaluerbare patienter), og i en væsentlig cytogenetisk responsrate på 90% (19 ud af 21 evaluerbare patienter). Den samlede molekylære responsrate var 48% (49 ud af 102 evaluerbare patienter). Sygdomsfri overlevelse (disease-free survival </w:t>
      </w:r>
      <w:smartTag w:uri="urn:schemas-microsoft-com:office:smarttags" w:element="metricconverter">
        <w:r w:rsidRPr="004C2A59">
          <w:rPr>
            <w:color w:val="000000"/>
            <w:szCs w:val="22"/>
          </w:rPr>
          <w:t>DFS</w:t>
        </w:r>
      </w:smartTag>
      <w:r w:rsidRPr="004C2A59">
        <w:rPr>
          <w:color w:val="000000"/>
          <w:szCs w:val="22"/>
        </w:rPr>
        <w:t>) og overordnede overlevelse (overall survival OS) var konstant mere end 1 år og var superior til historiske kontroller (</w:t>
      </w:r>
      <w:smartTag w:uri="urn:schemas-microsoft-com:office:smarttags" w:element="metricconverter">
        <w:r w:rsidRPr="004C2A59">
          <w:rPr>
            <w:color w:val="000000"/>
            <w:szCs w:val="22"/>
          </w:rPr>
          <w:t>DFS</w:t>
        </w:r>
      </w:smartTag>
      <w:r w:rsidRPr="004C2A59">
        <w:rPr>
          <w:color w:val="000000"/>
          <w:szCs w:val="22"/>
        </w:rPr>
        <w:t xml:space="preserve"> p&lt;0,001; OS p&lt;0,0001) i to studier (AJp01 og AUS01).</w:t>
      </w:r>
    </w:p>
    <w:p w14:paraId="4AC8920E" w14:textId="77777777" w:rsidR="00A573B3" w:rsidRPr="004C2A59" w:rsidRDefault="00A573B3" w:rsidP="00421681">
      <w:pPr>
        <w:pStyle w:val="EndnoteText"/>
        <w:rPr>
          <w:color w:val="000000"/>
          <w:szCs w:val="22"/>
        </w:rPr>
      </w:pPr>
    </w:p>
    <w:p w14:paraId="0B9803E6" w14:textId="77777777" w:rsidR="00A573B3" w:rsidRPr="004C2A59" w:rsidRDefault="00A573B3" w:rsidP="00A125B0">
      <w:pPr>
        <w:pStyle w:val="EndnoteText"/>
        <w:keepNext/>
        <w:rPr>
          <w:b/>
          <w:bCs/>
          <w:color w:val="000000"/>
          <w:szCs w:val="22"/>
        </w:rPr>
      </w:pPr>
      <w:r w:rsidRPr="004C2A59">
        <w:rPr>
          <w:b/>
          <w:bCs/>
          <w:color w:val="000000"/>
          <w:szCs w:val="22"/>
        </w:rPr>
        <w:t>Tabel </w:t>
      </w:r>
      <w:r w:rsidR="00FD10C4" w:rsidRPr="004C2A59">
        <w:rPr>
          <w:b/>
          <w:bCs/>
          <w:color w:val="000000"/>
          <w:szCs w:val="22"/>
        </w:rPr>
        <w:t>4</w:t>
      </w:r>
      <w:r w:rsidRPr="004C2A59">
        <w:rPr>
          <w:b/>
          <w:bCs/>
          <w:color w:val="000000"/>
          <w:szCs w:val="22"/>
        </w:rPr>
        <w:tab/>
      </w:r>
      <w:r w:rsidRPr="004C2A59">
        <w:rPr>
          <w:b/>
          <w:color w:val="000000"/>
          <w:szCs w:val="22"/>
        </w:rPr>
        <w:t>Kemoterapiregime anvendt i kombination med imatinib</w:t>
      </w:r>
    </w:p>
    <w:p w14:paraId="61DA35BE" w14:textId="77777777" w:rsidR="00A573B3" w:rsidRPr="004C2A59" w:rsidRDefault="00A573B3" w:rsidP="00A125B0">
      <w:pPr>
        <w:pStyle w:val="EndnoteText"/>
        <w:keepNext/>
        <w:rPr>
          <w:color w:val="000000"/>
          <w:szCs w:val="22"/>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A573B3" w:rsidRPr="004C2A59" w14:paraId="72BB6480" w14:textId="77777777" w:rsidTr="00A125B0">
        <w:trPr>
          <w:cantSplit/>
        </w:trPr>
        <w:tc>
          <w:tcPr>
            <w:tcW w:w="2148" w:type="dxa"/>
            <w:tcBorders>
              <w:top w:val="single" w:sz="4" w:space="0" w:color="auto"/>
              <w:bottom w:val="single" w:sz="4" w:space="0" w:color="auto"/>
            </w:tcBorders>
            <w:shd w:val="clear" w:color="auto" w:fill="auto"/>
          </w:tcPr>
          <w:p w14:paraId="0B4C93CB"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b/>
                <w:color w:val="000000"/>
                <w:sz w:val="22"/>
                <w:szCs w:val="22"/>
              </w:rPr>
              <w:t>Studie ADE10</w:t>
            </w:r>
          </w:p>
        </w:tc>
        <w:tc>
          <w:tcPr>
            <w:tcW w:w="6732" w:type="dxa"/>
            <w:gridSpan w:val="4"/>
            <w:tcBorders>
              <w:top w:val="single" w:sz="4" w:space="0" w:color="auto"/>
              <w:bottom w:val="single" w:sz="4" w:space="0" w:color="auto"/>
            </w:tcBorders>
            <w:shd w:val="clear" w:color="auto" w:fill="auto"/>
          </w:tcPr>
          <w:p w14:paraId="13CE7717"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r>
      <w:tr w:rsidR="00A573B3" w:rsidRPr="004C2A59" w14:paraId="749624D0" w14:textId="77777777" w:rsidTr="00A125B0">
        <w:trPr>
          <w:cantSplit/>
        </w:trPr>
        <w:tc>
          <w:tcPr>
            <w:tcW w:w="2148" w:type="dxa"/>
            <w:tcBorders>
              <w:top w:val="single" w:sz="4" w:space="0" w:color="auto"/>
              <w:bottom w:val="single" w:sz="4" w:space="0" w:color="auto"/>
            </w:tcBorders>
            <w:shd w:val="clear" w:color="auto" w:fill="auto"/>
          </w:tcPr>
          <w:p w14:paraId="1A0B76B7"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Præfase</w:t>
            </w:r>
          </w:p>
        </w:tc>
        <w:tc>
          <w:tcPr>
            <w:tcW w:w="6732" w:type="dxa"/>
            <w:gridSpan w:val="4"/>
            <w:tcBorders>
              <w:top w:val="single" w:sz="4" w:space="0" w:color="auto"/>
              <w:bottom w:val="single" w:sz="4" w:space="0" w:color="auto"/>
            </w:tcBorders>
            <w:shd w:val="clear" w:color="auto" w:fill="auto"/>
          </w:tcPr>
          <w:p w14:paraId="44D619D4" w14:textId="77777777" w:rsidR="00A573B3" w:rsidRPr="00F852D1" w:rsidRDefault="00A573B3" w:rsidP="00A125B0">
            <w:pPr>
              <w:pStyle w:val="Table"/>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DEX 10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oral, dag 1-5;</w:t>
            </w:r>
          </w:p>
          <w:p w14:paraId="64A9C191"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CP 200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dag 3, 4, 5;</w:t>
            </w:r>
          </w:p>
          <w:p w14:paraId="5F73B290"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MTX</w:t>
              </w:r>
            </w:smartTag>
            <w:r w:rsidRPr="004C2A59">
              <w:rPr>
                <w:rFonts w:ascii="Times New Roman" w:hAnsi="Times New Roman"/>
                <w:color w:val="000000"/>
                <w:sz w:val="22"/>
                <w:szCs w:val="22"/>
                <w:lang w:val="da-DK"/>
              </w:rPr>
              <w:t xml:space="preserve"> 12 mg intrathecal, dag 1</w:t>
            </w:r>
          </w:p>
        </w:tc>
      </w:tr>
      <w:tr w:rsidR="00A573B3" w:rsidRPr="00F852D1" w14:paraId="63F39C84" w14:textId="77777777" w:rsidTr="00A125B0">
        <w:trPr>
          <w:cantSplit/>
        </w:trPr>
        <w:tc>
          <w:tcPr>
            <w:tcW w:w="2148" w:type="dxa"/>
            <w:tcBorders>
              <w:top w:val="single" w:sz="4" w:space="0" w:color="auto"/>
              <w:bottom w:val="single" w:sz="4" w:space="0" w:color="auto"/>
            </w:tcBorders>
            <w:shd w:val="clear" w:color="auto" w:fill="auto"/>
          </w:tcPr>
          <w:p w14:paraId="3F0F2BFC"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Remissionsinduktion</w:t>
            </w:r>
          </w:p>
        </w:tc>
        <w:tc>
          <w:tcPr>
            <w:tcW w:w="6732" w:type="dxa"/>
            <w:gridSpan w:val="4"/>
            <w:tcBorders>
              <w:top w:val="single" w:sz="4" w:space="0" w:color="auto"/>
              <w:bottom w:val="single" w:sz="4" w:space="0" w:color="auto"/>
            </w:tcBorders>
            <w:shd w:val="clear" w:color="auto" w:fill="auto"/>
          </w:tcPr>
          <w:p w14:paraId="44173618" w14:textId="77777777" w:rsidR="00A573B3" w:rsidRPr="00F852D1" w:rsidRDefault="00A573B3" w:rsidP="00A125B0">
            <w:pPr>
              <w:pStyle w:val="Table"/>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DEX 10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oral, dag 6-7, 13-16;</w:t>
            </w:r>
          </w:p>
          <w:p w14:paraId="4982FE80" w14:textId="77777777" w:rsidR="00A573B3" w:rsidRPr="00F852D1" w:rsidRDefault="00A573B3" w:rsidP="00A125B0">
            <w:pPr>
              <w:pStyle w:val="Table"/>
              <w:keepLines w:val="0"/>
              <w:widowControl w:val="0"/>
              <w:spacing w:before="0" w:after="0"/>
              <w:rPr>
                <w:rFonts w:ascii="Times New Roman" w:hAnsi="Times New Roman"/>
                <w:color w:val="000000"/>
                <w:sz w:val="22"/>
                <w:szCs w:val="22"/>
                <w:lang w:val="nb-NO"/>
              </w:rPr>
            </w:pPr>
            <w:smartTag w:uri="urn:schemas-microsoft-com:office:smarttags" w:element="metricconverter">
              <w:r w:rsidRPr="00F852D1">
                <w:rPr>
                  <w:rFonts w:ascii="Times New Roman" w:hAnsi="Times New Roman"/>
                  <w:color w:val="000000"/>
                  <w:sz w:val="22"/>
                  <w:szCs w:val="22"/>
                  <w:lang w:val="nb-NO"/>
                </w:rPr>
                <w:t>VCR</w:t>
              </w:r>
            </w:smartTag>
            <w:r w:rsidRPr="00F852D1">
              <w:rPr>
                <w:rFonts w:ascii="Times New Roman" w:hAnsi="Times New Roman"/>
                <w:color w:val="000000"/>
                <w:sz w:val="22"/>
                <w:szCs w:val="22"/>
                <w:lang w:val="nb-NO"/>
              </w:rPr>
              <w:t xml:space="preserve"> 1 mg i.v., dag 7, 14;</w:t>
            </w:r>
          </w:p>
          <w:p w14:paraId="416A4ECA" w14:textId="77777777" w:rsidR="00A573B3" w:rsidRPr="00F852D1" w:rsidRDefault="00A573B3" w:rsidP="00A125B0">
            <w:pPr>
              <w:pStyle w:val="Table"/>
              <w:keepLines w:val="0"/>
              <w:widowControl w:val="0"/>
              <w:spacing w:before="0" w:after="0"/>
              <w:rPr>
                <w:rFonts w:ascii="Times New Roman" w:hAnsi="Times New Roman"/>
                <w:color w:val="000000"/>
                <w:sz w:val="22"/>
                <w:szCs w:val="22"/>
                <w:lang w:val="nb-NO"/>
              </w:rPr>
            </w:pPr>
            <w:smartTag w:uri="urn:schemas-microsoft-com:office:smarttags" w:element="metricconverter">
              <w:r w:rsidRPr="00F852D1">
                <w:rPr>
                  <w:rFonts w:ascii="Times New Roman" w:hAnsi="Times New Roman"/>
                  <w:color w:val="000000"/>
                  <w:sz w:val="22"/>
                  <w:szCs w:val="22"/>
                  <w:lang w:val="nb-NO"/>
                </w:rPr>
                <w:t>IDA</w:t>
              </w:r>
            </w:smartTag>
            <w:r w:rsidRPr="00F852D1">
              <w:rPr>
                <w:rFonts w:ascii="Times New Roman" w:hAnsi="Times New Roman"/>
                <w:color w:val="000000"/>
                <w:sz w:val="22"/>
                <w:szCs w:val="22"/>
                <w:lang w:val="nb-NO"/>
              </w:rPr>
              <w:t xml:space="preserve"> 8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i.v. (0,5 time), dag 7, 8, 14, 15;</w:t>
            </w:r>
          </w:p>
          <w:p w14:paraId="265D7081" w14:textId="77777777" w:rsidR="00A573B3" w:rsidRPr="00F852D1" w:rsidRDefault="00A573B3" w:rsidP="00A125B0">
            <w:pPr>
              <w:pStyle w:val="Table"/>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CP 500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i.v.(1 time) dag 1;</w:t>
            </w:r>
          </w:p>
          <w:p w14:paraId="69B1C586" w14:textId="77777777" w:rsidR="00A573B3" w:rsidRPr="00F852D1" w:rsidRDefault="00A573B3" w:rsidP="00A125B0">
            <w:pPr>
              <w:pStyle w:val="Table"/>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Ara-C 60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i.v., dag 22-25, 29-32</w:t>
            </w:r>
          </w:p>
        </w:tc>
      </w:tr>
      <w:tr w:rsidR="00A573B3" w:rsidRPr="00DA2798" w14:paraId="62B38114" w14:textId="77777777" w:rsidTr="00A125B0">
        <w:trPr>
          <w:cantSplit/>
        </w:trPr>
        <w:tc>
          <w:tcPr>
            <w:tcW w:w="2148" w:type="dxa"/>
            <w:tcBorders>
              <w:top w:val="single" w:sz="4" w:space="0" w:color="auto"/>
              <w:bottom w:val="single" w:sz="4" w:space="0" w:color="auto"/>
            </w:tcBorders>
            <w:shd w:val="clear" w:color="auto" w:fill="auto"/>
          </w:tcPr>
          <w:p w14:paraId="13C850F1"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 xml:space="preserve">Konsoliderende behandling I, </w:t>
            </w:r>
            <w:smartTag w:uri="urn:schemas-microsoft-com:office:smarttags" w:element="metricconverter">
              <w:r w:rsidRPr="004C2A59">
                <w:rPr>
                  <w:rFonts w:ascii="Times New Roman" w:hAnsi="Times New Roman"/>
                  <w:color w:val="000000"/>
                  <w:sz w:val="22"/>
                  <w:szCs w:val="22"/>
                  <w:lang w:val="da-DK"/>
                </w:rPr>
                <w:t>III</w:t>
              </w:r>
            </w:smartTag>
            <w:r w:rsidRPr="004C2A59">
              <w:rPr>
                <w:rFonts w:ascii="Times New Roman" w:hAnsi="Times New Roman"/>
                <w:color w:val="000000"/>
                <w:sz w:val="22"/>
                <w:szCs w:val="22"/>
                <w:lang w:val="da-DK"/>
              </w:rPr>
              <w:t>, V</w:t>
            </w:r>
          </w:p>
        </w:tc>
        <w:tc>
          <w:tcPr>
            <w:tcW w:w="6732" w:type="dxa"/>
            <w:gridSpan w:val="4"/>
            <w:tcBorders>
              <w:top w:val="single" w:sz="4" w:space="0" w:color="auto"/>
              <w:bottom w:val="single" w:sz="4" w:space="0" w:color="auto"/>
            </w:tcBorders>
            <w:shd w:val="clear" w:color="auto" w:fill="auto"/>
          </w:tcPr>
          <w:p w14:paraId="06D5F0FD"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MTX</w:t>
              </w:r>
            </w:smartTag>
            <w:r w:rsidRPr="004C2A59">
              <w:rPr>
                <w:rFonts w:ascii="Times New Roman" w:hAnsi="Times New Roman"/>
                <w:color w:val="000000"/>
                <w:sz w:val="22"/>
                <w:szCs w:val="22"/>
                <w:lang w:val="da-DK"/>
              </w:rPr>
              <w:t xml:space="preserve"> 500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(24 timer), dag 1, 15;</w:t>
            </w:r>
          </w:p>
          <w:p w14:paraId="588ADFAB"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6-MP 25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oral, dag 1-20</w:t>
            </w:r>
          </w:p>
        </w:tc>
      </w:tr>
      <w:tr w:rsidR="00A573B3" w:rsidRPr="00DA2798" w14:paraId="027292D5" w14:textId="77777777" w:rsidTr="00A125B0">
        <w:trPr>
          <w:cantSplit/>
        </w:trPr>
        <w:tc>
          <w:tcPr>
            <w:tcW w:w="2148" w:type="dxa"/>
            <w:tcBorders>
              <w:top w:val="single" w:sz="4" w:space="0" w:color="auto"/>
              <w:bottom w:val="single" w:sz="4" w:space="0" w:color="auto"/>
            </w:tcBorders>
            <w:shd w:val="clear" w:color="auto" w:fill="auto"/>
          </w:tcPr>
          <w:p w14:paraId="1B6BD3EE" w14:textId="77777777" w:rsidR="00A573B3" w:rsidRPr="004C2A59" w:rsidRDefault="00A573B3" w:rsidP="00A125B0">
            <w:pPr>
              <w:pStyle w:val="Table"/>
              <w:keepNext w:val="0"/>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Konsoliderende behandl</w:t>
            </w:r>
            <w:r w:rsidRPr="004C2A59">
              <w:rPr>
                <w:rFonts w:ascii="Times New Roman" w:hAnsi="Times New Roman"/>
                <w:color w:val="000000"/>
                <w:sz w:val="22"/>
                <w:szCs w:val="22"/>
                <w:lang w:val="da-DK"/>
              </w:rPr>
              <w:t>ing</w:t>
            </w:r>
            <w:r w:rsidRPr="004C2A59">
              <w:rPr>
                <w:rFonts w:ascii="Times New Roman" w:hAnsi="Times New Roman"/>
                <w:color w:val="000000"/>
                <w:sz w:val="22"/>
                <w:szCs w:val="22"/>
              </w:rPr>
              <w:t xml:space="preserve"> II, IV</w:t>
            </w:r>
          </w:p>
        </w:tc>
        <w:tc>
          <w:tcPr>
            <w:tcW w:w="6732" w:type="dxa"/>
            <w:gridSpan w:val="4"/>
            <w:tcBorders>
              <w:top w:val="single" w:sz="4" w:space="0" w:color="auto"/>
              <w:bottom w:val="single" w:sz="4" w:space="0" w:color="auto"/>
            </w:tcBorders>
            <w:shd w:val="clear" w:color="auto" w:fill="auto"/>
          </w:tcPr>
          <w:p w14:paraId="12AE0803" w14:textId="77777777" w:rsidR="00A573B3" w:rsidRPr="004C2A59" w:rsidRDefault="00A573B3" w:rsidP="00A125B0">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Ara-C 75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(1 time), dag 1-5;</w:t>
            </w:r>
          </w:p>
          <w:p w14:paraId="3976178F" w14:textId="77777777" w:rsidR="00A573B3" w:rsidRPr="004C2A59" w:rsidRDefault="00A573B3" w:rsidP="00A125B0">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VM26 60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(1 time), dag 1-5</w:t>
            </w:r>
          </w:p>
        </w:tc>
      </w:tr>
      <w:tr w:rsidR="00A573B3" w:rsidRPr="004C2A59" w14:paraId="23F336D5" w14:textId="77777777" w:rsidTr="00A125B0">
        <w:trPr>
          <w:cantSplit/>
        </w:trPr>
        <w:tc>
          <w:tcPr>
            <w:tcW w:w="2148" w:type="dxa"/>
            <w:tcBorders>
              <w:top w:val="single" w:sz="4" w:space="0" w:color="auto"/>
              <w:bottom w:val="single" w:sz="4" w:space="0" w:color="auto"/>
            </w:tcBorders>
            <w:shd w:val="clear" w:color="auto" w:fill="auto"/>
          </w:tcPr>
          <w:p w14:paraId="0077AC9B" w14:textId="77777777" w:rsidR="00A573B3" w:rsidRPr="004C2A59" w:rsidRDefault="00A573B3" w:rsidP="00A125B0">
            <w:pPr>
              <w:pStyle w:val="Table"/>
              <w:keepLines w:val="0"/>
              <w:widowControl w:val="0"/>
              <w:spacing w:before="0" w:after="0"/>
              <w:rPr>
                <w:rFonts w:ascii="Times New Roman" w:hAnsi="Times New Roman"/>
                <w:b/>
                <w:color w:val="000000"/>
                <w:sz w:val="22"/>
                <w:szCs w:val="22"/>
              </w:rPr>
            </w:pPr>
            <w:r w:rsidRPr="004C2A59">
              <w:rPr>
                <w:rFonts w:ascii="Times New Roman" w:hAnsi="Times New Roman"/>
                <w:b/>
                <w:color w:val="000000"/>
                <w:sz w:val="22"/>
                <w:szCs w:val="22"/>
              </w:rPr>
              <w:t>Studie AAU02</w:t>
            </w:r>
          </w:p>
        </w:tc>
        <w:tc>
          <w:tcPr>
            <w:tcW w:w="2652" w:type="dxa"/>
            <w:tcBorders>
              <w:top w:val="single" w:sz="4" w:space="0" w:color="auto"/>
              <w:bottom w:val="single" w:sz="4" w:space="0" w:color="auto"/>
            </w:tcBorders>
            <w:shd w:val="clear" w:color="auto" w:fill="auto"/>
          </w:tcPr>
          <w:p w14:paraId="0A2564C5"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c>
          <w:tcPr>
            <w:tcW w:w="1080" w:type="dxa"/>
            <w:tcBorders>
              <w:top w:val="single" w:sz="4" w:space="0" w:color="auto"/>
              <w:bottom w:val="single" w:sz="4" w:space="0" w:color="auto"/>
            </w:tcBorders>
          </w:tcPr>
          <w:p w14:paraId="5797955A"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6D4988D2"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3912DE9E"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r>
      <w:tr w:rsidR="00A573B3" w:rsidRPr="00F852D1" w14:paraId="003640A5" w14:textId="77777777" w:rsidTr="00A125B0">
        <w:trPr>
          <w:cantSplit/>
        </w:trPr>
        <w:tc>
          <w:tcPr>
            <w:tcW w:w="2148" w:type="dxa"/>
            <w:tcBorders>
              <w:top w:val="single" w:sz="4" w:space="0" w:color="auto"/>
              <w:bottom w:val="single" w:sz="4" w:space="0" w:color="auto"/>
            </w:tcBorders>
            <w:shd w:val="clear" w:color="auto" w:fill="auto"/>
          </w:tcPr>
          <w:p w14:paraId="448B3E47"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Induktionsbehandling (</w:t>
            </w:r>
            <w:r w:rsidRPr="004C2A59">
              <w:rPr>
                <w:rFonts w:ascii="Times New Roman" w:hAnsi="Times New Roman"/>
                <w:i/>
                <w:color w:val="000000"/>
                <w:sz w:val="22"/>
                <w:szCs w:val="22"/>
                <w:lang w:val="da-DK"/>
              </w:rPr>
              <w:t>de novo</w:t>
            </w:r>
            <w:r w:rsidRPr="004C2A59">
              <w:rPr>
                <w:rFonts w:ascii="Times New Roman" w:hAnsi="Times New Roman"/>
                <w:color w:val="000000"/>
                <w:sz w:val="22"/>
                <w:szCs w:val="22"/>
                <w:lang w:val="da-DK"/>
              </w:rPr>
              <w:t xml:space="preserve"> Ph+ </w:t>
            </w:r>
            <w:smartTag w:uri="urn:schemas-microsoft-com:office:smarttags" w:element="metricconverter">
              <w:r w:rsidRPr="004C2A59">
                <w:rPr>
                  <w:rFonts w:ascii="Times New Roman" w:hAnsi="Times New Roman"/>
                  <w:color w:val="000000"/>
                  <w:sz w:val="22"/>
                  <w:szCs w:val="22"/>
                  <w:lang w:val="da-DK"/>
                </w:rPr>
                <w:t>ALL</w:t>
              </w:r>
            </w:smartTag>
            <w:r w:rsidRPr="004C2A59">
              <w:rPr>
                <w:rFonts w:ascii="Times New Roman" w:hAnsi="Times New Roman"/>
                <w:color w:val="000000"/>
                <w:sz w:val="22"/>
                <w:szCs w:val="22"/>
                <w:lang w:val="da-DK"/>
              </w:rPr>
              <w:t>)</w:t>
            </w:r>
          </w:p>
        </w:tc>
        <w:tc>
          <w:tcPr>
            <w:tcW w:w="6732" w:type="dxa"/>
            <w:gridSpan w:val="4"/>
            <w:tcBorders>
              <w:top w:val="single" w:sz="4" w:space="0" w:color="auto"/>
              <w:bottom w:val="single" w:sz="4" w:space="0" w:color="auto"/>
            </w:tcBorders>
            <w:shd w:val="clear" w:color="auto" w:fill="auto"/>
          </w:tcPr>
          <w:p w14:paraId="2CE10CC6"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Daunorubicin 30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dag 1-3, 15-16;</w:t>
            </w:r>
          </w:p>
          <w:p w14:paraId="50B3DFBF"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VCR</w:t>
              </w:r>
            </w:smartTag>
            <w:r w:rsidRPr="004C2A59">
              <w:rPr>
                <w:rFonts w:ascii="Times New Roman" w:hAnsi="Times New Roman"/>
                <w:color w:val="000000"/>
                <w:sz w:val="22"/>
                <w:szCs w:val="22"/>
                <w:lang w:val="da-DK"/>
              </w:rPr>
              <w:t xml:space="preserve"> 2 mg total dose i.v., dag 1, 8, 15, 22;</w:t>
            </w:r>
          </w:p>
          <w:p w14:paraId="1F9B77BB"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CP 750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dag 1, 8;</w:t>
            </w:r>
          </w:p>
          <w:p w14:paraId="2A4D1681"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Prednison 60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oral, dag 1-7, 15-21;</w:t>
            </w:r>
          </w:p>
          <w:p w14:paraId="6A6516F9"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IDA</w:t>
              </w:r>
            </w:smartTag>
            <w:r w:rsidRPr="004C2A59">
              <w:rPr>
                <w:rFonts w:ascii="Times New Roman" w:hAnsi="Times New Roman"/>
                <w:color w:val="000000"/>
                <w:sz w:val="22"/>
                <w:szCs w:val="22"/>
                <w:lang w:val="da-DK"/>
              </w:rPr>
              <w:t xml:space="preserve"> 9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oral, dag 1-28;</w:t>
            </w:r>
          </w:p>
          <w:p w14:paraId="432F2C91"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MTX</w:t>
              </w:r>
            </w:smartTag>
            <w:r w:rsidRPr="004C2A59">
              <w:rPr>
                <w:rFonts w:ascii="Times New Roman" w:hAnsi="Times New Roman"/>
                <w:color w:val="000000"/>
                <w:sz w:val="22"/>
                <w:szCs w:val="22"/>
                <w:lang w:val="da-DK"/>
              </w:rPr>
              <w:t xml:space="preserve"> 15 mg intrathecal, dag 1, 8, 15, 22;</w:t>
            </w:r>
          </w:p>
          <w:p w14:paraId="03CD95EA"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Ara-C 40 mg intrathecal, dag 1, 8, 15, 22;</w:t>
            </w:r>
          </w:p>
          <w:p w14:paraId="00FCE051"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 xml:space="preserve">Methylprednisolon 40 mg intrathecal, dag 1, 8, 15, 22 </w:t>
            </w:r>
          </w:p>
        </w:tc>
      </w:tr>
      <w:tr w:rsidR="00A573B3" w:rsidRPr="004C2A59" w14:paraId="1E3E95CA" w14:textId="77777777" w:rsidTr="00A125B0">
        <w:trPr>
          <w:cantSplit/>
        </w:trPr>
        <w:tc>
          <w:tcPr>
            <w:tcW w:w="2148" w:type="dxa"/>
            <w:tcBorders>
              <w:top w:val="single" w:sz="4" w:space="0" w:color="auto"/>
              <w:bottom w:val="single" w:sz="4" w:space="0" w:color="auto"/>
            </w:tcBorders>
            <w:shd w:val="clear" w:color="auto" w:fill="auto"/>
          </w:tcPr>
          <w:p w14:paraId="3C5ABCC7" w14:textId="77777777" w:rsidR="00A573B3" w:rsidRPr="00F852D1" w:rsidRDefault="00A573B3" w:rsidP="00A125B0">
            <w:pPr>
              <w:pStyle w:val="Table"/>
              <w:keepNext w:val="0"/>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Konsoliderende behandling (</w:t>
            </w:r>
            <w:r w:rsidRPr="00F852D1">
              <w:rPr>
                <w:rFonts w:ascii="Times New Roman" w:hAnsi="Times New Roman"/>
                <w:i/>
                <w:color w:val="000000"/>
                <w:sz w:val="22"/>
                <w:szCs w:val="22"/>
                <w:lang w:val="nb-NO"/>
              </w:rPr>
              <w:t>de novo</w:t>
            </w:r>
            <w:r w:rsidRPr="00F852D1">
              <w:rPr>
                <w:rFonts w:ascii="Times New Roman" w:hAnsi="Times New Roman"/>
                <w:color w:val="000000"/>
                <w:sz w:val="22"/>
                <w:szCs w:val="22"/>
                <w:lang w:val="nb-NO"/>
              </w:rPr>
              <w:t xml:space="preserve"> Ph+ </w:t>
            </w:r>
            <w:smartTag w:uri="urn:schemas-microsoft-com:office:smarttags" w:element="metricconverter">
              <w:r w:rsidRPr="00F852D1">
                <w:rPr>
                  <w:rFonts w:ascii="Times New Roman" w:hAnsi="Times New Roman"/>
                  <w:color w:val="000000"/>
                  <w:sz w:val="22"/>
                  <w:szCs w:val="22"/>
                  <w:lang w:val="nb-NO"/>
                </w:rPr>
                <w:t>ALL</w:t>
              </w:r>
            </w:smartTag>
            <w:r w:rsidRPr="00F852D1">
              <w:rPr>
                <w:rFonts w:ascii="Times New Roman" w:hAnsi="Times New Roman"/>
                <w:color w:val="000000"/>
                <w:sz w:val="22"/>
                <w:szCs w:val="22"/>
                <w:lang w:val="nb-NO"/>
              </w:rPr>
              <w:t>)</w:t>
            </w:r>
          </w:p>
        </w:tc>
        <w:tc>
          <w:tcPr>
            <w:tcW w:w="6732" w:type="dxa"/>
            <w:gridSpan w:val="4"/>
            <w:tcBorders>
              <w:top w:val="single" w:sz="4" w:space="0" w:color="auto"/>
              <w:bottom w:val="single" w:sz="4" w:space="0" w:color="auto"/>
            </w:tcBorders>
            <w:shd w:val="clear" w:color="auto" w:fill="auto"/>
          </w:tcPr>
          <w:p w14:paraId="00090489" w14:textId="77777777" w:rsidR="00A573B3" w:rsidRPr="00F852D1" w:rsidRDefault="00A573B3" w:rsidP="00A125B0">
            <w:pPr>
              <w:pStyle w:val="Table"/>
              <w:keepNext w:val="0"/>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Ara-C 1.000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/12 timer i.v.(3 timer), dag 1-4;</w:t>
            </w:r>
          </w:p>
          <w:p w14:paraId="74FFA880" w14:textId="77777777" w:rsidR="00A573B3" w:rsidRPr="00F852D1" w:rsidRDefault="00A573B3" w:rsidP="00A125B0">
            <w:pPr>
              <w:pStyle w:val="Table"/>
              <w:keepNext w:val="0"/>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Mitoxantron 10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i.v. dag 3-5;</w:t>
            </w:r>
          </w:p>
          <w:p w14:paraId="0EF02134" w14:textId="77777777" w:rsidR="00A573B3" w:rsidRPr="00F852D1" w:rsidRDefault="00A573B3" w:rsidP="00A125B0">
            <w:pPr>
              <w:pStyle w:val="Table"/>
              <w:keepNext w:val="0"/>
              <w:keepLines w:val="0"/>
              <w:widowControl w:val="0"/>
              <w:spacing w:before="0" w:after="0"/>
              <w:rPr>
                <w:rFonts w:ascii="Times New Roman" w:hAnsi="Times New Roman"/>
                <w:color w:val="000000"/>
                <w:sz w:val="22"/>
                <w:szCs w:val="22"/>
                <w:lang w:val="nb-NO"/>
              </w:rPr>
            </w:pPr>
            <w:smartTag w:uri="urn:schemas-microsoft-com:office:smarttags" w:element="metricconverter">
              <w:r w:rsidRPr="00F852D1">
                <w:rPr>
                  <w:rFonts w:ascii="Times New Roman" w:hAnsi="Times New Roman"/>
                  <w:color w:val="000000"/>
                  <w:sz w:val="22"/>
                  <w:szCs w:val="22"/>
                  <w:lang w:val="nb-NO"/>
                </w:rPr>
                <w:t>MTX</w:t>
              </w:r>
            </w:smartTag>
            <w:r w:rsidRPr="00F852D1">
              <w:rPr>
                <w:rFonts w:ascii="Times New Roman" w:hAnsi="Times New Roman"/>
                <w:color w:val="000000"/>
                <w:sz w:val="22"/>
                <w:szCs w:val="22"/>
                <w:lang w:val="nb-NO"/>
              </w:rPr>
              <w:t xml:space="preserve"> 15 mg intrathecal, dag 1;</w:t>
            </w:r>
          </w:p>
          <w:p w14:paraId="2D367BF8" w14:textId="77777777" w:rsidR="00A573B3" w:rsidRPr="004C2A59" w:rsidRDefault="00A573B3" w:rsidP="00A125B0">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Methylprednisolon 40 mg intrathecal, dag 1</w:t>
            </w:r>
          </w:p>
        </w:tc>
      </w:tr>
      <w:tr w:rsidR="00A573B3" w:rsidRPr="004C2A59" w14:paraId="32E05588" w14:textId="77777777" w:rsidTr="00A125B0">
        <w:trPr>
          <w:cantSplit/>
        </w:trPr>
        <w:tc>
          <w:tcPr>
            <w:tcW w:w="4800" w:type="dxa"/>
            <w:gridSpan w:val="2"/>
            <w:tcBorders>
              <w:top w:val="single" w:sz="4" w:space="0" w:color="auto"/>
              <w:bottom w:val="single" w:sz="4" w:space="0" w:color="auto"/>
            </w:tcBorders>
            <w:shd w:val="clear" w:color="auto" w:fill="auto"/>
          </w:tcPr>
          <w:p w14:paraId="62051ECD" w14:textId="77777777" w:rsidR="00A573B3" w:rsidRPr="004C2A59" w:rsidRDefault="00A573B3" w:rsidP="00A125B0">
            <w:pPr>
              <w:pStyle w:val="Table"/>
              <w:keepLines w:val="0"/>
              <w:widowControl w:val="0"/>
              <w:spacing w:before="0" w:after="0"/>
              <w:rPr>
                <w:rFonts w:ascii="Times New Roman" w:hAnsi="Times New Roman"/>
                <w:b/>
                <w:color w:val="000000"/>
                <w:sz w:val="22"/>
                <w:szCs w:val="22"/>
              </w:rPr>
            </w:pPr>
            <w:r w:rsidRPr="004C2A59">
              <w:rPr>
                <w:rFonts w:ascii="Times New Roman" w:hAnsi="Times New Roman"/>
                <w:b/>
                <w:color w:val="000000"/>
                <w:sz w:val="22"/>
                <w:szCs w:val="22"/>
              </w:rPr>
              <w:lastRenderedPageBreak/>
              <w:t>Studie ADE04</w:t>
            </w:r>
          </w:p>
        </w:tc>
        <w:tc>
          <w:tcPr>
            <w:tcW w:w="1080" w:type="dxa"/>
            <w:tcBorders>
              <w:top w:val="single" w:sz="4" w:space="0" w:color="auto"/>
              <w:bottom w:val="single" w:sz="4" w:space="0" w:color="auto"/>
            </w:tcBorders>
          </w:tcPr>
          <w:p w14:paraId="797B960E"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15389365"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367B4A5B"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r>
      <w:tr w:rsidR="00A573B3" w:rsidRPr="004C2A59" w14:paraId="492A0CA2" w14:textId="77777777" w:rsidTr="00A125B0">
        <w:trPr>
          <w:cantSplit/>
        </w:trPr>
        <w:tc>
          <w:tcPr>
            <w:tcW w:w="2148" w:type="dxa"/>
            <w:tcBorders>
              <w:top w:val="single" w:sz="4" w:space="0" w:color="auto"/>
              <w:bottom w:val="single" w:sz="4" w:space="0" w:color="auto"/>
            </w:tcBorders>
            <w:shd w:val="clear" w:color="auto" w:fill="auto"/>
          </w:tcPr>
          <w:p w14:paraId="633E1F64"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Præfase</w:t>
            </w:r>
          </w:p>
        </w:tc>
        <w:tc>
          <w:tcPr>
            <w:tcW w:w="6732" w:type="dxa"/>
            <w:gridSpan w:val="4"/>
            <w:tcBorders>
              <w:top w:val="single" w:sz="4" w:space="0" w:color="auto"/>
              <w:bottom w:val="single" w:sz="4" w:space="0" w:color="auto"/>
            </w:tcBorders>
            <w:shd w:val="clear" w:color="auto" w:fill="auto"/>
          </w:tcPr>
          <w:p w14:paraId="61472920" w14:textId="77777777" w:rsidR="00A573B3" w:rsidRPr="00F852D1" w:rsidRDefault="00A573B3" w:rsidP="00A125B0">
            <w:pPr>
              <w:pStyle w:val="Table"/>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DEX 10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oral, dag 1-5;</w:t>
            </w:r>
          </w:p>
          <w:p w14:paraId="02019CC0"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CP 200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dag 3-5;</w:t>
            </w:r>
          </w:p>
          <w:p w14:paraId="12E7295A"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MTX</w:t>
              </w:r>
            </w:smartTag>
            <w:r w:rsidRPr="004C2A59">
              <w:rPr>
                <w:rFonts w:ascii="Times New Roman" w:hAnsi="Times New Roman"/>
                <w:color w:val="000000"/>
                <w:sz w:val="22"/>
                <w:szCs w:val="22"/>
                <w:lang w:val="da-DK"/>
              </w:rPr>
              <w:t xml:space="preserve"> 15 mg intrathecal, dag 1</w:t>
            </w:r>
          </w:p>
        </w:tc>
      </w:tr>
      <w:tr w:rsidR="00A573B3" w:rsidRPr="00F852D1" w14:paraId="22AB2D9F" w14:textId="77777777" w:rsidTr="00A125B0">
        <w:trPr>
          <w:cantSplit/>
        </w:trPr>
        <w:tc>
          <w:tcPr>
            <w:tcW w:w="2148" w:type="dxa"/>
            <w:tcBorders>
              <w:top w:val="single" w:sz="4" w:space="0" w:color="auto"/>
              <w:bottom w:val="single" w:sz="4" w:space="0" w:color="auto"/>
            </w:tcBorders>
            <w:shd w:val="clear" w:color="auto" w:fill="auto"/>
          </w:tcPr>
          <w:p w14:paraId="6D337066"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Induktionsbehandling I</w:t>
            </w:r>
          </w:p>
        </w:tc>
        <w:tc>
          <w:tcPr>
            <w:tcW w:w="6732" w:type="dxa"/>
            <w:gridSpan w:val="4"/>
            <w:tcBorders>
              <w:top w:val="single" w:sz="4" w:space="0" w:color="auto"/>
              <w:bottom w:val="single" w:sz="4" w:space="0" w:color="auto"/>
            </w:tcBorders>
            <w:shd w:val="clear" w:color="auto" w:fill="auto"/>
          </w:tcPr>
          <w:p w14:paraId="696BF92E" w14:textId="77777777" w:rsidR="00A573B3" w:rsidRPr="00F852D1" w:rsidRDefault="00A573B3" w:rsidP="00A125B0">
            <w:pPr>
              <w:pStyle w:val="Table"/>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DEX 10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oral, dag 1-5;</w:t>
            </w:r>
          </w:p>
          <w:p w14:paraId="6E434AED" w14:textId="77777777" w:rsidR="00A573B3" w:rsidRPr="00F852D1" w:rsidRDefault="00A573B3" w:rsidP="00A125B0">
            <w:pPr>
              <w:pStyle w:val="Table"/>
              <w:keepLines w:val="0"/>
              <w:widowControl w:val="0"/>
              <w:spacing w:before="0" w:after="0"/>
              <w:rPr>
                <w:rFonts w:ascii="Times New Roman" w:hAnsi="Times New Roman"/>
                <w:color w:val="000000"/>
                <w:sz w:val="22"/>
                <w:szCs w:val="22"/>
                <w:lang w:val="nb-NO"/>
              </w:rPr>
            </w:pPr>
            <w:smartTag w:uri="urn:schemas-microsoft-com:office:smarttags" w:element="metricconverter">
              <w:r w:rsidRPr="00F852D1">
                <w:rPr>
                  <w:rFonts w:ascii="Times New Roman" w:hAnsi="Times New Roman"/>
                  <w:color w:val="000000"/>
                  <w:sz w:val="22"/>
                  <w:szCs w:val="22"/>
                  <w:lang w:val="nb-NO"/>
                </w:rPr>
                <w:t>VCR</w:t>
              </w:r>
            </w:smartTag>
            <w:r w:rsidRPr="00F852D1">
              <w:rPr>
                <w:rFonts w:ascii="Times New Roman" w:hAnsi="Times New Roman"/>
                <w:color w:val="000000"/>
                <w:sz w:val="22"/>
                <w:szCs w:val="22"/>
                <w:lang w:val="nb-NO"/>
              </w:rPr>
              <w:t xml:space="preserve"> 2 mg i.v., dag 6, 13, 20;</w:t>
            </w:r>
          </w:p>
          <w:p w14:paraId="269E518C" w14:textId="77777777" w:rsidR="00A573B3" w:rsidRPr="00F852D1" w:rsidRDefault="00A573B3" w:rsidP="00A125B0">
            <w:pPr>
              <w:pStyle w:val="Table"/>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Daunorubicin 45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i.v., dag 6-7, 13-14</w:t>
            </w:r>
          </w:p>
        </w:tc>
      </w:tr>
      <w:tr w:rsidR="00A573B3" w:rsidRPr="00DA2798" w14:paraId="09C330CC" w14:textId="77777777" w:rsidTr="00A125B0">
        <w:trPr>
          <w:cantSplit/>
        </w:trPr>
        <w:tc>
          <w:tcPr>
            <w:tcW w:w="2148" w:type="dxa"/>
            <w:tcBorders>
              <w:top w:val="single" w:sz="4" w:space="0" w:color="auto"/>
              <w:bottom w:val="single" w:sz="4" w:space="0" w:color="auto"/>
            </w:tcBorders>
            <w:shd w:val="clear" w:color="auto" w:fill="auto"/>
          </w:tcPr>
          <w:p w14:paraId="1C01E45C"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Induktionsbehandling II</w:t>
            </w:r>
          </w:p>
        </w:tc>
        <w:tc>
          <w:tcPr>
            <w:tcW w:w="6732" w:type="dxa"/>
            <w:gridSpan w:val="4"/>
            <w:tcBorders>
              <w:top w:val="single" w:sz="4" w:space="0" w:color="auto"/>
              <w:bottom w:val="single" w:sz="4" w:space="0" w:color="auto"/>
            </w:tcBorders>
            <w:shd w:val="clear" w:color="auto" w:fill="auto"/>
          </w:tcPr>
          <w:p w14:paraId="0FA26EB9" w14:textId="77777777" w:rsidR="00A573B3" w:rsidRPr="00F852D1" w:rsidRDefault="00A573B3" w:rsidP="00A125B0">
            <w:pPr>
              <w:pStyle w:val="Table"/>
              <w:keepLines w:val="0"/>
              <w:widowControl w:val="0"/>
              <w:spacing w:before="0" w:after="0"/>
              <w:rPr>
                <w:rFonts w:ascii="Times New Roman" w:hAnsi="Times New Roman"/>
                <w:color w:val="000000"/>
                <w:sz w:val="22"/>
                <w:szCs w:val="22"/>
              </w:rPr>
            </w:pPr>
            <w:r w:rsidRPr="00F852D1">
              <w:rPr>
                <w:rFonts w:ascii="Times New Roman" w:hAnsi="Times New Roman"/>
                <w:color w:val="000000"/>
                <w:sz w:val="22"/>
                <w:szCs w:val="22"/>
              </w:rPr>
              <w:t>CP 1 g/m</w:t>
            </w:r>
            <w:r w:rsidRPr="00F852D1">
              <w:rPr>
                <w:rFonts w:ascii="Times New Roman" w:hAnsi="Times New Roman"/>
                <w:color w:val="000000"/>
                <w:sz w:val="22"/>
                <w:szCs w:val="22"/>
                <w:vertAlign w:val="superscript"/>
              </w:rPr>
              <w:t>2</w:t>
            </w:r>
            <w:r w:rsidRPr="00F852D1">
              <w:rPr>
                <w:rFonts w:ascii="Times New Roman" w:hAnsi="Times New Roman"/>
                <w:color w:val="000000"/>
                <w:sz w:val="22"/>
                <w:szCs w:val="22"/>
              </w:rPr>
              <w:t xml:space="preserve"> i.v. (1 time), dag 26, 46;</w:t>
            </w:r>
          </w:p>
          <w:p w14:paraId="657E65C1" w14:textId="77777777" w:rsidR="00A573B3" w:rsidRPr="00F852D1" w:rsidRDefault="00A573B3" w:rsidP="00A125B0">
            <w:pPr>
              <w:pStyle w:val="Table"/>
              <w:keepLines w:val="0"/>
              <w:widowControl w:val="0"/>
              <w:spacing w:before="0" w:after="0"/>
              <w:rPr>
                <w:rFonts w:ascii="Times New Roman" w:hAnsi="Times New Roman"/>
                <w:color w:val="000000"/>
                <w:sz w:val="22"/>
                <w:szCs w:val="22"/>
              </w:rPr>
            </w:pPr>
            <w:r w:rsidRPr="00F852D1">
              <w:rPr>
                <w:rFonts w:ascii="Times New Roman" w:hAnsi="Times New Roman"/>
                <w:color w:val="000000"/>
                <w:sz w:val="22"/>
                <w:szCs w:val="22"/>
              </w:rPr>
              <w:t>Ara-C 75 mg/m</w:t>
            </w:r>
            <w:r w:rsidRPr="00F852D1">
              <w:rPr>
                <w:rFonts w:ascii="Times New Roman" w:hAnsi="Times New Roman"/>
                <w:color w:val="000000"/>
                <w:sz w:val="22"/>
                <w:szCs w:val="22"/>
                <w:vertAlign w:val="superscript"/>
              </w:rPr>
              <w:t>2</w:t>
            </w:r>
            <w:r w:rsidRPr="00F852D1">
              <w:rPr>
                <w:rFonts w:ascii="Times New Roman" w:hAnsi="Times New Roman"/>
                <w:color w:val="000000"/>
                <w:sz w:val="22"/>
                <w:szCs w:val="22"/>
              </w:rPr>
              <w:t xml:space="preserve"> i.v. (1 time), dag 28-31, 35-38, 42-45;</w:t>
            </w:r>
          </w:p>
          <w:p w14:paraId="3D127FF2" w14:textId="77777777" w:rsidR="00A573B3" w:rsidRPr="00F852D1" w:rsidRDefault="00A573B3" w:rsidP="00A125B0">
            <w:pPr>
              <w:pStyle w:val="Table"/>
              <w:keepLines w:val="0"/>
              <w:widowControl w:val="0"/>
              <w:spacing w:before="0" w:after="0"/>
              <w:rPr>
                <w:rFonts w:ascii="Times New Roman" w:hAnsi="Times New Roman"/>
                <w:color w:val="000000"/>
                <w:sz w:val="22"/>
                <w:szCs w:val="22"/>
              </w:rPr>
            </w:pPr>
            <w:r w:rsidRPr="00F852D1">
              <w:rPr>
                <w:rFonts w:ascii="Times New Roman" w:hAnsi="Times New Roman"/>
                <w:color w:val="000000"/>
                <w:sz w:val="22"/>
                <w:szCs w:val="22"/>
              </w:rPr>
              <w:t>6-MP 60 mg/m</w:t>
            </w:r>
            <w:r w:rsidRPr="00F852D1">
              <w:rPr>
                <w:rFonts w:ascii="Times New Roman" w:hAnsi="Times New Roman"/>
                <w:color w:val="000000"/>
                <w:sz w:val="22"/>
                <w:szCs w:val="22"/>
                <w:vertAlign w:val="superscript"/>
              </w:rPr>
              <w:t>2</w:t>
            </w:r>
            <w:r w:rsidRPr="00F852D1">
              <w:rPr>
                <w:rFonts w:ascii="Times New Roman" w:hAnsi="Times New Roman"/>
                <w:color w:val="000000"/>
                <w:sz w:val="22"/>
                <w:szCs w:val="22"/>
              </w:rPr>
              <w:t xml:space="preserve"> oral, dag 26-46</w:t>
            </w:r>
          </w:p>
        </w:tc>
      </w:tr>
      <w:tr w:rsidR="00A573B3" w:rsidRPr="00F852D1" w14:paraId="40B17BD2" w14:textId="77777777" w:rsidTr="00A125B0">
        <w:trPr>
          <w:cantSplit/>
        </w:trPr>
        <w:tc>
          <w:tcPr>
            <w:tcW w:w="2148" w:type="dxa"/>
            <w:tcBorders>
              <w:top w:val="nil"/>
              <w:bottom w:val="single" w:sz="4" w:space="0" w:color="auto"/>
            </w:tcBorders>
            <w:shd w:val="clear" w:color="auto" w:fill="auto"/>
          </w:tcPr>
          <w:p w14:paraId="2033B955" w14:textId="77777777" w:rsidR="00A573B3" w:rsidRPr="004C2A59" w:rsidRDefault="00A573B3" w:rsidP="00A125B0">
            <w:pPr>
              <w:pStyle w:val="Table"/>
              <w:keepNext w:val="0"/>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Konsoliderende behandling</w:t>
            </w:r>
          </w:p>
        </w:tc>
        <w:tc>
          <w:tcPr>
            <w:tcW w:w="6732" w:type="dxa"/>
            <w:gridSpan w:val="4"/>
            <w:tcBorders>
              <w:top w:val="nil"/>
              <w:bottom w:val="single" w:sz="4" w:space="0" w:color="auto"/>
            </w:tcBorders>
            <w:shd w:val="clear" w:color="auto" w:fill="auto"/>
          </w:tcPr>
          <w:p w14:paraId="7B59C6B2" w14:textId="77777777" w:rsidR="00A573B3" w:rsidRPr="00F852D1" w:rsidRDefault="00A573B3" w:rsidP="00A125B0">
            <w:pPr>
              <w:pStyle w:val="Table"/>
              <w:keepNext w:val="0"/>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DEX 10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oral, dag 1-5;</w:t>
            </w:r>
          </w:p>
          <w:p w14:paraId="3E288C2E" w14:textId="77777777" w:rsidR="00A573B3" w:rsidRPr="004C2A59" w:rsidRDefault="00A573B3" w:rsidP="00A125B0">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Vindesin 3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dag 1;</w:t>
            </w:r>
          </w:p>
          <w:p w14:paraId="3496A1BE" w14:textId="77777777" w:rsidR="00A573B3" w:rsidRPr="004C2A59" w:rsidRDefault="00A573B3" w:rsidP="00A125B0">
            <w:pPr>
              <w:pStyle w:val="Table"/>
              <w:keepNext w:val="0"/>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MTX</w:t>
              </w:r>
            </w:smartTag>
            <w:r w:rsidRPr="004C2A59">
              <w:rPr>
                <w:rFonts w:ascii="Times New Roman" w:hAnsi="Times New Roman"/>
                <w:color w:val="000000"/>
                <w:sz w:val="22"/>
                <w:szCs w:val="22"/>
                <w:lang w:val="da-DK"/>
              </w:rPr>
              <w:t xml:space="preserve"> 1,5 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(24 timer), dag 1;</w:t>
            </w:r>
          </w:p>
          <w:p w14:paraId="11C7D87B" w14:textId="77777777" w:rsidR="00A573B3" w:rsidRPr="004C2A59" w:rsidRDefault="00A573B3" w:rsidP="00A125B0">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Etoposid 250 mg/m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(1 time) dag 4-5;</w:t>
            </w:r>
          </w:p>
          <w:p w14:paraId="3AC8B416" w14:textId="77777777" w:rsidR="00A573B3" w:rsidRPr="004C2A59" w:rsidRDefault="00A573B3" w:rsidP="00A125B0">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Ara-C 2x 2 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(3 timer, q 12 timer), dag 5</w:t>
            </w:r>
          </w:p>
        </w:tc>
      </w:tr>
      <w:tr w:rsidR="00A573B3" w:rsidRPr="004C2A59" w14:paraId="33459150" w14:textId="77777777" w:rsidTr="00A125B0">
        <w:trPr>
          <w:cantSplit/>
        </w:trPr>
        <w:tc>
          <w:tcPr>
            <w:tcW w:w="2148" w:type="dxa"/>
            <w:tcBorders>
              <w:top w:val="nil"/>
              <w:bottom w:val="single" w:sz="4" w:space="0" w:color="auto"/>
            </w:tcBorders>
            <w:shd w:val="clear" w:color="auto" w:fill="auto"/>
          </w:tcPr>
          <w:p w14:paraId="73E7FA3B" w14:textId="77777777" w:rsidR="00A573B3" w:rsidRPr="004C2A59" w:rsidRDefault="00A573B3" w:rsidP="00A125B0">
            <w:pPr>
              <w:pStyle w:val="Table"/>
              <w:keepLines w:val="0"/>
              <w:widowControl w:val="0"/>
              <w:spacing w:before="0" w:after="0"/>
              <w:rPr>
                <w:rFonts w:ascii="Times New Roman" w:hAnsi="Times New Roman"/>
                <w:b/>
                <w:color w:val="000000"/>
                <w:sz w:val="22"/>
                <w:szCs w:val="22"/>
              </w:rPr>
            </w:pPr>
            <w:r w:rsidRPr="004C2A59">
              <w:rPr>
                <w:rFonts w:ascii="Times New Roman" w:hAnsi="Times New Roman"/>
                <w:b/>
                <w:color w:val="000000"/>
                <w:sz w:val="22"/>
                <w:szCs w:val="22"/>
              </w:rPr>
              <w:t>Studie AJP01</w:t>
            </w:r>
          </w:p>
        </w:tc>
        <w:tc>
          <w:tcPr>
            <w:tcW w:w="2652" w:type="dxa"/>
            <w:tcBorders>
              <w:top w:val="nil"/>
              <w:bottom w:val="single" w:sz="4" w:space="0" w:color="auto"/>
            </w:tcBorders>
            <w:shd w:val="clear" w:color="auto" w:fill="auto"/>
          </w:tcPr>
          <w:p w14:paraId="2577AC8F"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c>
          <w:tcPr>
            <w:tcW w:w="1080" w:type="dxa"/>
            <w:tcBorders>
              <w:top w:val="nil"/>
              <w:bottom w:val="single" w:sz="4" w:space="0" w:color="auto"/>
            </w:tcBorders>
          </w:tcPr>
          <w:p w14:paraId="7B23BEFD"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c>
          <w:tcPr>
            <w:tcW w:w="1380" w:type="dxa"/>
            <w:tcBorders>
              <w:top w:val="nil"/>
              <w:bottom w:val="single" w:sz="4" w:space="0" w:color="auto"/>
            </w:tcBorders>
          </w:tcPr>
          <w:p w14:paraId="2562F655"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c>
          <w:tcPr>
            <w:tcW w:w="1620" w:type="dxa"/>
            <w:tcBorders>
              <w:top w:val="nil"/>
              <w:bottom w:val="single" w:sz="4" w:space="0" w:color="auto"/>
            </w:tcBorders>
          </w:tcPr>
          <w:p w14:paraId="6090EF9F"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r>
      <w:tr w:rsidR="00A573B3" w:rsidRPr="00F852D1" w14:paraId="5375839E" w14:textId="77777777" w:rsidTr="00A125B0">
        <w:trPr>
          <w:cantSplit/>
        </w:trPr>
        <w:tc>
          <w:tcPr>
            <w:tcW w:w="2148" w:type="dxa"/>
            <w:tcBorders>
              <w:top w:val="nil"/>
              <w:bottom w:val="single" w:sz="4" w:space="0" w:color="auto"/>
            </w:tcBorders>
            <w:shd w:val="clear" w:color="auto" w:fill="auto"/>
          </w:tcPr>
          <w:p w14:paraId="0EE468C8" w14:textId="77777777" w:rsidR="00A573B3" w:rsidRPr="004C2A59" w:rsidRDefault="00A573B3" w:rsidP="00A125B0">
            <w:pPr>
              <w:pStyle w:val="Table"/>
              <w:keepLines w:val="0"/>
              <w:widowControl w:val="0"/>
              <w:spacing w:before="0" w:after="0"/>
              <w:jc w:val="both"/>
              <w:rPr>
                <w:rFonts w:ascii="Times New Roman" w:hAnsi="Times New Roman"/>
                <w:color w:val="000000"/>
                <w:sz w:val="22"/>
                <w:szCs w:val="22"/>
              </w:rPr>
            </w:pPr>
            <w:r w:rsidRPr="004C2A59">
              <w:rPr>
                <w:rFonts w:ascii="Times New Roman" w:hAnsi="Times New Roman"/>
                <w:color w:val="000000"/>
                <w:sz w:val="22"/>
                <w:szCs w:val="22"/>
              </w:rPr>
              <w:t>Induktionsbehandling</w:t>
            </w:r>
          </w:p>
        </w:tc>
        <w:tc>
          <w:tcPr>
            <w:tcW w:w="6732" w:type="dxa"/>
            <w:gridSpan w:val="4"/>
            <w:tcBorders>
              <w:top w:val="nil"/>
              <w:bottom w:val="single" w:sz="4" w:space="0" w:color="auto"/>
            </w:tcBorders>
            <w:shd w:val="clear" w:color="auto" w:fill="auto"/>
          </w:tcPr>
          <w:p w14:paraId="6B947567" w14:textId="77777777" w:rsidR="00A573B3" w:rsidRPr="00F852D1" w:rsidRDefault="00A573B3" w:rsidP="00A125B0">
            <w:pPr>
              <w:pStyle w:val="Table"/>
              <w:keepLines w:val="0"/>
              <w:widowControl w:val="0"/>
              <w:spacing w:before="0" w:after="0"/>
              <w:rPr>
                <w:rFonts w:ascii="Times New Roman" w:hAnsi="Times New Roman"/>
                <w:color w:val="000000"/>
                <w:sz w:val="22"/>
                <w:szCs w:val="22"/>
              </w:rPr>
            </w:pPr>
            <w:r w:rsidRPr="00F852D1">
              <w:rPr>
                <w:rFonts w:ascii="Times New Roman" w:hAnsi="Times New Roman"/>
                <w:color w:val="000000"/>
                <w:sz w:val="22"/>
                <w:szCs w:val="22"/>
              </w:rPr>
              <w:t>CP 1,2 g/m</w:t>
            </w:r>
            <w:r w:rsidRPr="00F852D1">
              <w:rPr>
                <w:rFonts w:ascii="Times New Roman" w:hAnsi="Times New Roman"/>
                <w:color w:val="000000"/>
                <w:sz w:val="22"/>
                <w:szCs w:val="22"/>
                <w:vertAlign w:val="superscript"/>
              </w:rPr>
              <w:t>2</w:t>
            </w:r>
            <w:r w:rsidRPr="00F852D1">
              <w:rPr>
                <w:rFonts w:ascii="Times New Roman" w:hAnsi="Times New Roman"/>
                <w:color w:val="000000"/>
                <w:sz w:val="22"/>
                <w:szCs w:val="22"/>
              </w:rPr>
              <w:t xml:space="preserve"> i.v. (3 timer), dag 1;</w:t>
            </w:r>
          </w:p>
          <w:p w14:paraId="3968EBD3" w14:textId="77777777" w:rsidR="00A573B3" w:rsidRPr="00F852D1" w:rsidRDefault="00A573B3" w:rsidP="00A125B0">
            <w:pPr>
              <w:pStyle w:val="Table"/>
              <w:keepLines w:val="0"/>
              <w:widowControl w:val="0"/>
              <w:spacing w:before="0" w:after="0"/>
              <w:rPr>
                <w:rFonts w:ascii="Times New Roman" w:hAnsi="Times New Roman"/>
                <w:color w:val="000000"/>
                <w:sz w:val="22"/>
                <w:szCs w:val="22"/>
              </w:rPr>
            </w:pPr>
            <w:r w:rsidRPr="00F852D1">
              <w:rPr>
                <w:rFonts w:ascii="Times New Roman" w:hAnsi="Times New Roman"/>
                <w:color w:val="000000"/>
                <w:sz w:val="22"/>
                <w:szCs w:val="22"/>
              </w:rPr>
              <w:t>Daunorubicin 60 mg/m</w:t>
            </w:r>
            <w:r w:rsidRPr="00F852D1">
              <w:rPr>
                <w:rFonts w:ascii="Times New Roman" w:hAnsi="Times New Roman"/>
                <w:color w:val="000000"/>
                <w:sz w:val="22"/>
                <w:szCs w:val="22"/>
                <w:vertAlign w:val="superscript"/>
              </w:rPr>
              <w:t>2</w:t>
            </w:r>
            <w:r w:rsidRPr="00F852D1">
              <w:rPr>
                <w:rFonts w:ascii="Times New Roman" w:hAnsi="Times New Roman"/>
                <w:color w:val="000000"/>
                <w:sz w:val="22"/>
                <w:szCs w:val="22"/>
              </w:rPr>
              <w:t xml:space="preserve"> i.v. (1 time), dag 1-3;</w:t>
            </w:r>
          </w:p>
          <w:p w14:paraId="092BDDCA" w14:textId="77777777" w:rsidR="00A573B3" w:rsidRPr="00F852D1" w:rsidRDefault="00A573B3" w:rsidP="00A125B0">
            <w:pPr>
              <w:pStyle w:val="Table"/>
              <w:keepLines w:val="0"/>
              <w:widowControl w:val="0"/>
              <w:spacing w:before="0" w:after="0"/>
              <w:rPr>
                <w:rFonts w:ascii="Times New Roman" w:hAnsi="Times New Roman"/>
                <w:color w:val="000000"/>
                <w:sz w:val="22"/>
                <w:szCs w:val="22"/>
                <w:lang w:val="fi-FI"/>
              </w:rPr>
            </w:pPr>
            <w:r w:rsidRPr="00F852D1">
              <w:rPr>
                <w:rFonts w:ascii="Times New Roman" w:hAnsi="Times New Roman"/>
                <w:color w:val="000000"/>
                <w:sz w:val="22"/>
                <w:szCs w:val="22"/>
                <w:lang w:val="fi-FI"/>
              </w:rPr>
              <w:t>Vinkistin 1,3 mg/m</w:t>
            </w:r>
            <w:r w:rsidRPr="00F852D1">
              <w:rPr>
                <w:rFonts w:ascii="Times New Roman" w:hAnsi="Times New Roman"/>
                <w:color w:val="000000"/>
                <w:sz w:val="22"/>
                <w:szCs w:val="22"/>
                <w:vertAlign w:val="superscript"/>
                <w:lang w:val="fi-FI"/>
              </w:rPr>
              <w:t>2</w:t>
            </w:r>
            <w:r w:rsidRPr="00F852D1">
              <w:rPr>
                <w:rFonts w:ascii="Times New Roman" w:hAnsi="Times New Roman"/>
                <w:color w:val="000000"/>
                <w:sz w:val="22"/>
                <w:szCs w:val="22"/>
                <w:lang w:val="fi-FI"/>
              </w:rPr>
              <w:t xml:space="preserve"> i.v., dag 1, 8, 15, 21;</w:t>
            </w:r>
          </w:p>
          <w:p w14:paraId="72E84394" w14:textId="77777777" w:rsidR="00A573B3" w:rsidRPr="00F852D1" w:rsidRDefault="00A573B3" w:rsidP="00A125B0">
            <w:pPr>
              <w:pStyle w:val="Table"/>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Prednisolon 60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/dag oral</w:t>
            </w:r>
          </w:p>
        </w:tc>
      </w:tr>
      <w:tr w:rsidR="00A573B3" w:rsidRPr="00F852D1" w14:paraId="32AB5AB0" w14:textId="77777777" w:rsidTr="00A125B0">
        <w:trPr>
          <w:cantSplit/>
        </w:trPr>
        <w:tc>
          <w:tcPr>
            <w:tcW w:w="2148" w:type="dxa"/>
            <w:tcBorders>
              <w:top w:val="single" w:sz="4" w:space="0" w:color="auto"/>
              <w:bottom w:val="single" w:sz="4" w:space="0" w:color="auto"/>
            </w:tcBorders>
            <w:shd w:val="clear" w:color="auto" w:fill="auto"/>
          </w:tcPr>
          <w:p w14:paraId="5E47322B" w14:textId="77777777" w:rsidR="00A573B3" w:rsidRPr="004C2A59" w:rsidRDefault="00A573B3" w:rsidP="00A125B0">
            <w:pPr>
              <w:pStyle w:val="Table"/>
              <w:keepLines w:val="0"/>
              <w:widowControl w:val="0"/>
              <w:tabs>
                <w:tab w:val="left" w:pos="0"/>
              </w:tabs>
              <w:spacing w:before="0" w:after="0"/>
              <w:rPr>
                <w:rFonts w:ascii="Times New Roman" w:hAnsi="Times New Roman"/>
                <w:color w:val="000000"/>
                <w:sz w:val="22"/>
                <w:szCs w:val="22"/>
              </w:rPr>
            </w:pPr>
            <w:r w:rsidRPr="004C2A59">
              <w:rPr>
                <w:rFonts w:ascii="Times New Roman" w:hAnsi="Times New Roman"/>
                <w:color w:val="000000"/>
                <w:sz w:val="22"/>
                <w:szCs w:val="22"/>
              </w:rPr>
              <w:t>Konsoliderende behandling</w:t>
            </w:r>
          </w:p>
        </w:tc>
        <w:tc>
          <w:tcPr>
            <w:tcW w:w="6732" w:type="dxa"/>
            <w:gridSpan w:val="4"/>
            <w:tcBorders>
              <w:top w:val="single" w:sz="4" w:space="0" w:color="auto"/>
              <w:bottom w:val="single" w:sz="4" w:space="0" w:color="auto"/>
            </w:tcBorders>
            <w:shd w:val="clear" w:color="auto" w:fill="auto"/>
          </w:tcPr>
          <w:p w14:paraId="6C5C796E"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 xml:space="preserve">Supplerende kemoterapi omgange: høj-dosis kemoterapi med </w:t>
            </w:r>
            <w:smartTag w:uri="urn:schemas-microsoft-com:office:smarttags" w:element="metricconverter">
              <w:r w:rsidRPr="004C2A59">
                <w:rPr>
                  <w:rFonts w:ascii="Times New Roman" w:hAnsi="Times New Roman"/>
                  <w:color w:val="000000"/>
                  <w:sz w:val="22"/>
                  <w:szCs w:val="22"/>
                  <w:lang w:val="da-DK"/>
                </w:rPr>
                <w:t>MTX</w:t>
              </w:r>
            </w:smartTag>
            <w:r w:rsidRPr="004C2A59">
              <w:rPr>
                <w:rFonts w:ascii="Times New Roman" w:hAnsi="Times New Roman"/>
                <w:color w:val="000000"/>
                <w:sz w:val="22"/>
                <w:szCs w:val="22"/>
                <w:lang w:val="da-DK"/>
              </w:rPr>
              <w:t xml:space="preserve"> 1 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(24 timer), dag 1, og Ara-C 2 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(q 12 timer), dag 2-3, i 4 cyklus</w:t>
            </w:r>
          </w:p>
        </w:tc>
      </w:tr>
      <w:tr w:rsidR="00A573B3" w:rsidRPr="00F852D1" w14:paraId="61E9453B" w14:textId="77777777" w:rsidTr="00A125B0">
        <w:trPr>
          <w:cantSplit/>
        </w:trPr>
        <w:tc>
          <w:tcPr>
            <w:tcW w:w="2148" w:type="dxa"/>
            <w:tcBorders>
              <w:top w:val="single" w:sz="4" w:space="0" w:color="auto"/>
              <w:bottom w:val="single" w:sz="4" w:space="0" w:color="auto"/>
            </w:tcBorders>
            <w:shd w:val="clear" w:color="auto" w:fill="auto"/>
          </w:tcPr>
          <w:p w14:paraId="72C2D0CD" w14:textId="77777777" w:rsidR="00A573B3" w:rsidRPr="004C2A59" w:rsidRDefault="00A573B3" w:rsidP="00A125B0">
            <w:pPr>
              <w:pStyle w:val="Table"/>
              <w:keepNext w:val="0"/>
              <w:keepLines w:val="0"/>
              <w:widowControl w:val="0"/>
              <w:tabs>
                <w:tab w:val="left" w:pos="0"/>
              </w:tabs>
              <w:spacing w:before="0" w:after="0"/>
              <w:rPr>
                <w:rFonts w:ascii="Times New Roman" w:hAnsi="Times New Roman"/>
                <w:color w:val="000000"/>
                <w:sz w:val="22"/>
                <w:szCs w:val="22"/>
              </w:rPr>
            </w:pPr>
            <w:r w:rsidRPr="004C2A59">
              <w:rPr>
                <w:rFonts w:ascii="Times New Roman" w:hAnsi="Times New Roman"/>
                <w:color w:val="000000"/>
                <w:sz w:val="22"/>
                <w:szCs w:val="22"/>
              </w:rPr>
              <w:t>Vedligeholdelse</w:t>
            </w:r>
          </w:p>
        </w:tc>
        <w:tc>
          <w:tcPr>
            <w:tcW w:w="6732" w:type="dxa"/>
            <w:gridSpan w:val="4"/>
            <w:tcBorders>
              <w:top w:val="single" w:sz="4" w:space="0" w:color="auto"/>
              <w:bottom w:val="single" w:sz="4" w:space="0" w:color="auto"/>
            </w:tcBorders>
            <w:shd w:val="clear" w:color="auto" w:fill="auto"/>
          </w:tcPr>
          <w:p w14:paraId="36D13186" w14:textId="77777777" w:rsidR="00A573B3" w:rsidRPr="00F852D1" w:rsidRDefault="00A573B3" w:rsidP="00A125B0">
            <w:pPr>
              <w:pStyle w:val="Table"/>
              <w:keepNext w:val="0"/>
              <w:keepLines w:val="0"/>
              <w:widowControl w:val="0"/>
              <w:spacing w:before="0" w:after="0"/>
              <w:rPr>
                <w:rFonts w:ascii="Times New Roman" w:hAnsi="Times New Roman"/>
                <w:color w:val="000000"/>
                <w:sz w:val="22"/>
                <w:szCs w:val="22"/>
                <w:lang w:val="nb-NO"/>
              </w:rPr>
            </w:pPr>
            <w:smartTag w:uri="urn:schemas-microsoft-com:office:smarttags" w:element="metricconverter">
              <w:r w:rsidRPr="00F852D1">
                <w:rPr>
                  <w:rFonts w:ascii="Times New Roman" w:hAnsi="Times New Roman"/>
                  <w:color w:val="000000"/>
                  <w:sz w:val="22"/>
                  <w:szCs w:val="22"/>
                  <w:lang w:val="nb-NO"/>
                </w:rPr>
                <w:t>VCR</w:t>
              </w:r>
            </w:smartTag>
            <w:r w:rsidRPr="00F852D1">
              <w:rPr>
                <w:rFonts w:ascii="Times New Roman" w:hAnsi="Times New Roman"/>
                <w:color w:val="000000"/>
                <w:sz w:val="22"/>
                <w:szCs w:val="22"/>
                <w:lang w:val="nb-NO"/>
              </w:rPr>
              <w:t xml:space="preserve"> 1,3 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i.v., dag 1;</w:t>
            </w:r>
          </w:p>
          <w:p w14:paraId="1265AEA2" w14:textId="77777777" w:rsidR="00A573B3" w:rsidRPr="00F852D1" w:rsidRDefault="00A573B3" w:rsidP="00A125B0">
            <w:pPr>
              <w:pStyle w:val="Table"/>
              <w:keepNext w:val="0"/>
              <w:keepLines w:val="0"/>
              <w:widowControl w:val="0"/>
              <w:spacing w:before="0" w:after="0"/>
              <w:rPr>
                <w:rFonts w:ascii="Times New Roman" w:hAnsi="Times New Roman"/>
                <w:color w:val="000000"/>
                <w:sz w:val="22"/>
                <w:szCs w:val="22"/>
                <w:lang w:val="nb-NO"/>
              </w:rPr>
            </w:pPr>
            <w:r w:rsidRPr="00F852D1">
              <w:rPr>
                <w:rFonts w:ascii="Times New Roman" w:hAnsi="Times New Roman"/>
                <w:color w:val="000000"/>
                <w:sz w:val="22"/>
                <w:szCs w:val="22"/>
                <w:lang w:val="nb-NO"/>
              </w:rPr>
              <w:t>Prednisolon 60 mg/m</w:t>
            </w:r>
            <w:r w:rsidRPr="00F852D1">
              <w:rPr>
                <w:rFonts w:ascii="Times New Roman" w:hAnsi="Times New Roman"/>
                <w:color w:val="000000"/>
                <w:sz w:val="22"/>
                <w:szCs w:val="22"/>
                <w:vertAlign w:val="superscript"/>
                <w:lang w:val="nb-NO"/>
              </w:rPr>
              <w:t>2</w:t>
            </w:r>
            <w:r w:rsidRPr="00F852D1">
              <w:rPr>
                <w:rFonts w:ascii="Times New Roman" w:hAnsi="Times New Roman"/>
                <w:color w:val="000000"/>
                <w:sz w:val="22"/>
                <w:szCs w:val="22"/>
                <w:lang w:val="nb-NO"/>
              </w:rPr>
              <w:t xml:space="preserve"> oral, dag 1-5</w:t>
            </w:r>
          </w:p>
        </w:tc>
      </w:tr>
      <w:tr w:rsidR="00A573B3" w:rsidRPr="004C2A59" w14:paraId="56464DAB" w14:textId="77777777" w:rsidTr="00A125B0">
        <w:trPr>
          <w:cantSplit/>
        </w:trPr>
        <w:tc>
          <w:tcPr>
            <w:tcW w:w="4800" w:type="dxa"/>
            <w:gridSpan w:val="2"/>
            <w:tcBorders>
              <w:top w:val="single" w:sz="4" w:space="0" w:color="auto"/>
              <w:bottom w:val="single" w:sz="4" w:space="0" w:color="auto"/>
            </w:tcBorders>
            <w:shd w:val="clear" w:color="auto" w:fill="auto"/>
          </w:tcPr>
          <w:p w14:paraId="4D11D41B"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b/>
                <w:color w:val="000000"/>
                <w:sz w:val="22"/>
                <w:szCs w:val="22"/>
              </w:rPr>
              <w:t>Studie AUS01</w:t>
            </w:r>
          </w:p>
        </w:tc>
        <w:tc>
          <w:tcPr>
            <w:tcW w:w="1080" w:type="dxa"/>
            <w:tcBorders>
              <w:top w:val="single" w:sz="4" w:space="0" w:color="auto"/>
              <w:bottom w:val="single" w:sz="4" w:space="0" w:color="auto"/>
            </w:tcBorders>
          </w:tcPr>
          <w:p w14:paraId="4002EA53"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4AE435D0"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2FF1473A"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p>
        </w:tc>
      </w:tr>
      <w:tr w:rsidR="00A573B3" w:rsidRPr="00F852D1" w14:paraId="29A12B03" w14:textId="77777777" w:rsidTr="00A125B0">
        <w:trPr>
          <w:cantSplit/>
        </w:trPr>
        <w:tc>
          <w:tcPr>
            <w:tcW w:w="2148" w:type="dxa"/>
            <w:tcBorders>
              <w:top w:val="single" w:sz="4" w:space="0" w:color="auto"/>
              <w:bottom w:val="single" w:sz="4" w:space="0" w:color="auto"/>
            </w:tcBorders>
            <w:shd w:val="clear" w:color="auto" w:fill="auto"/>
          </w:tcPr>
          <w:p w14:paraId="621E6B8A"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Induktions-konsoliderende behandling</w:t>
            </w:r>
          </w:p>
        </w:tc>
        <w:tc>
          <w:tcPr>
            <w:tcW w:w="6732" w:type="dxa"/>
            <w:gridSpan w:val="4"/>
            <w:tcBorders>
              <w:top w:val="single" w:sz="4" w:space="0" w:color="auto"/>
              <w:bottom w:val="single" w:sz="4" w:space="0" w:color="auto"/>
            </w:tcBorders>
            <w:shd w:val="clear" w:color="auto" w:fill="auto"/>
          </w:tcPr>
          <w:p w14:paraId="441085D8" w14:textId="77777777" w:rsidR="00A573B3" w:rsidRPr="00F852D1" w:rsidRDefault="00A573B3" w:rsidP="00A125B0">
            <w:pPr>
              <w:pStyle w:val="Table"/>
              <w:keepLines w:val="0"/>
              <w:widowControl w:val="0"/>
              <w:spacing w:before="0" w:after="0"/>
              <w:rPr>
                <w:rFonts w:ascii="Times New Roman" w:hAnsi="Times New Roman"/>
                <w:color w:val="000000"/>
                <w:sz w:val="22"/>
                <w:szCs w:val="22"/>
              </w:rPr>
            </w:pPr>
            <w:r w:rsidRPr="00F852D1">
              <w:rPr>
                <w:rFonts w:ascii="Times New Roman" w:hAnsi="Times New Roman"/>
                <w:color w:val="000000"/>
                <w:sz w:val="22"/>
                <w:szCs w:val="22"/>
              </w:rPr>
              <w:t>Hyper-CVAD regimen: CP 300 mg/m</w:t>
            </w:r>
            <w:r w:rsidRPr="00F852D1">
              <w:rPr>
                <w:rFonts w:ascii="Times New Roman" w:hAnsi="Times New Roman"/>
                <w:color w:val="000000"/>
                <w:sz w:val="22"/>
                <w:szCs w:val="22"/>
                <w:vertAlign w:val="superscript"/>
              </w:rPr>
              <w:t>2</w:t>
            </w:r>
            <w:r w:rsidRPr="00F852D1">
              <w:rPr>
                <w:rFonts w:ascii="Times New Roman" w:hAnsi="Times New Roman"/>
                <w:color w:val="000000"/>
                <w:sz w:val="22"/>
                <w:szCs w:val="22"/>
              </w:rPr>
              <w:t xml:space="preserve"> i.v. (3 timer, q 12 timer), dag 1-3;</w:t>
            </w:r>
          </w:p>
          <w:p w14:paraId="48EB7AD9" w14:textId="77777777" w:rsidR="00A573B3" w:rsidRPr="00F852D1" w:rsidRDefault="00A573B3" w:rsidP="00A125B0">
            <w:pPr>
              <w:pStyle w:val="Table"/>
              <w:keepLines w:val="0"/>
              <w:widowControl w:val="0"/>
              <w:spacing w:before="0" w:after="0"/>
              <w:rPr>
                <w:rFonts w:ascii="Times New Roman" w:hAnsi="Times New Roman"/>
                <w:color w:val="000000"/>
                <w:sz w:val="22"/>
                <w:szCs w:val="22"/>
              </w:rPr>
            </w:pPr>
            <w:r w:rsidRPr="00F852D1">
              <w:rPr>
                <w:rFonts w:ascii="Times New Roman" w:hAnsi="Times New Roman"/>
                <w:color w:val="000000"/>
                <w:sz w:val="22"/>
                <w:szCs w:val="22"/>
              </w:rPr>
              <w:t>Vinkristin 2 mg i.v., dag 4, 11;</w:t>
            </w:r>
          </w:p>
          <w:p w14:paraId="0CD4A656" w14:textId="77777777" w:rsidR="00A573B3" w:rsidRPr="00F852D1" w:rsidRDefault="00A573B3" w:rsidP="00A125B0">
            <w:pPr>
              <w:pStyle w:val="Table"/>
              <w:keepLines w:val="0"/>
              <w:widowControl w:val="0"/>
              <w:spacing w:before="0" w:after="0"/>
              <w:rPr>
                <w:rFonts w:ascii="Times New Roman" w:hAnsi="Times New Roman"/>
                <w:color w:val="000000"/>
                <w:sz w:val="22"/>
                <w:szCs w:val="22"/>
              </w:rPr>
            </w:pPr>
            <w:r w:rsidRPr="00F852D1">
              <w:rPr>
                <w:rFonts w:ascii="Times New Roman" w:hAnsi="Times New Roman"/>
                <w:color w:val="000000"/>
                <w:sz w:val="22"/>
                <w:szCs w:val="22"/>
              </w:rPr>
              <w:t>Doxorubicin 50 mg/m</w:t>
            </w:r>
            <w:r w:rsidRPr="00F852D1">
              <w:rPr>
                <w:rFonts w:ascii="Times New Roman" w:hAnsi="Times New Roman"/>
                <w:color w:val="000000"/>
                <w:sz w:val="22"/>
                <w:szCs w:val="22"/>
                <w:vertAlign w:val="superscript"/>
              </w:rPr>
              <w:t>2</w:t>
            </w:r>
            <w:r w:rsidRPr="00F852D1">
              <w:rPr>
                <w:rFonts w:ascii="Times New Roman" w:hAnsi="Times New Roman"/>
                <w:color w:val="000000"/>
                <w:sz w:val="22"/>
                <w:szCs w:val="22"/>
              </w:rPr>
              <w:t xml:space="preserve"> i.v. (24 timer), dag 4;</w:t>
            </w:r>
          </w:p>
          <w:p w14:paraId="54FDDA01"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 xml:space="preserve">DEX 40 mg/dag på dag 1-4 og 11-14, supplerende med </w:t>
            </w:r>
            <w:smartTag w:uri="urn:schemas-microsoft-com:office:smarttags" w:element="metricconverter">
              <w:r w:rsidRPr="004C2A59">
                <w:rPr>
                  <w:rFonts w:ascii="Times New Roman" w:hAnsi="Times New Roman"/>
                  <w:color w:val="000000"/>
                  <w:sz w:val="22"/>
                  <w:szCs w:val="22"/>
                  <w:lang w:val="da-DK"/>
                </w:rPr>
                <w:t>MTX</w:t>
              </w:r>
            </w:smartTag>
            <w:r w:rsidRPr="004C2A59">
              <w:rPr>
                <w:rFonts w:ascii="Times New Roman" w:hAnsi="Times New Roman"/>
                <w:color w:val="000000"/>
                <w:sz w:val="22"/>
                <w:szCs w:val="22"/>
                <w:lang w:val="da-DK"/>
              </w:rPr>
              <w:t xml:space="preserve"> 1 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(24 timer), dag 1, Ara-C 1 g/m</w:t>
            </w:r>
            <w:r w:rsidRPr="004C2A59">
              <w:rPr>
                <w:rFonts w:ascii="Times New Roman" w:hAnsi="Times New Roman"/>
                <w:color w:val="000000"/>
                <w:sz w:val="22"/>
                <w:szCs w:val="22"/>
                <w:vertAlign w:val="superscript"/>
                <w:lang w:val="da-DK"/>
              </w:rPr>
              <w:t>2</w:t>
            </w:r>
            <w:r w:rsidRPr="004C2A59">
              <w:rPr>
                <w:rFonts w:ascii="Times New Roman" w:hAnsi="Times New Roman"/>
                <w:color w:val="000000"/>
                <w:sz w:val="22"/>
                <w:szCs w:val="22"/>
                <w:lang w:val="da-DK"/>
              </w:rPr>
              <w:t xml:space="preserve"> i.v. (2 timer, q 12 timer), dag 2-3 (total af 8 omgange)</w:t>
            </w:r>
          </w:p>
        </w:tc>
      </w:tr>
      <w:tr w:rsidR="00A573B3" w:rsidRPr="00DA2798" w14:paraId="3C5073BA" w14:textId="77777777" w:rsidTr="00A125B0">
        <w:trPr>
          <w:cantSplit/>
        </w:trPr>
        <w:tc>
          <w:tcPr>
            <w:tcW w:w="2148" w:type="dxa"/>
            <w:tcBorders>
              <w:top w:val="single" w:sz="4" w:space="0" w:color="auto"/>
              <w:bottom w:val="single" w:sz="4" w:space="0" w:color="auto"/>
            </w:tcBorders>
            <w:shd w:val="clear" w:color="auto" w:fill="auto"/>
          </w:tcPr>
          <w:p w14:paraId="26FBD2FB" w14:textId="77777777" w:rsidR="00A573B3" w:rsidRPr="004C2A59" w:rsidRDefault="00A573B3" w:rsidP="00A125B0">
            <w:pPr>
              <w:pStyle w:val="Table"/>
              <w:keepLines w:val="0"/>
              <w:widowControl w:val="0"/>
              <w:spacing w:before="0" w:after="0"/>
              <w:rPr>
                <w:rFonts w:ascii="Times New Roman" w:hAnsi="Times New Roman"/>
                <w:color w:val="000000"/>
                <w:sz w:val="22"/>
                <w:szCs w:val="22"/>
              </w:rPr>
            </w:pPr>
            <w:r w:rsidRPr="004C2A59">
              <w:rPr>
                <w:rFonts w:ascii="Times New Roman" w:hAnsi="Times New Roman"/>
                <w:color w:val="000000"/>
                <w:sz w:val="22"/>
                <w:szCs w:val="22"/>
              </w:rPr>
              <w:t>Vedligeholdelse</w:t>
            </w:r>
          </w:p>
        </w:tc>
        <w:tc>
          <w:tcPr>
            <w:tcW w:w="6732" w:type="dxa"/>
            <w:gridSpan w:val="4"/>
            <w:tcBorders>
              <w:top w:val="single" w:sz="4" w:space="0" w:color="auto"/>
              <w:bottom w:val="single" w:sz="4" w:space="0" w:color="auto"/>
            </w:tcBorders>
            <w:shd w:val="clear" w:color="auto" w:fill="auto"/>
          </w:tcPr>
          <w:p w14:paraId="25D9A633"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smartTag w:uri="urn:schemas-microsoft-com:office:smarttags" w:element="metricconverter">
              <w:r w:rsidRPr="004C2A59">
                <w:rPr>
                  <w:rFonts w:ascii="Times New Roman" w:hAnsi="Times New Roman"/>
                  <w:color w:val="000000"/>
                  <w:sz w:val="22"/>
                  <w:szCs w:val="22"/>
                  <w:lang w:val="da-DK"/>
                </w:rPr>
                <w:t>VCR</w:t>
              </w:r>
            </w:smartTag>
            <w:r w:rsidRPr="004C2A59">
              <w:rPr>
                <w:rFonts w:ascii="Times New Roman" w:hAnsi="Times New Roman"/>
                <w:color w:val="000000"/>
                <w:sz w:val="22"/>
                <w:szCs w:val="22"/>
                <w:lang w:val="da-DK"/>
              </w:rPr>
              <w:t xml:space="preserve"> 2 mg i.v. månedligt i 13 måneder;</w:t>
            </w:r>
          </w:p>
          <w:p w14:paraId="29C9C327"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Prednisolon 200 mg oral, 5 dag per måned i 13 måneder</w:t>
            </w:r>
          </w:p>
        </w:tc>
      </w:tr>
      <w:tr w:rsidR="00A573B3" w:rsidRPr="00F852D1" w14:paraId="12972080" w14:textId="77777777" w:rsidTr="00A125B0">
        <w:trPr>
          <w:cantSplit/>
        </w:trPr>
        <w:tc>
          <w:tcPr>
            <w:tcW w:w="8880" w:type="dxa"/>
            <w:gridSpan w:val="5"/>
            <w:tcBorders>
              <w:top w:val="single" w:sz="4" w:space="0" w:color="auto"/>
              <w:bottom w:val="single" w:sz="4" w:space="0" w:color="auto"/>
            </w:tcBorders>
            <w:shd w:val="clear" w:color="auto" w:fill="auto"/>
          </w:tcPr>
          <w:p w14:paraId="75748820" w14:textId="77777777" w:rsidR="00A573B3" w:rsidRPr="004C2A59" w:rsidRDefault="00A573B3" w:rsidP="00A125B0">
            <w:pPr>
              <w:pStyle w:val="Table"/>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 xml:space="preserve">Alle behandlingsregimer inkluderer administration af steroider mod </w:t>
            </w:r>
            <w:smartTag w:uri="urn:schemas-microsoft-com:office:smarttags" w:element="metricconverter">
              <w:r w:rsidRPr="004C2A59">
                <w:rPr>
                  <w:rFonts w:ascii="Times New Roman" w:hAnsi="Times New Roman"/>
                  <w:color w:val="000000"/>
                  <w:sz w:val="22"/>
                  <w:szCs w:val="22"/>
                  <w:lang w:val="da-DK"/>
                </w:rPr>
                <w:t>CNS</w:t>
              </w:r>
            </w:smartTag>
            <w:r w:rsidRPr="004C2A59">
              <w:rPr>
                <w:rFonts w:ascii="Times New Roman" w:hAnsi="Times New Roman"/>
                <w:color w:val="000000"/>
                <w:sz w:val="22"/>
                <w:szCs w:val="22"/>
                <w:lang w:val="da-DK"/>
              </w:rPr>
              <w:t xml:space="preserve"> profylakse</w:t>
            </w:r>
          </w:p>
        </w:tc>
      </w:tr>
      <w:tr w:rsidR="00A573B3" w:rsidRPr="00F852D1" w14:paraId="3C07EA68" w14:textId="77777777" w:rsidTr="00A125B0">
        <w:trPr>
          <w:cantSplit/>
        </w:trPr>
        <w:tc>
          <w:tcPr>
            <w:tcW w:w="8880" w:type="dxa"/>
            <w:gridSpan w:val="5"/>
            <w:tcBorders>
              <w:top w:val="single" w:sz="4" w:space="0" w:color="auto"/>
              <w:bottom w:val="single" w:sz="4" w:space="0" w:color="auto"/>
            </w:tcBorders>
            <w:shd w:val="clear" w:color="auto" w:fill="auto"/>
          </w:tcPr>
          <w:p w14:paraId="4AC67F21" w14:textId="77777777" w:rsidR="00A573B3" w:rsidRPr="004C2A59" w:rsidRDefault="00A573B3" w:rsidP="00A125B0">
            <w:pPr>
              <w:pStyle w:val="Table"/>
              <w:keepNext w:val="0"/>
              <w:keepLines w:val="0"/>
              <w:widowControl w:val="0"/>
              <w:spacing w:before="0" w:after="0"/>
              <w:rPr>
                <w:rFonts w:ascii="Times New Roman" w:hAnsi="Times New Roman"/>
                <w:color w:val="000000"/>
                <w:sz w:val="22"/>
                <w:szCs w:val="22"/>
                <w:lang w:val="da-DK"/>
              </w:rPr>
            </w:pPr>
            <w:r w:rsidRPr="004C2A59">
              <w:rPr>
                <w:rFonts w:ascii="Times New Roman" w:hAnsi="Times New Roman"/>
                <w:color w:val="000000"/>
                <w:sz w:val="22"/>
                <w:szCs w:val="22"/>
                <w:lang w:val="da-DK"/>
              </w:rPr>
              <w:t xml:space="preserve">Ara-C: cytosin arabinosid; CP: cyclophosphamid; DEX: dexamethason; </w:t>
            </w:r>
            <w:smartTag w:uri="urn:schemas-microsoft-com:office:smarttags" w:element="metricconverter">
              <w:r w:rsidRPr="004C2A59">
                <w:rPr>
                  <w:rFonts w:ascii="Times New Roman" w:hAnsi="Times New Roman"/>
                  <w:color w:val="000000"/>
                  <w:sz w:val="22"/>
                  <w:szCs w:val="22"/>
                  <w:lang w:val="da-DK"/>
                </w:rPr>
                <w:t>MTX</w:t>
              </w:r>
            </w:smartTag>
            <w:r w:rsidRPr="004C2A59">
              <w:rPr>
                <w:rFonts w:ascii="Times New Roman" w:hAnsi="Times New Roman"/>
                <w:color w:val="000000"/>
                <w:sz w:val="22"/>
                <w:szCs w:val="22"/>
                <w:lang w:val="da-DK"/>
              </w:rPr>
              <w:t xml:space="preserve">: methotrexat; 6-MP: 6-mercaptopurin; VM26: teniposid; </w:t>
            </w:r>
            <w:smartTag w:uri="urn:schemas-microsoft-com:office:smarttags" w:element="metricconverter">
              <w:r w:rsidRPr="004C2A59">
                <w:rPr>
                  <w:rFonts w:ascii="Times New Roman" w:hAnsi="Times New Roman"/>
                  <w:color w:val="000000"/>
                  <w:sz w:val="22"/>
                  <w:szCs w:val="22"/>
                  <w:lang w:val="da-DK"/>
                </w:rPr>
                <w:t>VCR</w:t>
              </w:r>
            </w:smartTag>
            <w:r w:rsidRPr="004C2A59">
              <w:rPr>
                <w:rFonts w:ascii="Times New Roman" w:hAnsi="Times New Roman"/>
                <w:color w:val="000000"/>
                <w:sz w:val="22"/>
                <w:szCs w:val="22"/>
                <w:lang w:val="da-DK"/>
              </w:rPr>
              <w:t xml:space="preserve">: vinkristin; </w:t>
            </w:r>
            <w:smartTag w:uri="urn:schemas-microsoft-com:office:smarttags" w:element="metricconverter">
              <w:r w:rsidRPr="004C2A59">
                <w:rPr>
                  <w:rFonts w:ascii="Times New Roman" w:hAnsi="Times New Roman"/>
                  <w:color w:val="000000"/>
                  <w:sz w:val="22"/>
                  <w:szCs w:val="22"/>
                  <w:lang w:val="da-DK"/>
                </w:rPr>
                <w:t>IDA</w:t>
              </w:r>
            </w:smartTag>
            <w:r w:rsidRPr="004C2A59">
              <w:rPr>
                <w:rFonts w:ascii="Times New Roman" w:hAnsi="Times New Roman"/>
                <w:color w:val="000000"/>
                <w:sz w:val="22"/>
                <w:szCs w:val="22"/>
                <w:lang w:val="da-DK"/>
              </w:rPr>
              <w:t>: idarubicin; i.v.: intravenøs</w:t>
            </w:r>
          </w:p>
        </w:tc>
      </w:tr>
    </w:tbl>
    <w:p w14:paraId="16B87452" w14:textId="77777777" w:rsidR="00A573B3" w:rsidRPr="004C2A59" w:rsidRDefault="00A573B3" w:rsidP="00421681">
      <w:pPr>
        <w:pStyle w:val="EndnoteText"/>
        <w:rPr>
          <w:color w:val="000000"/>
          <w:szCs w:val="22"/>
        </w:rPr>
      </w:pPr>
    </w:p>
    <w:p w14:paraId="3D532DC7" w14:textId="77777777" w:rsidR="00A573B3" w:rsidRPr="004C2A59" w:rsidRDefault="00A573B3" w:rsidP="00421681">
      <w:pPr>
        <w:pStyle w:val="EndnoteText"/>
        <w:rPr>
          <w:color w:val="000000"/>
          <w:szCs w:val="22"/>
        </w:rPr>
      </w:pPr>
      <w:r w:rsidRPr="004C2A59">
        <w:rPr>
          <w:i/>
          <w:color w:val="000000"/>
          <w:szCs w:val="22"/>
        </w:rPr>
        <w:t>Børn</w:t>
      </w:r>
      <w:r w:rsidRPr="004C2A59">
        <w:rPr>
          <w:color w:val="000000"/>
          <w:szCs w:val="22"/>
        </w:rPr>
        <w:t>: I studie I2301 blev der inkluderet i alt 93 børn, unge og yngre voksne (fra 1 til 22 år) med Ph+ ALL i et åbent, multicenter, ikke-radomiseret fase III sekventielt kohorte-forsøg. Patienterne blev behandlet med Glivec (340 mg/m</w:t>
      </w:r>
      <w:r w:rsidRPr="004C2A59">
        <w:rPr>
          <w:color w:val="000000"/>
          <w:szCs w:val="22"/>
          <w:vertAlign w:val="superscript"/>
        </w:rPr>
        <w:t>2</w:t>
      </w:r>
      <w:r w:rsidRPr="004C2A59">
        <w:rPr>
          <w:color w:val="000000"/>
          <w:szCs w:val="22"/>
        </w:rPr>
        <w:t xml:space="preserve">/dag) i kombination med intensiv kemoterapi efter induktionsbehandling. Glivec blev administreret periodisk i kohorte 1-5 med stigende varighed og tidligere start med Glivec fra kohorte til kohorte; kohorte 1 fik den mindst intensive Glivec-behandling og kohorte 5 den mest intensive (længste varighed i dage med kontinuerlig, daglig Glivec-dosering i de første kemobehandlingsforløb). Kontinuerlig daglig eksponering for Glivec tidligt i behandlingsforløbet i kombination med kemoterapi hos kohorte 5-patienter (n=50) forbedrede den 4-årige hændelsesfri overlevelse (EFS) sammenlignet med en historisk kontrolgruppe (n=120), der fik standard-kemoterapi uden Glivec (hhv. 69,6% </w:t>
      </w:r>
      <w:r w:rsidRPr="004C2A59">
        <w:rPr>
          <w:i/>
          <w:color w:val="000000"/>
          <w:szCs w:val="22"/>
        </w:rPr>
        <w:t>vs.</w:t>
      </w:r>
      <w:r w:rsidRPr="004C2A59">
        <w:rPr>
          <w:color w:val="000000"/>
          <w:szCs w:val="22"/>
        </w:rPr>
        <w:t xml:space="preserve"> 31,6%). Den estimerede 4-års OS hos kohorte 5-patienter var 83,6% sammenlignet med 44,8% i den historiske kontrolgruppe. 20 ud af 50 (40%) patienter i kohorte 5 fik hæmatopoietisk stamcelletransplantation.</w:t>
      </w:r>
    </w:p>
    <w:p w14:paraId="3B1009C7" w14:textId="77777777" w:rsidR="00A573B3" w:rsidRPr="004C2A59" w:rsidRDefault="00A573B3" w:rsidP="00421681">
      <w:pPr>
        <w:pStyle w:val="EndnoteText"/>
        <w:rPr>
          <w:color w:val="000000"/>
          <w:szCs w:val="22"/>
        </w:rPr>
      </w:pPr>
    </w:p>
    <w:p w14:paraId="7153F301" w14:textId="77777777" w:rsidR="00A573B3" w:rsidRPr="004C2A59" w:rsidRDefault="00A573B3" w:rsidP="00A125B0">
      <w:pPr>
        <w:pStyle w:val="EndnoteText"/>
        <w:keepNext/>
        <w:tabs>
          <w:tab w:val="clear" w:pos="567"/>
        </w:tabs>
        <w:ind w:left="1134" w:hanging="1134"/>
        <w:rPr>
          <w:b/>
          <w:color w:val="000000"/>
        </w:rPr>
      </w:pPr>
      <w:r w:rsidRPr="004C2A59">
        <w:rPr>
          <w:b/>
          <w:color w:val="000000"/>
        </w:rPr>
        <w:lastRenderedPageBreak/>
        <w:t>Tabel </w:t>
      </w:r>
      <w:r w:rsidR="00FD10C4" w:rsidRPr="004C2A59">
        <w:rPr>
          <w:b/>
          <w:color w:val="000000"/>
        </w:rPr>
        <w:t>5</w:t>
      </w:r>
      <w:r w:rsidRPr="004C2A59">
        <w:rPr>
          <w:b/>
          <w:color w:val="000000"/>
        </w:rPr>
        <w:tab/>
        <w:t>Kemoterapi-regime anvendt i kombination med imatinib i studie I2301</w:t>
      </w:r>
    </w:p>
    <w:p w14:paraId="3C9E53CA" w14:textId="77777777" w:rsidR="00A573B3" w:rsidRPr="004C2A59" w:rsidRDefault="00A573B3" w:rsidP="00A125B0">
      <w:pPr>
        <w:pStyle w:val="EndnoteText"/>
        <w:keepNext/>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9"/>
        <w:gridCol w:w="6726"/>
      </w:tblGrid>
      <w:tr w:rsidR="00A573B3" w:rsidRPr="00DA2798" w14:paraId="6C850EBB" w14:textId="77777777" w:rsidTr="00C422EE">
        <w:trPr>
          <w:cantSplit/>
        </w:trPr>
        <w:tc>
          <w:tcPr>
            <w:tcW w:w="2357" w:type="dxa"/>
            <w:shd w:val="clear" w:color="auto" w:fill="auto"/>
          </w:tcPr>
          <w:p w14:paraId="210151EA" w14:textId="77777777" w:rsidR="00A573B3" w:rsidRPr="004C2A59" w:rsidRDefault="00A573B3" w:rsidP="00421681">
            <w:pPr>
              <w:pStyle w:val="EndnoteText"/>
              <w:rPr>
                <w:color w:val="000000"/>
              </w:rPr>
            </w:pPr>
            <w:r w:rsidRPr="004C2A59">
              <w:rPr>
                <w:color w:val="000000"/>
              </w:rPr>
              <w:t>Konsolidering blok 1</w:t>
            </w:r>
          </w:p>
          <w:p w14:paraId="4AB03634" w14:textId="77777777" w:rsidR="00A573B3" w:rsidRPr="004C2A59" w:rsidRDefault="00A573B3" w:rsidP="00421681">
            <w:pPr>
              <w:pStyle w:val="EndnoteText"/>
              <w:rPr>
                <w:color w:val="000000"/>
              </w:rPr>
            </w:pPr>
            <w:r w:rsidRPr="004C2A59">
              <w:rPr>
                <w:color w:val="000000"/>
              </w:rPr>
              <w:t>(3 uger)</w:t>
            </w:r>
          </w:p>
        </w:tc>
        <w:tc>
          <w:tcPr>
            <w:tcW w:w="6924" w:type="dxa"/>
            <w:shd w:val="clear" w:color="auto" w:fill="auto"/>
          </w:tcPr>
          <w:p w14:paraId="651C4B92" w14:textId="77777777" w:rsidR="00A573B3" w:rsidRPr="004C2A59" w:rsidRDefault="00A573B3" w:rsidP="00421681">
            <w:pPr>
              <w:pStyle w:val="EndnoteText"/>
              <w:rPr>
                <w:color w:val="000000"/>
              </w:rPr>
            </w:pPr>
            <w:r w:rsidRPr="004C2A59">
              <w:rPr>
                <w:color w:val="000000"/>
              </w:rPr>
              <w:t>VP-16 (100 mg/m</w:t>
            </w:r>
            <w:r w:rsidRPr="004C2A59">
              <w:rPr>
                <w:color w:val="000000"/>
                <w:vertAlign w:val="superscript"/>
              </w:rPr>
              <w:t>2</w:t>
            </w:r>
            <w:r w:rsidRPr="004C2A59">
              <w:rPr>
                <w:color w:val="000000"/>
              </w:rPr>
              <w:t>/dag, i.v.): dag 1</w:t>
            </w:r>
            <w:r w:rsidRPr="004C2A59">
              <w:rPr>
                <w:color w:val="000000"/>
              </w:rPr>
              <w:noBreakHyphen/>
              <w:t>5</w:t>
            </w:r>
          </w:p>
          <w:p w14:paraId="098C0259" w14:textId="77777777" w:rsidR="00A573B3" w:rsidRPr="004C2A59" w:rsidRDefault="00A573B3" w:rsidP="00421681">
            <w:pPr>
              <w:pStyle w:val="EndnoteText"/>
              <w:rPr>
                <w:color w:val="000000"/>
              </w:rPr>
            </w:pPr>
            <w:r w:rsidRPr="004C2A59">
              <w:rPr>
                <w:color w:val="000000"/>
              </w:rPr>
              <w:t>Ifosfamid (1,8 g/m</w:t>
            </w:r>
            <w:r w:rsidRPr="004C2A59">
              <w:rPr>
                <w:color w:val="000000"/>
                <w:vertAlign w:val="superscript"/>
              </w:rPr>
              <w:t>2</w:t>
            </w:r>
            <w:r w:rsidRPr="004C2A59">
              <w:rPr>
                <w:color w:val="000000"/>
              </w:rPr>
              <w:t>/dag, i.v.): dag 1</w:t>
            </w:r>
            <w:r w:rsidRPr="004C2A59">
              <w:rPr>
                <w:color w:val="000000"/>
              </w:rPr>
              <w:noBreakHyphen/>
              <w:t>5</w:t>
            </w:r>
          </w:p>
          <w:p w14:paraId="5B42CFCC" w14:textId="77777777" w:rsidR="00A573B3" w:rsidRPr="004C2A59" w:rsidRDefault="00A573B3" w:rsidP="00421681">
            <w:pPr>
              <w:pStyle w:val="EndnoteText"/>
              <w:rPr>
                <w:color w:val="000000"/>
              </w:rPr>
            </w:pPr>
            <w:r w:rsidRPr="004C2A59">
              <w:rPr>
                <w:color w:val="000000"/>
              </w:rPr>
              <w:t>MESNA (360 mg/m</w:t>
            </w:r>
            <w:r w:rsidRPr="004C2A59">
              <w:rPr>
                <w:color w:val="000000"/>
                <w:vertAlign w:val="superscript"/>
              </w:rPr>
              <w:t>2</w:t>
            </w:r>
            <w:r w:rsidRPr="004C2A59">
              <w:rPr>
                <w:color w:val="000000"/>
              </w:rPr>
              <w:t>/dosis hver 3 time, x 8 doser/dag, i.v.): dag 1</w:t>
            </w:r>
            <w:r w:rsidRPr="004C2A59">
              <w:rPr>
                <w:color w:val="000000"/>
              </w:rPr>
              <w:noBreakHyphen/>
              <w:t>5</w:t>
            </w:r>
          </w:p>
          <w:p w14:paraId="2D2A992E" w14:textId="77777777" w:rsidR="00A573B3" w:rsidRPr="004C2A59" w:rsidRDefault="00A573B3" w:rsidP="00421681">
            <w:pPr>
              <w:pStyle w:val="EndnoteText"/>
              <w:rPr>
                <w:color w:val="000000"/>
              </w:rPr>
            </w:pPr>
            <w:r w:rsidRPr="004C2A59">
              <w:rPr>
                <w:color w:val="000000"/>
              </w:rPr>
              <w:t>G-CSF (5 μg/kg, s.c.): dag 6</w:t>
            </w:r>
            <w:r w:rsidRPr="004C2A59">
              <w:rPr>
                <w:color w:val="000000"/>
              </w:rPr>
              <w:noBreakHyphen/>
              <w:t>15, eller indtil ANC &gt; 1500 post nadir</w:t>
            </w:r>
          </w:p>
          <w:p w14:paraId="56434BE8" w14:textId="77777777" w:rsidR="00A573B3" w:rsidRPr="004C2A59" w:rsidRDefault="00A573B3" w:rsidP="00421681">
            <w:pPr>
              <w:pStyle w:val="EndnoteText"/>
              <w:rPr>
                <w:color w:val="000000"/>
              </w:rPr>
            </w:pPr>
            <w:r w:rsidRPr="004C2A59">
              <w:rPr>
                <w:color w:val="000000"/>
              </w:rPr>
              <w:t>I.t. methotrexat (aldersjusteret): KUN dag 1</w:t>
            </w:r>
          </w:p>
          <w:p w14:paraId="6EC3E715" w14:textId="77777777" w:rsidR="00A573B3" w:rsidRPr="004C2A59" w:rsidRDefault="00A573B3" w:rsidP="00421681">
            <w:pPr>
              <w:pStyle w:val="EndnoteText"/>
              <w:rPr>
                <w:color w:val="000000"/>
              </w:rPr>
            </w:pPr>
            <w:r w:rsidRPr="004C2A59">
              <w:rPr>
                <w:color w:val="000000"/>
              </w:rPr>
              <w:t>Tredobbelt i.t.-terapi (aldersjusteret): dag 8, 15</w:t>
            </w:r>
          </w:p>
        </w:tc>
      </w:tr>
      <w:tr w:rsidR="00A573B3" w:rsidRPr="00F852D1" w14:paraId="1EC4DFA4" w14:textId="77777777" w:rsidTr="00C422EE">
        <w:trPr>
          <w:cantSplit/>
        </w:trPr>
        <w:tc>
          <w:tcPr>
            <w:tcW w:w="2357" w:type="dxa"/>
            <w:shd w:val="clear" w:color="auto" w:fill="auto"/>
          </w:tcPr>
          <w:p w14:paraId="479310BF" w14:textId="77777777" w:rsidR="00A573B3" w:rsidRPr="004C2A59" w:rsidRDefault="00A573B3" w:rsidP="00421681">
            <w:pPr>
              <w:pStyle w:val="EndnoteText"/>
              <w:rPr>
                <w:color w:val="000000"/>
              </w:rPr>
            </w:pPr>
            <w:r w:rsidRPr="004C2A59">
              <w:rPr>
                <w:color w:val="000000"/>
              </w:rPr>
              <w:t>Konsolidering blok 2</w:t>
            </w:r>
          </w:p>
          <w:p w14:paraId="6FF6501E" w14:textId="77777777" w:rsidR="00A573B3" w:rsidRPr="004C2A59" w:rsidRDefault="00A573B3" w:rsidP="00421681">
            <w:pPr>
              <w:pStyle w:val="EndnoteText"/>
              <w:rPr>
                <w:color w:val="000000"/>
              </w:rPr>
            </w:pPr>
            <w:r w:rsidRPr="004C2A59">
              <w:rPr>
                <w:color w:val="000000"/>
              </w:rPr>
              <w:t>(3 uger)</w:t>
            </w:r>
          </w:p>
        </w:tc>
        <w:tc>
          <w:tcPr>
            <w:tcW w:w="6924" w:type="dxa"/>
            <w:shd w:val="clear" w:color="auto" w:fill="auto"/>
          </w:tcPr>
          <w:p w14:paraId="576C7BD8" w14:textId="77777777" w:rsidR="00A573B3" w:rsidRPr="004C2A59" w:rsidRDefault="00A573B3" w:rsidP="00421681">
            <w:pPr>
              <w:pStyle w:val="EndnoteText"/>
              <w:rPr>
                <w:color w:val="000000"/>
              </w:rPr>
            </w:pPr>
            <w:r w:rsidRPr="004C2A59">
              <w:rPr>
                <w:color w:val="000000"/>
              </w:rPr>
              <w:t>Methotrexat (5 g/m</w:t>
            </w:r>
            <w:r w:rsidRPr="004C2A59">
              <w:rPr>
                <w:color w:val="000000"/>
                <w:vertAlign w:val="superscript"/>
              </w:rPr>
              <w:t>2</w:t>
            </w:r>
            <w:r w:rsidRPr="004C2A59">
              <w:rPr>
                <w:color w:val="000000"/>
              </w:rPr>
              <w:t xml:space="preserve"> over 24 timer, i.v.): dag 1</w:t>
            </w:r>
          </w:p>
          <w:p w14:paraId="77D7EB80" w14:textId="77777777" w:rsidR="00A573B3" w:rsidRPr="004C2A59" w:rsidRDefault="00A573B3" w:rsidP="00421681">
            <w:pPr>
              <w:pStyle w:val="EndnoteText"/>
              <w:rPr>
                <w:color w:val="000000"/>
              </w:rPr>
            </w:pPr>
            <w:r w:rsidRPr="004C2A59">
              <w:rPr>
                <w:color w:val="000000"/>
              </w:rPr>
              <w:t>Leucovorin (75 mg/m</w:t>
            </w:r>
            <w:r w:rsidRPr="004C2A59">
              <w:rPr>
                <w:color w:val="000000"/>
                <w:vertAlign w:val="superscript"/>
              </w:rPr>
              <w:t>2</w:t>
            </w:r>
            <w:r w:rsidRPr="004C2A59">
              <w:rPr>
                <w:color w:val="000000"/>
              </w:rPr>
              <w:t xml:space="preserve"> i time 36, i.v.; 15 mg/m</w:t>
            </w:r>
            <w:r w:rsidRPr="004C2A59">
              <w:rPr>
                <w:color w:val="000000"/>
                <w:vertAlign w:val="superscript"/>
              </w:rPr>
              <w:t>2</w:t>
            </w:r>
            <w:r w:rsidRPr="004C2A59">
              <w:rPr>
                <w:color w:val="000000"/>
              </w:rPr>
              <w:t xml:space="preserve"> i.v. eller p.o. q6h x 6 doser)iii: dag 2 og 3</w:t>
            </w:r>
          </w:p>
          <w:p w14:paraId="31728C21" w14:textId="77777777" w:rsidR="00A573B3" w:rsidRPr="004C2A59" w:rsidRDefault="00A573B3" w:rsidP="00421681">
            <w:pPr>
              <w:pStyle w:val="EndnoteText"/>
              <w:rPr>
                <w:color w:val="000000"/>
              </w:rPr>
            </w:pPr>
            <w:r w:rsidRPr="004C2A59">
              <w:rPr>
                <w:color w:val="000000"/>
              </w:rPr>
              <w:t>Tredobbelt i.t.-terapi (aldersjusteret): dag 1</w:t>
            </w:r>
          </w:p>
          <w:p w14:paraId="1276A6EE" w14:textId="77777777" w:rsidR="00A573B3" w:rsidRPr="004C2A59" w:rsidRDefault="00A573B3" w:rsidP="00421681">
            <w:pPr>
              <w:pStyle w:val="EndnoteText"/>
              <w:rPr>
                <w:color w:val="000000"/>
              </w:rPr>
            </w:pPr>
            <w:r w:rsidRPr="004C2A59">
              <w:rPr>
                <w:color w:val="000000"/>
              </w:rPr>
              <w:t>ARA-C (3 g/m</w:t>
            </w:r>
            <w:r w:rsidRPr="004C2A59">
              <w:rPr>
                <w:color w:val="000000"/>
                <w:vertAlign w:val="superscript"/>
              </w:rPr>
              <w:t>2</w:t>
            </w:r>
            <w:r w:rsidRPr="004C2A59">
              <w:rPr>
                <w:color w:val="000000"/>
              </w:rPr>
              <w:t>/dosis q 12 h x 4, i.v.): dag 2 og 3</w:t>
            </w:r>
          </w:p>
          <w:p w14:paraId="6CEEC33D" w14:textId="77777777" w:rsidR="00A573B3" w:rsidRPr="004C2A59" w:rsidRDefault="00A573B3" w:rsidP="00421681">
            <w:pPr>
              <w:pStyle w:val="EndnoteText"/>
              <w:rPr>
                <w:color w:val="000000"/>
              </w:rPr>
            </w:pPr>
            <w:r w:rsidRPr="004C2A59">
              <w:rPr>
                <w:color w:val="000000"/>
              </w:rPr>
              <w:t>G-CSF (5 μg/kg, s.c.): dag 4-13, eller indtil ANC &gt;1500 post nadir</w:t>
            </w:r>
          </w:p>
        </w:tc>
      </w:tr>
      <w:tr w:rsidR="00A573B3" w:rsidRPr="00DA2798" w14:paraId="45C7429A" w14:textId="77777777" w:rsidTr="00C422EE">
        <w:trPr>
          <w:cantSplit/>
        </w:trPr>
        <w:tc>
          <w:tcPr>
            <w:tcW w:w="2357" w:type="dxa"/>
            <w:shd w:val="clear" w:color="auto" w:fill="auto"/>
          </w:tcPr>
          <w:p w14:paraId="01C46063" w14:textId="77777777" w:rsidR="00A573B3" w:rsidRPr="004C2A59" w:rsidRDefault="00A573B3" w:rsidP="00421681">
            <w:pPr>
              <w:pStyle w:val="EndnoteText"/>
              <w:rPr>
                <w:color w:val="000000"/>
              </w:rPr>
            </w:pPr>
            <w:r w:rsidRPr="004C2A59">
              <w:rPr>
                <w:color w:val="000000"/>
              </w:rPr>
              <w:t>Reinduktion blok 1</w:t>
            </w:r>
          </w:p>
          <w:p w14:paraId="65B26637" w14:textId="77777777" w:rsidR="00A573B3" w:rsidRPr="004C2A59" w:rsidRDefault="00A573B3" w:rsidP="00421681">
            <w:pPr>
              <w:pStyle w:val="EndnoteText"/>
              <w:rPr>
                <w:color w:val="000000"/>
              </w:rPr>
            </w:pPr>
            <w:r w:rsidRPr="004C2A59">
              <w:rPr>
                <w:color w:val="000000"/>
              </w:rPr>
              <w:t>(3 uger)</w:t>
            </w:r>
          </w:p>
        </w:tc>
        <w:tc>
          <w:tcPr>
            <w:tcW w:w="6924" w:type="dxa"/>
            <w:shd w:val="clear" w:color="auto" w:fill="auto"/>
          </w:tcPr>
          <w:p w14:paraId="08084B4A" w14:textId="77777777" w:rsidR="00A573B3" w:rsidRPr="004C2A59" w:rsidRDefault="00A573B3" w:rsidP="00421681">
            <w:pPr>
              <w:pStyle w:val="EndnoteText"/>
              <w:rPr>
                <w:color w:val="000000"/>
              </w:rPr>
            </w:pPr>
            <w:r w:rsidRPr="004C2A59">
              <w:rPr>
                <w:color w:val="000000"/>
              </w:rPr>
              <w:t>VCR (1,5 mg/m</w:t>
            </w:r>
            <w:r w:rsidRPr="004C2A59">
              <w:rPr>
                <w:color w:val="000000"/>
                <w:vertAlign w:val="superscript"/>
              </w:rPr>
              <w:t>2</w:t>
            </w:r>
            <w:r w:rsidRPr="004C2A59">
              <w:rPr>
                <w:color w:val="000000"/>
              </w:rPr>
              <w:t>/dag, i.v.): dag 1, 8, og 15</w:t>
            </w:r>
          </w:p>
          <w:p w14:paraId="413D114D" w14:textId="77777777" w:rsidR="00A573B3" w:rsidRPr="004C2A59" w:rsidRDefault="00A573B3" w:rsidP="00421681">
            <w:pPr>
              <w:pStyle w:val="EndnoteText"/>
              <w:rPr>
                <w:color w:val="000000"/>
              </w:rPr>
            </w:pPr>
            <w:r w:rsidRPr="004C2A59">
              <w:rPr>
                <w:color w:val="000000"/>
              </w:rPr>
              <w:t>DAUN (45 mg/m</w:t>
            </w:r>
            <w:r w:rsidRPr="004C2A59">
              <w:rPr>
                <w:color w:val="000000"/>
                <w:vertAlign w:val="superscript"/>
              </w:rPr>
              <w:t>2</w:t>
            </w:r>
            <w:r w:rsidRPr="004C2A59">
              <w:rPr>
                <w:color w:val="000000"/>
              </w:rPr>
              <w:t>/dag bolus, i.v.): dag 1 og 2</w:t>
            </w:r>
          </w:p>
          <w:p w14:paraId="5ECD9262" w14:textId="77777777" w:rsidR="00A573B3" w:rsidRPr="004C2A59" w:rsidRDefault="00A573B3" w:rsidP="00421681">
            <w:pPr>
              <w:pStyle w:val="EndnoteText"/>
              <w:rPr>
                <w:color w:val="000000"/>
              </w:rPr>
            </w:pPr>
            <w:r w:rsidRPr="004C2A59">
              <w:rPr>
                <w:color w:val="000000"/>
              </w:rPr>
              <w:t>CPM (250 mg/m</w:t>
            </w:r>
            <w:r w:rsidRPr="004C2A59">
              <w:rPr>
                <w:color w:val="000000"/>
                <w:vertAlign w:val="superscript"/>
              </w:rPr>
              <w:t>2</w:t>
            </w:r>
            <w:r w:rsidRPr="004C2A59">
              <w:rPr>
                <w:color w:val="000000"/>
              </w:rPr>
              <w:t>/dosis q12h x 4 doser, i.v.): dag 3 og 4</w:t>
            </w:r>
          </w:p>
          <w:p w14:paraId="0F75AA86" w14:textId="77777777" w:rsidR="00A573B3" w:rsidRPr="00F852D1" w:rsidRDefault="00A573B3" w:rsidP="00421681">
            <w:pPr>
              <w:pStyle w:val="EndnoteText"/>
              <w:rPr>
                <w:color w:val="000000"/>
                <w:lang w:val="nb-NO"/>
              </w:rPr>
            </w:pPr>
            <w:r w:rsidRPr="00F852D1">
              <w:rPr>
                <w:color w:val="000000"/>
                <w:lang w:val="nb-NO"/>
              </w:rPr>
              <w:t>PEG-ASP (2.500 IE/m</w:t>
            </w:r>
            <w:r w:rsidRPr="00F852D1">
              <w:rPr>
                <w:color w:val="000000"/>
                <w:vertAlign w:val="superscript"/>
                <w:lang w:val="nb-NO"/>
              </w:rPr>
              <w:t>2</w:t>
            </w:r>
            <w:r w:rsidRPr="00F852D1">
              <w:rPr>
                <w:color w:val="000000"/>
                <w:lang w:val="nb-NO"/>
              </w:rPr>
              <w:t>, i.m.): dag 4</w:t>
            </w:r>
          </w:p>
          <w:p w14:paraId="301B7FE4" w14:textId="77777777" w:rsidR="00A573B3" w:rsidRPr="004C2A59" w:rsidRDefault="00A573B3" w:rsidP="00421681">
            <w:pPr>
              <w:pStyle w:val="EndnoteText"/>
              <w:rPr>
                <w:color w:val="000000"/>
              </w:rPr>
            </w:pPr>
            <w:r w:rsidRPr="004C2A59">
              <w:rPr>
                <w:color w:val="000000"/>
              </w:rPr>
              <w:t>G-CSF (5 μg/kg, s.c.): dag 5</w:t>
            </w:r>
            <w:r w:rsidRPr="004C2A59">
              <w:rPr>
                <w:color w:val="000000"/>
              </w:rPr>
              <w:noBreakHyphen/>
              <w:t>14, eller indtil ANC &gt;1500 post nadir</w:t>
            </w:r>
          </w:p>
          <w:p w14:paraId="2A0623EC" w14:textId="77777777" w:rsidR="00A573B3" w:rsidRPr="004C2A59" w:rsidRDefault="00A573B3" w:rsidP="00421681">
            <w:pPr>
              <w:pStyle w:val="EndnoteText"/>
              <w:rPr>
                <w:color w:val="000000"/>
              </w:rPr>
            </w:pPr>
            <w:r w:rsidRPr="004C2A59">
              <w:rPr>
                <w:color w:val="000000"/>
              </w:rPr>
              <w:t>Tredobbelt i.t.-terapi (aldersjusteret): dag 1 og 15</w:t>
            </w:r>
          </w:p>
          <w:p w14:paraId="489CE342" w14:textId="77777777" w:rsidR="00A573B3" w:rsidRPr="004C2A59" w:rsidRDefault="00A573B3" w:rsidP="00421681">
            <w:pPr>
              <w:pStyle w:val="EndnoteText"/>
              <w:rPr>
                <w:color w:val="000000"/>
              </w:rPr>
            </w:pPr>
            <w:r w:rsidRPr="004C2A59">
              <w:rPr>
                <w:color w:val="000000"/>
              </w:rPr>
              <w:t>DEX (6 mg/m</w:t>
            </w:r>
            <w:r w:rsidRPr="004C2A59">
              <w:rPr>
                <w:color w:val="000000"/>
                <w:vertAlign w:val="superscript"/>
              </w:rPr>
              <w:t>2</w:t>
            </w:r>
            <w:r w:rsidRPr="004C2A59">
              <w:rPr>
                <w:color w:val="000000"/>
              </w:rPr>
              <w:t>/dag,p.o.): dag 1</w:t>
            </w:r>
            <w:r w:rsidRPr="004C2A59">
              <w:rPr>
                <w:color w:val="000000"/>
              </w:rPr>
              <w:noBreakHyphen/>
              <w:t>7 og 15</w:t>
            </w:r>
            <w:r w:rsidRPr="004C2A59">
              <w:rPr>
                <w:color w:val="000000"/>
              </w:rPr>
              <w:noBreakHyphen/>
              <w:t>21</w:t>
            </w:r>
          </w:p>
        </w:tc>
      </w:tr>
      <w:tr w:rsidR="00A573B3" w:rsidRPr="00DA2798" w14:paraId="3C8B6B5A" w14:textId="77777777" w:rsidTr="00C422EE">
        <w:trPr>
          <w:cantSplit/>
        </w:trPr>
        <w:tc>
          <w:tcPr>
            <w:tcW w:w="2357" w:type="dxa"/>
            <w:shd w:val="clear" w:color="auto" w:fill="auto"/>
          </w:tcPr>
          <w:p w14:paraId="0852EFCE" w14:textId="77777777" w:rsidR="00A573B3" w:rsidRPr="004C2A59" w:rsidRDefault="00A573B3" w:rsidP="00421681">
            <w:pPr>
              <w:pStyle w:val="EndnoteText"/>
              <w:rPr>
                <w:color w:val="000000"/>
              </w:rPr>
            </w:pPr>
            <w:r w:rsidRPr="004C2A59">
              <w:rPr>
                <w:color w:val="000000"/>
              </w:rPr>
              <w:t>Intensivering blok 1</w:t>
            </w:r>
          </w:p>
          <w:p w14:paraId="70C66DDA" w14:textId="77777777" w:rsidR="00A573B3" w:rsidRPr="004C2A59" w:rsidRDefault="00A573B3" w:rsidP="00421681">
            <w:pPr>
              <w:pStyle w:val="EndnoteText"/>
              <w:rPr>
                <w:color w:val="000000"/>
              </w:rPr>
            </w:pPr>
            <w:r w:rsidRPr="004C2A59">
              <w:rPr>
                <w:color w:val="000000"/>
              </w:rPr>
              <w:t>(9 uger)</w:t>
            </w:r>
          </w:p>
        </w:tc>
        <w:tc>
          <w:tcPr>
            <w:tcW w:w="6924" w:type="dxa"/>
            <w:shd w:val="clear" w:color="auto" w:fill="auto"/>
          </w:tcPr>
          <w:p w14:paraId="077130FF" w14:textId="77777777" w:rsidR="00A573B3" w:rsidRPr="004C2A59" w:rsidRDefault="00A573B3" w:rsidP="00421681">
            <w:pPr>
              <w:pStyle w:val="EndnoteText"/>
              <w:rPr>
                <w:color w:val="000000"/>
              </w:rPr>
            </w:pPr>
            <w:r w:rsidRPr="004C2A59">
              <w:rPr>
                <w:color w:val="000000"/>
              </w:rPr>
              <w:t>Methotrexat (5 g/m</w:t>
            </w:r>
            <w:r w:rsidRPr="004C2A59">
              <w:rPr>
                <w:color w:val="000000"/>
                <w:vertAlign w:val="superscript"/>
              </w:rPr>
              <w:t>2</w:t>
            </w:r>
            <w:r w:rsidRPr="004C2A59">
              <w:rPr>
                <w:color w:val="000000"/>
              </w:rPr>
              <w:t xml:space="preserve"> over 24 timer, i.v.): dag 1 og 15</w:t>
            </w:r>
          </w:p>
          <w:p w14:paraId="1C715039" w14:textId="77777777" w:rsidR="00A573B3" w:rsidRPr="004C2A59" w:rsidRDefault="00A573B3" w:rsidP="00421681">
            <w:pPr>
              <w:pStyle w:val="EndnoteText"/>
              <w:rPr>
                <w:color w:val="000000"/>
              </w:rPr>
            </w:pPr>
            <w:r w:rsidRPr="004C2A59">
              <w:rPr>
                <w:color w:val="000000"/>
              </w:rPr>
              <w:t>Leucovorin (75 mg/m</w:t>
            </w:r>
            <w:r w:rsidRPr="004C2A59">
              <w:rPr>
                <w:color w:val="000000"/>
                <w:vertAlign w:val="superscript"/>
              </w:rPr>
              <w:t>2</w:t>
            </w:r>
            <w:r w:rsidRPr="004C2A59">
              <w:rPr>
                <w:color w:val="000000"/>
              </w:rPr>
              <w:t xml:space="preserve"> i time 36, i.v.; 15 mg/m</w:t>
            </w:r>
            <w:r w:rsidRPr="004C2A59">
              <w:rPr>
                <w:color w:val="000000"/>
                <w:vertAlign w:val="superscript"/>
              </w:rPr>
              <w:t>2</w:t>
            </w:r>
            <w:r w:rsidRPr="004C2A59">
              <w:rPr>
                <w:color w:val="000000"/>
              </w:rPr>
              <w:t xml:space="preserve"> i.v. eller p.o. q6h x 6 doser)iii: dag 2, 3, 16, og 17</w:t>
            </w:r>
          </w:p>
          <w:p w14:paraId="421F6D47" w14:textId="77777777" w:rsidR="00A573B3" w:rsidRPr="004C2A59" w:rsidRDefault="00A573B3" w:rsidP="00421681">
            <w:pPr>
              <w:pStyle w:val="EndnoteText"/>
              <w:rPr>
                <w:color w:val="000000"/>
              </w:rPr>
            </w:pPr>
            <w:r w:rsidRPr="004C2A59">
              <w:rPr>
                <w:color w:val="000000"/>
              </w:rPr>
              <w:t>Tredobbelt i.t.-terapi (aldersjusteret): dag 1 og 22</w:t>
            </w:r>
          </w:p>
          <w:p w14:paraId="4AB01D13" w14:textId="77777777" w:rsidR="00A573B3" w:rsidRPr="004C2A59" w:rsidRDefault="00A573B3" w:rsidP="00421681">
            <w:pPr>
              <w:pStyle w:val="EndnoteText"/>
              <w:rPr>
                <w:color w:val="000000"/>
              </w:rPr>
            </w:pPr>
            <w:r w:rsidRPr="004C2A59">
              <w:rPr>
                <w:color w:val="000000"/>
              </w:rPr>
              <w:t>VP-16 (100 mg/m</w:t>
            </w:r>
            <w:r w:rsidRPr="004C2A59">
              <w:rPr>
                <w:color w:val="000000"/>
                <w:vertAlign w:val="superscript"/>
              </w:rPr>
              <w:t>2</w:t>
            </w:r>
            <w:r w:rsidRPr="004C2A59">
              <w:rPr>
                <w:color w:val="000000"/>
              </w:rPr>
              <w:t>/dag, i.v.): dag 22</w:t>
            </w:r>
            <w:r w:rsidRPr="004C2A59">
              <w:rPr>
                <w:color w:val="000000"/>
              </w:rPr>
              <w:noBreakHyphen/>
              <w:t>26</w:t>
            </w:r>
          </w:p>
          <w:p w14:paraId="61584B66" w14:textId="77777777" w:rsidR="00A573B3" w:rsidRPr="004C2A59" w:rsidRDefault="00A573B3" w:rsidP="00421681">
            <w:pPr>
              <w:pStyle w:val="EndnoteText"/>
              <w:rPr>
                <w:color w:val="000000"/>
              </w:rPr>
            </w:pPr>
            <w:r w:rsidRPr="004C2A59">
              <w:rPr>
                <w:color w:val="000000"/>
              </w:rPr>
              <w:t>CPM (300 mg/m</w:t>
            </w:r>
            <w:r w:rsidRPr="004C2A59">
              <w:rPr>
                <w:color w:val="000000"/>
                <w:vertAlign w:val="superscript"/>
              </w:rPr>
              <w:t>2</w:t>
            </w:r>
            <w:r w:rsidRPr="004C2A59">
              <w:rPr>
                <w:color w:val="000000"/>
              </w:rPr>
              <w:t>/dag, i.v.): dag 22</w:t>
            </w:r>
            <w:r w:rsidRPr="004C2A59">
              <w:rPr>
                <w:color w:val="000000"/>
              </w:rPr>
              <w:noBreakHyphen/>
              <w:t>26</w:t>
            </w:r>
          </w:p>
          <w:p w14:paraId="13517EAB" w14:textId="77777777" w:rsidR="00A573B3" w:rsidRPr="004C2A59" w:rsidRDefault="00A573B3" w:rsidP="00421681">
            <w:pPr>
              <w:pStyle w:val="EndnoteText"/>
              <w:rPr>
                <w:color w:val="000000"/>
              </w:rPr>
            </w:pPr>
            <w:r w:rsidRPr="004C2A59">
              <w:rPr>
                <w:color w:val="000000"/>
              </w:rPr>
              <w:t>MESNA (150 mg/m</w:t>
            </w:r>
            <w:r w:rsidRPr="004C2A59">
              <w:rPr>
                <w:color w:val="000000"/>
                <w:vertAlign w:val="superscript"/>
              </w:rPr>
              <w:t>2</w:t>
            </w:r>
            <w:r w:rsidRPr="004C2A59">
              <w:rPr>
                <w:color w:val="000000"/>
              </w:rPr>
              <w:t>/dag, i.v.): dag 22</w:t>
            </w:r>
            <w:r w:rsidRPr="004C2A59">
              <w:rPr>
                <w:color w:val="000000"/>
              </w:rPr>
              <w:noBreakHyphen/>
              <w:t>26</w:t>
            </w:r>
          </w:p>
          <w:p w14:paraId="38752E34" w14:textId="77777777" w:rsidR="00A573B3" w:rsidRPr="004C2A59" w:rsidRDefault="00A573B3" w:rsidP="00421681">
            <w:pPr>
              <w:pStyle w:val="EndnoteText"/>
              <w:rPr>
                <w:color w:val="000000"/>
              </w:rPr>
            </w:pPr>
            <w:r w:rsidRPr="004C2A59">
              <w:rPr>
                <w:color w:val="000000"/>
              </w:rPr>
              <w:t>G-CSF (5 μg/kg, s.c.): dag 27-36, eller indtil ANC &gt;1500 post nadir</w:t>
            </w:r>
          </w:p>
          <w:p w14:paraId="027A50B1" w14:textId="77777777" w:rsidR="00A573B3" w:rsidRPr="00F852D1" w:rsidRDefault="00A573B3" w:rsidP="00421681">
            <w:pPr>
              <w:pStyle w:val="EndnoteText"/>
              <w:rPr>
                <w:color w:val="000000"/>
                <w:lang w:val="pt-PT"/>
              </w:rPr>
            </w:pPr>
            <w:r w:rsidRPr="00F852D1">
              <w:rPr>
                <w:color w:val="000000"/>
                <w:lang w:val="pt-PT"/>
              </w:rPr>
              <w:t>ARA-C (3 g/m</w:t>
            </w:r>
            <w:r w:rsidRPr="00F852D1">
              <w:rPr>
                <w:color w:val="000000"/>
                <w:vertAlign w:val="superscript"/>
                <w:lang w:val="pt-PT"/>
              </w:rPr>
              <w:t>2</w:t>
            </w:r>
            <w:r w:rsidRPr="00F852D1">
              <w:rPr>
                <w:color w:val="000000"/>
                <w:lang w:val="pt-PT"/>
              </w:rPr>
              <w:t>, q12h, i.v.): dag 43, 44</w:t>
            </w:r>
          </w:p>
          <w:p w14:paraId="29765AF0" w14:textId="77777777" w:rsidR="00A573B3" w:rsidRPr="004C2A59" w:rsidRDefault="00A573B3" w:rsidP="00421681">
            <w:pPr>
              <w:pStyle w:val="EndnoteText"/>
              <w:rPr>
                <w:color w:val="000000"/>
              </w:rPr>
            </w:pPr>
            <w:r w:rsidRPr="004C2A59">
              <w:rPr>
                <w:color w:val="000000"/>
              </w:rPr>
              <w:t>L-ASP (6.000 IE/m</w:t>
            </w:r>
            <w:r w:rsidRPr="004C2A59">
              <w:rPr>
                <w:color w:val="000000"/>
                <w:vertAlign w:val="superscript"/>
              </w:rPr>
              <w:t>2</w:t>
            </w:r>
            <w:r w:rsidRPr="004C2A59">
              <w:rPr>
                <w:color w:val="000000"/>
              </w:rPr>
              <w:t>, i.m.): dag 44</w:t>
            </w:r>
          </w:p>
        </w:tc>
      </w:tr>
      <w:tr w:rsidR="00A573B3" w:rsidRPr="00DA2798" w14:paraId="1374CF60" w14:textId="77777777" w:rsidTr="00C422EE">
        <w:trPr>
          <w:cantSplit/>
        </w:trPr>
        <w:tc>
          <w:tcPr>
            <w:tcW w:w="2357" w:type="dxa"/>
            <w:shd w:val="clear" w:color="auto" w:fill="auto"/>
          </w:tcPr>
          <w:p w14:paraId="4BA23516" w14:textId="77777777" w:rsidR="00A573B3" w:rsidRPr="004C2A59" w:rsidRDefault="00A573B3" w:rsidP="00421681">
            <w:pPr>
              <w:pStyle w:val="EndnoteText"/>
              <w:rPr>
                <w:color w:val="000000"/>
              </w:rPr>
            </w:pPr>
            <w:r w:rsidRPr="004C2A59">
              <w:rPr>
                <w:color w:val="000000"/>
              </w:rPr>
              <w:t>Reinduktion blok 2</w:t>
            </w:r>
          </w:p>
          <w:p w14:paraId="28DB5B38" w14:textId="77777777" w:rsidR="00A573B3" w:rsidRPr="004C2A59" w:rsidRDefault="00A573B3" w:rsidP="00421681">
            <w:pPr>
              <w:pStyle w:val="EndnoteText"/>
              <w:rPr>
                <w:color w:val="000000"/>
              </w:rPr>
            </w:pPr>
            <w:r w:rsidRPr="004C2A59">
              <w:rPr>
                <w:color w:val="000000"/>
              </w:rPr>
              <w:t>(3 uger)</w:t>
            </w:r>
          </w:p>
        </w:tc>
        <w:tc>
          <w:tcPr>
            <w:tcW w:w="6924" w:type="dxa"/>
            <w:shd w:val="clear" w:color="auto" w:fill="auto"/>
          </w:tcPr>
          <w:p w14:paraId="02473F1A" w14:textId="77777777" w:rsidR="00A573B3" w:rsidRPr="004C2A59" w:rsidRDefault="00A573B3" w:rsidP="00421681">
            <w:pPr>
              <w:pStyle w:val="EndnoteText"/>
              <w:rPr>
                <w:color w:val="000000"/>
              </w:rPr>
            </w:pPr>
            <w:r w:rsidRPr="004C2A59">
              <w:rPr>
                <w:color w:val="000000"/>
              </w:rPr>
              <w:t>VCR (1,5 mg/m</w:t>
            </w:r>
            <w:r w:rsidRPr="004C2A59">
              <w:rPr>
                <w:color w:val="000000"/>
                <w:vertAlign w:val="superscript"/>
              </w:rPr>
              <w:t>2</w:t>
            </w:r>
            <w:r w:rsidRPr="004C2A59">
              <w:rPr>
                <w:color w:val="000000"/>
              </w:rPr>
              <w:t>/dag, i.v.): dag 1, 8 og 15</w:t>
            </w:r>
          </w:p>
          <w:p w14:paraId="024C6E10" w14:textId="77777777" w:rsidR="00A573B3" w:rsidRPr="004C2A59" w:rsidRDefault="00A573B3" w:rsidP="00421681">
            <w:pPr>
              <w:pStyle w:val="EndnoteText"/>
              <w:rPr>
                <w:color w:val="000000"/>
              </w:rPr>
            </w:pPr>
            <w:r w:rsidRPr="004C2A59">
              <w:rPr>
                <w:color w:val="000000"/>
              </w:rPr>
              <w:t>DAUN (45 mg/m</w:t>
            </w:r>
            <w:r w:rsidRPr="004C2A59">
              <w:rPr>
                <w:color w:val="000000"/>
                <w:vertAlign w:val="superscript"/>
              </w:rPr>
              <w:t>2</w:t>
            </w:r>
            <w:r w:rsidRPr="004C2A59">
              <w:rPr>
                <w:color w:val="000000"/>
              </w:rPr>
              <w:t>/dag bolus, i.v.): dag 1 og 2</w:t>
            </w:r>
          </w:p>
          <w:p w14:paraId="49271655" w14:textId="77777777" w:rsidR="00A573B3" w:rsidRPr="004C2A59" w:rsidRDefault="00A573B3" w:rsidP="00421681">
            <w:pPr>
              <w:pStyle w:val="EndnoteText"/>
              <w:rPr>
                <w:color w:val="000000"/>
              </w:rPr>
            </w:pPr>
            <w:r w:rsidRPr="004C2A59">
              <w:rPr>
                <w:color w:val="000000"/>
              </w:rPr>
              <w:t>CPM (250 mg/m</w:t>
            </w:r>
            <w:r w:rsidRPr="004C2A59">
              <w:rPr>
                <w:color w:val="000000"/>
                <w:vertAlign w:val="superscript"/>
              </w:rPr>
              <w:t>2</w:t>
            </w:r>
            <w:r w:rsidRPr="004C2A59">
              <w:rPr>
                <w:color w:val="000000"/>
              </w:rPr>
              <w:t>/dosis q12h x 4 doser, i.v.): dag 3 og 4</w:t>
            </w:r>
          </w:p>
          <w:p w14:paraId="7B90A665" w14:textId="77777777" w:rsidR="00A573B3" w:rsidRPr="00F852D1" w:rsidRDefault="00A573B3" w:rsidP="00421681">
            <w:pPr>
              <w:pStyle w:val="EndnoteText"/>
              <w:rPr>
                <w:color w:val="000000"/>
                <w:lang w:val="nb-NO"/>
              </w:rPr>
            </w:pPr>
            <w:r w:rsidRPr="00F852D1">
              <w:rPr>
                <w:color w:val="000000"/>
                <w:lang w:val="nb-NO"/>
              </w:rPr>
              <w:t>PEG-ASP (2.500 IE/m</w:t>
            </w:r>
            <w:r w:rsidRPr="00F852D1">
              <w:rPr>
                <w:color w:val="000000"/>
                <w:vertAlign w:val="superscript"/>
                <w:lang w:val="nb-NO"/>
              </w:rPr>
              <w:t>2</w:t>
            </w:r>
            <w:r w:rsidRPr="00F852D1">
              <w:rPr>
                <w:color w:val="000000"/>
                <w:lang w:val="nb-NO"/>
              </w:rPr>
              <w:t>, i.m.): dag 4</w:t>
            </w:r>
          </w:p>
          <w:p w14:paraId="774C5BFC" w14:textId="77777777" w:rsidR="00A573B3" w:rsidRPr="004C2A59" w:rsidRDefault="00A573B3" w:rsidP="00421681">
            <w:pPr>
              <w:pStyle w:val="EndnoteText"/>
              <w:rPr>
                <w:color w:val="000000"/>
              </w:rPr>
            </w:pPr>
            <w:r w:rsidRPr="004C2A59">
              <w:rPr>
                <w:color w:val="000000"/>
              </w:rPr>
              <w:t>G-CSF (5 μg/kg, s.c.): dag 5-14, eller indtil ANC &gt;1500 post nadir</w:t>
            </w:r>
          </w:p>
          <w:p w14:paraId="4771D6F2" w14:textId="77777777" w:rsidR="00A573B3" w:rsidRPr="004C2A59" w:rsidRDefault="00A573B3" w:rsidP="00421681">
            <w:pPr>
              <w:pStyle w:val="EndnoteText"/>
              <w:rPr>
                <w:color w:val="000000"/>
              </w:rPr>
            </w:pPr>
            <w:r w:rsidRPr="004C2A59">
              <w:rPr>
                <w:color w:val="000000"/>
              </w:rPr>
              <w:t>Tredobbelt i.t.-terapi (aldersjusteret): dag 1 og 15</w:t>
            </w:r>
          </w:p>
          <w:p w14:paraId="754FDA40" w14:textId="77777777" w:rsidR="00A573B3" w:rsidRPr="004C2A59" w:rsidRDefault="00A573B3" w:rsidP="00421681">
            <w:pPr>
              <w:pStyle w:val="EndnoteText"/>
              <w:rPr>
                <w:color w:val="000000"/>
              </w:rPr>
            </w:pPr>
            <w:r w:rsidRPr="004C2A59">
              <w:rPr>
                <w:color w:val="000000"/>
              </w:rPr>
              <w:t>DEX (6 mg/m</w:t>
            </w:r>
            <w:r w:rsidRPr="004C2A59">
              <w:rPr>
                <w:color w:val="000000"/>
                <w:vertAlign w:val="superscript"/>
              </w:rPr>
              <w:t>2</w:t>
            </w:r>
            <w:r w:rsidRPr="004C2A59">
              <w:rPr>
                <w:color w:val="000000"/>
              </w:rPr>
              <w:t>/dag, p.o.): dag 1</w:t>
            </w:r>
            <w:r w:rsidRPr="004C2A59">
              <w:rPr>
                <w:color w:val="000000"/>
              </w:rPr>
              <w:noBreakHyphen/>
              <w:t>7 og 15</w:t>
            </w:r>
            <w:r w:rsidRPr="004C2A59">
              <w:rPr>
                <w:color w:val="000000"/>
              </w:rPr>
              <w:noBreakHyphen/>
              <w:t>21</w:t>
            </w:r>
          </w:p>
        </w:tc>
      </w:tr>
      <w:tr w:rsidR="00A573B3" w:rsidRPr="00DA2798" w14:paraId="3FE8310B" w14:textId="77777777" w:rsidTr="00C422EE">
        <w:trPr>
          <w:cantSplit/>
        </w:trPr>
        <w:tc>
          <w:tcPr>
            <w:tcW w:w="2357" w:type="dxa"/>
            <w:shd w:val="clear" w:color="auto" w:fill="auto"/>
          </w:tcPr>
          <w:p w14:paraId="03444EC0" w14:textId="77777777" w:rsidR="00A573B3" w:rsidRPr="004C2A59" w:rsidRDefault="00A573B3" w:rsidP="00421681">
            <w:pPr>
              <w:pStyle w:val="EndnoteText"/>
              <w:rPr>
                <w:color w:val="000000"/>
              </w:rPr>
            </w:pPr>
            <w:r w:rsidRPr="004C2A59">
              <w:rPr>
                <w:color w:val="000000"/>
              </w:rPr>
              <w:t>Intensivering blok 2</w:t>
            </w:r>
          </w:p>
          <w:p w14:paraId="6E8DCA0E" w14:textId="77777777" w:rsidR="00A573B3" w:rsidRPr="004C2A59" w:rsidRDefault="00A573B3" w:rsidP="00421681">
            <w:pPr>
              <w:pStyle w:val="EndnoteText"/>
              <w:rPr>
                <w:color w:val="000000"/>
              </w:rPr>
            </w:pPr>
            <w:r w:rsidRPr="004C2A59">
              <w:rPr>
                <w:color w:val="000000"/>
              </w:rPr>
              <w:t>(9 uger)</w:t>
            </w:r>
          </w:p>
        </w:tc>
        <w:tc>
          <w:tcPr>
            <w:tcW w:w="6924" w:type="dxa"/>
            <w:shd w:val="clear" w:color="auto" w:fill="auto"/>
          </w:tcPr>
          <w:p w14:paraId="508D5EAB" w14:textId="77777777" w:rsidR="00A573B3" w:rsidRPr="004C2A59" w:rsidRDefault="00A573B3" w:rsidP="00421681">
            <w:pPr>
              <w:pStyle w:val="EndnoteText"/>
              <w:rPr>
                <w:color w:val="000000"/>
              </w:rPr>
            </w:pPr>
            <w:r w:rsidRPr="004C2A59">
              <w:rPr>
                <w:color w:val="000000"/>
              </w:rPr>
              <w:t>Methotrexat (5 g/m</w:t>
            </w:r>
            <w:r w:rsidRPr="004C2A59">
              <w:rPr>
                <w:color w:val="000000"/>
                <w:vertAlign w:val="superscript"/>
              </w:rPr>
              <w:t>2</w:t>
            </w:r>
            <w:r w:rsidRPr="004C2A59">
              <w:rPr>
                <w:color w:val="000000"/>
              </w:rPr>
              <w:t xml:space="preserve"> over 24 timer, i.v.): dag 1 og 15</w:t>
            </w:r>
          </w:p>
          <w:p w14:paraId="5A759FF5" w14:textId="77777777" w:rsidR="00A573B3" w:rsidRPr="004C2A59" w:rsidRDefault="00A573B3" w:rsidP="00421681">
            <w:pPr>
              <w:pStyle w:val="EndnoteText"/>
              <w:rPr>
                <w:color w:val="000000"/>
              </w:rPr>
            </w:pPr>
            <w:r w:rsidRPr="004C2A59">
              <w:rPr>
                <w:color w:val="000000"/>
              </w:rPr>
              <w:t>Leucovorin (75 mg/m</w:t>
            </w:r>
            <w:r w:rsidRPr="004C2A59">
              <w:rPr>
                <w:color w:val="000000"/>
                <w:vertAlign w:val="superscript"/>
              </w:rPr>
              <w:t>2</w:t>
            </w:r>
            <w:r w:rsidRPr="004C2A59">
              <w:rPr>
                <w:color w:val="000000"/>
              </w:rPr>
              <w:t xml:space="preserve"> i time 36, i.v.; 15 mg/m</w:t>
            </w:r>
            <w:r w:rsidRPr="004C2A59">
              <w:rPr>
                <w:color w:val="000000"/>
                <w:vertAlign w:val="superscript"/>
              </w:rPr>
              <w:t>2</w:t>
            </w:r>
            <w:r w:rsidRPr="004C2A59">
              <w:rPr>
                <w:color w:val="000000"/>
              </w:rPr>
              <w:t xml:space="preserve"> i.v. eller p.o. q6h x 6 doser)iii: dag 2, 3, 16, og 17</w:t>
            </w:r>
          </w:p>
          <w:p w14:paraId="6D867209" w14:textId="77777777" w:rsidR="00A573B3" w:rsidRPr="004C2A59" w:rsidRDefault="00A573B3" w:rsidP="00421681">
            <w:pPr>
              <w:pStyle w:val="EndnoteText"/>
              <w:rPr>
                <w:color w:val="000000"/>
              </w:rPr>
            </w:pPr>
            <w:r w:rsidRPr="004C2A59">
              <w:rPr>
                <w:color w:val="000000"/>
              </w:rPr>
              <w:t>Tredobbelt i.t.-terapi (aldersjusteret): dag 1 og 22</w:t>
            </w:r>
          </w:p>
          <w:p w14:paraId="59D1C305" w14:textId="77777777" w:rsidR="00A573B3" w:rsidRPr="004C2A59" w:rsidRDefault="00A573B3" w:rsidP="00421681">
            <w:pPr>
              <w:pStyle w:val="EndnoteText"/>
              <w:rPr>
                <w:color w:val="000000"/>
              </w:rPr>
            </w:pPr>
            <w:r w:rsidRPr="004C2A59">
              <w:rPr>
                <w:color w:val="000000"/>
              </w:rPr>
              <w:t>VP-16 (100 mg/m</w:t>
            </w:r>
            <w:r w:rsidRPr="004C2A59">
              <w:rPr>
                <w:color w:val="000000"/>
                <w:vertAlign w:val="superscript"/>
              </w:rPr>
              <w:t>2</w:t>
            </w:r>
            <w:r w:rsidRPr="004C2A59">
              <w:rPr>
                <w:color w:val="000000"/>
              </w:rPr>
              <w:t>/dag, i.v.): dag 22</w:t>
            </w:r>
            <w:r w:rsidRPr="004C2A59">
              <w:rPr>
                <w:color w:val="000000"/>
              </w:rPr>
              <w:noBreakHyphen/>
              <w:t>26</w:t>
            </w:r>
          </w:p>
          <w:p w14:paraId="5F338B7A" w14:textId="77777777" w:rsidR="00A573B3" w:rsidRPr="004C2A59" w:rsidRDefault="00A573B3" w:rsidP="00421681">
            <w:pPr>
              <w:pStyle w:val="EndnoteText"/>
              <w:rPr>
                <w:color w:val="000000"/>
              </w:rPr>
            </w:pPr>
            <w:r w:rsidRPr="004C2A59">
              <w:rPr>
                <w:color w:val="000000"/>
              </w:rPr>
              <w:t>CPM (300 mg/m</w:t>
            </w:r>
            <w:r w:rsidRPr="004C2A59">
              <w:rPr>
                <w:color w:val="000000"/>
                <w:vertAlign w:val="superscript"/>
              </w:rPr>
              <w:t>2</w:t>
            </w:r>
            <w:r w:rsidRPr="004C2A59">
              <w:rPr>
                <w:color w:val="000000"/>
              </w:rPr>
              <w:t>/dag, i.v.): dag 22</w:t>
            </w:r>
            <w:r w:rsidRPr="004C2A59">
              <w:rPr>
                <w:color w:val="000000"/>
              </w:rPr>
              <w:noBreakHyphen/>
              <w:t>26</w:t>
            </w:r>
          </w:p>
          <w:p w14:paraId="577AC067" w14:textId="77777777" w:rsidR="00A573B3" w:rsidRPr="004C2A59" w:rsidRDefault="00A573B3" w:rsidP="00421681">
            <w:pPr>
              <w:pStyle w:val="EndnoteText"/>
              <w:rPr>
                <w:color w:val="000000"/>
              </w:rPr>
            </w:pPr>
            <w:r w:rsidRPr="004C2A59">
              <w:rPr>
                <w:color w:val="000000"/>
              </w:rPr>
              <w:t>MESNA (150 mg/m</w:t>
            </w:r>
            <w:r w:rsidRPr="004C2A59">
              <w:rPr>
                <w:color w:val="000000"/>
                <w:vertAlign w:val="superscript"/>
              </w:rPr>
              <w:t>2</w:t>
            </w:r>
            <w:r w:rsidRPr="004C2A59">
              <w:rPr>
                <w:color w:val="000000"/>
              </w:rPr>
              <w:t>/dag, i.v.): dag 22</w:t>
            </w:r>
            <w:r w:rsidRPr="004C2A59">
              <w:rPr>
                <w:color w:val="000000"/>
              </w:rPr>
              <w:noBreakHyphen/>
              <w:t>26</w:t>
            </w:r>
          </w:p>
          <w:p w14:paraId="1B341DA4" w14:textId="77777777" w:rsidR="00A573B3" w:rsidRPr="004C2A59" w:rsidRDefault="00A573B3" w:rsidP="00421681">
            <w:pPr>
              <w:pStyle w:val="EndnoteText"/>
              <w:rPr>
                <w:color w:val="000000"/>
              </w:rPr>
            </w:pPr>
            <w:r w:rsidRPr="004C2A59">
              <w:rPr>
                <w:color w:val="000000"/>
              </w:rPr>
              <w:t>G-CSF (5 μg/kg, s.c.): dag 27</w:t>
            </w:r>
            <w:r w:rsidRPr="004C2A59">
              <w:rPr>
                <w:color w:val="000000"/>
              </w:rPr>
              <w:noBreakHyphen/>
              <w:t>36, eller indtil ANC &gt;1500 post nadir</w:t>
            </w:r>
          </w:p>
          <w:p w14:paraId="3961D779" w14:textId="77777777" w:rsidR="00A573B3" w:rsidRPr="00F852D1" w:rsidRDefault="00A573B3" w:rsidP="00421681">
            <w:pPr>
              <w:pStyle w:val="EndnoteText"/>
              <w:rPr>
                <w:color w:val="000000"/>
                <w:lang w:val="pt-PT"/>
              </w:rPr>
            </w:pPr>
            <w:r w:rsidRPr="00F852D1">
              <w:rPr>
                <w:color w:val="000000"/>
                <w:lang w:val="pt-PT"/>
              </w:rPr>
              <w:t>ARA-C (3 g/m</w:t>
            </w:r>
            <w:r w:rsidRPr="00F852D1">
              <w:rPr>
                <w:color w:val="000000"/>
                <w:vertAlign w:val="superscript"/>
                <w:lang w:val="pt-PT"/>
              </w:rPr>
              <w:t>2</w:t>
            </w:r>
            <w:r w:rsidRPr="00F852D1">
              <w:rPr>
                <w:color w:val="000000"/>
                <w:lang w:val="pt-PT"/>
              </w:rPr>
              <w:t>, q12h, i.v.): dag 43, 44</w:t>
            </w:r>
          </w:p>
          <w:p w14:paraId="79940DF4" w14:textId="77777777" w:rsidR="00A573B3" w:rsidRPr="004C2A59" w:rsidRDefault="00A573B3" w:rsidP="00421681">
            <w:pPr>
              <w:pStyle w:val="EndnoteText"/>
              <w:rPr>
                <w:color w:val="000000"/>
              </w:rPr>
            </w:pPr>
            <w:r w:rsidRPr="004C2A59">
              <w:rPr>
                <w:color w:val="000000"/>
              </w:rPr>
              <w:t>L-ASP (6000 IE/m</w:t>
            </w:r>
            <w:r w:rsidRPr="004C2A59">
              <w:rPr>
                <w:color w:val="000000"/>
                <w:vertAlign w:val="superscript"/>
              </w:rPr>
              <w:t>2</w:t>
            </w:r>
            <w:r w:rsidRPr="004C2A59">
              <w:rPr>
                <w:color w:val="000000"/>
              </w:rPr>
              <w:t>,i.m.): dag 44</w:t>
            </w:r>
          </w:p>
        </w:tc>
      </w:tr>
      <w:tr w:rsidR="00A573B3" w:rsidRPr="00F852D1" w14:paraId="5F0C94A8" w14:textId="77777777" w:rsidTr="00C422EE">
        <w:trPr>
          <w:cantSplit/>
        </w:trPr>
        <w:tc>
          <w:tcPr>
            <w:tcW w:w="2357" w:type="dxa"/>
            <w:shd w:val="clear" w:color="auto" w:fill="auto"/>
          </w:tcPr>
          <w:p w14:paraId="49AE3FF2" w14:textId="77777777" w:rsidR="00A573B3" w:rsidRPr="004C2A59" w:rsidRDefault="00A573B3" w:rsidP="00421681">
            <w:pPr>
              <w:pStyle w:val="EndnoteText"/>
              <w:rPr>
                <w:color w:val="000000"/>
              </w:rPr>
            </w:pPr>
            <w:r w:rsidRPr="004C2A59">
              <w:rPr>
                <w:color w:val="000000"/>
              </w:rPr>
              <w:lastRenderedPageBreak/>
              <w:t>Vedligeholdelse</w:t>
            </w:r>
          </w:p>
          <w:p w14:paraId="3CD815A9" w14:textId="77777777" w:rsidR="00A573B3" w:rsidRPr="004C2A59" w:rsidRDefault="00A573B3" w:rsidP="00421681">
            <w:pPr>
              <w:pStyle w:val="EndnoteText"/>
              <w:rPr>
                <w:color w:val="000000"/>
              </w:rPr>
            </w:pPr>
            <w:r w:rsidRPr="004C2A59">
              <w:rPr>
                <w:color w:val="000000"/>
              </w:rPr>
              <w:t>(8-ugers cykler)</w:t>
            </w:r>
          </w:p>
          <w:p w14:paraId="48C3B9B4" w14:textId="77777777" w:rsidR="00A573B3" w:rsidRPr="004C2A59" w:rsidRDefault="00A573B3" w:rsidP="00421681">
            <w:pPr>
              <w:pStyle w:val="EndnoteText"/>
              <w:rPr>
                <w:color w:val="000000"/>
              </w:rPr>
            </w:pPr>
            <w:r w:rsidRPr="004C2A59">
              <w:rPr>
                <w:color w:val="000000"/>
              </w:rPr>
              <w:t>Cyklus 1–4</w:t>
            </w:r>
          </w:p>
        </w:tc>
        <w:tc>
          <w:tcPr>
            <w:tcW w:w="6924" w:type="dxa"/>
            <w:shd w:val="clear" w:color="auto" w:fill="auto"/>
          </w:tcPr>
          <w:p w14:paraId="17B808E8" w14:textId="77777777" w:rsidR="00A573B3" w:rsidRPr="004C2A59" w:rsidRDefault="00A573B3" w:rsidP="00421681">
            <w:pPr>
              <w:pStyle w:val="EndnoteText"/>
              <w:rPr>
                <w:color w:val="000000"/>
              </w:rPr>
            </w:pPr>
            <w:r w:rsidRPr="004C2A59">
              <w:rPr>
                <w:color w:val="000000"/>
              </w:rPr>
              <w:t>Methotrexat (5 g/m</w:t>
            </w:r>
            <w:r w:rsidRPr="004C2A59">
              <w:rPr>
                <w:color w:val="000000"/>
                <w:vertAlign w:val="superscript"/>
              </w:rPr>
              <w:t>2</w:t>
            </w:r>
            <w:r w:rsidRPr="004C2A59">
              <w:rPr>
                <w:color w:val="000000"/>
              </w:rPr>
              <w:t xml:space="preserve"> over 24 timer, i.v.): dag 1</w:t>
            </w:r>
          </w:p>
          <w:p w14:paraId="0A3A6FF2" w14:textId="77777777" w:rsidR="00A573B3" w:rsidRPr="004C2A59" w:rsidRDefault="00A573B3" w:rsidP="00421681">
            <w:pPr>
              <w:pStyle w:val="EndnoteText"/>
              <w:rPr>
                <w:color w:val="000000"/>
              </w:rPr>
            </w:pPr>
            <w:r w:rsidRPr="004C2A59">
              <w:rPr>
                <w:color w:val="000000"/>
              </w:rPr>
              <w:t>Leucovorin (75 mg/m</w:t>
            </w:r>
            <w:r w:rsidRPr="004C2A59">
              <w:rPr>
                <w:color w:val="000000"/>
                <w:vertAlign w:val="superscript"/>
              </w:rPr>
              <w:t>2</w:t>
            </w:r>
            <w:r w:rsidRPr="004C2A59">
              <w:rPr>
                <w:color w:val="000000"/>
              </w:rPr>
              <w:t xml:space="preserve"> i time 36, i.v.; 15 mg/m</w:t>
            </w:r>
            <w:r w:rsidRPr="004C2A59">
              <w:rPr>
                <w:color w:val="000000"/>
                <w:vertAlign w:val="superscript"/>
              </w:rPr>
              <w:t>2</w:t>
            </w:r>
            <w:r w:rsidRPr="004C2A59">
              <w:rPr>
                <w:color w:val="000000"/>
              </w:rPr>
              <w:t xml:space="preserve"> i.v. eller p.o. q6h x 6 doses)iii: dag 2 og 3</w:t>
            </w:r>
          </w:p>
          <w:p w14:paraId="7EE54B36" w14:textId="77777777" w:rsidR="00A573B3" w:rsidRPr="004C2A59" w:rsidRDefault="00A573B3" w:rsidP="00421681">
            <w:pPr>
              <w:pStyle w:val="EndnoteText"/>
              <w:rPr>
                <w:color w:val="000000"/>
              </w:rPr>
            </w:pPr>
            <w:r w:rsidRPr="004C2A59">
              <w:rPr>
                <w:color w:val="000000"/>
              </w:rPr>
              <w:t>Tredobbelt i.t.-terapi (aldersjusteret): dag 1, 29</w:t>
            </w:r>
          </w:p>
          <w:p w14:paraId="3D834E94" w14:textId="77777777" w:rsidR="00A573B3" w:rsidRPr="004C2A59" w:rsidRDefault="00A573B3" w:rsidP="00421681">
            <w:pPr>
              <w:pStyle w:val="EndnoteText"/>
              <w:rPr>
                <w:color w:val="000000"/>
              </w:rPr>
            </w:pPr>
            <w:r w:rsidRPr="004C2A59">
              <w:rPr>
                <w:color w:val="000000"/>
              </w:rPr>
              <w:t>VCR (1,5 mg/m</w:t>
            </w:r>
            <w:r w:rsidRPr="004C2A59">
              <w:rPr>
                <w:color w:val="000000"/>
                <w:vertAlign w:val="superscript"/>
              </w:rPr>
              <w:t>2</w:t>
            </w:r>
            <w:r w:rsidRPr="004C2A59">
              <w:rPr>
                <w:color w:val="000000"/>
              </w:rPr>
              <w:t>, i.v.): dag 1, 29</w:t>
            </w:r>
          </w:p>
          <w:p w14:paraId="716A5642" w14:textId="77777777" w:rsidR="00A573B3" w:rsidRPr="004C2A59" w:rsidRDefault="00A573B3" w:rsidP="00421681">
            <w:pPr>
              <w:pStyle w:val="EndnoteText"/>
              <w:rPr>
                <w:color w:val="000000"/>
              </w:rPr>
            </w:pPr>
            <w:r w:rsidRPr="004C2A59">
              <w:rPr>
                <w:color w:val="000000"/>
              </w:rPr>
              <w:t>DEX (6 mg/m</w:t>
            </w:r>
            <w:r w:rsidRPr="004C2A59">
              <w:rPr>
                <w:color w:val="000000"/>
                <w:vertAlign w:val="superscript"/>
              </w:rPr>
              <w:t>2</w:t>
            </w:r>
            <w:r w:rsidRPr="004C2A59">
              <w:rPr>
                <w:color w:val="000000"/>
              </w:rPr>
              <w:t>/dag p.o.): dag 1</w:t>
            </w:r>
            <w:r w:rsidRPr="004C2A59">
              <w:rPr>
                <w:color w:val="000000"/>
              </w:rPr>
              <w:noBreakHyphen/>
              <w:t>5; 29</w:t>
            </w:r>
            <w:r w:rsidRPr="004C2A59">
              <w:rPr>
                <w:color w:val="000000"/>
              </w:rPr>
              <w:noBreakHyphen/>
              <w:t>33</w:t>
            </w:r>
          </w:p>
          <w:p w14:paraId="177C21A8" w14:textId="77777777" w:rsidR="00A573B3" w:rsidRPr="004C2A59" w:rsidRDefault="00A573B3" w:rsidP="00421681">
            <w:pPr>
              <w:pStyle w:val="EndnoteText"/>
              <w:rPr>
                <w:color w:val="000000"/>
              </w:rPr>
            </w:pPr>
            <w:r w:rsidRPr="004C2A59">
              <w:rPr>
                <w:color w:val="000000"/>
              </w:rPr>
              <w:t>6-MP (75 mg/m</w:t>
            </w:r>
            <w:r w:rsidRPr="004C2A59">
              <w:rPr>
                <w:color w:val="000000"/>
                <w:vertAlign w:val="superscript"/>
              </w:rPr>
              <w:t>2</w:t>
            </w:r>
            <w:r w:rsidRPr="004C2A59">
              <w:rPr>
                <w:color w:val="000000"/>
              </w:rPr>
              <w:t xml:space="preserve">/dag, p.o.): dag 8-28  </w:t>
            </w:r>
          </w:p>
          <w:p w14:paraId="1023F14B" w14:textId="77777777" w:rsidR="00A573B3" w:rsidRPr="004C2A59" w:rsidRDefault="00A573B3" w:rsidP="00421681">
            <w:pPr>
              <w:pStyle w:val="EndnoteText"/>
              <w:rPr>
                <w:color w:val="000000"/>
              </w:rPr>
            </w:pPr>
            <w:r w:rsidRPr="004C2A59">
              <w:rPr>
                <w:color w:val="000000"/>
              </w:rPr>
              <w:t>Methotrexat (20 mg/m</w:t>
            </w:r>
            <w:r w:rsidRPr="004C2A59">
              <w:rPr>
                <w:color w:val="000000"/>
                <w:vertAlign w:val="superscript"/>
              </w:rPr>
              <w:t>2</w:t>
            </w:r>
            <w:r w:rsidRPr="004C2A59">
              <w:rPr>
                <w:color w:val="000000"/>
              </w:rPr>
              <w:t>/uge, p.o.): dag 8, 15, 22</w:t>
            </w:r>
          </w:p>
          <w:p w14:paraId="4DEC73C1" w14:textId="77777777" w:rsidR="00A573B3" w:rsidRPr="004C2A59" w:rsidRDefault="00A573B3" w:rsidP="00421681">
            <w:pPr>
              <w:pStyle w:val="EndnoteText"/>
              <w:rPr>
                <w:color w:val="000000"/>
              </w:rPr>
            </w:pPr>
            <w:r w:rsidRPr="004C2A59">
              <w:rPr>
                <w:color w:val="000000"/>
              </w:rPr>
              <w:t>VP-16 (100 mg/m</w:t>
            </w:r>
            <w:r w:rsidRPr="004C2A59">
              <w:rPr>
                <w:color w:val="000000"/>
                <w:vertAlign w:val="superscript"/>
              </w:rPr>
              <w:t>2</w:t>
            </w:r>
            <w:r w:rsidRPr="004C2A59">
              <w:rPr>
                <w:color w:val="000000"/>
              </w:rPr>
              <w:t>, i.v.): dag 29</w:t>
            </w:r>
            <w:r w:rsidRPr="004C2A59">
              <w:rPr>
                <w:color w:val="000000"/>
              </w:rPr>
              <w:noBreakHyphen/>
              <w:t>33</w:t>
            </w:r>
          </w:p>
          <w:p w14:paraId="0321A515" w14:textId="77777777" w:rsidR="00A573B3" w:rsidRPr="004C2A59" w:rsidRDefault="00A573B3" w:rsidP="00421681">
            <w:pPr>
              <w:pStyle w:val="EndnoteText"/>
              <w:rPr>
                <w:color w:val="000000"/>
              </w:rPr>
            </w:pPr>
            <w:r w:rsidRPr="004C2A59">
              <w:rPr>
                <w:color w:val="000000"/>
              </w:rPr>
              <w:t>CPM (300 mg/m</w:t>
            </w:r>
            <w:r w:rsidRPr="004C2A59">
              <w:rPr>
                <w:color w:val="000000"/>
                <w:vertAlign w:val="superscript"/>
              </w:rPr>
              <w:t>2</w:t>
            </w:r>
            <w:r w:rsidRPr="004C2A59">
              <w:rPr>
                <w:color w:val="000000"/>
              </w:rPr>
              <w:t>, i.v.): dag 29</w:t>
            </w:r>
            <w:r w:rsidRPr="004C2A59">
              <w:rPr>
                <w:color w:val="000000"/>
              </w:rPr>
              <w:noBreakHyphen/>
              <w:t>33</w:t>
            </w:r>
          </w:p>
          <w:p w14:paraId="3CC6D4AC" w14:textId="77777777" w:rsidR="00A573B3" w:rsidRPr="004C2A59" w:rsidRDefault="00A573B3" w:rsidP="00421681">
            <w:pPr>
              <w:pStyle w:val="EndnoteText"/>
              <w:rPr>
                <w:color w:val="000000"/>
              </w:rPr>
            </w:pPr>
            <w:r w:rsidRPr="004C2A59">
              <w:rPr>
                <w:color w:val="000000"/>
              </w:rPr>
              <w:t>MESNA i.v.: dag 29</w:t>
            </w:r>
            <w:r w:rsidRPr="004C2A59">
              <w:rPr>
                <w:color w:val="000000"/>
              </w:rPr>
              <w:noBreakHyphen/>
              <w:t>33</w:t>
            </w:r>
          </w:p>
          <w:p w14:paraId="32D98D40" w14:textId="77777777" w:rsidR="00A573B3" w:rsidRPr="004C2A59" w:rsidRDefault="00A573B3" w:rsidP="00421681">
            <w:pPr>
              <w:pStyle w:val="EndnoteText"/>
              <w:rPr>
                <w:color w:val="000000"/>
              </w:rPr>
            </w:pPr>
            <w:r w:rsidRPr="004C2A59">
              <w:rPr>
                <w:color w:val="000000"/>
              </w:rPr>
              <w:t>G-CSF (5 μg/kg, s.c.): dag 34</w:t>
            </w:r>
            <w:r w:rsidRPr="004C2A59">
              <w:rPr>
                <w:color w:val="000000"/>
              </w:rPr>
              <w:noBreakHyphen/>
              <w:t>43</w:t>
            </w:r>
          </w:p>
        </w:tc>
      </w:tr>
      <w:tr w:rsidR="00A573B3" w:rsidRPr="00F852D1" w14:paraId="38315B18" w14:textId="77777777" w:rsidTr="00C422EE">
        <w:trPr>
          <w:cantSplit/>
        </w:trPr>
        <w:tc>
          <w:tcPr>
            <w:tcW w:w="2357" w:type="dxa"/>
            <w:shd w:val="clear" w:color="auto" w:fill="auto"/>
          </w:tcPr>
          <w:p w14:paraId="00AFEB05" w14:textId="77777777" w:rsidR="00A573B3" w:rsidRPr="004C2A59" w:rsidRDefault="00A573B3" w:rsidP="00421681">
            <w:pPr>
              <w:pStyle w:val="EndnoteText"/>
              <w:rPr>
                <w:color w:val="000000"/>
              </w:rPr>
            </w:pPr>
            <w:r w:rsidRPr="004C2A59">
              <w:rPr>
                <w:color w:val="000000"/>
              </w:rPr>
              <w:t>Vedligeholdelse</w:t>
            </w:r>
          </w:p>
          <w:p w14:paraId="77D7C733" w14:textId="77777777" w:rsidR="00A573B3" w:rsidRPr="004C2A59" w:rsidRDefault="00A573B3" w:rsidP="00421681">
            <w:pPr>
              <w:pStyle w:val="EndnoteText"/>
              <w:rPr>
                <w:color w:val="000000"/>
              </w:rPr>
            </w:pPr>
            <w:r w:rsidRPr="004C2A59">
              <w:rPr>
                <w:color w:val="000000"/>
              </w:rPr>
              <w:t>(8-ugers cykler)</w:t>
            </w:r>
          </w:p>
          <w:p w14:paraId="2C01EC10" w14:textId="77777777" w:rsidR="00A573B3" w:rsidRPr="004C2A59" w:rsidRDefault="00A573B3" w:rsidP="00421681">
            <w:pPr>
              <w:pStyle w:val="EndnoteText"/>
              <w:rPr>
                <w:color w:val="000000"/>
              </w:rPr>
            </w:pPr>
            <w:r w:rsidRPr="004C2A59">
              <w:rPr>
                <w:color w:val="000000"/>
              </w:rPr>
              <w:t>Cyklus 5</w:t>
            </w:r>
          </w:p>
        </w:tc>
        <w:tc>
          <w:tcPr>
            <w:tcW w:w="6924" w:type="dxa"/>
            <w:shd w:val="clear" w:color="auto" w:fill="auto"/>
          </w:tcPr>
          <w:p w14:paraId="60C9DC7B" w14:textId="77777777" w:rsidR="00A573B3" w:rsidRPr="004C2A59" w:rsidRDefault="00A573B3" w:rsidP="00421681">
            <w:pPr>
              <w:pStyle w:val="EndnoteText"/>
              <w:rPr>
                <w:color w:val="000000"/>
              </w:rPr>
            </w:pPr>
            <w:r w:rsidRPr="004C2A59">
              <w:rPr>
                <w:color w:val="000000"/>
              </w:rPr>
              <w:t>Kraniebestråling (kun blok 5)</w:t>
            </w:r>
          </w:p>
          <w:p w14:paraId="3B1C3D24" w14:textId="77777777" w:rsidR="00A573B3" w:rsidRPr="004C2A59" w:rsidRDefault="00A573B3" w:rsidP="00421681">
            <w:pPr>
              <w:pStyle w:val="EndnoteText"/>
              <w:rPr>
                <w:color w:val="000000"/>
              </w:rPr>
            </w:pPr>
            <w:r w:rsidRPr="004C2A59">
              <w:rPr>
                <w:color w:val="000000"/>
              </w:rPr>
              <w:t>12 Gy i 8 fraktioner for alle patienter, som er CNS1 og CNS2 ved diagnosticering</w:t>
            </w:r>
          </w:p>
          <w:p w14:paraId="45625B7B" w14:textId="77777777" w:rsidR="00A573B3" w:rsidRPr="004C2A59" w:rsidRDefault="00A573B3" w:rsidP="00421681">
            <w:pPr>
              <w:pStyle w:val="EndnoteText"/>
              <w:rPr>
                <w:color w:val="000000"/>
              </w:rPr>
            </w:pPr>
            <w:r w:rsidRPr="004C2A59">
              <w:rPr>
                <w:color w:val="000000"/>
              </w:rPr>
              <w:t>18 Gy i 10 fraktioner for patienter, som er CNS3 ved diagnosticering</w:t>
            </w:r>
          </w:p>
          <w:p w14:paraId="695C4982" w14:textId="77777777" w:rsidR="00A573B3" w:rsidRPr="004C2A59" w:rsidRDefault="00A573B3" w:rsidP="00421681">
            <w:pPr>
              <w:pStyle w:val="EndnoteText"/>
              <w:rPr>
                <w:color w:val="000000"/>
              </w:rPr>
            </w:pPr>
            <w:r w:rsidRPr="004C2A59">
              <w:rPr>
                <w:color w:val="000000"/>
              </w:rPr>
              <w:t>VCR (1,5 mg/m</w:t>
            </w:r>
            <w:r w:rsidRPr="004C2A59">
              <w:rPr>
                <w:color w:val="000000"/>
                <w:vertAlign w:val="superscript"/>
              </w:rPr>
              <w:t>2</w:t>
            </w:r>
            <w:r w:rsidRPr="004C2A59">
              <w:rPr>
                <w:color w:val="000000"/>
              </w:rPr>
              <w:t>/dag, i.v.): dag 1, 29</w:t>
            </w:r>
          </w:p>
          <w:p w14:paraId="147CF98A" w14:textId="77777777" w:rsidR="00A573B3" w:rsidRPr="004C2A59" w:rsidRDefault="00A573B3" w:rsidP="00421681">
            <w:pPr>
              <w:pStyle w:val="EndnoteText"/>
              <w:rPr>
                <w:color w:val="000000"/>
              </w:rPr>
            </w:pPr>
            <w:r w:rsidRPr="004C2A59">
              <w:rPr>
                <w:color w:val="000000"/>
              </w:rPr>
              <w:t>DEX (6 mg/m</w:t>
            </w:r>
            <w:r w:rsidRPr="004C2A59">
              <w:rPr>
                <w:color w:val="000000"/>
                <w:vertAlign w:val="superscript"/>
              </w:rPr>
              <w:t>2</w:t>
            </w:r>
            <w:r w:rsidRPr="004C2A59">
              <w:rPr>
                <w:color w:val="000000"/>
              </w:rPr>
              <w:t>/dag, p.o.): dag 1</w:t>
            </w:r>
            <w:r w:rsidRPr="004C2A59">
              <w:rPr>
                <w:color w:val="000000"/>
              </w:rPr>
              <w:noBreakHyphen/>
              <w:t>5; 29</w:t>
            </w:r>
            <w:r w:rsidRPr="004C2A59">
              <w:rPr>
                <w:color w:val="000000"/>
              </w:rPr>
              <w:noBreakHyphen/>
              <w:t>33</w:t>
            </w:r>
          </w:p>
          <w:p w14:paraId="197DD989" w14:textId="77777777" w:rsidR="00A573B3" w:rsidRPr="004C2A59" w:rsidRDefault="00A573B3" w:rsidP="00421681">
            <w:pPr>
              <w:pStyle w:val="EndnoteText"/>
              <w:rPr>
                <w:color w:val="000000"/>
              </w:rPr>
            </w:pPr>
            <w:r w:rsidRPr="004C2A59">
              <w:rPr>
                <w:color w:val="000000"/>
              </w:rPr>
              <w:t>6-MP (75 mg/m</w:t>
            </w:r>
            <w:r w:rsidRPr="004C2A59">
              <w:rPr>
                <w:color w:val="000000"/>
                <w:vertAlign w:val="superscript"/>
              </w:rPr>
              <w:t>2</w:t>
            </w:r>
            <w:r w:rsidRPr="004C2A59">
              <w:rPr>
                <w:color w:val="000000"/>
              </w:rPr>
              <w:t>/dag, p.o.): dag 11</w:t>
            </w:r>
            <w:r w:rsidRPr="004C2A59">
              <w:rPr>
                <w:color w:val="000000"/>
              </w:rPr>
              <w:noBreakHyphen/>
              <w:t>56 (tilbagehold 6-MP i de 6</w:t>
            </w:r>
            <w:r w:rsidRPr="004C2A59">
              <w:rPr>
                <w:color w:val="000000"/>
              </w:rPr>
              <w:noBreakHyphen/>
              <w:t>10 dage  med kraniebestråling med start dag 1 i cyklus 5. Start 6-MP den første dag efter gennemført kraniebestråling.)</w:t>
            </w:r>
          </w:p>
          <w:p w14:paraId="0C0F0B4E" w14:textId="77777777" w:rsidR="00A573B3" w:rsidRPr="004C2A59" w:rsidRDefault="00A573B3" w:rsidP="00421681">
            <w:pPr>
              <w:pStyle w:val="EndnoteText"/>
              <w:rPr>
                <w:color w:val="000000"/>
              </w:rPr>
            </w:pPr>
            <w:r w:rsidRPr="004C2A59">
              <w:rPr>
                <w:color w:val="000000"/>
              </w:rPr>
              <w:t>Methotrexat (20 mg/m</w:t>
            </w:r>
            <w:r w:rsidRPr="004C2A59">
              <w:rPr>
                <w:color w:val="000000"/>
                <w:vertAlign w:val="superscript"/>
              </w:rPr>
              <w:t>2</w:t>
            </w:r>
            <w:r w:rsidRPr="004C2A59">
              <w:rPr>
                <w:color w:val="000000"/>
              </w:rPr>
              <w:t>/uge, p.o.): dag  8, 15, 22, 29, 36, 43, 50</w:t>
            </w:r>
          </w:p>
        </w:tc>
      </w:tr>
      <w:tr w:rsidR="00A573B3" w:rsidRPr="00F852D1" w14:paraId="1BB23DD3" w14:textId="77777777" w:rsidTr="00C422EE">
        <w:trPr>
          <w:cantSplit/>
        </w:trPr>
        <w:tc>
          <w:tcPr>
            <w:tcW w:w="2357" w:type="dxa"/>
            <w:shd w:val="clear" w:color="auto" w:fill="auto"/>
          </w:tcPr>
          <w:p w14:paraId="5880848E" w14:textId="77777777" w:rsidR="00A573B3" w:rsidRPr="004C2A59" w:rsidRDefault="00A573B3" w:rsidP="00C422EE">
            <w:pPr>
              <w:pStyle w:val="EndnoteText"/>
              <w:keepNext/>
              <w:rPr>
                <w:color w:val="000000"/>
              </w:rPr>
            </w:pPr>
            <w:r w:rsidRPr="004C2A59">
              <w:rPr>
                <w:color w:val="000000"/>
              </w:rPr>
              <w:t>Vedligeholdelse</w:t>
            </w:r>
          </w:p>
          <w:p w14:paraId="556A1772" w14:textId="77777777" w:rsidR="00A573B3" w:rsidRPr="004C2A59" w:rsidRDefault="00A573B3" w:rsidP="00C422EE">
            <w:pPr>
              <w:pStyle w:val="EndnoteText"/>
              <w:keepNext/>
              <w:rPr>
                <w:color w:val="000000"/>
              </w:rPr>
            </w:pPr>
            <w:r w:rsidRPr="004C2A59">
              <w:rPr>
                <w:color w:val="000000"/>
              </w:rPr>
              <w:t>(8-ugers cykler)</w:t>
            </w:r>
          </w:p>
          <w:p w14:paraId="621264C7" w14:textId="77777777" w:rsidR="00A573B3" w:rsidRPr="004C2A59" w:rsidRDefault="00A573B3" w:rsidP="00C422EE">
            <w:pPr>
              <w:pStyle w:val="EndnoteText"/>
              <w:keepNext/>
              <w:rPr>
                <w:color w:val="000000"/>
              </w:rPr>
            </w:pPr>
            <w:r w:rsidRPr="004C2A59">
              <w:rPr>
                <w:color w:val="000000"/>
              </w:rPr>
              <w:t>Cyklus 6</w:t>
            </w:r>
            <w:r w:rsidRPr="004C2A59">
              <w:rPr>
                <w:color w:val="000000"/>
              </w:rPr>
              <w:noBreakHyphen/>
              <w:t>12</w:t>
            </w:r>
          </w:p>
        </w:tc>
        <w:tc>
          <w:tcPr>
            <w:tcW w:w="6924" w:type="dxa"/>
            <w:shd w:val="clear" w:color="auto" w:fill="auto"/>
          </w:tcPr>
          <w:p w14:paraId="76B10380" w14:textId="77777777" w:rsidR="00A573B3" w:rsidRPr="004C2A59" w:rsidRDefault="00A573B3" w:rsidP="00C422EE">
            <w:pPr>
              <w:pStyle w:val="EndnoteText"/>
              <w:keepNext/>
              <w:rPr>
                <w:color w:val="000000"/>
              </w:rPr>
            </w:pPr>
            <w:r w:rsidRPr="004C2A59">
              <w:rPr>
                <w:color w:val="000000"/>
              </w:rPr>
              <w:t>VCR (1,5 mg/m</w:t>
            </w:r>
            <w:r w:rsidRPr="004C2A59">
              <w:rPr>
                <w:color w:val="000000"/>
                <w:vertAlign w:val="superscript"/>
              </w:rPr>
              <w:t>2</w:t>
            </w:r>
            <w:r w:rsidRPr="004C2A59">
              <w:rPr>
                <w:color w:val="000000"/>
              </w:rPr>
              <w:t>/dag, i.v.: dag 1, 29</w:t>
            </w:r>
          </w:p>
          <w:p w14:paraId="7FE04433" w14:textId="77777777" w:rsidR="00A573B3" w:rsidRPr="004C2A59" w:rsidRDefault="00A573B3" w:rsidP="00C422EE">
            <w:pPr>
              <w:pStyle w:val="EndnoteText"/>
              <w:keepNext/>
              <w:rPr>
                <w:color w:val="000000"/>
              </w:rPr>
            </w:pPr>
            <w:r w:rsidRPr="004C2A59">
              <w:rPr>
                <w:color w:val="000000"/>
              </w:rPr>
              <w:t>DEX (6 mg/m</w:t>
            </w:r>
            <w:r w:rsidRPr="004C2A59">
              <w:rPr>
                <w:color w:val="000000"/>
                <w:vertAlign w:val="superscript"/>
              </w:rPr>
              <w:t>2</w:t>
            </w:r>
            <w:r w:rsidRPr="004C2A59">
              <w:rPr>
                <w:color w:val="000000"/>
              </w:rPr>
              <w:t>/dag, p.o.): dag 1</w:t>
            </w:r>
            <w:r w:rsidRPr="004C2A59">
              <w:rPr>
                <w:color w:val="000000"/>
              </w:rPr>
              <w:noBreakHyphen/>
              <w:t>5; 29</w:t>
            </w:r>
            <w:r w:rsidRPr="004C2A59">
              <w:rPr>
                <w:color w:val="000000"/>
              </w:rPr>
              <w:noBreakHyphen/>
              <w:t>33</w:t>
            </w:r>
          </w:p>
          <w:p w14:paraId="59A55EB9" w14:textId="77777777" w:rsidR="00A573B3" w:rsidRPr="004C2A59" w:rsidRDefault="00A573B3" w:rsidP="00C422EE">
            <w:pPr>
              <w:pStyle w:val="EndnoteText"/>
              <w:keepNext/>
              <w:rPr>
                <w:color w:val="000000"/>
              </w:rPr>
            </w:pPr>
            <w:r w:rsidRPr="004C2A59">
              <w:rPr>
                <w:color w:val="000000"/>
              </w:rPr>
              <w:t>6-MP (75 mg/m</w:t>
            </w:r>
            <w:r w:rsidRPr="004C2A59">
              <w:rPr>
                <w:color w:val="000000"/>
                <w:vertAlign w:val="superscript"/>
              </w:rPr>
              <w:t>2</w:t>
            </w:r>
            <w:r w:rsidRPr="004C2A59">
              <w:rPr>
                <w:color w:val="000000"/>
              </w:rPr>
              <w:t>/dag, p.o.): dag 1</w:t>
            </w:r>
            <w:r w:rsidRPr="004C2A59">
              <w:rPr>
                <w:color w:val="000000"/>
              </w:rPr>
              <w:noBreakHyphen/>
              <w:t>56</w:t>
            </w:r>
          </w:p>
          <w:p w14:paraId="382FC556" w14:textId="77777777" w:rsidR="00A573B3" w:rsidRPr="004C2A59" w:rsidRDefault="00A573B3" w:rsidP="00C422EE">
            <w:pPr>
              <w:pStyle w:val="EndnoteText"/>
              <w:keepNext/>
              <w:rPr>
                <w:color w:val="000000"/>
              </w:rPr>
            </w:pPr>
            <w:r w:rsidRPr="004C2A59">
              <w:rPr>
                <w:color w:val="000000"/>
              </w:rPr>
              <w:t>Methotrexat (20 mg/m</w:t>
            </w:r>
            <w:r w:rsidRPr="004C2A59">
              <w:rPr>
                <w:color w:val="000000"/>
                <w:vertAlign w:val="superscript"/>
              </w:rPr>
              <w:t>2</w:t>
            </w:r>
            <w:r w:rsidRPr="004C2A59">
              <w:rPr>
                <w:color w:val="000000"/>
              </w:rPr>
              <w:t xml:space="preserve">/uge, p.o.): dag 1, 8, 15, 22, 29, 36, 43, 50 </w:t>
            </w:r>
          </w:p>
        </w:tc>
      </w:tr>
    </w:tbl>
    <w:p w14:paraId="1FFA895E" w14:textId="77777777" w:rsidR="00A573B3" w:rsidRPr="004C2A59" w:rsidRDefault="00A573B3" w:rsidP="00C422EE">
      <w:pPr>
        <w:pStyle w:val="EndnoteText"/>
        <w:keepLines/>
        <w:rPr>
          <w:color w:val="000000"/>
          <w:szCs w:val="22"/>
        </w:rPr>
      </w:pPr>
      <w:r w:rsidRPr="004C2A59">
        <w:rPr>
          <w:color w:val="000000"/>
          <w:szCs w:val="22"/>
        </w:rPr>
        <w:t xml:space="preserve">G-CSF = granulocyt-koloni-stimulerende faktor, VP-16 = etoposid, MTX = methotrexat, i.v. = intravenøs, s.c. = subkutan, i.t. = intratekal, p.o. = oral, i.m. = intramuskulær, ARA-C = cytarabin, CPM = cyclophosphamid, VCR = vinkristin, DEX = dexamethason, DAUN = daunorubicin, 6-MP = 6-mercaptopurin, </w:t>
      </w:r>
      <w:r w:rsidRPr="004C2A59">
        <w:rPr>
          <w:i/>
          <w:color w:val="000000"/>
          <w:szCs w:val="22"/>
        </w:rPr>
        <w:t>E.Coli</w:t>
      </w:r>
      <w:r w:rsidRPr="004C2A59">
        <w:rPr>
          <w:color w:val="000000"/>
          <w:szCs w:val="22"/>
        </w:rPr>
        <w:t xml:space="preserve"> L-ASP = L-asparaginase, PEG-ASP = PEG asparaginase, MESNA= 2-mercaptoethan-natriumsulfonat, iii= eller indtil MTX-niveauet er &lt;0,1 µM, Gy= Gray</w:t>
      </w:r>
    </w:p>
    <w:p w14:paraId="69749A16" w14:textId="77777777" w:rsidR="00A573B3" w:rsidRPr="004C2A59" w:rsidRDefault="00A573B3" w:rsidP="00421681">
      <w:pPr>
        <w:pStyle w:val="EndnoteText"/>
        <w:rPr>
          <w:color w:val="000000"/>
          <w:szCs w:val="22"/>
        </w:rPr>
      </w:pPr>
    </w:p>
    <w:p w14:paraId="39482E03" w14:textId="77777777" w:rsidR="00A573B3" w:rsidRPr="004C2A59" w:rsidRDefault="00A573B3" w:rsidP="00421681">
      <w:pPr>
        <w:pStyle w:val="EndnoteText"/>
        <w:rPr>
          <w:color w:val="000000"/>
          <w:szCs w:val="22"/>
        </w:rPr>
      </w:pPr>
      <w:r w:rsidRPr="004C2A59">
        <w:rPr>
          <w:color w:val="000000"/>
          <w:szCs w:val="22"/>
        </w:rPr>
        <w:t>Studie AIT07 var et multicenter, åbent, randomiseret, fase II/III-studie, der inkluderede 128 patienter (1 til &lt;18 år), som fik behandling med imatinib i kombination med kemoterapi. Sikkerhedsdata fra dette studie synes at være i overensstemmelse med sikkersprofilen for imatinib hos Ph+ ALL-patienter.</w:t>
      </w:r>
    </w:p>
    <w:p w14:paraId="2119F1C6" w14:textId="77777777" w:rsidR="00A573B3" w:rsidRPr="004C2A59" w:rsidRDefault="00A573B3" w:rsidP="00421681">
      <w:pPr>
        <w:pStyle w:val="EndnoteText"/>
        <w:rPr>
          <w:color w:val="000000"/>
          <w:szCs w:val="22"/>
        </w:rPr>
      </w:pPr>
    </w:p>
    <w:p w14:paraId="7B5CF3BF" w14:textId="77777777" w:rsidR="00A573B3" w:rsidRPr="004C2A59" w:rsidRDefault="00A573B3" w:rsidP="00421681">
      <w:pPr>
        <w:pStyle w:val="EndnoteText"/>
        <w:tabs>
          <w:tab w:val="clear" w:pos="567"/>
        </w:tabs>
        <w:rPr>
          <w:color w:val="000000"/>
          <w:szCs w:val="22"/>
        </w:rPr>
      </w:pPr>
      <w:r w:rsidRPr="004C2A59">
        <w:rPr>
          <w:i/>
          <w:color w:val="000000"/>
          <w:szCs w:val="22"/>
        </w:rPr>
        <w:t xml:space="preserve">Recidiverendet/refraktær Ph+ </w:t>
      </w:r>
      <w:smartTag w:uri="urn:schemas-microsoft-com:office:smarttags" w:element="metricconverter">
        <w:r w:rsidRPr="004C2A59">
          <w:rPr>
            <w:i/>
            <w:color w:val="000000"/>
            <w:szCs w:val="22"/>
          </w:rPr>
          <w:t>ALL</w:t>
        </w:r>
      </w:smartTag>
      <w:r w:rsidRPr="004C2A59">
        <w:rPr>
          <w:i/>
          <w:color w:val="000000"/>
          <w:szCs w:val="22"/>
        </w:rPr>
        <w:t>:</w:t>
      </w:r>
      <w:r w:rsidRPr="004C2A59">
        <w:rPr>
          <w:color w:val="000000"/>
          <w:szCs w:val="22"/>
        </w:rPr>
        <w:t xml:space="preserve"> Da imatinib blev brugt som enkeltstofbehandling ved recidiverende/refraktær Ph+ </w:t>
      </w:r>
      <w:smartTag w:uri="urn:schemas-microsoft-com:office:smarttags" w:element="metricconverter">
        <w:r w:rsidRPr="004C2A59">
          <w:rPr>
            <w:color w:val="000000"/>
            <w:szCs w:val="22"/>
          </w:rPr>
          <w:t>ALL</w:t>
        </w:r>
      </w:smartTag>
      <w:r w:rsidRPr="004C2A59">
        <w:rPr>
          <w:color w:val="000000"/>
          <w:szCs w:val="22"/>
        </w:rPr>
        <w:t xml:space="preserve"> var resultatet hos 53 ud af 411 evaluerbare patienter en hæmatologisk responsrate på 30% (9% komplet) og en væsentlig cytogenetisk responsrate på 23%. (Det skal bemærkes, at af de 411 patienter blev 353 behandlet i et program med udvidet adgang til behandling uden indsamling af primære responsdata). Mediantid før progression varierede i den samlede population af 411 patienter med recidiverende/refraktær Ph+ </w:t>
      </w:r>
      <w:smartTag w:uri="urn:schemas-microsoft-com:office:smarttags" w:element="metricconverter">
        <w:r w:rsidRPr="004C2A59">
          <w:rPr>
            <w:color w:val="000000"/>
            <w:szCs w:val="22"/>
          </w:rPr>
          <w:t>ALL</w:t>
        </w:r>
      </w:smartTag>
      <w:r w:rsidRPr="004C2A59">
        <w:rPr>
          <w:color w:val="000000"/>
          <w:szCs w:val="22"/>
        </w:rPr>
        <w:t xml:space="preserve"> fra 2,6 til 3,1 måned, og median for samlet overlevelse hos de 401 evaluerbare patienter varierede fra 4,9 til 9 måneder. Der blev opnået samme data ved reanalyse med inklusion kun af patienter i en alder af over 55 år.</w:t>
      </w:r>
    </w:p>
    <w:p w14:paraId="37FFD6C8" w14:textId="77777777" w:rsidR="00A573B3" w:rsidRPr="004C2A59" w:rsidRDefault="00A573B3" w:rsidP="00421681">
      <w:pPr>
        <w:pStyle w:val="EndnoteText"/>
        <w:tabs>
          <w:tab w:val="clear" w:pos="567"/>
        </w:tabs>
        <w:rPr>
          <w:color w:val="000000"/>
          <w:szCs w:val="22"/>
          <w:u w:val="single"/>
        </w:rPr>
      </w:pPr>
    </w:p>
    <w:p w14:paraId="6CDF7BD0" w14:textId="77777777" w:rsidR="00A573B3" w:rsidRPr="004C2A59" w:rsidRDefault="00A573B3" w:rsidP="00C422EE">
      <w:pPr>
        <w:pStyle w:val="EndnoteText"/>
        <w:keepNext/>
        <w:tabs>
          <w:tab w:val="clear" w:pos="567"/>
        </w:tabs>
        <w:rPr>
          <w:color w:val="000000"/>
          <w:szCs w:val="22"/>
          <w:u w:val="single"/>
        </w:rPr>
      </w:pPr>
      <w:r w:rsidRPr="004C2A59">
        <w:rPr>
          <w:color w:val="000000"/>
          <w:szCs w:val="22"/>
          <w:u w:val="single"/>
        </w:rPr>
        <w:t xml:space="preserve">Kliniske undersøgelser vedrørende </w:t>
      </w:r>
      <w:smartTag w:uri="urn:schemas-microsoft-com:office:smarttags" w:element="metricconverter">
        <w:r w:rsidRPr="004C2A59">
          <w:rPr>
            <w:color w:val="000000"/>
            <w:szCs w:val="22"/>
            <w:u w:val="single"/>
          </w:rPr>
          <w:t>MDS</w:t>
        </w:r>
      </w:smartTag>
      <w:r w:rsidRPr="004C2A59">
        <w:rPr>
          <w:color w:val="000000"/>
          <w:szCs w:val="22"/>
          <w:u w:val="single"/>
        </w:rPr>
        <w:t>/MPD</w:t>
      </w:r>
    </w:p>
    <w:p w14:paraId="549DCD80" w14:textId="77777777" w:rsidR="009F755F" w:rsidRDefault="00A573B3" w:rsidP="00421681">
      <w:pPr>
        <w:pStyle w:val="EndnoteText"/>
        <w:tabs>
          <w:tab w:val="clear" w:pos="567"/>
        </w:tabs>
        <w:rPr>
          <w:color w:val="000000"/>
          <w:szCs w:val="22"/>
        </w:rPr>
      </w:pPr>
      <w:r w:rsidRPr="004C2A59">
        <w:rPr>
          <w:color w:val="000000"/>
          <w:szCs w:val="22"/>
        </w:rPr>
        <w:t xml:space="preserve">Der er meget begrænset erfaring med Glivec ved denne indikation, og den er baseret på hæmatologiske og cytogenetiske responsrater. Der er ingen kontrollerede undersøgelser, der påviser klinisk gavn eller øget overlevelse. Der er udført et åbent multicenter, klinisk fase II-studie (studie B2225) med henblik på vurdering af Glivec i en blandet patientpopulation med livstruende sygdomme forbundet med Abl, Kit eller PDGFR protein-tyrosinkinaser. I dette studie indgik 7 patienter med </w:t>
      </w:r>
      <w:smartTag w:uri="urn:schemas-microsoft-com:office:smarttags" w:element="metricconverter">
        <w:r w:rsidRPr="004C2A59">
          <w:rPr>
            <w:color w:val="000000"/>
            <w:szCs w:val="22"/>
          </w:rPr>
          <w:t>MDS</w:t>
        </w:r>
      </w:smartTag>
      <w:r w:rsidRPr="004C2A59">
        <w:rPr>
          <w:color w:val="000000"/>
          <w:szCs w:val="22"/>
        </w:rPr>
        <w:t>/MPD, som blev behandlet med 400 mg Glivec daglig. Tre patienter viste komplet hæmatologisk respons (</w:t>
      </w:r>
      <w:smartTag w:uri="urn:schemas-microsoft-com:office:smarttags" w:element="metricconverter">
        <w:r w:rsidRPr="004C2A59">
          <w:rPr>
            <w:color w:val="000000"/>
            <w:szCs w:val="22"/>
          </w:rPr>
          <w:t>CHR</w:t>
        </w:r>
      </w:smartTag>
      <w:r w:rsidRPr="004C2A59">
        <w:rPr>
          <w:color w:val="000000"/>
          <w:szCs w:val="22"/>
        </w:rPr>
        <w:t>) og en patient viste partiel hæmatologisk respons (</w:t>
      </w:r>
      <w:smartTag w:uri="urn:schemas-microsoft-com:office:smarttags" w:element="metricconverter">
        <w:r w:rsidRPr="004C2A59">
          <w:rPr>
            <w:color w:val="000000"/>
            <w:szCs w:val="22"/>
          </w:rPr>
          <w:t>PHR</w:t>
        </w:r>
      </w:smartTag>
      <w:r w:rsidRPr="004C2A59">
        <w:rPr>
          <w:color w:val="000000"/>
          <w:szCs w:val="22"/>
        </w:rPr>
        <w:t>). På tidspunktet for den oprindelige analyse, havde 3 af 4 patienter med konstateret PDGFR-omlejring opnået hæmatologisk respons (2 </w:t>
      </w:r>
      <w:smartTag w:uri="urn:schemas-microsoft-com:office:smarttags" w:element="metricconverter">
        <w:r w:rsidRPr="004C2A59">
          <w:rPr>
            <w:color w:val="000000"/>
            <w:szCs w:val="22"/>
          </w:rPr>
          <w:t>CHR</w:t>
        </w:r>
      </w:smartTag>
      <w:r w:rsidRPr="004C2A59">
        <w:rPr>
          <w:color w:val="000000"/>
          <w:szCs w:val="22"/>
        </w:rPr>
        <w:t xml:space="preserve"> og 1 </w:t>
      </w:r>
      <w:smartTag w:uri="urn:schemas-microsoft-com:office:smarttags" w:element="metricconverter">
        <w:r w:rsidRPr="004C2A59">
          <w:rPr>
            <w:color w:val="000000"/>
            <w:szCs w:val="22"/>
          </w:rPr>
          <w:t>PHR</w:t>
        </w:r>
      </w:smartTag>
      <w:r w:rsidRPr="004C2A59">
        <w:rPr>
          <w:color w:val="000000"/>
          <w:szCs w:val="22"/>
        </w:rPr>
        <w:t>). Disse patienters alder varierede fra 20 til 72 år.</w:t>
      </w:r>
    </w:p>
    <w:p w14:paraId="44E199EA" w14:textId="77777777" w:rsidR="009F755F" w:rsidRDefault="009F755F" w:rsidP="00421681">
      <w:pPr>
        <w:pStyle w:val="EndnoteText"/>
        <w:tabs>
          <w:tab w:val="clear" w:pos="567"/>
        </w:tabs>
        <w:rPr>
          <w:color w:val="000000"/>
          <w:szCs w:val="22"/>
        </w:rPr>
      </w:pPr>
    </w:p>
    <w:p w14:paraId="1DDA8DDC" w14:textId="77777777" w:rsidR="009F755F" w:rsidRDefault="009F755F" w:rsidP="00421681">
      <w:pPr>
        <w:pStyle w:val="EndnoteText"/>
        <w:tabs>
          <w:tab w:val="clear" w:pos="567"/>
        </w:tabs>
        <w:rPr>
          <w:color w:val="000000"/>
          <w:szCs w:val="22"/>
        </w:rPr>
      </w:pPr>
      <w:r>
        <w:rPr>
          <w:color w:val="000000"/>
          <w:szCs w:val="22"/>
        </w:rPr>
        <w:lastRenderedPageBreak/>
        <w:t>Et observationelt registerstudie (studie L2401) blev udført for at indsamle langsigtede sikkerheds- og effektdata for patienter, som lider af myeloproliferative neoplasier med PDGFR- β rearrangement og som blev behandlet med Glivec. De 23 patienter som var inkluderet i registerstudiet, fik Glivec med en daglig mediandosis på 264 mg (dosisområde: 100 til 400 mg) med en median varighed på 7,2 år (behandlingstid 0,1 til 12,7 år). På grund af studiets observationelle karakter var data for hæmatologisk, cytogenetisk og molekylær vurdering tilgængelige for henholdvis 22, 9 og 17 af de 23 inkluderede patienter. Ved en konservativ antagelse af at patienter med manglende data er ikke-respondenter, blev CHR observeret hos 20/23 (87 %), CCyR hos 9/23 (39,1 %) og MR hos 11/23 (47,8 %) af patienterne. Hvis responsraten beregnes ud fra patienter med mindst en valid parametervurdering er reponsraten for CHR, CCyr og MR henholdvis 20/22 (90,9 %), 9/9 (100 %) og 11/17 (64,7 %).</w:t>
      </w:r>
    </w:p>
    <w:p w14:paraId="64810151" w14:textId="77777777" w:rsidR="009F755F" w:rsidRDefault="009F755F" w:rsidP="00421681">
      <w:pPr>
        <w:pStyle w:val="EndnoteText"/>
        <w:tabs>
          <w:tab w:val="clear" w:pos="567"/>
        </w:tabs>
        <w:rPr>
          <w:color w:val="000000"/>
          <w:szCs w:val="22"/>
        </w:rPr>
      </w:pPr>
    </w:p>
    <w:p w14:paraId="441C7CCF" w14:textId="77777777" w:rsidR="00A573B3" w:rsidRPr="004C2A59" w:rsidRDefault="00A573B3" w:rsidP="00421681">
      <w:pPr>
        <w:pStyle w:val="EndnoteText"/>
        <w:tabs>
          <w:tab w:val="clear" w:pos="567"/>
        </w:tabs>
        <w:rPr>
          <w:color w:val="000000"/>
          <w:szCs w:val="22"/>
        </w:rPr>
      </w:pPr>
      <w:r w:rsidRPr="004C2A59">
        <w:rPr>
          <w:color w:val="000000"/>
          <w:szCs w:val="22"/>
        </w:rPr>
        <w:t xml:space="preserve">Derudover er yderligere 24 patienter med </w:t>
      </w:r>
      <w:smartTag w:uri="urn:schemas-microsoft-com:office:smarttags" w:element="metricconverter">
        <w:r w:rsidRPr="004C2A59">
          <w:rPr>
            <w:color w:val="000000"/>
            <w:szCs w:val="22"/>
          </w:rPr>
          <w:t>MDS</w:t>
        </w:r>
      </w:smartTag>
      <w:r w:rsidRPr="004C2A59">
        <w:rPr>
          <w:color w:val="000000"/>
          <w:szCs w:val="22"/>
        </w:rPr>
        <w:t xml:space="preserve">/MPD beskrevet i 13 publikationer. 21 patienter blev behandlet med 400 mg Glivec daglig, mens 3 patienter fik en lavere dosis. Der blev set PDGFR-omlejring hos 11 patienter, 9 af disse opnåede </w:t>
      </w:r>
      <w:smartTag w:uri="urn:schemas-microsoft-com:office:smarttags" w:element="metricconverter">
        <w:r w:rsidRPr="004C2A59">
          <w:rPr>
            <w:color w:val="000000"/>
            <w:szCs w:val="22"/>
          </w:rPr>
          <w:t>CHR</w:t>
        </w:r>
      </w:smartTag>
      <w:r w:rsidRPr="004C2A59">
        <w:rPr>
          <w:color w:val="000000"/>
          <w:szCs w:val="22"/>
        </w:rPr>
        <w:t xml:space="preserve"> og 1 </w:t>
      </w:r>
      <w:smartTag w:uri="urn:schemas-microsoft-com:office:smarttags" w:element="metricconverter">
        <w:r w:rsidRPr="004C2A59">
          <w:rPr>
            <w:color w:val="000000"/>
            <w:szCs w:val="22"/>
          </w:rPr>
          <w:t>PHR</w:t>
        </w:r>
      </w:smartTag>
      <w:r w:rsidRPr="004C2A59">
        <w:rPr>
          <w:color w:val="000000"/>
          <w:szCs w:val="22"/>
        </w:rPr>
        <w:t>. Alderen hos disse patienter varierede fra 2 til 79 år. Opdaterede oplysninger om 6 af disse 11 patienter, som er publiceret for nylig, viste, at alle disse patienter forblev i cytogenetisk remission ( 32</w:t>
      </w:r>
      <w:r w:rsidRPr="004C2A59">
        <w:rPr>
          <w:color w:val="000000"/>
          <w:szCs w:val="22"/>
        </w:rPr>
        <w:noBreakHyphen/>
        <w:t>38 måneder). Der var i samme publikation oplysning om længere varende opfølgningsdata fra 12 </w:t>
      </w:r>
      <w:smartTag w:uri="urn:schemas-microsoft-com:office:smarttags" w:element="metricconverter">
        <w:r w:rsidRPr="004C2A59">
          <w:rPr>
            <w:color w:val="000000"/>
            <w:szCs w:val="22"/>
          </w:rPr>
          <w:t>MDS</w:t>
        </w:r>
      </w:smartTag>
      <w:r w:rsidRPr="004C2A59">
        <w:rPr>
          <w:color w:val="000000"/>
          <w:szCs w:val="22"/>
        </w:rPr>
        <w:t xml:space="preserve">/MPD-patienter med PDGFR-omlejring (5 patienter fra studie B2225). Disse patienter fik Glivec i en periode varierende mellem 24 dage og 60 måneder (median 47 måneder). Seks af disse patienter er nu fulgt i mere end 4 år. Elleve patienter opnåede hurtig </w:t>
      </w:r>
      <w:smartTag w:uri="urn:schemas-microsoft-com:office:smarttags" w:element="metricconverter">
        <w:r w:rsidRPr="004C2A59">
          <w:rPr>
            <w:color w:val="000000"/>
            <w:szCs w:val="22"/>
          </w:rPr>
          <w:t>CHR</w:t>
        </w:r>
      </w:smartTag>
      <w:r w:rsidRPr="004C2A59">
        <w:rPr>
          <w:color w:val="000000"/>
          <w:szCs w:val="22"/>
        </w:rPr>
        <w:t>; hos 10 patienter var cytogenetiske abnormaliteter svundet fuldstændig og der sås mindskning eller forsvinden af fusion-transcripts målt med RT-</w:t>
      </w:r>
      <w:smartTag w:uri="urn:schemas-microsoft-com:office:smarttags" w:element="metricconverter">
        <w:r w:rsidRPr="004C2A59">
          <w:rPr>
            <w:color w:val="000000"/>
            <w:szCs w:val="22"/>
          </w:rPr>
          <w:t>PCR</w:t>
        </w:r>
      </w:smartTag>
      <w:r w:rsidRPr="004C2A59">
        <w:rPr>
          <w:color w:val="000000"/>
          <w:szCs w:val="22"/>
        </w:rPr>
        <w:t>. Hæmatologisk og cytogenetisk respons er bibeholdt i en periode varende fra henholdsvis 19</w:t>
      </w:r>
      <w:r w:rsidRPr="004C2A59">
        <w:rPr>
          <w:color w:val="000000"/>
          <w:szCs w:val="22"/>
        </w:rPr>
        <w:noBreakHyphen/>
        <w:t>60 måneder (median 49 måneder) og 16</w:t>
      </w:r>
      <w:r w:rsidRPr="004C2A59">
        <w:rPr>
          <w:color w:val="000000"/>
          <w:szCs w:val="22"/>
        </w:rPr>
        <w:noBreakHyphen/>
        <w:t>59 måneder (median 47 måneder). Den generelle overlevelse er 65 måneder, når diagnosen er stillet (varierende mellem 25</w:t>
      </w:r>
      <w:r w:rsidRPr="004C2A59">
        <w:rPr>
          <w:color w:val="000000"/>
          <w:szCs w:val="22"/>
        </w:rPr>
        <w:noBreakHyphen/>
        <w:t>234 måneder. Der ses generelt ingen bedring ved indgift af Glivec til patienter uden genetisk translokation.</w:t>
      </w:r>
    </w:p>
    <w:p w14:paraId="13ECD8C2" w14:textId="77777777" w:rsidR="00A573B3" w:rsidRPr="004C2A59" w:rsidRDefault="00A573B3" w:rsidP="00421681">
      <w:pPr>
        <w:pStyle w:val="EndnoteText"/>
        <w:tabs>
          <w:tab w:val="clear" w:pos="567"/>
        </w:tabs>
        <w:rPr>
          <w:color w:val="000000"/>
          <w:szCs w:val="22"/>
        </w:rPr>
      </w:pPr>
    </w:p>
    <w:p w14:paraId="00444FDD" w14:textId="77777777" w:rsidR="00A573B3" w:rsidRPr="004C2A59" w:rsidRDefault="00A573B3" w:rsidP="00421681">
      <w:pPr>
        <w:pStyle w:val="EndnoteText"/>
        <w:tabs>
          <w:tab w:val="clear" w:pos="567"/>
        </w:tabs>
        <w:rPr>
          <w:color w:val="000000"/>
          <w:szCs w:val="22"/>
        </w:rPr>
      </w:pPr>
      <w:r w:rsidRPr="004C2A59">
        <w:rPr>
          <w:color w:val="000000"/>
          <w:szCs w:val="22"/>
        </w:rPr>
        <w:t>Der er ingen kontrollerede forsøg med pædiatriske patienter med MDS/MPD. I fire publikationer var der rapporteret om fem (5) patienter med MDS/MPD forbundet med PDGFR-omlejring. Alderen på disse patienter rangerede fra 3 måneder til 4 år, og imatinib blev givet i en dosis på 50 mg dagligt eller doser, der lå i intervallet fra 92,5 til 340 mg/m</w:t>
      </w:r>
      <w:r w:rsidRPr="004C2A59">
        <w:rPr>
          <w:color w:val="000000"/>
          <w:szCs w:val="22"/>
          <w:vertAlign w:val="superscript"/>
        </w:rPr>
        <w:t>2</w:t>
      </w:r>
      <w:r w:rsidRPr="004C2A59">
        <w:rPr>
          <w:color w:val="000000"/>
          <w:szCs w:val="22"/>
        </w:rPr>
        <w:t xml:space="preserve"> dagligt. Alle patienter opnåede komplet hæmatologisk respons, cytogenetisk repons og/eller klinisk respons.</w:t>
      </w:r>
    </w:p>
    <w:p w14:paraId="57B88C67" w14:textId="77777777" w:rsidR="00A573B3" w:rsidRPr="004C2A59" w:rsidRDefault="00A573B3" w:rsidP="00421681">
      <w:pPr>
        <w:pStyle w:val="EndnoteText"/>
        <w:tabs>
          <w:tab w:val="clear" w:pos="567"/>
        </w:tabs>
        <w:rPr>
          <w:color w:val="000000"/>
          <w:szCs w:val="22"/>
          <w:u w:val="single"/>
        </w:rPr>
      </w:pPr>
    </w:p>
    <w:p w14:paraId="5DEF3152" w14:textId="77777777" w:rsidR="00A573B3" w:rsidRPr="004C2A59" w:rsidRDefault="00A573B3" w:rsidP="00C422EE">
      <w:pPr>
        <w:pStyle w:val="EndnoteText"/>
        <w:keepNext/>
        <w:tabs>
          <w:tab w:val="clear" w:pos="567"/>
        </w:tabs>
        <w:rPr>
          <w:color w:val="000000"/>
          <w:szCs w:val="22"/>
          <w:u w:val="single"/>
        </w:rPr>
      </w:pPr>
      <w:r w:rsidRPr="004C2A59">
        <w:rPr>
          <w:color w:val="000000"/>
          <w:szCs w:val="22"/>
          <w:u w:val="single"/>
        </w:rPr>
        <w:t>Kliniske undersøgelser vedrørende HES/</w:t>
      </w:r>
      <w:smartTag w:uri="urn:schemas-microsoft-com:office:smarttags" w:element="metricconverter">
        <w:r w:rsidRPr="004C2A59">
          <w:rPr>
            <w:color w:val="000000"/>
            <w:szCs w:val="22"/>
            <w:u w:val="single"/>
          </w:rPr>
          <w:t>CEL</w:t>
        </w:r>
      </w:smartTag>
    </w:p>
    <w:p w14:paraId="3C440037" w14:textId="77777777" w:rsidR="00A573B3" w:rsidRPr="004C2A59" w:rsidRDefault="00A573B3" w:rsidP="00421681">
      <w:pPr>
        <w:pStyle w:val="EndnoteText"/>
        <w:tabs>
          <w:tab w:val="clear" w:pos="567"/>
        </w:tabs>
        <w:rPr>
          <w:color w:val="000000"/>
          <w:szCs w:val="22"/>
          <w:u w:val="single"/>
        </w:rPr>
      </w:pPr>
      <w:r w:rsidRPr="004C2A59">
        <w:rPr>
          <w:color w:val="000000"/>
          <w:szCs w:val="22"/>
        </w:rPr>
        <w:t>Der er udført en åben, multicenter fase II-undersøgelse (studie B2225) med henblik på at vurdere Glivec hos en blandet patientpopulation med livstruende sygdomme forbundet med Abl-, Kit- eller PDGFR-proteintyrosinkinaser. I dette studie blev 14 patienter med HES/</w:t>
      </w:r>
      <w:smartTag w:uri="urn:schemas-microsoft-com:office:smarttags" w:element="metricconverter">
        <w:r w:rsidRPr="004C2A59">
          <w:rPr>
            <w:color w:val="000000"/>
            <w:szCs w:val="22"/>
          </w:rPr>
          <w:t>CEL</w:t>
        </w:r>
      </w:smartTag>
      <w:r w:rsidRPr="004C2A59">
        <w:rPr>
          <w:color w:val="000000"/>
          <w:szCs w:val="22"/>
        </w:rPr>
        <w:t xml:space="preserve"> behandlet med 100 mg - 1.000 mg Glivec daglig. Yderligere er 162 patienter med HES/</w:t>
      </w:r>
      <w:smartTag w:uri="urn:schemas-microsoft-com:office:smarttags" w:element="metricconverter">
        <w:r w:rsidRPr="004C2A59">
          <w:rPr>
            <w:color w:val="000000"/>
            <w:szCs w:val="22"/>
          </w:rPr>
          <w:t>CEL</w:t>
        </w:r>
      </w:smartTag>
      <w:r w:rsidRPr="004C2A59">
        <w:rPr>
          <w:color w:val="000000"/>
          <w:szCs w:val="22"/>
        </w:rPr>
        <w:t xml:space="preserve"> i alderen 11 til 78 år omtalt i 35 publicerede kasuistikker og behandlingsserier. De blev behandlet med GLivec i doser fra 75 mg til 800 mg daglig. Cytogenetiske abnormiteter blev evalueret hos 117 af hele populationen på 176 behandlede patienter. Af disse 117 patienter var 61 positive for FIP1L1-PDGFR</w:t>
      </w:r>
      <w:r w:rsidRPr="004C2A59">
        <w:rPr>
          <w:color w:val="000000"/>
          <w:szCs w:val="22"/>
          <w:lang w:val="en-GB"/>
        </w:rPr>
        <w:t>α</w:t>
      </w:r>
      <w:r w:rsidRPr="004C2A59">
        <w:rPr>
          <w:color w:val="000000"/>
          <w:szCs w:val="22"/>
        </w:rPr>
        <w:t xml:space="preserve"> fusionkinase. Yderligere 4 HES patienter blev fundet FIP1L1-PDGFRα positive i 3 andre publicerede kasuistikker. Alle 65 FIP1L1-PDGFRα fusionkinase-positive patienter opnåede </w:t>
      </w:r>
      <w:smartTag w:uri="urn:schemas-microsoft-com:office:smarttags" w:element="metricconverter">
        <w:r w:rsidRPr="004C2A59">
          <w:rPr>
            <w:color w:val="000000"/>
            <w:szCs w:val="22"/>
          </w:rPr>
          <w:t>CHR</w:t>
        </w:r>
      </w:smartTag>
      <w:r w:rsidRPr="004C2A59">
        <w:rPr>
          <w:color w:val="000000"/>
          <w:szCs w:val="22"/>
        </w:rPr>
        <w:t>, som vedvarede i måneder (varighed fra 1+ til 44+ måneder censureret på opgørelsestidpunktet). Som beskrevet i en nylig publikation opnåede 21 af disse 65 patienter også komplet molekylær remission med en median opfølgningstid på 28 måneder (varierende fra 13</w:t>
      </w:r>
      <w:r w:rsidRPr="004C2A59">
        <w:rPr>
          <w:color w:val="000000"/>
          <w:szCs w:val="22"/>
        </w:rPr>
        <w:noBreakHyphen/>
        <w:t>67 måneder). Patienternes alder varierede fra 25 til 72 år. Derudover angav investigatorene symptomatisk bedring af andre organdysfunktioner i kasuistikkerne. Bedring blev rapportert for: hjerte, nervesystem, hud/subkutant væv, respiratoriske/ thorakale/ mediastinale, muskuloskeletale/bindevævs/kar og gastroentestinale organsystemer.</w:t>
      </w:r>
    </w:p>
    <w:p w14:paraId="17C90743" w14:textId="77777777" w:rsidR="00A573B3" w:rsidRPr="004C2A59" w:rsidRDefault="00A573B3" w:rsidP="00421681">
      <w:pPr>
        <w:pStyle w:val="EndnoteText"/>
        <w:tabs>
          <w:tab w:val="clear" w:pos="567"/>
        </w:tabs>
        <w:rPr>
          <w:color w:val="000000"/>
          <w:szCs w:val="22"/>
          <w:u w:val="single"/>
        </w:rPr>
      </w:pPr>
    </w:p>
    <w:p w14:paraId="1628618B" w14:textId="77777777" w:rsidR="00A573B3" w:rsidRPr="004C2A59" w:rsidRDefault="00A573B3" w:rsidP="00421681">
      <w:pPr>
        <w:pStyle w:val="EndnoteText"/>
        <w:tabs>
          <w:tab w:val="clear" w:pos="567"/>
        </w:tabs>
        <w:rPr>
          <w:color w:val="000000"/>
          <w:szCs w:val="22"/>
        </w:rPr>
      </w:pPr>
      <w:r w:rsidRPr="004C2A59">
        <w:rPr>
          <w:color w:val="000000"/>
          <w:szCs w:val="22"/>
        </w:rPr>
        <w:t>Der er ingen kontrollerede forsøg med pædiatriske patienter med HES/CEL. I tre publikationer var der rapporteret om tre (3) patienter med HES og CEL forbundet med PDGFR-omlejring. Alderen på disse patienter rangerede fra 2 til 16 år, og imatinib blev givet i en dosis på 300 mg/m</w:t>
      </w:r>
      <w:r w:rsidRPr="004C2A59">
        <w:rPr>
          <w:color w:val="000000"/>
          <w:szCs w:val="22"/>
          <w:vertAlign w:val="superscript"/>
        </w:rPr>
        <w:t>2</w:t>
      </w:r>
      <w:r w:rsidRPr="004C2A59">
        <w:rPr>
          <w:color w:val="000000"/>
          <w:szCs w:val="22"/>
        </w:rPr>
        <w:t xml:space="preserve"> dagligt eller doser, der lå i intervallet fra 200 til 400 mg dagligt. Alle patienter opnåede komplet hæmatologisk respons, komplet cytogenetisk repons og/eller komplet molekylært respons.</w:t>
      </w:r>
    </w:p>
    <w:p w14:paraId="2632E0EC" w14:textId="77777777" w:rsidR="00A573B3" w:rsidRPr="004C2A59" w:rsidRDefault="00A573B3" w:rsidP="00421681">
      <w:pPr>
        <w:pStyle w:val="EndnoteText"/>
        <w:tabs>
          <w:tab w:val="clear" w:pos="567"/>
        </w:tabs>
        <w:rPr>
          <w:color w:val="000000"/>
          <w:szCs w:val="22"/>
          <w:u w:val="single"/>
        </w:rPr>
      </w:pPr>
    </w:p>
    <w:p w14:paraId="08EB85E5" w14:textId="77777777" w:rsidR="00A573B3" w:rsidRPr="004C2A59" w:rsidRDefault="00A573B3" w:rsidP="00C422EE">
      <w:pPr>
        <w:pStyle w:val="EndnoteText"/>
        <w:keepNext/>
        <w:tabs>
          <w:tab w:val="clear" w:pos="567"/>
        </w:tabs>
        <w:rPr>
          <w:color w:val="000000"/>
          <w:szCs w:val="22"/>
          <w:u w:val="single"/>
        </w:rPr>
      </w:pPr>
      <w:r w:rsidRPr="004C2A59">
        <w:rPr>
          <w:color w:val="000000"/>
          <w:szCs w:val="22"/>
          <w:u w:val="single"/>
        </w:rPr>
        <w:lastRenderedPageBreak/>
        <w:t>Kliniske undersøgelser vedrørende inoperabel og/eller metastaserende GIST</w:t>
      </w:r>
    </w:p>
    <w:p w14:paraId="4E7C5298" w14:textId="77777777" w:rsidR="00A573B3" w:rsidRPr="004C2A59" w:rsidRDefault="00A573B3" w:rsidP="00421681">
      <w:pPr>
        <w:pStyle w:val="EndnoteText"/>
        <w:tabs>
          <w:tab w:val="clear" w:pos="567"/>
        </w:tabs>
        <w:rPr>
          <w:color w:val="000000"/>
          <w:szCs w:val="22"/>
        </w:rPr>
      </w:pPr>
      <w:r w:rsidRPr="004C2A59">
        <w:rPr>
          <w:color w:val="000000"/>
          <w:szCs w:val="22"/>
        </w:rPr>
        <w:t>Der er udført en åben, randomiseret, ikke-kontrolleret, multinational fase II-undersøgelse med patienter med inoperable eller metastaserende maligne gastrointestinale bindevævstumorer (GIST). I denne undersøgelse inkluderedes 147 patienter, der randomiseredes til enten 400 mg eller 600 mg oralt en gang daglig, i op til 36 måneder. Disse patienter var i aldersgruppen 18–83 år og havde en patologisk diagnose af Kit-positiv malignt GIST, der var inoperabelt og/eller metastaserende. Der udførtes rutinemæssigt immunohistokemi med Kit antistof (A-4502, polyklonalt kaninserum, 1:100; DAKO Corporation, Carpinteria, CA) i overensstemmelse med analyse ved avidin-biotin-peroxidasekompleksmetode efter antigengenfinding.</w:t>
      </w:r>
    </w:p>
    <w:p w14:paraId="12797819" w14:textId="77777777" w:rsidR="00A573B3" w:rsidRPr="004C2A59" w:rsidRDefault="00A573B3" w:rsidP="00421681">
      <w:pPr>
        <w:pStyle w:val="EndnoteText"/>
        <w:tabs>
          <w:tab w:val="clear" w:pos="567"/>
        </w:tabs>
        <w:rPr>
          <w:color w:val="000000"/>
          <w:szCs w:val="22"/>
        </w:rPr>
      </w:pPr>
    </w:p>
    <w:p w14:paraId="5901199E" w14:textId="77777777" w:rsidR="00A573B3" w:rsidRPr="00F852D1" w:rsidRDefault="00A573B3" w:rsidP="00421681">
      <w:pPr>
        <w:pStyle w:val="EndnoteText"/>
        <w:tabs>
          <w:tab w:val="clear" w:pos="567"/>
        </w:tabs>
        <w:rPr>
          <w:color w:val="000000"/>
          <w:szCs w:val="22"/>
          <w:lang w:val="nb-NO"/>
        </w:rPr>
      </w:pPr>
      <w:r w:rsidRPr="00F852D1">
        <w:rPr>
          <w:color w:val="000000"/>
          <w:szCs w:val="22"/>
          <w:lang w:val="nb-NO"/>
        </w:rPr>
        <w:t>Tegn på effekt baseredes primært på objektive responsrater. Tumorer skulle være målelige i mindst et sygdomsområde og responskarakterisering baseret på SWOG-kriterier (Southwestern Oncology Group). Resultaterne er angivet i Tabel </w:t>
      </w:r>
      <w:r w:rsidR="00FD10C4" w:rsidRPr="00F852D1">
        <w:rPr>
          <w:color w:val="000000"/>
          <w:szCs w:val="22"/>
          <w:lang w:val="nb-NO"/>
        </w:rPr>
        <w:t>6</w:t>
      </w:r>
      <w:r w:rsidRPr="00F852D1">
        <w:rPr>
          <w:color w:val="000000"/>
          <w:szCs w:val="22"/>
          <w:lang w:val="nb-NO"/>
        </w:rPr>
        <w:t>.</w:t>
      </w:r>
    </w:p>
    <w:p w14:paraId="1A40A7A1" w14:textId="77777777" w:rsidR="00A573B3" w:rsidRPr="00F852D1" w:rsidRDefault="00A573B3" w:rsidP="00421681">
      <w:pPr>
        <w:pStyle w:val="EndnoteText"/>
        <w:tabs>
          <w:tab w:val="clear" w:pos="567"/>
        </w:tabs>
        <w:rPr>
          <w:color w:val="000000"/>
          <w:szCs w:val="22"/>
          <w:lang w:val="nb-NO"/>
        </w:rPr>
      </w:pPr>
    </w:p>
    <w:p w14:paraId="3D6B8E2D" w14:textId="77777777" w:rsidR="00A573B3" w:rsidRPr="004C2A59" w:rsidRDefault="00A573B3" w:rsidP="00C422EE">
      <w:pPr>
        <w:pStyle w:val="EndnoteText"/>
        <w:keepNext/>
        <w:tabs>
          <w:tab w:val="clear" w:pos="567"/>
          <w:tab w:val="left" w:pos="1134"/>
        </w:tabs>
        <w:rPr>
          <w:b/>
          <w:color w:val="000000"/>
          <w:szCs w:val="22"/>
        </w:rPr>
      </w:pPr>
      <w:r w:rsidRPr="004C2A59">
        <w:rPr>
          <w:b/>
          <w:color w:val="000000"/>
          <w:szCs w:val="22"/>
        </w:rPr>
        <w:t>Tabel </w:t>
      </w:r>
      <w:r w:rsidR="00FD10C4" w:rsidRPr="004C2A59">
        <w:rPr>
          <w:b/>
          <w:color w:val="000000"/>
          <w:szCs w:val="22"/>
        </w:rPr>
        <w:t>6</w:t>
      </w:r>
      <w:r w:rsidRPr="004C2A59">
        <w:rPr>
          <w:b/>
          <w:color w:val="000000"/>
          <w:szCs w:val="22"/>
        </w:rPr>
        <w:tab/>
        <w:t>Bedste tumorrespons i undersøgelse STIB2222 (GIST)</w:t>
      </w:r>
    </w:p>
    <w:p w14:paraId="623A2126" w14:textId="77777777" w:rsidR="00A573B3" w:rsidRPr="004C2A59" w:rsidRDefault="00A573B3" w:rsidP="00C422EE">
      <w:pPr>
        <w:pStyle w:val="EndnoteText"/>
        <w:keepNext/>
        <w:tabs>
          <w:tab w:val="clear" w:pos="567"/>
        </w:tab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A573B3" w:rsidRPr="004C2A59" w14:paraId="1BB3278D" w14:textId="77777777" w:rsidTr="00C422EE">
        <w:trPr>
          <w:cantSplit/>
        </w:trPr>
        <w:tc>
          <w:tcPr>
            <w:tcW w:w="4643" w:type="dxa"/>
            <w:tcBorders>
              <w:left w:val="nil"/>
              <w:bottom w:val="single" w:sz="4" w:space="0" w:color="auto"/>
              <w:right w:val="nil"/>
            </w:tcBorders>
          </w:tcPr>
          <w:p w14:paraId="6B168F9C" w14:textId="77777777" w:rsidR="00A573B3" w:rsidRPr="004C2A59" w:rsidRDefault="00A573B3" w:rsidP="00C422EE">
            <w:pPr>
              <w:pStyle w:val="EndnoteText"/>
              <w:keepNext/>
              <w:tabs>
                <w:tab w:val="clear" w:pos="567"/>
              </w:tabs>
              <w:rPr>
                <w:color w:val="000000"/>
                <w:szCs w:val="22"/>
              </w:rPr>
            </w:pPr>
          </w:p>
          <w:p w14:paraId="5B904796" w14:textId="77777777" w:rsidR="00A573B3" w:rsidRPr="004C2A59" w:rsidRDefault="00A573B3" w:rsidP="00C422EE">
            <w:pPr>
              <w:pStyle w:val="EndnoteText"/>
              <w:keepNext/>
              <w:tabs>
                <w:tab w:val="clear" w:pos="567"/>
              </w:tabs>
              <w:rPr>
                <w:color w:val="000000"/>
                <w:szCs w:val="22"/>
              </w:rPr>
            </w:pPr>
          </w:p>
          <w:p w14:paraId="49171F55" w14:textId="77777777" w:rsidR="00A573B3" w:rsidRPr="004C2A59" w:rsidRDefault="00A573B3" w:rsidP="00C422EE">
            <w:pPr>
              <w:pStyle w:val="EndnoteText"/>
              <w:keepNext/>
              <w:tabs>
                <w:tab w:val="clear" w:pos="567"/>
              </w:tabs>
              <w:rPr>
                <w:color w:val="000000"/>
                <w:szCs w:val="22"/>
              </w:rPr>
            </w:pPr>
          </w:p>
          <w:p w14:paraId="1719D18E" w14:textId="77777777" w:rsidR="00A573B3" w:rsidRPr="004C2A59" w:rsidRDefault="00A573B3" w:rsidP="00C422EE">
            <w:pPr>
              <w:pStyle w:val="EndnoteText"/>
              <w:keepNext/>
              <w:tabs>
                <w:tab w:val="clear" w:pos="567"/>
              </w:tabs>
              <w:rPr>
                <w:color w:val="000000"/>
                <w:szCs w:val="22"/>
              </w:rPr>
            </w:pPr>
            <w:r w:rsidRPr="004C2A59">
              <w:rPr>
                <w:color w:val="000000"/>
                <w:szCs w:val="22"/>
              </w:rPr>
              <w:t>Bedste respons</w:t>
            </w:r>
          </w:p>
        </w:tc>
        <w:tc>
          <w:tcPr>
            <w:tcW w:w="4643" w:type="dxa"/>
            <w:tcBorders>
              <w:left w:val="nil"/>
              <w:bottom w:val="single" w:sz="4" w:space="0" w:color="auto"/>
              <w:right w:val="nil"/>
            </w:tcBorders>
          </w:tcPr>
          <w:p w14:paraId="5488E79C" w14:textId="77777777" w:rsidR="00A573B3" w:rsidRPr="00F852D1" w:rsidRDefault="00A573B3" w:rsidP="00C422EE">
            <w:pPr>
              <w:pStyle w:val="EndnoteText"/>
              <w:keepNext/>
              <w:tabs>
                <w:tab w:val="clear" w:pos="567"/>
              </w:tabs>
              <w:jc w:val="center"/>
              <w:rPr>
                <w:color w:val="000000"/>
                <w:szCs w:val="22"/>
                <w:lang w:val="pt-PT"/>
              </w:rPr>
            </w:pPr>
            <w:r w:rsidRPr="00F852D1">
              <w:rPr>
                <w:color w:val="000000"/>
                <w:szCs w:val="22"/>
                <w:lang w:val="pt-PT"/>
              </w:rPr>
              <w:t>Alle doser (n=147)</w:t>
            </w:r>
          </w:p>
          <w:p w14:paraId="232A4043" w14:textId="77777777" w:rsidR="00A573B3" w:rsidRPr="00F852D1" w:rsidRDefault="00A573B3" w:rsidP="00C422EE">
            <w:pPr>
              <w:pStyle w:val="EndnoteText"/>
              <w:keepNext/>
              <w:tabs>
                <w:tab w:val="clear" w:pos="567"/>
              </w:tabs>
              <w:jc w:val="center"/>
              <w:rPr>
                <w:color w:val="000000"/>
                <w:szCs w:val="22"/>
                <w:lang w:val="pt-PT"/>
              </w:rPr>
            </w:pPr>
            <w:r w:rsidRPr="00F852D1">
              <w:rPr>
                <w:color w:val="000000"/>
                <w:szCs w:val="22"/>
                <w:lang w:val="pt-PT"/>
              </w:rPr>
              <w:t>400 mg (n=73)</w:t>
            </w:r>
          </w:p>
          <w:p w14:paraId="26F01618" w14:textId="77777777" w:rsidR="00A573B3" w:rsidRPr="004C2A59" w:rsidRDefault="00A573B3" w:rsidP="00C422EE">
            <w:pPr>
              <w:pStyle w:val="EndnoteText"/>
              <w:keepNext/>
              <w:tabs>
                <w:tab w:val="clear" w:pos="567"/>
              </w:tabs>
              <w:jc w:val="center"/>
              <w:rPr>
                <w:color w:val="000000"/>
                <w:szCs w:val="22"/>
              </w:rPr>
            </w:pPr>
            <w:r w:rsidRPr="004C2A59">
              <w:rPr>
                <w:color w:val="000000"/>
                <w:szCs w:val="22"/>
              </w:rPr>
              <w:t>600 mg (n=74)</w:t>
            </w:r>
          </w:p>
          <w:p w14:paraId="638C62B2" w14:textId="77777777" w:rsidR="00A573B3" w:rsidRPr="004C2A59" w:rsidRDefault="00A573B3" w:rsidP="00C422EE">
            <w:pPr>
              <w:pStyle w:val="EndnoteText"/>
              <w:keepNext/>
              <w:tabs>
                <w:tab w:val="clear" w:pos="567"/>
              </w:tabs>
              <w:jc w:val="center"/>
              <w:rPr>
                <w:color w:val="000000"/>
                <w:szCs w:val="22"/>
              </w:rPr>
            </w:pPr>
            <w:r w:rsidRPr="004C2A59">
              <w:rPr>
                <w:color w:val="000000"/>
                <w:szCs w:val="22"/>
              </w:rPr>
              <w:t>n (%)</w:t>
            </w:r>
          </w:p>
        </w:tc>
      </w:tr>
      <w:tr w:rsidR="00A573B3" w:rsidRPr="004C2A59" w14:paraId="5E6A192E" w14:textId="77777777" w:rsidTr="00C422EE">
        <w:trPr>
          <w:cantSplit/>
        </w:trPr>
        <w:tc>
          <w:tcPr>
            <w:tcW w:w="4643" w:type="dxa"/>
            <w:tcBorders>
              <w:top w:val="nil"/>
              <w:left w:val="nil"/>
              <w:bottom w:val="nil"/>
              <w:right w:val="nil"/>
            </w:tcBorders>
          </w:tcPr>
          <w:p w14:paraId="4300FA61" w14:textId="77777777" w:rsidR="00A573B3" w:rsidRPr="004C2A59" w:rsidRDefault="00A573B3" w:rsidP="00C422EE">
            <w:pPr>
              <w:pStyle w:val="EndnoteText"/>
              <w:keepNext/>
              <w:tabs>
                <w:tab w:val="clear" w:pos="567"/>
              </w:tabs>
              <w:rPr>
                <w:color w:val="000000"/>
                <w:szCs w:val="22"/>
              </w:rPr>
            </w:pPr>
            <w:r w:rsidRPr="004C2A59">
              <w:rPr>
                <w:color w:val="000000"/>
                <w:szCs w:val="22"/>
              </w:rPr>
              <w:t>Komplet respons</w:t>
            </w:r>
          </w:p>
        </w:tc>
        <w:tc>
          <w:tcPr>
            <w:tcW w:w="4643" w:type="dxa"/>
            <w:tcBorders>
              <w:top w:val="nil"/>
              <w:left w:val="nil"/>
              <w:bottom w:val="nil"/>
              <w:right w:val="nil"/>
            </w:tcBorders>
          </w:tcPr>
          <w:p w14:paraId="179230E2" w14:textId="77777777" w:rsidR="00A573B3" w:rsidRPr="004C2A59" w:rsidRDefault="00A573B3" w:rsidP="00C422EE">
            <w:pPr>
              <w:pStyle w:val="EndnoteText"/>
              <w:keepNext/>
              <w:tabs>
                <w:tab w:val="clear" w:pos="567"/>
              </w:tabs>
              <w:jc w:val="center"/>
              <w:rPr>
                <w:color w:val="000000"/>
                <w:szCs w:val="22"/>
              </w:rPr>
            </w:pPr>
            <w:r w:rsidRPr="004C2A59">
              <w:rPr>
                <w:color w:val="000000"/>
                <w:szCs w:val="22"/>
              </w:rPr>
              <w:t>1 (0,7)</w:t>
            </w:r>
          </w:p>
        </w:tc>
      </w:tr>
      <w:tr w:rsidR="00A573B3" w:rsidRPr="004C2A59" w14:paraId="4B5D935D" w14:textId="77777777" w:rsidTr="00C422EE">
        <w:trPr>
          <w:cantSplit/>
        </w:trPr>
        <w:tc>
          <w:tcPr>
            <w:tcW w:w="4643" w:type="dxa"/>
            <w:tcBorders>
              <w:top w:val="nil"/>
              <w:left w:val="nil"/>
              <w:bottom w:val="nil"/>
              <w:right w:val="nil"/>
            </w:tcBorders>
          </w:tcPr>
          <w:p w14:paraId="2754D3B4" w14:textId="77777777" w:rsidR="00A573B3" w:rsidRPr="004C2A59" w:rsidRDefault="00A573B3" w:rsidP="00C422EE">
            <w:pPr>
              <w:pStyle w:val="EndnoteText"/>
              <w:keepNext/>
              <w:tabs>
                <w:tab w:val="clear" w:pos="567"/>
              </w:tabs>
              <w:rPr>
                <w:color w:val="000000"/>
                <w:szCs w:val="22"/>
              </w:rPr>
            </w:pPr>
            <w:r w:rsidRPr="004C2A59">
              <w:rPr>
                <w:color w:val="000000"/>
                <w:szCs w:val="22"/>
              </w:rPr>
              <w:t>Partielt respons</w:t>
            </w:r>
          </w:p>
        </w:tc>
        <w:tc>
          <w:tcPr>
            <w:tcW w:w="4643" w:type="dxa"/>
            <w:tcBorders>
              <w:top w:val="nil"/>
              <w:left w:val="nil"/>
              <w:bottom w:val="nil"/>
              <w:right w:val="nil"/>
            </w:tcBorders>
          </w:tcPr>
          <w:p w14:paraId="7C4A59A2" w14:textId="77777777" w:rsidR="00A573B3" w:rsidRPr="004C2A59" w:rsidRDefault="00A573B3" w:rsidP="00C422EE">
            <w:pPr>
              <w:pStyle w:val="EndnoteText"/>
              <w:keepNext/>
              <w:tabs>
                <w:tab w:val="clear" w:pos="567"/>
              </w:tabs>
              <w:jc w:val="center"/>
              <w:rPr>
                <w:color w:val="000000"/>
                <w:szCs w:val="22"/>
              </w:rPr>
            </w:pPr>
            <w:r w:rsidRPr="004C2A59">
              <w:rPr>
                <w:color w:val="000000"/>
                <w:szCs w:val="22"/>
              </w:rPr>
              <w:t>98 (66,7)</w:t>
            </w:r>
          </w:p>
        </w:tc>
      </w:tr>
      <w:tr w:rsidR="00A573B3" w:rsidRPr="004C2A59" w14:paraId="28284A3F" w14:textId="77777777" w:rsidTr="00C422EE">
        <w:trPr>
          <w:cantSplit/>
        </w:trPr>
        <w:tc>
          <w:tcPr>
            <w:tcW w:w="4643" w:type="dxa"/>
            <w:tcBorders>
              <w:top w:val="nil"/>
              <w:left w:val="nil"/>
              <w:bottom w:val="nil"/>
              <w:right w:val="nil"/>
            </w:tcBorders>
          </w:tcPr>
          <w:p w14:paraId="5FEB25D5" w14:textId="77777777" w:rsidR="00A573B3" w:rsidRPr="004C2A59" w:rsidRDefault="00A573B3" w:rsidP="00C422EE">
            <w:pPr>
              <w:pStyle w:val="EndnoteText"/>
              <w:keepNext/>
              <w:tabs>
                <w:tab w:val="clear" w:pos="567"/>
              </w:tabs>
              <w:rPr>
                <w:color w:val="000000"/>
                <w:szCs w:val="22"/>
              </w:rPr>
            </w:pPr>
            <w:r w:rsidRPr="004C2A59">
              <w:rPr>
                <w:color w:val="000000"/>
                <w:szCs w:val="22"/>
              </w:rPr>
              <w:t>Stabil sygdom</w:t>
            </w:r>
          </w:p>
        </w:tc>
        <w:tc>
          <w:tcPr>
            <w:tcW w:w="4643" w:type="dxa"/>
            <w:tcBorders>
              <w:top w:val="nil"/>
              <w:left w:val="nil"/>
              <w:bottom w:val="nil"/>
              <w:right w:val="nil"/>
            </w:tcBorders>
          </w:tcPr>
          <w:p w14:paraId="5B174E6B" w14:textId="77777777" w:rsidR="00A573B3" w:rsidRPr="004C2A59" w:rsidRDefault="00A573B3" w:rsidP="00C422EE">
            <w:pPr>
              <w:pStyle w:val="EndnoteText"/>
              <w:keepNext/>
              <w:tabs>
                <w:tab w:val="clear" w:pos="567"/>
              </w:tabs>
              <w:jc w:val="center"/>
              <w:rPr>
                <w:color w:val="000000"/>
                <w:szCs w:val="22"/>
              </w:rPr>
            </w:pPr>
            <w:r w:rsidRPr="004C2A59">
              <w:rPr>
                <w:color w:val="000000"/>
                <w:szCs w:val="22"/>
              </w:rPr>
              <w:t>23 (15,6)</w:t>
            </w:r>
          </w:p>
        </w:tc>
      </w:tr>
      <w:tr w:rsidR="00A573B3" w:rsidRPr="004C2A59" w14:paraId="5507D69A" w14:textId="77777777" w:rsidTr="00C422EE">
        <w:trPr>
          <w:cantSplit/>
        </w:trPr>
        <w:tc>
          <w:tcPr>
            <w:tcW w:w="4643" w:type="dxa"/>
            <w:tcBorders>
              <w:top w:val="nil"/>
              <w:left w:val="nil"/>
              <w:bottom w:val="nil"/>
              <w:right w:val="nil"/>
            </w:tcBorders>
          </w:tcPr>
          <w:p w14:paraId="2CB51187" w14:textId="77777777" w:rsidR="00A573B3" w:rsidRPr="004C2A59" w:rsidRDefault="00A573B3" w:rsidP="00C422EE">
            <w:pPr>
              <w:pStyle w:val="EndnoteText"/>
              <w:keepNext/>
              <w:tabs>
                <w:tab w:val="clear" w:pos="567"/>
              </w:tabs>
              <w:rPr>
                <w:color w:val="000000"/>
                <w:szCs w:val="22"/>
              </w:rPr>
            </w:pPr>
            <w:r w:rsidRPr="004C2A59">
              <w:rPr>
                <w:color w:val="000000"/>
                <w:szCs w:val="22"/>
              </w:rPr>
              <w:t>Progressiv sygdom</w:t>
            </w:r>
          </w:p>
        </w:tc>
        <w:tc>
          <w:tcPr>
            <w:tcW w:w="4643" w:type="dxa"/>
            <w:tcBorders>
              <w:top w:val="nil"/>
              <w:left w:val="nil"/>
              <w:bottom w:val="nil"/>
              <w:right w:val="nil"/>
            </w:tcBorders>
          </w:tcPr>
          <w:p w14:paraId="396E3C30" w14:textId="77777777" w:rsidR="00A573B3" w:rsidRPr="004C2A59" w:rsidRDefault="00A573B3" w:rsidP="00C422EE">
            <w:pPr>
              <w:pStyle w:val="EndnoteText"/>
              <w:keepNext/>
              <w:tabs>
                <w:tab w:val="clear" w:pos="567"/>
              </w:tabs>
              <w:jc w:val="center"/>
              <w:rPr>
                <w:color w:val="000000"/>
                <w:szCs w:val="22"/>
              </w:rPr>
            </w:pPr>
            <w:r w:rsidRPr="004C2A59">
              <w:rPr>
                <w:color w:val="000000"/>
                <w:szCs w:val="22"/>
              </w:rPr>
              <w:t>18 (12,2)</w:t>
            </w:r>
          </w:p>
        </w:tc>
      </w:tr>
      <w:tr w:rsidR="00A573B3" w:rsidRPr="004C2A59" w14:paraId="455A1629" w14:textId="77777777" w:rsidTr="00C422EE">
        <w:trPr>
          <w:cantSplit/>
        </w:trPr>
        <w:tc>
          <w:tcPr>
            <w:tcW w:w="4643" w:type="dxa"/>
            <w:tcBorders>
              <w:top w:val="nil"/>
              <w:left w:val="nil"/>
              <w:bottom w:val="nil"/>
              <w:right w:val="nil"/>
            </w:tcBorders>
          </w:tcPr>
          <w:p w14:paraId="28C0B1A1" w14:textId="77777777" w:rsidR="00A573B3" w:rsidRPr="004C2A59" w:rsidRDefault="00A573B3" w:rsidP="00C422EE">
            <w:pPr>
              <w:pStyle w:val="EndnoteText"/>
              <w:keepNext/>
              <w:tabs>
                <w:tab w:val="clear" w:pos="567"/>
              </w:tabs>
              <w:rPr>
                <w:color w:val="000000"/>
                <w:szCs w:val="22"/>
              </w:rPr>
            </w:pPr>
            <w:r w:rsidRPr="004C2A59">
              <w:rPr>
                <w:color w:val="000000"/>
                <w:szCs w:val="22"/>
              </w:rPr>
              <w:t>Kan ikke vurderes</w:t>
            </w:r>
          </w:p>
        </w:tc>
        <w:tc>
          <w:tcPr>
            <w:tcW w:w="4643" w:type="dxa"/>
            <w:tcBorders>
              <w:top w:val="nil"/>
              <w:left w:val="nil"/>
              <w:bottom w:val="nil"/>
              <w:right w:val="nil"/>
            </w:tcBorders>
          </w:tcPr>
          <w:p w14:paraId="036B459C" w14:textId="77777777" w:rsidR="00A573B3" w:rsidRPr="004C2A59" w:rsidRDefault="00A573B3" w:rsidP="00C422EE">
            <w:pPr>
              <w:pStyle w:val="EndnoteText"/>
              <w:keepNext/>
              <w:tabs>
                <w:tab w:val="clear" w:pos="567"/>
              </w:tabs>
              <w:jc w:val="center"/>
              <w:rPr>
                <w:color w:val="000000"/>
                <w:szCs w:val="22"/>
              </w:rPr>
            </w:pPr>
            <w:r w:rsidRPr="004C2A59">
              <w:rPr>
                <w:color w:val="000000"/>
                <w:szCs w:val="22"/>
              </w:rPr>
              <w:t>5 (3,4)</w:t>
            </w:r>
          </w:p>
        </w:tc>
      </w:tr>
      <w:tr w:rsidR="00A573B3" w:rsidRPr="004C2A59" w14:paraId="70A8FCC9" w14:textId="77777777" w:rsidTr="00C422EE">
        <w:trPr>
          <w:cantSplit/>
        </w:trPr>
        <w:tc>
          <w:tcPr>
            <w:tcW w:w="4643" w:type="dxa"/>
            <w:tcBorders>
              <w:top w:val="nil"/>
              <w:left w:val="nil"/>
              <w:right w:val="nil"/>
            </w:tcBorders>
          </w:tcPr>
          <w:p w14:paraId="2C110E58" w14:textId="77777777" w:rsidR="00A573B3" w:rsidRPr="004C2A59" w:rsidRDefault="00A573B3" w:rsidP="00421681">
            <w:pPr>
              <w:pStyle w:val="EndnoteText"/>
              <w:tabs>
                <w:tab w:val="clear" w:pos="567"/>
              </w:tabs>
              <w:rPr>
                <w:color w:val="000000"/>
                <w:szCs w:val="22"/>
              </w:rPr>
            </w:pPr>
            <w:r w:rsidRPr="004C2A59">
              <w:rPr>
                <w:color w:val="000000"/>
                <w:szCs w:val="22"/>
              </w:rPr>
              <w:t>Ukendt</w:t>
            </w:r>
          </w:p>
        </w:tc>
        <w:tc>
          <w:tcPr>
            <w:tcW w:w="4643" w:type="dxa"/>
            <w:tcBorders>
              <w:top w:val="nil"/>
              <w:left w:val="nil"/>
              <w:right w:val="nil"/>
            </w:tcBorders>
          </w:tcPr>
          <w:p w14:paraId="25600B94" w14:textId="77777777" w:rsidR="00A573B3" w:rsidRPr="004C2A59" w:rsidRDefault="00A573B3" w:rsidP="00421681">
            <w:pPr>
              <w:pStyle w:val="EndnoteText"/>
              <w:tabs>
                <w:tab w:val="clear" w:pos="567"/>
              </w:tabs>
              <w:jc w:val="center"/>
              <w:rPr>
                <w:color w:val="000000"/>
                <w:szCs w:val="22"/>
              </w:rPr>
            </w:pPr>
            <w:r w:rsidRPr="004C2A59">
              <w:rPr>
                <w:color w:val="000000"/>
                <w:szCs w:val="22"/>
              </w:rPr>
              <w:t>2 (1,4)</w:t>
            </w:r>
          </w:p>
        </w:tc>
      </w:tr>
    </w:tbl>
    <w:p w14:paraId="1DF6AAED" w14:textId="77777777" w:rsidR="00A573B3" w:rsidRPr="004C2A59" w:rsidRDefault="00A573B3" w:rsidP="00421681">
      <w:pPr>
        <w:pStyle w:val="EndnoteText"/>
        <w:tabs>
          <w:tab w:val="clear" w:pos="567"/>
        </w:tabs>
        <w:rPr>
          <w:color w:val="000000"/>
          <w:szCs w:val="22"/>
        </w:rPr>
      </w:pPr>
    </w:p>
    <w:p w14:paraId="1B07FBF9" w14:textId="77777777" w:rsidR="00A573B3" w:rsidRPr="004C2A59" w:rsidRDefault="00A573B3" w:rsidP="00421681">
      <w:pPr>
        <w:pStyle w:val="EndnoteText"/>
        <w:tabs>
          <w:tab w:val="clear" w:pos="567"/>
        </w:tabs>
        <w:rPr>
          <w:color w:val="000000"/>
          <w:szCs w:val="22"/>
        </w:rPr>
      </w:pPr>
      <w:r w:rsidRPr="004C2A59">
        <w:rPr>
          <w:color w:val="000000"/>
          <w:szCs w:val="22"/>
        </w:rPr>
        <w:t>Der sås ingen forskelle i responsrater mellem de to doseringsgrupper. En betydelig gruppe patienter, som havde stabil sygdom ved interimsanalysen opnåede delvist respons med længere behandling (median opfølgningstid på 31 måneder). Median tid til respons var 13 uger (95% konfidensinterval 12</w:t>
      </w:r>
      <w:r w:rsidRPr="004C2A59">
        <w:rPr>
          <w:color w:val="000000"/>
          <w:szCs w:val="22"/>
        </w:rPr>
        <w:noBreakHyphen/>
        <w:t>23). Median tid til svigtende behandling hos respondenter var 122 uger (95% konfidensinterval 106</w:t>
      </w:r>
      <w:r w:rsidRPr="004C2A59">
        <w:rPr>
          <w:color w:val="000000"/>
          <w:szCs w:val="22"/>
        </w:rPr>
        <w:noBreakHyphen/>
        <w:t>147), mens i den overordnede studiepopulation var 84 uger (95% konfidensinterval 71</w:t>
      </w:r>
      <w:r w:rsidRPr="004C2A59">
        <w:rPr>
          <w:color w:val="000000"/>
          <w:szCs w:val="22"/>
        </w:rPr>
        <w:noBreakHyphen/>
        <w:t>109). Den mediane overordnede overlevelse er endnu ikke nået. Kaplan-Meier estimatet for overlevelse efter 36 måneders opfølgning er 68%.</w:t>
      </w:r>
    </w:p>
    <w:p w14:paraId="1C5A49F0" w14:textId="77777777" w:rsidR="00A573B3" w:rsidRPr="004C2A59" w:rsidRDefault="00A573B3" w:rsidP="00421681">
      <w:pPr>
        <w:pStyle w:val="EndnoteText"/>
        <w:tabs>
          <w:tab w:val="clear" w:pos="567"/>
        </w:tabs>
        <w:rPr>
          <w:color w:val="000000"/>
          <w:szCs w:val="22"/>
        </w:rPr>
      </w:pPr>
    </w:p>
    <w:p w14:paraId="4ED344CB" w14:textId="77777777" w:rsidR="00A573B3" w:rsidRPr="004C2A59" w:rsidRDefault="00A573B3" w:rsidP="00421681">
      <w:pPr>
        <w:pStyle w:val="EndnoteText"/>
        <w:tabs>
          <w:tab w:val="clear" w:pos="567"/>
        </w:tabs>
        <w:rPr>
          <w:color w:val="000000"/>
          <w:szCs w:val="22"/>
        </w:rPr>
      </w:pPr>
      <w:r w:rsidRPr="004C2A59">
        <w:rPr>
          <w:color w:val="000000"/>
          <w:szCs w:val="22"/>
        </w:rPr>
        <w:t>I to kliniske undersøgelser (studie B2222 og et mellemgruppe studie S0033) blev den daglige dosis optrappet til 800 mg hos patienter, hvis sygdom fremskrider ved de lavere daglige doser på 400 mg eller 600 mg. Den daglige dosis blev optrappet til 800 mg hos et total på 103 patienter; 6 patienter opnåede delvist respons og 21 patienter opnåede stabilisering af deres sygdom efter optrapning af dosis med et overordnede klinisk fordel på 26%. Fra tilgængelig sikkerhedsdata ser det ikke ud til, at sikkerhedsprofilen for Glivec ændres ved optrapning af dosis til 800 mg daglig til patienter, hvis sygdom fremskrider ved de lavere doser på 400 mg eller 600 mg daglig.</w:t>
      </w:r>
    </w:p>
    <w:p w14:paraId="1A02F9F6" w14:textId="77777777" w:rsidR="00A573B3" w:rsidRPr="004C2A59" w:rsidRDefault="00A573B3" w:rsidP="00421681">
      <w:pPr>
        <w:pStyle w:val="EndnoteText"/>
        <w:tabs>
          <w:tab w:val="clear" w:pos="567"/>
        </w:tabs>
        <w:rPr>
          <w:color w:val="000000"/>
          <w:szCs w:val="22"/>
          <w:u w:val="single"/>
        </w:rPr>
      </w:pPr>
    </w:p>
    <w:p w14:paraId="7F3C2084" w14:textId="77777777" w:rsidR="00A573B3" w:rsidRPr="004C2A59" w:rsidRDefault="00A573B3" w:rsidP="00421681">
      <w:pPr>
        <w:pStyle w:val="Nottoc-headings"/>
        <w:spacing w:before="0" w:after="0"/>
        <w:rPr>
          <w:rFonts w:ascii="Times New Roman" w:eastAsia="MS Mincho" w:hAnsi="Times New Roman"/>
          <w:b w:val="0"/>
          <w:color w:val="000000"/>
          <w:sz w:val="22"/>
          <w:szCs w:val="22"/>
          <w:u w:val="single"/>
          <w:lang w:val="da-DK" w:eastAsia="ja-JP"/>
        </w:rPr>
      </w:pPr>
      <w:r w:rsidRPr="004C2A59">
        <w:rPr>
          <w:rFonts w:ascii="Times New Roman" w:eastAsia="MS Mincho" w:hAnsi="Times New Roman"/>
          <w:b w:val="0"/>
          <w:color w:val="000000"/>
          <w:sz w:val="22"/>
          <w:szCs w:val="22"/>
          <w:u w:val="single"/>
          <w:lang w:val="da-DK" w:eastAsia="ja-JP"/>
        </w:rPr>
        <w:t>Kliniske studier vedrørende adjuverende GIST</w:t>
      </w:r>
    </w:p>
    <w:p w14:paraId="40B8531A" w14:textId="77777777" w:rsidR="00A573B3" w:rsidRPr="004C2A59" w:rsidRDefault="00A573B3" w:rsidP="00421681">
      <w:pPr>
        <w:pStyle w:val="Text"/>
        <w:spacing w:before="0"/>
        <w:jc w:val="left"/>
        <w:rPr>
          <w:rFonts w:eastAsia="MS Mincho"/>
          <w:color w:val="000000"/>
          <w:sz w:val="22"/>
          <w:szCs w:val="22"/>
          <w:lang w:val="da-DK" w:eastAsia="ja-JP"/>
        </w:rPr>
      </w:pPr>
      <w:r w:rsidRPr="004C2A59">
        <w:rPr>
          <w:rFonts w:eastAsia="MS Mincho"/>
          <w:color w:val="000000"/>
          <w:sz w:val="22"/>
          <w:szCs w:val="22"/>
          <w:lang w:val="da-DK" w:eastAsia="ja-JP"/>
        </w:rPr>
        <w:t xml:space="preserve">Som adjuverende behandling blev Glivec undersøgt i et multicenter, dobbeltblindet, længerevarende placebokontrolleret fase </w:t>
      </w:r>
      <w:smartTag w:uri="urn:schemas-microsoft-com:office:smarttags" w:element="metricconverter">
        <w:r w:rsidRPr="004C2A59">
          <w:rPr>
            <w:rFonts w:eastAsia="MS Mincho"/>
            <w:color w:val="000000"/>
            <w:sz w:val="22"/>
            <w:szCs w:val="22"/>
            <w:lang w:val="da-DK" w:eastAsia="ja-JP"/>
          </w:rPr>
          <w:t>III</w:t>
        </w:r>
      </w:smartTag>
      <w:r w:rsidRPr="004C2A59">
        <w:rPr>
          <w:rFonts w:eastAsia="MS Mincho"/>
          <w:color w:val="000000"/>
          <w:sz w:val="22"/>
          <w:szCs w:val="22"/>
          <w:lang w:val="da-DK" w:eastAsia="ja-JP"/>
        </w:rPr>
        <w:t xml:space="preserve"> klinisk forsøg (Z9001), der involverede 773 patienter. Alderen på denne patientgruppe varierede fra 18 til 91 år. Patienter, der blev inkluderet, havde en histologisk diagnose af primær GIST, udtrykt som Kit protein ved immunokemi og en tumorstørrelse på ≥3 cm med fuldstændig resektion af primær GIST inden for 14</w:t>
      </w:r>
      <w:r w:rsidRPr="004C2A59">
        <w:rPr>
          <w:rFonts w:eastAsia="MS Mincho"/>
          <w:color w:val="000000"/>
          <w:sz w:val="22"/>
          <w:szCs w:val="22"/>
          <w:lang w:val="da-DK" w:eastAsia="ja-JP"/>
        </w:rPr>
        <w:noBreakHyphen/>
        <w:t>70 dage før registrering i studiet. Efter resektion af primær GIST blev patienterne randomiseret til en af de to behandlingsarme: Glivec 400 mg/dag eller tilsvarende placebo i et år.</w:t>
      </w:r>
    </w:p>
    <w:p w14:paraId="7A58DCB1" w14:textId="77777777" w:rsidR="00A573B3" w:rsidRPr="004C2A59" w:rsidRDefault="00A573B3" w:rsidP="00421681">
      <w:pPr>
        <w:pStyle w:val="Text"/>
        <w:spacing w:before="0"/>
        <w:jc w:val="left"/>
        <w:rPr>
          <w:rFonts w:eastAsia="MS Mincho"/>
          <w:color w:val="000000"/>
          <w:sz w:val="22"/>
          <w:szCs w:val="22"/>
          <w:lang w:val="da-DK" w:eastAsia="ja-JP"/>
        </w:rPr>
      </w:pPr>
    </w:p>
    <w:p w14:paraId="3E1760BF" w14:textId="77777777" w:rsidR="00A573B3" w:rsidRPr="004C2A59" w:rsidRDefault="00A573B3" w:rsidP="00421681">
      <w:pPr>
        <w:pStyle w:val="Text"/>
        <w:spacing w:before="0"/>
        <w:jc w:val="left"/>
        <w:rPr>
          <w:rFonts w:eastAsia="MS Mincho"/>
          <w:color w:val="000000"/>
          <w:sz w:val="22"/>
          <w:szCs w:val="22"/>
          <w:lang w:val="da-DK" w:eastAsia="ja-JP"/>
        </w:rPr>
      </w:pPr>
      <w:r w:rsidRPr="004C2A59">
        <w:rPr>
          <w:rFonts w:eastAsia="MS Mincho"/>
          <w:color w:val="000000"/>
          <w:sz w:val="22"/>
          <w:szCs w:val="22"/>
          <w:lang w:val="da-DK" w:eastAsia="ja-JP"/>
        </w:rPr>
        <w:t>Undersøgelsens primære effektmål var recidivfri overlevelse (</w:t>
      </w:r>
      <w:smartTag w:uri="urn:schemas-microsoft-com:office:smarttags" w:element="metricconverter">
        <w:r w:rsidRPr="004C2A59">
          <w:rPr>
            <w:rFonts w:eastAsia="MS Mincho"/>
            <w:color w:val="000000"/>
            <w:sz w:val="22"/>
            <w:szCs w:val="22"/>
            <w:lang w:val="da-DK" w:eastAsia="ja-JP"/>
          </w:rPr>
          <w:t>RFS</w:t>
        </w:r>
      </w:smartTag>
      <w:r w:rsidRPr="004C2A59">
        <w:rPr>
          <w:rFonts w:eastAsia="MS Mincho"/>
          <w:color w:val="000000"/>
          <w:sz w:val="22"/>
          <w:szCs w:val="22"/>
          <w:lang w:val="da-DK" w:eastAsia="ja-JP"/>
        </w:rPr>
        <w:t>), defineret som tiden fra dato for randomisering til dato for tilbagefald eller død uanset årsag.</w:t>
      </w:r>
    </w:p>
    <w:p w14:paraId="21E74F56" w14:textId="77777777" w:rsidR="00A573B3" w:rsidRPr="004C2A59" w:rsidRDefault="00A573B3" w:rsidP="00421681">
      <w:pPr>
        <w:pStyle w:val="Text"/>
        <w:spacing w:before="0"/>
        <w:jc w:val="left"/>
        <w:rPr>
          <w:rFonts w:eastAsia="MS Mincho"/>
          <w:color w:val="000000"/>
          <w:sz w:val="22"/>
          <w:szCs w:val="22"/>
          <w:lang w:val="da-DK" w:eastAsia="ja-JP"/>
        </w:rPr>
      </w:pPr>
    </w:p>
    <w:p w14:paraId="41DB68D0" w14:textId="77777777" w:rsidR="00A573B3" w:rsidRPr="004C2A59" w:rsidRDefault="00A573B3" w:rsidP="00421681">
      <w:pPr>
        <w:pStyle w:val="Text"/>
        <w:spacing w:before="0"/>
        <w:jc w:val="left"/>
        <w:rPr>
          <w:rFonts w:eastAsia="MS Mincho"/>
          <w:color w:val="000000"/>
          <w:sz w:val="22"/>
          <w:szCs w:val="22"/>
          <w:lang w:val="da-DK" w:eastAsia="ja-JP"/>
        </w:rPr>
      </w:pPr>
      <w:r w:rsidRPr="004C2A59">
        <w:rPr>
          <w:rFonts w:eastAsia="MS Mincho"/>
          <w:color w:val="000000"/>
          <w:sz w:val="22"/>
          <w:szCs w:val="22"/>
          <w:lang w:val="da-DK" w:eastAsia="ja-JP"/>
        </w:rPr>
        <w:t xml:space="preserve">Glivec forlængede signifikant </w:t>
      </w:r>
      <w:smartTag w:uri="urn:schemas-microsoft-com:office:smarttags" w:element="metricconverter">
        <w:r w:rsidRPr="004C2A59">
          <w:rPr>
            <w:rFonts w:eastAsia="MS Mincho"/>
            <w:color w:val="000000"/>
            <w:sz w:val="22"/>
            <w:szCs w:val="22"/>
            <w:lang w:val="da-DK" w:eastAsia="ja-JP"/>
          </w:rPr>
          <w:t>RFS</w:t>
        </w:r>
      </w:smartTag>
      <w:r w:rsidRPr="004C2A59">
        <w:rPr>
          <w:rFonts w:eastAsia="MS Mincho"/>
          <w:color w:val="000000"/>
          <w:sz w:val="22"/>
          <w:szCs w:val="22"/>
          <w:lang w:val="da-DK" w:eastAsia="ja-JP"/>
        </w:rPr>
        <w:t xml:space="preserve">, idet 75% af patienterne var recidivfrie efter 38 måneder i Glivec-gruppen i forhold til efter 20 måneder i placebo-gruppen (95% konfidensinterval, [30 – ikke </w:t>
      </w:r>
      <w:r w:rsidRPr="004C2A59">
        <w:rPr>
          <w:rFonts w:eastAsia="MS Mincho"/>
          <w:color w:val="000000"/>
          <w:sz w:val="22"/>
          <w:szCs w:val="22"/>
          <w:lang w:val="da-DK" w:eastAsia="ja-JP"/>
        </w:rPr>
        <w:lastRenderedPageBreak/>
        <w:t>estimerbare]; [14 – ikke estimerbare]); (hazard ratio = 0,398 [0,259</w:t>
      </w:r>
      <w:r w:rsidRPr="004C2A59">
        <w:rPr>
          <w:rFonts w:eastAsia="MS Mincho"/>
          <w:color w:val="000000"/>
          <w:sz w:val="22"/>
          <w:szCs w:val="22"/>
          <w:lang w:val="da-DK" w:eastAsia="ja-JP"/>
        </w:rPr>
        <w:noBreakHyphen/>
        <w:t xml:space="preserve">0,610], p&lt;0,0001). På et år var den samlede </w:t>
      </w:r>
      <w:smartTag w:uri="urn:schemas-microsoft-com:office:smarttags" w:element="metricconverter">
        <w:r w:rsidRPr="004C2A59">
          <w:rPr>
            <w:rFonts w:eastAsia="MS Mincho"/>
            <w:color w:val="000000"/>
            <w:sz w:val="22"/>
            <w:szCs w:val="22"/>
            <w:lang w:val="da-DK" w:eastAsia="ja-JP"/>
          </w:rPr>
          <w:t>RFS</w:t>
        </w:r>
      </w:smartTag>
      <w:r w:rsidRPr="004C2A59">
        <w:rPr>
          <w:rFonts w:eastAsia="MS Mincho"/>
          <w:color w:val="000000"/>
          <w:sz w:val="22"/>
          <w:szCs w:val="22"/>
          <w:lang w:val="da-DK" w:eastAsia="ja-JP"/>
        </w:rPr>
        <w:t xml:space="preserve"> signifikant bedre for Glivec (97,7%) i forhold til placebo (82,3%), (p&lt;0,0001). Risikoen for tilbagefald var således reduceret med ca. 89% sammenlignet med placebo (hazard ratio = 0,113 [0,049</w:t>
      </w:r>
      <w:r w:rsidRPr="004C2A59">
        <w:rPr>
          <w:rFonts w:eastAsia="MS Mincho"/>
          <w:color w:val="000000"/>
          <w:sz w:val="22"/>
          <w:szCs w:val="22"/>
          <w:lang w:val="da-DK" w:eastAsia="ja-JP"/>
        </w:rPr>
        <w:noBreakHyphen/>
        <w:t>0,264]).</w:t>
      </w:r>
    </w:p>
    <w:p w14:paraId="1950D3D9" w14:textId="77777777" w:rsidR="00A573B3" w:rsidRPr="004C2A59" w:rsidRDefault="00A573B3" w:rsidP="00421681">
      <w:pPr>
        <w:pStyle w:val="Text"/>
        <w:spacing w:before="0"/>
        <w:jc w:val="left"/>
        <w:rPr>
          <w:rFonts w:eastAsia="MS Mincho"/>
          <w:color w:val="000000"/>
          <w:sz w:val="22"/>
          <w:szCs w:val="22"/>
          <w:lang w:val="da-DK" w:eastAsia="ja-JP"/>
        </w:rPr>
      </w:pPr>
    </w:p>
    <w:p w14:paraId="4CDBEEF8" w14:textId="77777777" w:rsidR="00A573B3" w:rsidRPr="004C2A59" w:rsidRDefault="00A573B3" w:rsidP="00421681">
      <w:pPr>
        <w:pStyle w:val="Text"/>
        <w:spacing w:before="0"/>
        <w:jc w:val="left"/>
        <w:rPr>
          <w:rFonts w:eastAsia="MS Mincho"/>
          <w:color w:val="000000"/>
          <w:sz w:val="22"/>
          <w:szCs w:val="22"/>
          <w:lang w:val="da-DK" w:eastAsia="ja-JP"/>
        </w:rPr>
      </w:pPr>
      <w:r w:rsidRPr="004C2A59">
        <w:rPr>
          <w:rFonts w:eastAsia="MS Mincho"/>
          <w:color w:val="000000"/>
          <w:sz w:val="22"/>
          <w:szCs w:val="22"/>
          <w:lang w:val="da-DK" w:eastAsia="ja-JP"/>
        </w:rPr>
        <w:t>Risikoen for tilbagefald hos patienter efter operation af deres primære GIST blev retrospektivt vurderet ud fra følgende prognostiske faktorer: tumorstørrelse, mitotisk indeks, tumorplacering. Data fra mitotisk indeks var tilgængelige for 556 ud af 713 i intention-to-treat (</w:t>
      </w:r>
      <w:smartTag w:uri="urn:schemas-microsoft-com:office:smarttags" w:element="metricconverter">
        <w:r w:rsidRPr="004C2A59">
          <w:rPr>
            <w:rFonts w:eastAsia="MS Mincho"/>
            <w:color w:val="000000"/>
            <w:sz w:val="22"/>
            <w:szCs w:val="22"/>
            <w:lang w:val="da-DK" w:eastAsia="ja-JP"/>
          </w:rPr>
          <w:t>ITT</w:t>
        </w:r>
      </w:smartTag>
      <w:r w:rsidRPr="004C2A59">
        <w:rPr>
          <w:rFonts w:eastAsia="MS Mincho"/>
          <w:color w:val="000000"/>
          <w:sz w:val="22"/>
          <w:szCs w:val="22"/>
          <w:lang w:val="da-DK" w:eastAsia="ja-JP"/>
        </w:rPr>
        <w:t>) gruppen. Resultaterne fra undergruppen-analysen, der blev vurderet ved risikoklassifikationer ifølge the United States National Institutes of Health (NIH) og the Armed Forces Institute of Pathology (AFIP), er vist i Tabel </w:t>
      </w:r>
      <w:r w:rsidR="00FD10C4" w:rsidRPr="004C2A59">
        <w:rPr>
          <w:rFonts w:eastAsia="MS Mincho"/>
          <w:color w:val="000000"/>
          <w:sz w:val="22"/>
          <w:szCs w:val="22"/>
          <w:lang w:val="da-DK" w:eastAsia="ja-JP"/>
        </w:rPr>
        <w:t>7</w:t>
      </w:r>
      <w:r w:rsidRPr="004C2A59">
        <w:rPr>
          <w:rFonts w:eastAsia="MS Mincho"/>
          <w:color w:val="000000"/>
          <w:sz w:val="22"/>
          <w:szCs w:val="22"/>
          <w:lang w:val="da-DK" w:eastAsia="ja-JP"/>
        </w:rPr>
        <w:t>. Der blev ikke observeret nogle fordele i den lave eller meget lave risikogruppe. Der er ikke blevet observeret nogen fordel i total overlevelse.</w:t>
      </w:r>
    </w:p>
    <w:p w14:paraId="2C6B7058" w14:textId="77777777" w:rsidR="00A573B3" w:rsidRPr="004C2A59" w:rsidRDefault="00A573B3" w:rsidP="00421681">
      <w:pPr>
        <w:pStyle w:val="Text"/>
        <w:spacing w:before="0"/>
        <w:jc w:val="left"/>
        <w:rPr>
          <w:rFonts w:eastAsia="MS Mincho"/>
          <w:color w:val="000000"/>
          <w:sz w:val="22"/>
          <w:szCs w:val="22"/>
          <w:lang w:val="da-DK" w:eastAsia="ja-JP"/>
        </w:rPr>
      </w:pPr>
    </w:p>
    <w:p w14:paraId="30C1A80D" w14:textId="77777777" w:rsidR="00A573B3" w:rsidRPr="004C2A59" w:rsidRDefault="00A573B3" w:rsidP="00C422EE">
      <w:pPr>
        <w:pStyle w:val="Heading6"/>
        <w:widowControl w:val="0"/>
        <w:numPr>
          <w:ilvl w:val="0"/>
          <w:numId w:val="0"/>
        </w:numPr>
        <w:tabs>
          <w:tab w:val="clear" w:pos="567"/>
          <w:tab w:val="clear" w:pos="4536"/>
        </w:tabs>
        <w:suppressAutoHyphens w:val="0"/>
        <w:spacing w:line="240" w:lineRule="auto"/>
        <w:ind w:left="1134" w:hanging="1134"/>
        <w:rPr>
          <w:rFonts w:eastAsia="MS Mincho"/>
          <w:b/>
          <w:i w:val="0"/>
          <w:color w:val="000000"/>
          <w:szCs w:val="22"/>
          <w:lang w:val="da-DK" w:eastAsia="ja-JP"/>
        </w:rPr>
      </w:pPr>
      <w:r w:rsidRPr="004C2A59">
        <w:rPr>
          <w:rFonts w:eastAsia="MS Mincho"/>
          <w:b/>
          <w:i w:val="0"/>
          <w:color w:val="000000"/>
          <w:szCs w:val="22"/>
          <w:lang w:val="da-DK" w:eastAsia="ja-JP"/>
        </w:rPr>
        <w:t>Tabel </w:t>
      </w:r>
      <w:r w:rsidR="00FD10C4" w:rsidRPr="004C2A59">
        <w:rPr>
          <w:rFonts w:eastAsia="MS Mincho"/>
          <w:b/>
          <w:i w:val="0"/>
          <w:color w:val="000000"/>
          <w:szCs w:val="22"/>
          <w:lang w:val="da-DK" w:eastAsia="ja-JP"/>
        </w:rPr>
        <w:t>7</w:t>
      </w:r>
      <w:r w:rsidRPr="004C2A59">
        <w:rPr>
          <w:rFonts w:eastAsia="MS Mincho"/>
          <w:b/>
          <w:i w:val="0"/>
          <w:color w:val="000000"/>
          <w:szCs w:val="22"/>
          <w:lang w:val="da-DK" w:eastAsia="ja-JP"/>
        </w:rPr>
        <w:tab/>
        <w:t xml:space="preserve">Resumé af </w:t>
      </w:r>
      <w:smartTag w:uri="urn:schemas-microsoft-com:office:smarttags" w:element="metricconverter">
        <w:r w:rsidRPr="004C2A59">
          <w:rPr>
            <w:rFonts w:eastAsia="MS Mincho"/>
            <w:b/>
            <w:i w:val="0"/>
            <w:color w:val="000000"/>
            <w:szCs w:val="22"/>
            <w:lang w:val="da-DK" w:eastAsia="ja-JP"/>
          </w:rPr>
          <w:t>RFS</w:t>
        </w:r>
      </w:smartTag>
      <w:r w:rsidRPr="004C2A59">
        <w:rPr>
          <w:rFonts w:eastAsia="MS Mincho"/>
          <w:b/>
          <w:i w:val="0"/>
          <w:color w:val="000000"/>
          <w:szCs w:val="22"/>
          <w:lang w:val="da-DK" w:eastAsia="ja-JP"/>
        </w:rPr>
        <w:t>-analyse for det kliniske forsøg Z9001 ved NIH og AFIP risikoklassifikationer</w:t>
      </w:r>
    </w:p>
    <w:p w14:paraId="1058CA86" w14:textId="77777777" w:rsidR="00A573B3" w:rsidRPr="004C2A59" w:rsidRDefault="00A573B3" w:rsidP="00C422EE">
      <w:pPr>
        <w:pStyle w:val="Text"/>
        <w:keepNext/>
        <w:widowControl w:val="0"/>
        <w:spacing w:before="0"/>
        <w:rPr>
          <w:sz w:val="22"/>
          <w:szCs w:val="22"/>
          <w:lang w:val="da-DK"/>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559"/>
        <w:gridCol w:w="850"/>
        <w:gridCol w:w="1910"/>
        <w:gridCol w:w="1800"/>
        <w:gridCol w:w="1440"/>
        <w:gridCol w:w="1360"/>
      </w:tblGrid>
      <w:tr w:rsidR="00A573B3" w:rsidRPr="004C2A59" w14:paraId="4BF358D1" w14:textId="77777777" w:rsidTr="00C422EE">
        <w:trPr>
          <w:cantSplit/>
        </w:trPr>
        <w:tc>
          <w:tcPr>
            <w:tcW w:w="1101" w:type="dxa"/>
            <w:vMerge w:val="restart"/>
          </w:tcPr>
          <w:p w14:paraId="395E3B51" w14:textId="77777777" w:rsidR="00A573B3" w:rsidRPr="004C2A59" w:rsidRDefault="00A573B3" w:rsidP="00C422EE">
            <w:pPr>
              <w:keepNext/>
              <w:widowControl w:val="0"/>
              <w:tabs>
                <w:tab w:val="left" w:pos="567"/>
              </w:tabs>
              <w:jc w:val="center"/>
              <w:rPr>
                <w:b/>
                <w:sz w:val="22"/>
                <w:szCs w:val="22"/>
              </w:rPr>
            </w:pPr>
            <w:r w:rsidRPr="004C2A59">
              <w:rPr>
                <w:b/>
                <w:sz w:val="22"/>
                <w:szCs w:val="22"/>
              </w:rPr>
              <w:t>Risiko-kriterier</w:t>
            </w:r>
          </w:p>
        </w:tc>
        <w:tc>
          <w:tcPr>
            <w:tcW w:w="1559" w:type="dxa"/>
            <w:vMerge w:val="restart"/>
            <w:tcBorders>
              <w:right w:val="single" w:sz="4" w:space="0" w:color="auto"/>
            </w:tcBorders>
          </w:tcPr>
          <w:p w14:paraId="6F165496" w14:textId="77777777" w:rsidR="00A573B3" w:rsidRPr="004C2A59" w:rsidRDefault="00A573B3" w:rsidP="00C422EE">
            <w:pPr>
              <w:keepNext/>
              <w:widowControl w:val="0"/>
              <w:tabs>
                <w:tab w:val="left" w:pos="567"/>
              </w:tabs>
              <w:rPr>
                <w:b/>
                <w:sz w:val="22"/>
                <w:szCs w:val="22"/>
              </w:rPr>
            </w:pPr>
            <w:r w:rsidRPr="004C2A59">
              <w:rPr>
                <w:b/>
                <w:sz w:val="22"/>
                <w:szCs w:val="22"/>
              </w:rPr>
              <w:t>Risikoniveau</w:t>
            </w:r>
          </w:p>
          <w:p w14:paraId="46B7E73E" w14:textId="77777777" w:rsidR="00A573B3" w:rsidRPr="004C2A59" w:rsidRDefault="00A573B3" w:rsidP="00C422EE">
            <w:pPr>
              <w:keepNext/>
              <w:widowControl w:val="0"/>
              <w:tabs>
                <w:tab w:val="left" w:pos="567"/>
              </w:tabs>
              <w:rPr>
                <w:b/>
                <w:sz w:val="22"/>
                <w:szCs w:val="22"/>
              </w:rPr>
            </w:pPr>
          </w:p>
        </w:tc>
        <w:tc>
          <w:tcPr>
            <w:tcW w:w="850" w:type="dxa"/>
            <w:vMerge w:val="restart"/>
            <w:tcBorders>
              <w:left w:val="single" w:sz="4" w:space="0" w:color="auto"/>
              <w:right w:val="single" w:sz="4" w:space="0" w:color="auto"/>
            </w:tcBorders>
          </w:tcPr>
          <w:p w14:paraId="182F0CF8" w14:textId="77777777" w:rsidR="00A573B3" w:rsidRPr="004C2A59" w:rsidRDefault="00A573B3" w:rsidP="00C422EE">
            <w:pPr>
              <w:keepNext/>
              <w:widowControl w:val="0"/>
              <w:tabs>
                <w:tab w:val="left" w:pos="567"/>
              </w:tabs>
              <w:jc w:val="center"/>
              <w:rPr>
                <w:b/>
                <w:sz w:val="22"/>
                <w:szCs w:val="22"/>
              </w:rPr>
            </w:pPr>
            <w:r w:rsidRPr="004C2A59">
              <w:rPr>
                <w:b/>
                <w:sz w:val="22"/>
                <w:szCs w:val="22"/>
              </w:rPr>
              <w:t>% af patien-ter</w:t>
            </w:r>
          </w:p>
        </w:tc>
        <w:tc>
          <w:tcPr>
            <w:tcW w:w="1910" w:type="dxa"/>
            <w:vMerge w:val="restart"/>
            <w:tcBorders>
              <w:left w:val="single" w:sz="4" w:space="0" w:color="auto"/>
              <w:right w:val="single" w:sz="4" w:space="0" w:color="auto"/>
            </w:tcBorders>
          </w:tcPr>
          <w:p w14:paraId="60113898" w14:textId="77777777" w:rsidR="00A573B3" w:rsidRPr="004C2A59" w:rsidRDefault="00A573B3" w:rsidP="00C422EE">
            <w:pPr>
              <w:keepNext/>
              <w:widowControl w:val="0"/>
              <w:tabs>
                <w:tab w:val="left" w:pos="567"/>
              </w:tabs>
              <w:jc w:val="center"/>
              <w:rPr>
                <w:b/>
                <w:sz w:val="22"/>
                <w:szCs w:val="22"/>
              </w:rPr>
            </w:pPr>
            <w:r w:rsidRPr="004C2A59">
              <w:rPr>
                <w:b/>
                <w:sz w:val="22"/>
                <w:szCs w:val="22"/>
              </w:rPr>
              <w:t>Antal tilfælde/</w:t>
            </w:r>
            <w:r w:rsidRPr="004C2A59">
              <w:rPr>
                <w:b/>
                <w:sz w:val="22"/>
                <w:szCs w:val="22"/>
              </w:rPr>
              <w:br/>
              <w:t>Antal patienter</w:t>
            </w:r>
          </w:p>
        </w:tc>
        <w:tc>
          <w:tcPr>
            <w:tcW w:w="1800" w:type="dxa"/>
            <w:vMerge w:val="restart"/>
            <w:tcBorders>
              <w:left w:val="single" w:sz="4" w:space="0" w:color="auto"/>
              <w:right w:val="single" w:sz="4" w:space="0" w:color="auto"/>
            </w:tcBorders>
          </w:tcPr>
          <w:p w14:paraId="0FB50965" w14:textId="77777777" w:rsidR="00A573B3" w:rsidRPr="004C2A59" w:rsidRDefault="00A573B3" w:rsidP="00C422EE">
            <w:pPr>
              <w:keepNext/>
              <w:widowControl w:val="0"/>
              <w:tabs>
                <w:tab w:val="left" w:pos="567"/>
              </w:tabs>
              <w:jc w:val="center"/>
              <w:rPr>
                <w:b/>
                <w:sz w:val="22"/>
                <w:szCs w:val="22"/>
              </w:rPr>
            </w:pPr>
            <w:r w:rsidRPr="004C2A59">
              <w:rPr>
                <w:b/>
                <w:sz w:val="22"/>
                <w:szCs w:val="22"/>
              </w:rPr>
              <w:t>Samlet hazard ratio (95%CI)*</w:t>
            </w:r>
          </w:p>
        </w:tc>
        <w:tc>
          <w:tcPr>
            <w:tcW w:w="2800" w:type="dxa"/>
            <w:gridSpan w:val="2"/>
            <w:tcBorders>
              <w:left w:val="single" w:sz="4" w:space="0" w:color="auto"/>
            </w:tcBorders>
          </w:tcPr>
          <w:p w14:paraId="2F3629EE" w14:textId="77777777" w:rsidR="00A573B3" w:rsidRPr="004C2A59" w:rsidRDefault="00A573B3" w:rsidP="00C422EE">
            <w:pPr>
              <w:keepNext/>
              <w:widowControl w:val="0"/>
              <w:tabs>
                <w:tab w:val="left" w:pos="567"/>
              </w:tabs>
              <w:jc w:val="center"/>
              <w:rPr>
                <w:b/>
                <w:sz w:val="22"/>
                <w:szCs w:val="22"/>
              </w:rPr>
            </w:pPr>
            <w:smartTag w:uri="urn:schemas-microsoft-com:office:smarttags" w:element="metricconverter">
              <w:r w:rsidRPr="004C2A59">
                <w:rPr>
                  <w:b/>
                  <w:sz w:val="22"/>
                  <w:szCs w:val="22"/>
                </w:rPr>
                <w:t>RFS</w:t>
              </w:r>
            </w:smartTag>
            <w:r w:rsidRPr="004C2A59">
              <w:rPr>
                <w:b/>
                <w:sz w:val="22"/>
                <w:szCs w:val="22"/>
              </w:rPr>
              <w:t xml:space="preserve"> rater (%)</w:t>
            </w:r>
          </w:p>
        </w:tc>
      </w:tr>
      <w:tr w:rsidR="00A573B3" w:rsidRPr="004C2A59" w14:paraId="11E87A55" w14:textId="77777777" w:rsidTr="00C422EE">
        <w:trPr>
          <w:cantSplit/>
        </w:trPr>
        <w:tc>
          <w:tcPr>
            <w:tcW w:w="1101" w:type="dxa"/>
            <w:vMerge/>
          </w:tcPr>
          <w:p w14:paraId="51A31D18" w14:textId="77777777" w:rsidR="00A573B3" w:rsidRPr="004C2A59" w:rsidRDefault="00A573B3" w:rsidP="00C422EE">
            <w:pPr>
              <w:keepNext/>
              <w:widowControl w:val="0"/>
              <w:tabs>
                <w:tab w:val="left" w:pos="567"/>
              </w:tabs>
              <w:rPr>
                <w:b/>
                <w:sz w:val="22"/>
                <w:szCs w:val="22"/>
              </w:rPr>
            </w:pPr>
          </w:p>
        </w:tc>
        <w:tc>
          <w:tcPr>
            <w:tcW w:w="1559" w:type="dxa"/>
            <w:vMerge/>
            <w:tcBorders>
              <w:right w:val="single" w:sz="4" w:space="0" w:color="auto"/>
            </w:tcBorders>
          </w:tcPr>
          <w:p w14:paraId="79A01362" w14:textId="77777777" w:rsidR="00A573B3" w:rsidRPr="004C2A59" w:rsidRDefault="00A573B3" w:rsidP="00C422EE">
            <w:pPr>
              <w:keepNext/>
              <w:widowControl w:val="0"/>
              <w:tabs>
                <w:tab w:val="left" w:pos="567"/>
              </w:tabs>
              <w:rPr>
                <w:b/>
                <w:sz w:val="22"/>
                <w:szCs w:val="22"/>
              </w:rPr>
            </w:pPr>
          </w:p>
        </w:tc>
        <w:tc>
          <w:tcPr>
            <w:tcW w:w="850" w:type="dxa"/>
            <w:vMerge/>
            <w:tcBorders>
              <w:left w:val="single" w:sz="4" w:space="0" w:color="auto"/>
              <w:right w:val="single" w:sz="4" w:space="0" w:color="auto"/>
            </w:tcBorders>
          </w:tcPr>
          <w:p w14:paraId="0D148580" w14:textId="77777777" w:rsidR="00A573B3" w:rsidRPr="004C2A59" w:rsidRDefault="00A573B3" w:rsidP="00C422EE">
            <w:pPr>
              <w:keepNext/>
              <w:widowControl w:val="0"/>
              <w:tabs>
                <w:tab w:val="left" w:pos="567"/>
              </w:tabs>
              <w:jc w:val="center"/>
              <w:rPr>
                <w:b/>
                <w:sz w:val="22"/>
                <w:szCs w:val="22"/>
              </w:rPr>
            </w:pPr>
          </w:p>
        </w:tc>
        <w:tc>
          <w:tcPr>
            <w:tcW w:w="1910" w:type="dxa"/>
            <w:vMerge/>
            <w:tcBorders>
              <w:left w:val="single" w:sz="4" w:space="0" w:color="auto"/>
              <w:right w:val="single" w:sz="4" w:space="0" w:color="auto"/>
            </w:tcBorders>
          </w:tcPr>
          <w:p w14:paraId="67522C61" w14:textId="77777777" w:rsidR="00A573B3" w:rsidRPr="004C2A59" w:rsidRDefault="00A573B3" w:rsidP="00C422EE">
            <w:pPr>
              <w:keepNext/>
              <w:widowControl w:val="0"/>
              <w:tabs>
                <w:tab w:val="left" w:pos="567"/>
              </w:tabs>
              <w:jc w:val="center"/>
              <w:rPr>
                <w:b/>
                <w:sz w:val="22"/>
                <w:szCs w:val="22"/>
              </w:rPr>
            </w:pPr>
          </w:p>
        </w:tc>
        <w:tc>
          <w:tcPr>
            <w:tcW w:w="1800" w:type="dxa"/>
            <w:vMerge/>
            <w:tcBorders>
              <w:left w:val="single" w:sz="4" w:space="0" w:color="auto"/>
              <w:right w:val="single" w:sz="4" w:space="0" w:color="auto"/>
            </w:tcBorders>
          </w:tcPr>
          <w:p w14:paraId="567D7DDF" w14:textId="77777777" w:rsidR="00A573B3" w:rsidRPr="004C2A59" w:rsidRDefault="00A573B3" w:rsidP="00C422EE">
            <w:pPr>
              <w:keepNext/>
              <w:widowControl w:val="0"/>
              <w:tabs>
                <w:tab w:val="left" w:pos="567"/>
              </w:tabs>
              <w:rPr>
                <w:b/>
                <w:sz w:val="22"/>
                <w:szCs w:val="22"/>
              </w:rPr>
            </w:pPr>
          </w:p>
        </w:tc>
        <w:tc>
          <w:tcPr>
            <w:tcW w:w="1440" w:type="dxa"/>
            <w:tcBorders>
              <w:left w:val="single" w:sz="4" w:space="0" w:color="auto"/>
              <w:right w:val="single" w:sz="4" w:space="0" w:color="auto"/>
            </w:tcBorders>
          </w:tcPr>
          <w:p w14:paraId="2752BEC9" w14:textId="77777777" w:rsidR="00A573B3" w:rsidRPr="004C2A59" w:rsidRDefault="00A573B3" w:rsidP="00C422EE">
            <w:pPr>
              <w:keepNext/>
              <w:widowControl w:val="0"/>
              <w:tabs>
                <w:tab w:val="left" w:pos="567"/>
              </w:tabs>
              <w:jc w:val="center"/>
              <w:rPr>
                <w:b/>
                <w:sz w:val="22"/>
                <w:szCs w:val="22"/>
              </w:rPr>
            </w:pPr>
            <w:r w:rsidRPr="004C2A59">
              <w:rPr>
                <w:b/>
                <w:sz w:val="22"/>
                <w:szCs w:val="22"/>
              </w:rPr>
              <w:t>12 måneder</w:t>
            </w:r>
          </w:p>
        </w:tc>
        <w:tc>
          <w:tcPr>
            <w:tcW w:w="1360" w:type="dxa"/>
            <w:tcBorders>
              <w:left w:val="single" w:sz="4" w:space="0" w:color="auto"/>
            </w:tcBorders>
          </w:tcPr>
          <w:p w14:paraId="2C6DF8A4" w14:textId="77777777" w:rsidR="00A573B3" w:rsidRPr="004C2A59" w:rsidRDefault="00A573B3" w:rsidP="00C422EE">
            <w:pPr>
              <w:keepNext/>
              <w:widowControl w:val="0"/>
              <w:tabs>
                <w:tab w:val="left" w:pos="567"/>
              </w:tabs>
              <w:jc w:val="center"/>
              <w:rPr>
                <w:b/>
                <w:sz w:val="22"/>
                <w:szCs w:val="22"/>
              </w:rPr>
            </w:pPr>
            <w:r w:rsidRPr="004C2A59">
              <w:rPr>
                <w:b/>
                <w:sz w:val="22"/>
                <w:szCs w:val="22"/>
              </w:rPr>
              <w:t>24 måneder</w:t>
            </w:r>
          </w:p>
        </w:tc>
      </w:tr>
      <w:tr w:rsidR="00A573B3" w:rsidRPr="004C2A59" w14:paraId="26A36AD8" w14:textId="77777777" w:rsidTr="00C422EE">
        <w:trPr>
          <w:cantSplit/>
        </w:trPr>
        <w:tc>
          <w:tcPr>
            <w:tcW w:w="1101" w:type="dxa"/>
            <w:vMerge/>
          </w:tcPr>
          <w:p w14:paraId="1EA9BEAF" w14:textId="77777777" w:rsidR="00A573B3" w:rsidRPr="004C2A59" w:rsidRDefault="00A573B3" w:rsidP="00C422EE">
            <w:pPr>
              <w:keepNext/>
              <w:widowControl w:val="0"/>
              <w:tabs>
                <w:tab w:val="left" w:pos="567"/>
              </w:tabs>
              <w:rPr>
                <w:b/>
                <w:sz w:val="22"/>
                <w:szCs w:val="22"/>
              </w:rPr>
            </w:pPr>
          </w:p>
        </w:tc>
        <w:tc>
          <w:tcPr>
            <w:tcW w:w="1559" w:type="dxa"/>
            <w:vMerge/>
            <w:tcBorders>
              <w:right w:val="single" w:sz="4" w:space="0" w:color="auto"/>
            </w:tcBorders>
          </w:tcPr>
          <w:p w14:paraId="71051511" w14:textId="77777777" w:rsidR="00A573B3" w:rsidRPr="004C2A59" w:rsidRDefault="00A573B3" w:rsidP="00C422EE">
            <w:pPr>
              <w:keepNext/>
              <w:widowControl w:val="0"/>
              <w:tabs>
                <w:tab w:val="left" w:pos="567"/>
              </w:tabs>
              <w:rPr>
                <w:b/>
                <w:sz w:val="22"/>
                <w:szCs w:val="22"/>
              </w:rPr>
            </w:pPr>
          </w:p>
        </w:tc>
        <w:tc>
          <w:tcPr>
            <w:tcW w:w="850" w:type="dxa"/>
            <w:vMerge/>
            <w:tcBorders>
              <w:left w:val="single" w:sz="4" w:space="0" w:color="auto"/>
              <w:right w:val="single" w:sz="4" w:space="0" w:color="auto"/>
            </w:tcBorders>
          </w:tcPr>
          <w:p w14:paraId="6B0610AE" w14:textId="77777777" w:rsidR="00A573B3" w:rsidRPr="004C2A59" w:rsidRDefault="00A573B3" w:rsidP="00C422EE">
            <w:pPr>
              <w:keepNext/>
              <w:widowControl w:val="0"/>
              <w:tabs>
                <w:tab w:val="left" w:pos="567"/>
              </w:tabs>
              <w:jc w:val="center"/>
              <w:rPr>
                <w:b/>
                <w:sz w:val="22"/>
                <w:szCs w:val="22"/>
              </w:rPr>
            </w:pPr>
          </w:p>
        </w:tc>
        <w:tc>
          <w:tcPr>
            <w:tcW w:w="1910" w:type="dxa"/>
            <w:tcBorders>
              <w:left w:val="single" w:sz="4" w:space="0" w:color="auto"/>
              <w:bottom w:val="single" w:sz="4" w:space="0" w:color="auto"/>
              <w:right w:val="single" w:sz="4" w:space="0" w:color="auto"/>
            </w:tcBorders>
          </w:tcPr>
          <w:p w14:paraId="62BAC571" w14:textId="77777777" w:rsidR="00A573B3" w:rsidRPr="004C2A59" w:rsidRDefault="00A573B3" w:rsidP="00C422EE">
            <w:pPr>
              <w:keepNext/>
              <w:widowControl w:val="0"/>
              <w:tabs>
                <w:tab w:val="left" w:pos="567"/>
              </w:tabs>
              <w:jc w:val="center"/>
              <w:rPr>
                <w:b/>
                <w:sz w:val="22"/>
                <w:szCs w:val="22"/>
              </w:rPr>
            </w:pPr>
            <w:r w:rsidRPr="004C2A59">
              <w:rPr>
                <w:b/>
                <w:sz w:val="22"/>
                <w:szCs w:val="22"/>
              </w:rPr>
              <w:t xml:space="preserve">Glivec </w:t>
            </w:r>
            <w:r w:rsidRPr="004C2A59">
              <w:rPr>
                <w:b/>
                <w:i/>
                <w:sz w:val="22"/>
                <w:szCs w:val="22"/>
              </w:rPr>
              <w:t>vs.</w:t>
            </w:r>
            <w:r w:rsidRPr="004C2A59">
              <w:rPr>
                <w:b/>
                <w:sz w:val="22"/>
                <w:szCs w:val="22"/>
              </w:rPr>
              <w:t xml:space="preserve"> placebo</w:t>
            </w:r>
          </w:p>
        </w:tc>
        <w:tc>
          <w:tcPr>
            <w:tcW w:w="1800" w:type="dxa"/>
            <w:vMerge/>
            <w:tcBorders>
              <w:left w:val="single" w:sz="4" w:space="0" w:color="auto"/>
              <w:bottom w:val="single" w:sz="4" w:space="0" w:color="auto"/>
              <w:right w:val="single" w:sz="4" w:space="0" w:color="auto"/>
            </w:tcBorders>
          </w:tcPr>
          <w:p w14:paraId="32355EFC" w14:textId="77777777" w:rsidR="00A573B3" w:rsidRPr="004C2A59" w:rsidRDefault="00A573B3" w:rsidP="00C422EE">
            <w:pPr>
              <w:keepNext/>
              <w:widowControl w:val="0"/>
              <w:tabs>
                <w:tab w:val="left" w:pos="567"/>
              </w:tabs>
              <w:jc w:val="center"/>
              <w:rPr>
                <w:b/>
                <w:sz w:val="22"/>
                <w:szCs w:val="22"/>
              </w:rPr>
            </w:pPr>
          </w:p>
        </w:tc>
        <w:tc>
          <w:tcPr>
            <w:tcW w:w="1440" w:type="dxa"/>
            <w:tcBorders>
              <w:left w:val="single" w:sz="4" w:space="0" w:color="auto"/>
              <w:bottom w:val="single" w:sz="4" w:space="0" w:color="auto"/>
              <w:right w:val="single" w:sz="4" w:space="0" w:color="auto"/>
            </w:tcBorders>
          </w:tcPr>
          <w:p w14:paraId="4489C8B5" w14:textId="77777777" w:rsidR="00A573B3" w:rsidRPr="004C2A59" w:rsidRDefault="00A573B3" w:rsidP="00C422EE">
            <w:pPr>
              <w:keepNext/>
              <w:widowControl w:val="0"/>
              <w:tabs>
                <w:tab w:val="left" w:pos="567"/>
              </w:tabs>
              <w:jc w:val="center"/>
              <w:rPr>
                <w:b/>
                <w:sz w:val="22"/>
                <w:szCs w:val="22"/>
              </w:rPr>
            </w:pPr>
            <w:r w:rsidRPr="004C2A59">
              <w:rPr>
                <w:b/>
                <w:sz w:val="22"/>
                <w:szCs w:val="22"/>
              </w:rPr>
              <w:t xml:space="preserve">Glivec </w:t>
            </w:r>
            <w:r w:rsidRPr="004C2A59">
              <w:rPr>
                <w:b/>
                <w:i/>
                <w:sz w:val="22"/>
                <w:szCs w:val="22"/>
              </w:rPr>
              <w:t>vs.</w:t>
            </w:r>
            <w:r w:rsidRPr="004C2A59">
              <w:rPr>
                <w:b/>
                <w:sz w:val="22"/>
                <w:szCs w:val="22"/>
              </w:rPr>
              <w:t xml:space="preserve"> placebo</w:t>
            </w:r>
          </w:p>
        </w:tc>
        <w:tc>
          <w:tcPr>
            <w:tcW w:w="1360" w:type="dxa"/>
            <w:tcBorders>
              <w:left w:val="single" w:sz="4" w:space="0" w:color="auto"/>
            </w:tcBorders>
          </w:tcPr>
          <w:p w14:paraId="74E59574" w14:textId="77777777" w:rsidR="00A573B3" w:rsidRPr="004C2A59" w:rsidRDefault="00A573B3" w:rsidP="00C422EE">
            <w:pPr>
              <w:keepNext/>
              <w:widowControl w:val="0"/>
              <w:tabs>
                <w:tab w:val="left" w:pos="567"/>
              </w:tabs>
              <w:jc w:val="center"/>
              <w:rPr>
                <w:b/>
                <w:sz w:val="22"/>
                <w:szCs w:val="22"/>
              </w:rPr>
            </w:pPr>
            <w:r w:rsidRPr="004C2A59">
              <w:rPr>
                <w:b/>
                <w:sz w:val="22"/>
                <w:szCs w:val="22"/>
              </w:rPr>
              <w:t xml:space="preserve">Glivec </w:t>
            </w:r>
            <w:r w:rsidRPr="004C2A59">
              <w:rPr>
                <w:b/>
                <w:i/>
                <w:sz w:val="22"/>
                <w:szCs w:val="22"/>
              </w:rPr>
              <w:t>vs.</w:t>
            </w:r>
            <w:r w:rsidRPr="004C2A59">
              <w:rPr>
                <w:b/>
                <w:sz w:val="22"/>
                <w:szCs w:val="22"/>
              </w:rPr>
              <w:t xml:space="preserve"> placebo</w:t>
            </w:r>
          </w:p>
        </w:tc>
      </w:tr>
      <w:tr w:rsidR="00A573B3" w:rsidRPr="004C2A59" w14:paraId="4CB6604D" w14:textId="77777777" w:rsidTr="00C422EE">
        <w:trPr>
          <w:cantSplit/>
        </w:trPr>
        <w:tc>
          <w:tcPr>
            <w:tcW w:w="1101" w:type="dxa"/>
            <w:vMerge w:val="restart"/>
            <w:shd w:val="clear" w:color="auto" w:fill="auto"/>
          </w:tcPr>
          <w:p w14:paraId="6646A2EE" w14:textId="77777777" w:rsidR="00A573B3" w:rsidRPr="004C2A59" w:rsidRDefault="00A573B3" w:rsidP="00C422EE">
            <w:pPr>
              <w:pStyle w:val="Nottoc-headings"/>
              <w:keepLines w:val="0"/>
              <w:widowControl w:val="0"/>
              <w:tabs>
                <w:tab w:val="left" w:pos="567"/>
              </w:tabs>
              <w:spacing w:before="0" w:after="0"/>
              <w:ind w:left="0" w:firstLine="0"/>
              <w:rPr>
                <w:sz w:val="22"/>
                <w:szCs w:val="22"/>
              </w:rPr>
            </w:pPr>
            <w:r w:rsidRPr="004C2A59">
              <w:rPr>
                <w:rFonts w:ascii="Times New Roman" w:hAnsi="Times New Roman"/>
                <w:b w:val="0"/>
                <w:sz w:val="22"/>
                <w:szCs w:val="22"/>
              </w:rPr>
              <w:t>NIH</w:t>
            </w:r>
          </w:p>
        </w:tc>
        <w:tc>
          <w:tcPr>
            <w:tcW w:w="1559" w:type="dxa"/>
            <w:tcBorders>
              <w:bottom w:val="nil"/>
              <w:right w:val="single" w:sz="4" w:space="0" w:color="auto"/>
            </w:tcBorders>
            <w:vAlign w:val="bottom"/>
          </w:tcPr>
          <w:p w14:paraId="3EE562B9" w14:textId="77777777" w:rsidR="00A573B3" w:rsidRPr="004C2A59" w:rsidRDefault="00A573B3" w:rsidP="00C422EE">
            <w:pPr>
              <w:pStyle w:val="Nottoc-headings"/>
              <w:keepLines w:val="0"/>
              <w:widowControl w:val="0"/>
              <w:tabs>
                <w:tab w:val="left" w:pos="567"/>
              </w:tabs>
              <w:spacing w:before="0" w:after="0"/>
              <w:ind w:left="57" w:hanging="57"/>
              <w:rPr>
                <w:rFonts w:ascii="Times New Roman" w:hAnsi="Times New Roman"/>
                <w:b w:val="0"/>
                <w:sz w:val="22"/>
                <w:szCs w:val="22"/>
              </w:rPr>
            </w:pPr>
            <w:r w:rsidRPr="004C2A59">
              <w:rPr>
                <w:rFonts w:ascii="Times New Roman" w:hAnsi="Times New Roman"/>
                <w:b w:val="0"/>
                <w:sz w:val="22"/>
                <w:szCs w:val="22"/>
              </w:rPr>
              <w:t>Lav</w:t>
            </w:r>
          </w:p>
        </w:tc>
        <w:tc>
          <w:tcPr>
            <w:tcW w:w="850" w:type="dxa"/>
            <w:tcBorders>
              <w:left w:val="single" w:sz="4" w:space="0" w:color="auto"/>
              <w:bottom w:val="nil"/>
              <w:right w:val="single" w:sz="4" w:space="0" w:color="auto"/>
            </w:tcBorders>
            <w:vAlign w:val="bottom"/>
          </w:tcPr>
          <w:p w14:paraId="01091A05" w14:textId="77777777" w:rsidR="00A573B3" w:rsidRPr="004C2A59" w:rsidRDefault="00A573B3" w:rsidP="00C422EE">
            <w:pPr>
              <w:pStyle w:val="Nottoc-headings"/>
              <w:keepLines w:val="0"/>
              <w:widowControl w:val="0"/>
              <w:tabs>
                <w:tab w:val="left" w:pos="567"/>
              </w:tabs>
              <w:spacing w:before="0" w:after="0"/>
              <w:ind w:left="57" w:hanging="57"/>
              <w:jc w:val="center"/>
              <w:rPr>
                <w:rFonts w:ascii="Times New Roman" w:hAnsi="Times New Roman"/>
                <w:b w:val="0"/>
                <w:sz w:val="22"/>
                <w:szCs w:val="22"/>
              </w:rPr>
            </w:pPr>
            <w:r w:rsidRPr="004C2A59">
              <w:rPr>
                <w:rFonts w:ascii="Times New Roman" w:hAnsi="Times New Roman"/>
                <w:b w:val="0"/>
                <w:sz w:val="22"/>
                <w:szCs w:val="22"/>
              </w:rPr>
              <w:t>29,5</w:t>
            </w:r>
          </w:p>
        </w:tc>
        <w:tc>
          <w:tcPr>
            <w:tcW w:w="1910" w:type="dxa"/>
            <w:tcBorders>
              <w:left w:val="single" w:sz="4" w:space="0" w:color="auto"/>
              <w:bottom w:val="nil"/>
              <w:right w:val="single" w:sz="4" w:space="0" w:color="auto"/>
            </w:tcBorders>
            <w:vAlign w:val="bottom"/>
          </w:tcPr>
          <w:p w14:paraId="5537D7E1" w14:textId="77777777" w:rsidR="00A573B3" w:rsidRPr="004C2A59" w:rsidRDefault="00A573B3" w:rsidP="00C422EE">
            <w:pPr>
              <w:pStyle w:val="Nottoc-headings"/>
              <w:keepLines w:val="0"/>
              <w:widowControl w:val="0"/>
              <w:tabs>
                <w:tab w:val="left" w:pos="567"/>
              </w:tabs>
              <w:spacing w:before="0" w:after="0"/>
              <w:ind w:left="57" w:hanging="57"/>
              <w:rPr>
                <w:rFonts w:ascii="Times New Roman" w:hAnsi="Times New Roman"/>
                <w:b w:val="0"/>
                <w:sz w:val="22"/>
                <w:szCs w:val="22"/>
              </w:rPr>
            </w:pPr>
            <w:r w:rsidRPr="004C2A59">
              <w:rPr>
                <w:rFonts w:ascii="Times New Roman" w:hAnsi="Times New Roman"/>
                <w:b w:val="0"/>
                <w:sz w:val="22"/>
                <w:szCs w:val="22"/>
              </w:rPr>
              <w:t xml:space="preserve">0/86 </w:t>
            </w:r>
            <w:r w:rsidRPr="004C2A59">
              <w:rPr>
                <w:rFonts w:ascii="Times New Roman" w:hAnsi="Times New Roman"/>
                <w:b w:val="0"/>
                <w:i/>
                <w:sz w:val="22"/>
                <w:szCs w:val="22"/>
              </w:rPr>
              <w:t>vs.</w:t>
            </w:r>
            <w:r w:rsidRPr="004C2A59">
              <w:rPr>
                <w:rFonts w:ascii="Times New Roman" w:hAnsi="Times New Roman"/>
                <w:b w:val="0"/>
                <w:sz w:val="22"/>
                <w:szCs w:val="22"/>
              </w:rPr>
              <w:t xml:space="preserve"> 2/90</w:t>
            </w:r>
          </w:p>
        </w:tc>
        <w:tc>
          <w:tcPr>
            <w:tcW w:w="1800" w:type="dxa"/>
            <w:tcBorders>
              <w:left w:val="single" w:sz="4" w:space="0" w:color="auto"/>
              <w:bottom w:val="nil"/>
              <w:right w:val="single" w:sz="4" w:space="0" w:color="auto"/>
            </w:tcBorders>
            <w:vAlign w:val="bottom"/>
          </w:tcPr>
          <w:p w14:paraId="5A61B711" w14:textId="77777777" w:rsidR="00A573B3" w:rsidRPr="004C2A59" w:rsidRDefault="00A573B3" w:rsidP="00C422EE">
            <w:pPr>
              <w:pStyle w:val="Nottoc-headings"/>
              <w:keepLines w:val="0"/>
              <w:widowControl w:val="0"/>
              <w:tabs>
                <w:tab w:val="left" w:pos="567"/>
              </w:tabs>
              <w:spacing w:before="0" w:after="0"/>
              <w:ind w:left="57" w:hanging="57"/>
              <w:rPr>
                <w:rFonts w:ascii="Times New Roman" w:hAnsi="Times New Roman"/>
                <w:b w:val="0"/>
                <w:sz w:val="22"/>
                <w:szCs w:val="22"/>
              </w:rPr>
            </w:pPr>
            <w:r w:rsidRPr="004C2A59">
              <w:rPr>
                <w:rFonts w:ascii="Times New Roman" w:hAnsi="Times New Roman"/>
                <w:b w:val="0"/>
                <w:sz w:val="22"/>
                <w:szCs w:val="22"/>
              </w:rPr>
              <w:t>I.E.</w:t>
            </w:r>
          </w:p>
        </w:tc>
        <w:tc>
          <w:tcPr>
            <w:tcW w:w="1440" w:type="dxa"/>
            <w:tcBorders>
              <w:left w:val="single" w:sz="4" w:space="0" w:color="auto"/>
              <w:bottom w:val="nil"/>
              <w:right w:val="single" w:sz="4" w:space="0" w:color="auto"/>
            </w:tcBorders>
            <w:vAlign w:val="bottom"/>
          </w:tcPr>
          <w:p w14:paraId="71B8F4CB" w14:textId="77777777" w:rsidR="00A573B3" w:rsidRPr="004C2A59" w:rsidRDefault="00A573B3" w:rsidP="00C422EE">
            <w:pPr>
              <w:pStyle w:val="Nottoc-headings"/>
              <w:keepLines w:val="0"/>
              <w:widowControl w:val="0"/>
              <w:tabs>
                <w:tab w:val="left" w:pos="567"/>
              </w:tabs>
              <w:spacing w:before="0" w:after="0"/>
              <w:ind w:left="57" w:hanging="57"/>
              <w:rPr>
                <w:rFonts w:ascii="Times New Roman" w:hAnsi="Times New Roman"/>
                <w:b w:val="0"/>
                <w:sz w:val="22"/>
                <w:szCs w:val="22"/>
              </w:rPr>
            </w:pPr>
            <w:r w:rsidRPr="004C2A59">
              <w:rPr>
                <w:rFonts w:ascii="Times New Roman" w:hAnsi="Times New Roman"/>
                <w:b w:val="0"/>
                <w:sz w:val="22"/>
                <w:szCs w:val="22"/>
              </w:rPr>
              <w:t xml:space="preserve">100 </w:t>
            </w:r>
            <w:r w:rsidRPr="004C2A59">
              <w:rPr>
                <w:rFonts w:ascii="Times New Roman" w:hAnsi="Times New Roman"/>
                <w:b w:val="0"/>
                <w:i/>
                <w:sz w:val="22"/>
                <w:szCs w:val="22"/>
              </w:rPr>
              <w:t>vs.</w:t>
            </w:r>
            <w:r w:rsidRPr="004C2A59">
              <w:rPr>
                <w:rFonts w:ascii="Times New Roman" w:hAnsi="Times New Roman"/>
                <w:b w:val="0"/>
                <w:sz w:val="22"/>
                <w:szCs w:val="22"/>
              </w:rPr>
              <w:t xml:space="preserve"> 98,7</w:t>
            </w:r>
          </w:p>
        </w:tc>
        <w:tc>
          <w:tcPr>
            <w:tcW w:w="1360" w:type="dxa"/>
            <w:tcBorders>
              <w:left w:val="single" w:sz="4" w:space="0" w:color="auto"/>
              <w:bottom w:val="nil"/>
            </w:tcBorders>
            <w:vAlign w:val="bottom"/>
          </w:tcPr>
          <w:p w14:paraId="5F9405FB" w14:textId="77777777" w:rsidR="00A573B3" w:rsidRPr="004C2A59" w:rsidRDefault="00A573B3" w:rsidP="00C422EE">
            <w:pPr>
              <w:pStyle w:val="Nottoc-headings"/>
              <w:keepLines w:val="0"/>
              <w:widowControl w:val="0"/>
              <w:tabs>
                <w:tab w:val="left" w:pos="567"/>
              </w:tabs>
              <w:spacing w:before="0" w:after="0"/>
              <w:ind w:left="57" w:hanging="57"/>
              <w:rPr>
                <w:rFonts w:ascii="Times New Roman" w:hAnsi="Times New Roman"/>
                <w:b w:val="0"/>
                <w:sz w:val="22"/>
                <w:szCs w:val="22"/>
              </w:rPr>
            </w:pPr>
            <w:r w:rsidRPr="004C2A59">
              <w:rPr>
                <w:rFonts w:ascii="Times New Roman" w:hAnsi="Times New Roman"/>
                <w:b w:val="0"/>
                <w:sz w:val="22"/>
                <w:szCs w:val="22"/>
              </w:rPr>
              <w:t xml:space="preserve">100 </w:t>
            </w:r>
            <w:r w:rsidRPr="004C2A59">
              <w:rPr>
                <w:rFonts w:ascii="Times New Roman" w:hAnsi="Times New Roman"/>
                <w:b w:val="0"/>
                <w:i/>
                <w:sz w:val="22"/>
                <w:szCs w:val="22"/>
              </w:rPr>
              <w:t>vs.</w:t>
            </w:r>
            <w:r w:rsidRPr="004C2A59">
              <w:rPr>
                <w:rFonts w:ascii="Times New Roman" w:hAnsi="Times New Roman"/>
                <w:b w:val="0"/>
                <w:sz w:val="22"/>
                <w:szCs w:val="22"/>
              </w:rPr>
              <w:t xml:space="preserve"> 95,5</w:t>
            </w:r>
          </w:p>
        </w:tc>
      </w:tr>
      <w:tr w:rsidR="00A573B3" w:rsidRPr="004C2A59" w14:paraId="131BF6B3" w14:textId="77777777" w:rsidTr="00C422EE">
        <w:trPr>
          <w:cantSplit/>
        </w:trPr>
        <w:tc>
          <w:tcPr>
            <w:tcW w:w="1101" w:type="dxa"/>
            <w:vMerge/>
            <w:shd w:val="clear" w:color="auto" w:fill="auto"/>
          </w:tcPr>
          <w:p w14:paraId="0B9935F4" w14:textId="77777777" w:rsidR="00A573B3" w:rsidRPr="004C2A59" w:rsidRDefault="00A573B3" w:rsidP="00C422EE">
            <w:pPr>
              <w:pStyle w:val="Nottoc-headings"/>
              <w:keepLines w:val="0"/>
              <w:widowControl w:val="0"/>
              <w:tabs>
                <w:tab w:val="left" w:pos="567"/>
              </w:tabs>
              <w:spacing w:before="0" w:after="0"/>
              <w:rPr>
                <w:rFonts w:ascii="Times New Roman" w:hAnsi="Times New Roman"/>
                <w:b w:val="0"/>
                <w:sz w:val="22"/>
                <w:szCs w:val="22"/>
              </w:rPr>
            </w:pPr>
          </w:p>
        </w:tc>
        <w:tc>
          <w:tcPr>
            <w:tcW w:w="1559" w:type="dxa"/>
            <w:tcBorders>
              <w:top w:val="nil"/>
              <w:bottom w:val="nil"/>
              <w:right w:val="single" w:sz="4" w:space="0" w:color="auto"/>
            </w:tcBorders>
            <w:vAlign w:val="bottom"/>
          </w:tcPr>
          <w:p w14:paraId="0FB78C2A" w14:textId="77777777" w:rsidR="00A573B3" w:rsidRPr="004C2A59" w:rsidRDefault="00A573B3" w:rsidP="00C422EE">
            <w:pPr>
              <w:keepNext/>
              <w:widowControl w:val="0"/>
              <w:tabs>
                <w:tab w:val="left" w:pos="567"/>
              </w:tabs>
              <w:rPr>
                <w:sz w:val="22"/>
                <w:szCs w:val="22"/>
              </w:rPr>
            </w:pPr>
            <w:r w:rsidRPr="004C2A59">
              <w:rPr>
                <w:sz w:val="22"/>
                <w:szCs w:val="22"/>
              </w:rPr>
              <w:t>Mellem</w:t>
            </w:r>
          </w:p>
        </w:tc>
        <w:tc>
          <w:tcPr>
            <w:tcW w:w="850" w:type="dxa"/>
            <w:tcBorders>
              <w:top w:val="nil"/>
              <w:left w:val="single" w:sz="4" w:space="0" w:color="auto"/>
              <w:bottom w:val="nil"/>
              <w:right w:val="single" w:sz="4" w:space="0" w:color="auto"/>
            </w:tcBorders>
            <w:vAlign w:val="bottom"/>
          </w:tcPr>
          <w:p w14:paraId="0F88D56B" w14:textId="77777777" w:rsidR="00A573B3" w:rsidRPr="004C2A59" w:rsidRDefault="00A573B3" w:rsidP="00C422EE">
            <w:pPr>
              <w:keepNext/>
              <w:widowControl w:val="0"/>
              <w:tabs>
                <w:tab w:val="left" w:pos="567"/>
              </w:tabs>
              <w:jc w:val="center"/>
              <w:rPr>
                <w:sz w:val="22"/>
                <w:szCs w:val="22"/>
              </w:rPr>
            </w:pPr>
            <w:r w:rsidRPr="004C2A59">
              <w:rPr>
                <w:sz w:val="22"/>
                <w:szCs w:val="22"/>
              </w:rPr>
              <w:t>25,7</w:t>
            </w:r>
          </w:p>
        </w:tc>
        <w:tc>
          <w:tcPr>
            <w:tcW w:w="1910" w:type="dxa"/>
            <w:tcBorders>
              <w:top w:val="nil"/>
              <w:left w:val="single" w:sz="4" w:space="0" w:color="auto"/>
              <w:bottom w:val="nil"/>
              <w:right w:val="single" w:sz="4" w:space="0" w:color="auto"/>
            </w:tcBorders>
            <w:vAlign w:val="bottom"/>
          </w:tcPr>
          <w:p w14:paraId="0F701927" w14:textId="77777777" w:rsidR="00A573B3" w:rsidRPr="004C2A59" w:rsidRDefault="00A573B3" w:rsidP="00C422EE">
            <w:pPr>
              <w:keepNext/>
              <w:widowControl w:val="0"/>
              <w:tabs>
                <w:tab w:val="left" w:pos="567"/>
              </w:tabs>
              <w:rPr>
                <w:sz w:val="22"/>
                <w:szCs w:val="22"/>
              </w:rPr>
            </w:pPr>
            <w:r w:rsidRPr="004C2A59">
              <w:rPr>
                <w:sz w:val="22"/>
                <w:szCs w:val="22"/>
              </w:rPr>
              <w:t xml:space="preserve">4/75 </w:t>
            </w:r>
            <w:r w:rsidRPr="004C2A59">
              <w:rPr>
                <w:i/>
                <w:sz w:val="22"/>
                <w:szCs w:val="22"/>
              </w:rPr>
              <w:t>vs.</w:t>
            </w:r>
            <w:r w:rsidRPr="004C2A59">
              <w:rPr>
                <w:sz w:val="22"/>
                <w:szCs w:val="22"/>
              </w:rPr>
              <w:t xml:space="preserve"> 6/78</w:t>
            </w:r>
          </w:p>
        </w:tc>
        <w:tc>
          <w:tcPr>
            <w:tcW w:w="1800" w:type="dxa"/>
            <w:tcBorders>
              <w:top w:val="nil"/>
              <w:left w:val="single" w:sz="4" w:space="0" w:color="auto"/>
              <w:bottom w:val="nil"/>
              <w:right w:val="single" w:sz="4" w:space="0" w:color="auto"/>
            </w:tcBorders>
            <w:vAlign w:val="bottom"/>
          </w:tcPr>
          <w:p w14:paraId="5A81B83F" w14:textId="77777777" w:rsidR="00A573B3" w:rsidRPr="004C2A59" w:rsidRDefault="00A573B3" w:rsidP="00C422EE">
            <w:pPr>
              <w:keepNext/>
              <w:widowControl w:val="0"/>
              <w:tabs>
                <w:tab w:val="left" w:pos="567"/>
              </w:tabs>
              <w:rPr>
                <w:sz w:val="22"/>
                <w:szCs w:val="22"/>
              </w:rPr>
            </w:pPr>
            <w:r w:rsidRPr="004C2A59">
              <w:rPr>
                <w:sz w:val="22"/>
                <w:szCs w:val="22"/>
              </w:rPr>
              <w:t>0,59 (0,17; 2,10)</w:t>
            </w:r>
          </w:p>
        </w:tc>
        <w:tc>
          <w:tcPr>
            <w:tcW w:w="1440" w:type="dxa"/>
            <w:tcBorders>
              <w:top w:val="nil"/>
              <w:left w:val="single" w:sz="4" w:space="0" w:color="auto"/>
              <w:bottom w:val="nil"/>
              <w:right w:val="single" w:sz="4" w:space="0" w:color="auto"/>
            </w:tcBorders>
            <w:vAlign w:val="bottom"/>
          </w:tcPr>
          <w:p w14:paraId="3D8622E0" w14:textId="77777777" w:rsidR="00A573B3" w:rsidRPr="004C2A59" w:rsidRDefault="00A573B3" w:rsidP="00C422EE">
            <w:pPr>
              <w:keepNext/>
              <w:widowControl w:val="0"/>
              <w:tabs>
                <w:tab w:val="left" w:pos="567"/>
              </w:tabs>
              <w:rPr>
                <w:sz w:val="22"/>
                <w:szCs w:val="22"/>
              </w:rPr>
            </w:pPr>
            <w:r w:rsidRPr="004C2A59">
              <w:rPr>
                <w:sz w:val="22"/>
                <w:szCs w:val="22"/>
              </w:rPr>
              <w:t xml:space="preserve">100 </w:t>
            </w:r>
            <w:r w:rsidRPr="004C2A59">
              <w:rPr>
                <w:i/>
                <w:sz w:val="22"/>
                <w:szCs w:val="22"/>
              </w:rPr>
              <w:t>vs.</w:t>
            </w:r>
            <w:r w:rsidRPr="004C2A59">
              <w:rPr>
                <w:sz w:val="22"/>
                <w:szCs w:val="22"/>
              </w:rPr>
              <w:t xml:space="preserve"> 94,8</w:t>
            </w:r>
          </w:p>
        </w:tc>
        <w:tc>
          <w:tcPr>
            <w:tcW w:w="1360" w:type="dxa"/>
            <w:tcBorders>
              <w:top w:val="nil"/>
              <w:left w:val="single" w:sz="4" w:space="0" w:color="auto"/>
              <w:bottom w:val="nil"/>
            </w:tcBorders>
            <w:vAlign w:val="bottom"/>
          </w:tcPr>
          <w:p w14:paraId="5DF4CAFB" w14:textId="77777777" w:rsidR="00A573B3" w:rsidRPr="004C2A59" w:rsidRDefault="00A573B3" w:rsidP="00C422EE">
            <w:pPr>
              <w:keepNext/>
              <w:widowControl w:val="0"/>
              <w:tabs>
                <w:tab w:val="left" w:pos="567"/>
              </w:tabs>
              <w:rPr>
                <w:sz w:val="22"/>
                <w:szCs w:val="22"/>
              </w:rPr>
            </w:pPr>
            <w:r w:rsidRPr="004C2A59">
              <w:rPr>
                <w:sz w:val="22"/>
                <w:szCs w:val="22"/>
              </w:rPr>
              <w:t xml:space="preserve">97,8 </w:t>
            </w:r>
            <w:r w:rsidRPr="004C2A59">
              <w:rPr>
                <w:i/>
                <w:sz w:val="22"/>
                <w:szCs w:val="22"/>
              </w:rPr>
              <w:t>vs.</w:t>
            </w:r>
            <w:r w:rsidRPr="004C2A59">
              <w:rPr>
                <w:sz w:val="22"/>
                <w:szCs w:val="22"/>
              </w:rPr>
              <w:t xml:space="preserve"> 89,5</w:t>
            </w:r>
          </w:p>
        </w:tc>
      </w:tr>
      <w:tr w:rsidR="00A573B3" w:rsidRPr="004C2A59" w14:paraId="4E74C923" w14:textId="77777777" w:rsidTr="00C422EE">
        <w:trPr>
          <w:cantSplit/>
        </w:trPr>
        <w:tc>
          <w:tcPr>
            <w:tcW w:w="1101" w:type="dxa"/>
            <w:vMerge/>
            <w:shd w:val="clear" w:color="auto" w:fill="auto"/>
          </w:tcPr>
          <w:p w14:paraId="32D3D9A4" w14:textId="77777777" w:rsidR="00A573B3" w:rsidRPr="004C2A59" w:rsidRDefault="00A573B3" w:rsidP="00C422EE">
            <w:pPr>
              <w:keepNext/>
              <w:widowControl w:val="0"/>
              <w:tabs>
                <w:tab w:val="left" w:pos="567"/>
              </w:tabs>
              <w:rPr>
                <w:sz w:val="22"/>
                <w:szCs w:val="22"/>
              </w:rPr>
            </w:pPr>
          </w:p>
        </w:tc>
        <w:tc>
          <w:tcPr>
            <w:tcW w:w="1559" w:type="dxa"/>
            <w:tcBorders>
              <w:top w:val="nil"/>
              <w:right w:val="single" w:sz="4" w:space="0" w:color="auto"/>
            </w:tcBorders>
            <w:vAlign w:val="bottom"/>
          </w:tcPr>
          <w:p w14:paraId="04512D4B" w14:textId="77777777" w:rsidR="00A573B3" w:rsidRPr="004C2A59" w:rsidRDefault="00A573B3" w:rsidP="00C422EE">
            <w:pPr>
              <w:keepNext/>
              <w:widowControl w:val="0"/>
              <w:tabs>
                <w:tab w:val="left" w:pos="567"/>
              </w:tabs>
              <w:rPr>
                <w:sz w:val="22"/>
                <w:szCs w:val="22"/>
              </w:rPr>
            </w:pPr>
            <w:r w:rsidRPr="004C2A59">
              <w:rPr>
                <w:sz w:val="22"/>
                <w:szCs w:val="22"/>
              </w:rPr>
              <w:t>Høj</w:t>
            </w:r>
          </w:p>
        </w:tc>
        <w:tc>
          <w:tcPr>
            <w:tcW w:w="850" w:type="dxa"/>
            <w:tcBorders>
              <w:top w:val="nil"/>
              <w:left w:val="single" w:sz="4" w:space="0" w:color="auto"/>
              <w:right w:val="single" w:sz="4" w:space="0" w:color="auto"/>
            </w:tcBorders>
            <w:vAlign w:val="bottom"/>
          </w:tcPr>
          <w:p w14:paraId="39433903" w14:textId="77777777" w:rsidR="00A573B3" w:rsidRPr="004C2A59" w:rsidRDefault="00A573B3" w:rsidP="00C422EE">
            <w:pPr>
              <w:keepNext/>
              <w:widowControl w:val="0"/>
              <w:tabs>
                <w:tab w:val="left" w:pos="567"/>
              </w:tabs>
              <w:jc w:val="center"/>
              <w:rPr>
                <w:sz w:val="22"/>
                <w:szCs w:val="22"/>
              </w:rPr>
            </w:pPr>
            <w:r w:rsidRPr="004C2A59">
              <w:rPr>
                <w:sz w:val="22"/>
                <w:szCs w:val="22"/>
              </w:rPr>
              <w:t>44,8</w:t>
            </w:r>
          </w:p>
        </w:tc>
        <w:tc>
          <w:tcPr>
            <w:tcW w:w="1910" w:type="dxa"/>
            <w:tcBorders>
              <w:top w:val="nil"/>
              <w:left w:val="single" w:sz="4" w:space="0" w:color="auto"/>
              <w:right w:val="single" w:sz="4" w:space="0" w:color="auto"/>
            </w:tcBorders>
            <w:vAlign w:val="bottom"/>
          </w:tcPr>
          <w:p w14:paraId="62EF0CB7" w14:textId="77777777" w:rsidR="00A573B3" w:rsidRPr="004C2A59" w:rsidRDefault="00A573B3" w:rsidP="00C422EE">
            <w:pPr>
              <w:keepNext/>
              <w:widowControl w:val="0"/>
              <w:tabs>
                <w:tab w:val="left" w:pos="567"/>
              </w:tabs>
              <w:rPr>
                <w:sz w:val="22"/>
                <w:szCs w:val="22"/>
              </w:rPr>
            </w:pPr>
            <w:r w:rsidRPr="004C2A59">
              <w:rPr>
                <w:sz w:val="22"/>
                <w:szCs w:val="22"/>
              </w:rPr>
              <w:t xml:space="preserve">21/140 </w:t>
            </w:r>
            <w:r w:rsidRPr="004C2A59">
              <w:rPr>
                <w:i/>
                <w:sz w:val="22"/>
                <w:szCs w:val="22"/>
              </w:rPr>
              <w:t>vs.</w:t>
            </w:r>
            <w:r w:rsidRPr="004C2A59">
              <w:rPr>
                <w:sz w:val="22"/>
                <w:szCs w:val="22"/>
              </w:rPr>
              <w:t xml:space="preserve"> 51/127</w:t>
            </w:r>
          </w:p>
        </w:tc>
        <w:tc>
          <w:tcPr>
            <w:tcW w:w="1800" w:type="dxa"/>
            <w:tcBorders>
              <w:top w:val="nil"/>
              <w:left w:val="single" w:sz="4" w:space="0" w:color="auto"/>
              <w:right w:val="single" w:sz="4" w:space="0" w:color="auto"/>
            </w:tcBorders>
            <w:vAlign w:val="bottom"/>
          </w:tcPr>
          <w:p w14:paraId="07C7C683" w14:textId="77777777" w:rsidR="00A573B3" w:rsidRPr="004C2A59" w:rsidRDefault="00A573B3" w:rsidP="00C422EE">
            <w:pPr>
              <w:keepNext/>
              <w:widowControl w:val="0"/>
              <w:tabs>
                <w:tab w:val="left" w:pos="567"/>
              </w:tabs>
              <w:rPr>
                <w:sz w:val="22"/>
                <w:szCs w:val="22"/>
              </w:rPr>
            </w:pPr>
            <w:r w:rsidRPr="004C2A59">
              <w:rPr>
                <w:sz w:val="22"/>
                <w:szCs w:val="22"/>
              </w:rPr>
              <w:t>0,29 (0,18; 0,49)</w:t>
            </w:r>
          </w:p>
        </w:tc>
        <w:tc>
          <w:tcPr>
            <w:tcW w:w="1440" w:type="dxa"/>
            <w:tcBorders>
              <w:top w:val="nil"/>
              <w:left w:val="single" w:sz="4" w:space="0" w:color="auto"/>
              <w:right w:val="single" w:sz="4" w:space="0" w:color="auto"/>
            </w:tcBorders>
            <w:vAlign w:val="bottom"/>
          </w:tcPr>
          <w:p w14:paraId="16175700" w14:textId="77777777" w:rsidR="00A573B3" w:rsidRPr="004C2A59" w:rsidRDefault="00A573B3" w:rsidP="00C422EE">
            <w:pPr>
              <w:keepNext/>
              <w:widowControl w:val="0"/>
              <w:tabs>
                <w:tab w:val="left" w:pos="567"/>
              </w:tabs>
              <w:rPr>
                <w:sz w:val="22"/>
                <w:szCs w:val="22"/>
              </w:rPr>
            </w:pPr>
            <w:r w:rsidRPr="004C2A59">
              <w:rPr>
                <w:sz w:val="22"/>
                <w:szCs w:val="22"/>
              </w:rPr>
              <w:t xml:space="preserve">94,8 </w:t>
            </w:r>
            <w:r w:rsidRPr="004C2A59">
              <w:rPr>
                <w:i/>
                <w:sz w:val="22"/>
                <w:szCs w:val="22"/>
              </w:rPr>
              <w:t>vs.</w:t>
            </w:r>
            <w:r w:rsidRPr="004C2A59">
              <w:rPr>
                <w:sz w:val="22"/>
                <w:szCs w:val="22"/>
              </w:rPr>
              <w:t xml:space="preserve"> 64,0</w:t>
            </w:r>
          </w:p>
        </w:tc>
        <w:tc>
          <w:tcPr>
            <w:tcW w:w="1360" w:type="dxa"/>
            <w:tcBorders>
              <w:top w:val="nil"/>
              <w:left w:val="single" w:sz="4" w:space="0" w:color="auto"/>
            </w:tcBorders>
            <w:vAlign w:val="bottom"/>
          </w:tcPr>
          <w:p w14:paraId="18715273" w14:textId="77777777" w:rsidR="00A573B3" w:rsidRPr="004C2A59" w:rsidRDefault="00A573B3" w:rsidP="00C422EE">
            <w:pPr>
              <w:keepNext/>
              <w:widowControl w:val="0"/>
              <w:tabs>
                <w:tab w:val="left" w:pos="567"/>
              </w:tabs>
              <w:rPr>
                <w:sz w:val="22"/>
                <w:szCs w:val="22"/>
              </w:rPr>
            </w:pPr>
            <w:r w:rsidRPr="004C2A59">
              <w:rPr>
                <w:sz w:val="22"/>
                <w:szCs w:val="22"/>
              </w:rPr>
              <w:t xml:space="preserve">80,7 </w:t>
            </w:r>
            <w:r w:rsidRPr="004C2A59">
              <w:rPr>
                <w:i/>
                <w:sz w:val="22"/>
                <w:szCs w:val="22"/>
              </w:rPr>
              <w:t>vs.</w:t>
            </w:r>
            <w:r w:rsidRPr="004C2A59">
              <w:rPr>
                <w:sz w:val="22"/>
                <w:szCs w:val="22"/>
              </w:rPr>
              <w:t xml:space="preserve"> 46,6</w:t>
            </w:r>
          </w:p>
        </w:tc>
      </w:tr>
      <w:tr w:rsidR="00A573B3" w:rsidRPr="004C2A59" w14:paraId="07C2A20B" w14:textId="77777777" w:rsidTr="00C422EE">
        <w:trPr>
          <w:cantSplit/>
        </w:trPr>
        <w:tc>
          <w:tcPr>
            <w:tcW w:w="1101" w:type="dxa"/>
            <w:vMerge w:val="restart"/>
            <w:shd w:val="clear" w:color="auto" w:fill="auto"/>
          </w:tcPr>
          <w:p w14:paraId="715528DE" w14:textId="77777777" w:rsidR="00A573B3" w:rsidRPr="004C2A59" w:rsidRDefault="00A573B3" w:rsidP="00C422EE">
            <w:pPr>
              <w:keepNext/>
              <w:widowControl w:val="0"/>
              <w:tabs>
                <w:tab w:val="left" w:pos="567"/>
              </w:tabs>
              <w:rPr>
                <w:sz w:val="22"/>
                <w:szCs w:val="22"/>
              </w:rPr>
            </w:pPr>
            <w:r w:rsidRPr="004C2A59">
              <w:rPr>
                <w:sz w:val="22"/>
                <w:szCs w:val="22"/>
              </w:rPr>
              <w:t>AFIP</w:t>
            </w:r>
          </w:p>
        </w:tc>
        <w:tc>
          <w:tcPr>
            <w:tcW w:w="1559" w:type="dxa"/>
            <w:tcBorders>
              <w:bottom w:val="nil"/>
              <w:right w:val="single" w:sz="4" w:space="0" w:color="auto"/>
            </w:tcBorders>
            <w:vAlign w:val="bottom"/>
          </w:tcPr>
          <w:p w14:paraId="6B0DAEBA" w14:textId="77777777" w:rsidR="00A573B3" w:rsidRPr="004C2A59" w:rsidRDefault="00A573B3" w:rsidP="00C422EE">
            <w:pPr>
              <w:keepNext/>
              <w:widowControl w:val="0"/>
              <w:tabs>
                <w:tab w:val="left" w:pos="567"/>
              </w:tabs>
              <w:rPr>
                <w:sz w:val="22"/>
                <w:szCs w:val="22"/>
              </w:rPr>
            </w:pPr>
            <w:r w:rsidRPr="004C2A59">
              <w:rPr>
                <w:sz w:val="22"/>
                <w:szCs w:val="22"/>
              </w:rPr>
              <w:t>Meget lav</w:t>
            </w:r>
          </w:p>
        </w:tc>
        <w:tc>
          <w:tcPr>
            <w:tcW w:w="850" w:type="dxa"/>
            <w:tcBorders>
              <w:left w:val="single" w:sz="4" w:space="0" w:color="auto"/>
              <w:bottom w:val="nil"/>
              <w:right w:val="single" w:sz="4" w:space="0" w:color="auto"/>
            </w:tcBorders>
            <w:vAlign w:val="bottom"/>
          </w:tcPr>
          <w:p w14:paraId="06F50CEF" w14:textId="77777777" w:rsidR="00A573B3" w:rsidRPr="004C2A59" w:rsidRDefault="00A573B3" w:rsidP="00C422EE">
            <w:pPr>
              <w:keepNext/>
              <w:widowControl w:val="0"/>
              <w:tabs>
                <w:tab w:val="left" w:pos="567"/>
              </w:tabs>
              <w:jc w:val="center"/>
              <w:rPr>
                <w:sz w:val="22"/>
                <w:szCs w:val="22"/>
              </w:rPr>
            </w:pPr>
            <w:r w:rsidRPr="004C2A59">
              <w:rPr>
                <w:sz w:val="22"/>
                <w:szCs w:val="22"/>
              </w:rPr>
              <w:t>20,7</w:t>
            </w:r>
          </w:p>
        </w:tc>
        <w:tc>
          <w:tcPr>
            <w:tcW w:w="1910" w:type="dxa"/>
            <w:tcBorders>
              <w:left w:val="single" w:sz="4" w:space="0" w:color="auto"/>
              <w:bottom w:val="nil"/>
              <w:right w:val="single" w:sz="4" w:space="0" w:color="auto"/>
            </w:tcBorders>
            <w:vAlign w:val="bottom"/>
          </w:tcPr>
          <w:p w14:paraId="01FDEDF1" w14:textId="77777777" w:rsidR="00A573B3" w:rsidRPr="004C2A59" w:rsidRDefault="00A573B3" w:rsidP="00C422EE">
            <w:pPr>
              <w:keepNext/>
              <w:widowControl w:val="0"/>
              <w:tabs>
                <w:tab w:val="left" w:pos="567"/>
              </w:tabs>
              <w:rPr>
                <w:sz w:val="22"/>
                <w:szCs w:val="22"/>
              </w:rPr>
            </w:pPr>
            <w:r w:rsidRPr="004C2A59">
              <w:rPr>
                <w:sz w:val="22"/>
                <w:szCs w:val="22"/>
              </w:rPr>
              <w:t xml:space="preserve">0/52 </w:t>
            </w:r>
            <w:r w:rsidRPr="004C2A59">
              <w:rPr>
                <w:i/>
                <w:sz w:val="22"/>
                <w:szCs w:val="22"/>
              </w:rPr>
              <w:t>vs.</w:t>
            </w:r>
            <w:r w:rsidRPr="004C2A59">
              <w:rPr>
                <w:sz w:val="22"/>
                <w:szCs w:val="22"/>
              </w:rPr>
              <w:t xml:space="preserve"> 2/63</w:t>
            </w:r>
          </w:p>
        </w:tc>
        <w:tc>
          <w:tcPr>
            <w:tcW w:w="1800" w:type="dxa"/>
            <w:tcBorders>
              <w:left w:val="single" w:sz="4" w:space="0" w:color="auto"/>
              <w:bottom w:val="nil"/>
              <w:right w:val="single" w:sz="4" w:space="0" w:color="auto"/>
            </w:tcBorders>
            <w:vAlign w:val="bottom"/>
          </w:tcPr>
          <w:p w14:paraId="059DE41C" w14:textId="77777777" w:rsidR="00A573B3" w:rsidRPr="004C2A59" w:rsidRDefault="00A573B3" w:rsidP="00C422EE">
            <w:pPr>
              <w:keepNext/>
              <w:widowControl w:val="0"/>
              <w:tabs>
                <w:tab w:val="left" w:pos="567"/>
              </w:tabs>
              <w:rPr>
                <w:sz w:val="22"/>
                <w:szCs w:val="22"/>
              </w:rPr>
            </w:pPr>
            <w:r w:rsidRPr="004C2A59">
              <w:rPr>
                <w:sz w:val="22"/>
                <w:szCs w:val="22"/>
              </w:rPr>
              <w:t>I.E.</w:t>
            </w:r>
          </w:p>
        </w:tc>
        <w:tc>
          <w:tcPr>
            <w:tcW w:w="1440" w:type="dxa"/>
            <w:tcBorders>
              <w:left w:val="single" w:sz="4" w:space="0" w:color="auto"/>
              <w:bottom w:val="nil"/>
              <w:right w:val="single" w:sz="4" w:space="0" w:color="auto"/>
            </w:tcBorders>
            <w:vAlign w:val="bottom"/>
          </w:tcPr>
          <w:p w14:paraId="1544CA70" w14:textId="77777777" w:rsidR="00A573B3" w:rsidRPr="004C2A59" w:rsidRDefault="00A573B3" w:rsidP="00C422EE">
            <w:pPr>
              <w:keepNext/>
              <w:widowControl w:val="0"/>
              <w:tabs>
                <w:tab w:val="left" w:pos="567"/>
              </w:tabs>
              <w:rPr>
                <w:sz w:val="22"/>
                <w:szCs w:val="22"/>
              </w:rPr>
            </w:pPr>
            <w:r w:rsidRPr="004C2A59">
              <w:rPr>
                <w:sz w:val="22"/>
                <w:szCs w:val="22"/>
              </w:rPr>
              <w:t xml:space="preserve">100 </w:t>
            </w:r>
            <w:r w:rsidRPr="004C2A59">
              <w:rPr>
                <w:i/>
                <w:sz w:val="22"/>
                <w:szCs w:val="22"/>
              </w:rPr>
              <w:t>vs.</w:t>
            </w:r>
            <w:r w:rsidRPr="004C2A59">
              <w:rPr>
                <w:sz w:val="22"/>
                <w:szCs w:val="22"/>
              </w:rPr>
              <w:t xml:space="preserve"> 98,1</w:t>
            </w:r>
          </w:p>
        </w:tc>
        <w:tc>
          <w:tcPr>
            <w:tcW w:w="1360" w:type="dxa"/>
            <w:tcBorders>
              <w:left w:val="single" w:sz="4" w:space="0" w:color="auto"/>
              <w:bottom w:val="nil"/>
            </w:tcBorders>
            <w:vAlign w:val="bottom"/>
          </w:tcPr>
          <w:p w14:paraId="0B16E101" w14:textId="77777777" w:rsidR="00A573B3" w:rsidRPr="004C2A59" w:rsidRDefault="00A573B3" w:rsidP="00C422EE">
            <w:pPr>
              <w:keepNext/>
              <w:widowControl w:val="0"/>
              <w:tabs>
                <w:tab w:val="left" w:pos="567"/>
              </w:tabs>
              <w:rPr>
                <w:sz w:val="22"/>
                <w:szCs w:val="22"/>
              </w:rPr>
            </w:pPr>
            <w:r w:rsidRPr="004C2A59">
              <w:rPr>
                <w:sz w:val="22"/>
                <w:szCs w:val="22"/>
              </w:rPr>
              <w:t xml:space="preserve">100 </w:t>
            </w:r>
            <w:r w:rsidRPr="004C2A59">
              <w:rPr>
                <w:i/>
                <w:sz w:val="22"/>
                <w:szCs w:val="22"/>
              </w:rPr>
              <w:t>vs.</w:t>
            </w:r>
            <w:r w:rsidRPr="004C2A59">
              <w:rPr>
                <w:sz w:val="22"/>
                <w:szCs w:val="22"/>
              </w:rPr>
              <w:t xml:space="preserve"> 93,0</w:t>
            </w:r>
          </w:p>
        </w:tc>
      </w:tr>
      <w:tr w:rsidR="00A573B3" w:rsidRPr="004C2A59" w14:paraId="56E35DDE" w14:textId="77777777" w:rsidTr="00C422EE">
        <w:trPr>
          <w:cantSplit/>
        </w:trPr>
        <w:tc>
          <w:tcPr>
            <w:tcW w:w="1101" w:type="dxa"/>
            <w:vMerge/>
            <w:shd w:val="clear" w:color="auto" w:fill="auto"/>
          </w:tcPr>
          <w:p w14:paraId="50CF4471" w14:textId="77777777" w:rsidR="00A573B3" w:rsidRPr="004C2A59" w:rsidRDefault="00A573B3" w:rsidP="00C422EE">
            <w:pPr>
              <w:keepNext/>
              <w:widowControl w:val="0"/>
              <w:tabs>
                <w:tab w:val="left" w:pos="567"/>
              </w:tabs>
              <w:rPr>
                <w:sz w:val="22"/>
                <w:szCs w:val="22"/>
              </w:rPr>
            </w:pPr>
          </w:p>
        </w:tc>
        <w:tc>
          <w:tcPr>
            <w:tcW w:w="1559" w:type="dxa"/>
            <w:tcBorders>
              <w:top w:val="nil"/>
              <w:bottom w:val="nil"/>
              <w:right w:val="single" w:sz="4" w:space="0" w:color="auto"/>
            </w:tcBorders>
            <w:vAlign w:val="bottom"/>
          </w:tcPr>
          <w:p w14:paraId="3A818D56" w14:textId="77777777" w:rsidR="00A573B3" w:rsidRPr="004C2A59" w:rsidRDefault="00A573B3" w:rsidP="00C422EE">
            <w:pPr>
              <w:keepNext/>
              <w:widowControl w:val="0"/>
              <w:tabs>
                <w:tab w:val="left" w:pos="567"/>
              </w:tabs>
              <w:rPr>
                <w:sz w:val="22"/>
                <w:szCs w:val="22"/>
              </w:rPr>
            </w:pPr>
            <w:r w:rsidRPr="004C2A59">
              <w:rPr>
                <w:sz w:val="22"/>
                <w:szCs w:val="22"/>
              </w:rPr>
              <w:t>Lav</w:t>
            </w:r>
          </w:p>
        </w:tc>
        <w:tc>
          <w:tcPr>
            <w:tcW w:w="850" w:type="dxa"/>
            <w:tcBorders>
              <w:top w:val="nil"/>
              <w:left w:val="single" w:sz="4" w:space="0" w:color="auto"/>
              <w:bottom w:val="nil"/>
              <w:right w:val="single" w:sz="4" w:space="0" w:color="auto"/>
            </w:tcBorders>
            <w:vAlign w:val="bottom"/>
          </w:tcPr>
          <w:p w14:paraId="1717FC27" w14:textId="77777777" w:rsidR="00A573B3" w:rsidRPr="004C2A59" w:rsidRDefault="00A573B3" w:rsidP="00C422EE">
            <w:pPr>
              <w:keepNext/>
              <w:widowControl w:val="0"/>
              <w:tabs>
                <w:tab w:val="left" w:pos="567"/>
              </w:tabs>
              <w:jc w:val="center"/>
              <w:rPr>
                <w:sz w:val="22"/>
                <w:szCs w:val="22"/>
              </w:rPr>
            </w:pPr>
            <w:r w:rsidRPr="004C2A59">
              <w:rPr>
                <w:sz w:val="22"/>
                <w:szCs w:val="22"/>
              </w:rPr>
              <w:t>25,0</w:t>
            </w:r>
          </w:p>
        </w:tc>
        <w:tc>
          <w:tcPr>
            <w:tcW w:w="1910" w:type="dxa"/>
            <w:tcBorders>
              <w:top w:val="nil"/>
              <w:left w:val="single" w:sz="4" w:space="0" w:color="auto"/>
              <w:bottom w:val="nil"/>
              <w:right w:val="single" w:sz="4" w:space="0" w:color="auto"/>
            </w:tcBorders>
            <w:vAlign w:val="bottom"/>
          </w:tcPr>
          <w:p w14:paraId="0E312AD4" w14:textId="77777777" w:rsidR="00A573B3" w:rsidRPr="004C2A59" w:rsidRDefault="00A573B3" w:rsidP="00C422EE">
            <w:pPr>
              <w:keepNext/>
              <w:widowControl w:val="0"/>
              <w:tabs>
                <w:tab w:val="left" w:pos="567"/>
              </w:tabs>
              <w:rPr>
                <w:sz w:val="22"/>
                <w:szCs w:val="22"/>
              </w:rPr>
            </w:pPr>
            <w:r w:rsidRPr="004C2A59">
              <w:rPr>
                <w:sz w:val="22"/>
                <w:szCs w:val="22"/>
              </w:rPr>
              <w:t xml:space="preserve">2/70 </w:t>
            </w:r>
            <w:r w:rsidRPr="004C2A59">
              <w:rPr>
                <w:i/>
                <w:sz w:val="22"/>
                <w:szCs w:val="22"/>
              </w:rPr>
              <w:t>vs.</w:t>
            </w:r>
            <w:r w:rsidRPr="004C2A59">
              <w:rPr>
                <w:sz w:val="22"/>
                <w:szCs w:val="22"/>
              </w:rPr>
              <w:t xml:space="preserve"> 0/69</w:t>
            </w:r>
          </w:p>
        </w:tc>
        <w:tc>
          <w:tcPr>
            <w:tcW w:w="1800" w:type="dxa"/>
            <w:tcBorders>
              <w:top w:val="nil"/>
              <w:left w:val="single" w:sz="4" w:space="0" w:color="auto"/>
              <w:bottom w:val="nil"/>
              <w:right w:val="single" w:sz="4" w:space="0" w:color="auto"/>
            </w:tcBorders>
            <w:vAlign w:val="bottom"/>
          </w:tcPr>
          <w:p w14:paraId="0F44C582" w14:textId="77777777" w:rsidR="00A573B3" w:rsidRPr="004C2A59" w:rsidRDefault="00A573B3" w:rsidP="00C422EE">
            <w:pPr>
              <w:keepNext/>
              <w:widowControl w:val="0"/>
              <w:tabs>
                <w:tab w:val="left" w:pos="567"/>
              </w:tabs>
              <w:rPr>
                <w:sz w:val="22"/>
                <w:szCs w:val="22"/>
              </w:rPr>
            </w:pPr>
            <w:r w:rsidRPr="004C2A59">
              <w:rPr>
                <w:sz w:val="22"/>
                <w:szCs w:val="22"/>
              </w:rPr>
              <w:t>I.E.</w:t>
            </w:r>
          </w:p>
        </w:tc>
        <w:tc>
          <w:tcPr>
            <w:tcW w:w="1440" w:type="dxa"/>
            <w:tcBorders>
              <w:top w:val="nil"/>
              <w:left w:val="single" w:sz="4" w:space="0" w:color="auto"/>
              <w:bottom w:val="nil"/>
              <w:right w:val="single" w:sz="4" w:space="0" w:color="auto"/>
            </w:tcBorders>
            <w:vAlign w:val="bottom"/>
          </w:tcPr>
          <w:p w14:paraId="5C59D26F" w14:textId="77777777" w:rsidR="00A573B3" w:rsidRPr="004C2A59" w:rsidRDefault="00A573B3" w:rsidP="00C422EE">
            <w:pPr>
              <w:keepNext/>
              <w:widowControl w:val="0"/>
              <w:tabs>
                <w:tab w:val="left" w:pos="567"/>
              </w:tabs>
              <w:rPr>
                <w:sz w:val="22"/>
                <w:szCs w:val="22"/>
              </w:rPr>
            </w:pPr>
            <w:r w:rsidRPr="004C2A59">
              <w:rPr>
                <w:sz w:val="22"/>
                <w:szCs w:val="22"/>
              </w:rPr>
              <w:t xml:space="preserve">100 </w:t>
            </w:r>
            <w:r w:rsidRPr="004C2A59">
              <w:rPr>
                <w:i/>
                <w:sz w:val="22"/>
                <w:szCs w:val="22"/>
              </w:rPr>
              <w:t>vs.</w:t>
            </w:r>
            <w:r w:rsidRPr="004C2A59">
              <w:rPr>
                <w:sz w:val="22"/>
                <w:szCs w:val="22"/>
              </w:rPr>
              <w:t xml:space="preserve"> 100</w:t>
            </w:r>
          </w:p>
        </w:tc>
        <w:tc>
          <w:tcPr>
            <w:tcW w:w="1360" w:type="dxa"/>
            <w:tcBorders>
              <w:top w:val="nil"/>
              <w:left w:val="single" w:sz="4" w:space="0" w:color="auto"/>
              <w:bottom w:val="nil"/>
            </w:tcBorders>
            <w:vAlign w:val="bottom"/>
          </w:tcPr>
          <w:p w14:paraId="7CEACDBA" w14:textId="77777777" w:rsidR="00A573B3" w:rsidRPr="004C2A59" w:rsidRDefault="00A573B3" w:rsidP="00C422EE">
            <w:pPr>
              <w:keepNext/>
              <w:widowControl w:val="0"/>
              <w:tabs>
                <w:tab w:val="left" w:pos="567"/>
              </w:tabs>
              <w:rPr>
                <w:sz w:val="22"/>
                <w:szCs w:val="22"/>
              </w:rPr>
            </w:pPr>
            <w:r w:rsidRPr="004C2A59">
              <w:rPr>
                <w:sz w:val="22"/>
                <w:szCs w:val="22"/>
              </w:rPr>
              <w:t xml:space="preserve">97,8 </w:t>
            </w:r>
            <w:r w:rsidRPr="004C2A59">
              <w:rPr>
                <w:i/>
                <w:sz w:val="22"/>
                <w:szCs w:val="22"/>
              </w:rPr>
              <w:t>vs.</w:t>
            </w:r>
            <w:r w:rsidRPr="004C2A59">
              <w:rPr>
                <w:sz w:val="22"/>
                <w:szCs w:val="22"/>
              </w:rPr>
              <w:t xml:space="preserve"> 100</w:t>
            </w:r>
          </w:p>
        </w:tc>
      </w:tr>
      <w:tr w:rsidR="00A573B3" w:rsidRPr="004C2A59" w14:paraId="114BE5F0" w14:textId="77777777" w:rsidTr="00C422EE">
        <w:trPr>
          <w:cantSplit/>
        </w:trPr>
        <w:tc>
          <w:tcPr>
            <w:tcW w:w="1101" w:type="dxa"/>
            <w:vMerge/>
            <w:shd w:val="clear" w:color="auto" w:fill="auto"/>
          </w:tcPr>
          <w:p w14:paraId="6B94ECE1" w14:textId="77777777" w:rsidR="00A573B3" w:rsidRPr="004C2A59" w:rsidRDefault="00A573B3" w:rsidP="00C422EE">
            <w:pPr>
              <w:keepNext/>
              <w:widowControl w:val="0"/>
              <w:tabs>
                <w:tab w:val="left" w:pos="567"/>
              </w:tabs>
              <w:rPr>
                <w:b/>
                <w:sz w:val="22"/>
                <w:szCs w:val="22"/>
              </w:rPr>
            </w:pPr>
          </w:p>
        </w:tc>
        <w:tc>
          <w:tcPr>
            <w:tcW w:w="1559" w:type="dxa"/>
            <w:tcBorders>
              <w:top w:val="nil"/>
              <w:bottom w:val="nil"/>
              <w:right w:val="single" w:sz="4" w:space="0" w:color="auto"/>
            </w:tcBorders>
            <w:vAlign w:val="bottom"/>
          </w:tcPr>
          <w:p w14:paraId="4B506EC5" w14:textId="77777777" w:rsidR="00A573B3" w:rsidRPr="004C2A59" w:rsidRDefault="00A573B3" w:rsidP="00C422EE">
            <w:pPr>
              <w:keepNext/>
              <w:widowControl w:val="0"/>
              <w:tabs>
                <w:tab w:val="left" w:pos="567"/>
              </w:tabs>
              <w:rPr>
                <w:sz w:val="22"/>
                <w:szCs w:val="22"/>
              </w:rPr>
            </w:pPr>
            <w:r w:rsidRPr="004C2A59">
              <w:rPr>
                <w:sz w:val="22"/>
                <w:szCs w:val="22"/>
              </w:rPr>
              <w:t>Moderat</w:t>
            </w:r>
          </w:p>
        </w:tc>
        <w:tc>
          <w:tcPr>
            <w:tcW w:w="850" w:type="dxa"/>
            <w:tcBorders>
              <w:top w:val="nil"/>
              <w:left w:val="single" w:sz="4" w:space="0" w:color="auto"/>
              <w:bottom w:val="nil"/>
              <w:right w:val="single" w:sz="4" w:space="0" w:color="auto"/>
            </w:tcBorders>
            <w:vAlign w:val="bottom"/>
          </w:tcPr>
          <w:p w14:paraId="67B65F4B" w14:textId="77777777" w:rsidR="00A573B3" w:rsidRPr="004C2A59" w:rsidRDefault="00A573B3" w:rsidP="00C422EE">
            <w:pPr>
              <w:keepNext/>
              <w:widowControl w:val="0"/>
              <w:tabs>
                <w:tab w:val="left" w:pos="567"/>
              </w:tabs>
              <w:jc w:val="center"/>
              <w:rPr>
                <w:sz w:val="22"/>
                <w:szCs w:val="22"/>
              </w:rPr>
            </w:pPr>
            <w:r w:rsidRPr="004C2A59">
              <w:rPr>
                <w:sz w:val="22"/>
                <w:szCs w:val="22"/>
              </w:rPr>
              <w:t>24,6</w:t>
            </w:r>
          </w:p>
        </w:tc>
        <w:tc>
          <w:tcPr>
            <w:tcW w:w="1910" w:type="dxa"/>
            <w:tcBorders>
              <w:top w:val="nil"/>
              <w:left w:val="single" w:sz="4" w:space="0" w:color="auto"/>
              <w:bottom w:val="nil"/>
              <w:right w:val="single" w:sz="4" w:space="0" w:color="auto"/>
            </w:tcBorders>
            <w:vAlign w:val="bottom"/>
          </w:tcPr>
          <w:p w14:paraId="5A72B761" w14:textId="77777777" w:rsidR="00A573B3" w:rsidRPr="004C2A59" w:rsidRDefault="00A573B3" w:rsidP="00C422EE">
            <w:pPr>
              <w:keepNext/>
              <w:widowControl w:val="0"/>
              <w:tabs>
                <w:tab w:val="left" w:pos="567"/>
              </w:tabs>
              <w:rPr>
                <w:sz w:val="22"/>
                <w:szCs w:val="22"/>
              </w:rPr>
            </w:pPr>
            <w:r w:rsidRPr="004C2A59">
              <w:rPr>
                <w:sz w:val="22"/>
                <w:szCs w:val="22"/>
              </w:rPr>
              <w:t xml:space="preserve">2/70 </w:t>
            </w:r>
            <w:r w:rsidRPr="004C2A59">
              <w:rPr>
                <w:i/>
                <w:sz w:val="22"/>
                <w:szCs w:val="22"/>
              </w:rPr>
              <w:t>vs.</w:t>
            </w:r>
            <w:r w:rsidRPr="004C2A59">
              <w:rPr>
                <w:sz w:val="22"/>
                <w:szCs w:val="22"/>
              </w:rPr>
              <w:t xml:space="preserve"> 11/67</w:t>
            </w:r>
          </w:p>
        </w:tc>
        <w:tc>
          <w:tcPr>
            <w:tcW w:w="1800" w:type="dxa"/>
            <w:tcBorders>
              <w:top w:val="nil"/>
              <w:left w:val="single" w:sz="4" w:space="0" w:color="auto"/>
              <w:bottom w:val="nil"/>
              <w:right w:val="single" w:sz="4" w:space="0" w:color="auto"/>
            </w:tcBorders>
            <w:vAlign w:val="bottom"/>
          </w:tcPr>
          <w:p w14:paraId="7DF1FD18" w14:textId="77777777" w:rsidR="00A573B3" w:rsidRPr="004C2A59" w:rsidRDefault="00A573B3" w:rsidP="00C422EE">
            <w:pPr>
              <w:keepNext/>
              <w:widowControl w:val="0"/>
              <w:tabs>
                <w:tab w:val="left" w:pos="567"/>
              </w:tabs>
              <w:rPr>
                <w:sz w:val="22"/>
                <w:szCs w:val="22"/>
              </w:rPr>
            </w:pPr>
            <w:r w:rsidRPr="004C2A59">
              <w:rPr>
                <w:sz w:val="22"/>
                <w:szCs w:val="22"/>
              </w:rPr>
              <w:t>0,16 (0,03; 0,70)</w:t>
            </w:r>
          </w:p>
        </w:tc>
        <w:tc>
          <w:tcPr>
            <w:tcW w:w="1440" w:type="dxa"/>
            <w:tcBorders>
              <w:top w:val="nil"/>
              <w:left w:val="single" w:sz="4" w:space="0" w:color="auto"/>
              <w:bottom w:val="nil"/>
              <w:right w:val="single" w:sz="4" w:space="0" w:color="auto"/>
            </w:tcBorders>
            <w:vAlign w:val="bottom"/>
          </w:tcPr>
          <w:p w14:paraId="47878165" w14:textId="77777777" w:rsidR="00A573B3" w:rsidRPr="004C2A59" w:rsidRDefault="00A573B3" w:rsidP="00C422EE">
            <w:pPr>
              <w:keepNext/>
              <w:widowControl w:val="0"/>
              <w:tabs>
                <w:tab w:val="left" w:pos="567"/>
              </w:tabs>
              <w:rPr>
                <w:sz w:val="22"/>
                <w:szCs w:val="22"/>
              </w:rPr>
            </w:pPr>
            <w:r w:rsidRPr="004C2A59">
              <w:rPr>
                <w:sz w:val="22"/>
                <w:szCs w:val="22"/>
              </w:rPr>
              <w:t xml:space="preserve">97,9 </w:t>
            </w:r>
            <w:r w:rsidRPr="004C2A59">
              <w:rPr>
                <w:i/>
                <w:sz w:val="22"/>
                <w:szCs w:val="22"/>
              </w:rPr>
              <w:t>vs.</w:t>
            </w:r>
            <w:r w:rsidRPr="004C2A59">
              <w:rPr>
                <w:sz w:val="22"/>
                <w:szCs w:val="22"/>
              </w:rPr>
              <w:t xml:space="preserve"> 90,8</w:t>
            </w:r>
          </w:p>
        </w:tc>
        <w:tc>
          <w:tcPr>
            <w:tcW w:w="1360" w:type="dxa"/>
            <w:tcBorders>
              <w:top w:val="nil"/>
              <w:left w:val="single" w:sz="4" w:space="0" w:color="auto"/>
              <w:bottom w:val="nil"/>
            </w:tcBorders>
            <w:vAlign w:val="bottom"/>
          </w:tcPr>
          <w:p w14:paraId="347BED50" w14:textId="77777777" w:rsidR="00A573B3" w:rsidRPr="004C2A59" w:rsidRDefault="00A573B3" w:rsidP="00C422EE">
            <w:pPr>
              <w:keepNext/>
              <w:widowControl w:val="0"/>
              <w:tabs>
                <w:tab w:val="left" w:pos="567"/>
              </w:tabs>
              <w:rPr>
                <w:sz w:val="22"/>
                <w:szCs w:val="22"/>
              </w:rPr>
            </w:pPr>
            <w:r w:rsidRPr="004C2A59">
              <w:rPr>
                <w:sz w:val="22"/>
                <w:szCs w:val="22"/>
              </w:rPr>
              <w:t xml:space="preserve">97,9 </w:t>
            </w:r>
            <w:r w:rsidRPr="004C2A59">
              <w:rPr>
                <w:i/>
                <w:sz w:val="22"/>
                <w:szCs w:val="22"/>
              </w:rPr>
              <w:t>vs.</w:t>
            </w:r>
            <w:r w:rsidRPr="004C2A59">
              <w:rPr>
                <w:sz w:val="22"/>
                <w:szCs w:val="22"/>
              </w:rPr>
              <w:t xml:space="preserve"> 73,3</w:t>
            </w:r>
          </w:p>
        </w:tc>
      </w:tr>
      <w:tr w:rsidR="00A573B3" w:rsidRPr="004C2A59" w14:paraId="0789937C" w14:textId="77777777" w:rsidTr="00C422EE">
        <w:trPr>
          <w:cantSplit/>
        </w:trPr>
        <w:tc>
          <w:tcPr>
            <w:tcW w:w="1101" w:type="dxa"/>
            <w:vMerge/>
            <w:tcBorders>
              <w:bottom w:val="single" w:sz="4" w:space="0" w:color="auto"/>
            </w:tcBorders>
            <w:shd w:val="clear" w:color="auto" w:fill="auto"/>
          </w:tcPr>
          <w:p w14:paraId="27C0F3CB" w14:textId="77777777" w:rsidR="00A573B3" w:rsidRPr="004C2A59" w:rsidRDefault="00A573B3" w:rsidP="00C422EE">
            <w:pPr>
              <w:keepNext/>
              <w:widowControl w:val="0"/>
              <w:tabs>
                <w:tab w:val="left" w:pos="567"/>
              </w:tabs>
              <w:rPr>
                <w:sz w:val="22"/>
                <w:szCs w:val="22"/>
              </w:rPr>
            </w:pPr>
          </w:p>
        </w:tc>
        <w:tc>
          <w:tcPr>
            <w:tcW w:w="1559" w:type="dxa"/>
            <w:tcBorders>
              <w:top w:val="nil"/>
              <w:bottom w:val="single" w:sz="4" w:space="0" w:color="auto"/>
              <w:right w:val="single" w:sz="4" w:space="0" w:color="auto"/>
            </w:tcBorders>
            <w:vAlign w:val="bottom"/>
          </w:tcPr>
          <w:p w14:paraId="305570CA" w14:textId="77777777" w:rsidR="00A573B3" w:rsidRPr="004C2A59" w:rsidRDefault="00A573B3" w:rsidP="00C422EE">
            <w:pPr>
              <w:keepNext/>
              <w:widowControl w:val="0"/>
              <w:tabs>
                <w:tab w:val="left" w:pos="567"/>
              </w:tabs>
              <w:rPr>
                <w:sz w:val="22"/>
                <w:szCs w:val="22"/>
              </w:rPr>
            </w:pPr>
            <w:r w:rsidRPr="004C2A59">
              <w:rPr>
                <w:sz w:val="22"/>
                <w:szCs w:val="22"/>
              </w:rPr>
              <w:t>Høj</w:t>
            </w:r>
          </w:p>
        </w:tc>
        <w:tc>
          <w:tcPr>
            <w:tcW w:w="850" w:type="dxa"/>
            <w:tcBorders>
              <w:top w:val="nil"/>
              <w:left w:val="single" w:sz="4" w:space="0" w:color="auto"/>
              <w:bottom w:val="single" w:sz="4" w:space="0" w:color="auto"/>
              <w:right w:val="single" w:sz="4" w:space="0" w:color="auto"/>
            </w:tcBorders>
            <w:vAlign w:val="bottom"/>
          </w:tcPr>
          <w:p w14:paraId="58D4B825" w14:textId="77777777" w:rsidR="00A573B3" w:rsidRPr="004C2A59" w:rsidRDefault="00A573B3" w:rsidP="00C422EE">
            <w:pPr>
              <w:keepNext/>
              <w:widowControl w:val="0"/>
              <w:tabs>
                <w:tab w:val="left" w:pos="567"/>
              </w:tabs>
              <w:ind w:right="-3"/>
              <w:jc w:val="center"/>
              <w:rPr>
                <w:sz w:val="22"/>
                <w:szCs w:val="22"/>
              </w:rPr>
            </w:pPr>
            <w:r w:rsidRPr="004C2A59">
              <w:rPr>
                <w:sz w:val="22"/>
                <w:szCs w:val="22"/>
              </w:rPr>
              <w:t>29,7</w:t>
            </w:r>
          </w:p>
        </w:tc>
        <w:tc>
          <w:tcPr>
            <w:tcW w:w="1910" w:type="dxa"/>
            <w:tcBorders>
              <w:top w:val="nil"/>
              <w:left w:val="single" w:sz="4" w:space="0" w:color="auto"/>
              <w:bottom w:val="single" w:sz="4" w:space="0" w:color="auto"/>
              <w:right w:val="single" w:sz="4" w:space="0" w:color="auto"/>
            </w:tcBorders>
            <w:vAlign w:val="bottom"/>
          </w:tcPr>
          <w:p w14:paraId="73A93735" w14:textId="77777777" w:rsidR="00A573B3" w:rsidRPr="004C2A59" w:rsidRDefault="00A573B3" w:rsidP="00C422EE">
            <w:pPr>
              <w:keepNext/>
              <w:widowControl w:val="0"/>
              <w:tabs>
                <w:tab w:val="left" w:pos="567"/>
              </w:tabs>
              <w:rPr>
                <w:sz w:val="22"/>
                <w:szCs w:val="22"/>
              </w:rPr>
            </w:pPr>
            <w:r w:rsidRPr="004C2A59">
              <w:rPr>
                <w:sz w:val="22"/>
                <w:szCs w:val="22"/>
              </w:rPr>
              <w:t xml:space="preserve">16/84 </w:t>
            </w:r>
            <w:r w:rsidRPr="004C2A59">
              <w:rPr>
                <w:i/>
                <w:sz w:val="22"/>
                <w:szCs w:val="22"/>
              </w:rPr>
              <w:t>vs.</w:t>
            </w:r>
            <w:r w:rsidRPr="004C2A59">
              <w:rPr>
                <w:sz w:val="22"/>
                <w:szCs w:val="22"/>
              </w:rPr>
              <w:t xml:space="preserve"> 39/81</w:t>
            </w:r>
          </w:p>
        </w:tc>
        <w:tc>
          <w:tcPr>
            <w:tcW w:w="1800" w:type="dxa"/>
            <w:tcBorders>
              <w:top w:val="nil"/>
              <w:left w:val="single" w:sz="4" w:space="0" w:color="auto"/>
              <w:bottom w:val="single" w:sz="4" w:space="0" w:color="auto"/>
              <w:right w:val="single" w:sz="4" w:space="0" w:color="auto"/>
            </w:tcBorders>
            <w:vAlign w:val="bottom"/>
          </w:tcPr>
          <w:p w14:paraId="3DB7EF4E" w14:textId="77777777" w:rsidR="00A573B3" w:rsidRPr="004C2A59" w:rsidRDefault="00A573B3" w:rsidP="00C422EE">
            <w:pPr>
              <w:keepNext/>
              <w:widowControl w:val="0"/>
              <w:tabs>
                <w:tab w:val="left" w:pos="567"/>
              </w:tabs>
              <w:rPr>
                <w:sz w:val="22"/>
                <w:szCs w:val="22"/>
              </w:rPr>
            </w:pPr>
            <w:r w:rsidRPr="004C2A59">
              <w:rPr>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54645156" w14:textId="77777777" w:rsidR="00A573B3" w:rsidRPr="004C2A59" w:rsidRDefault="00A573B3" w:rsidP="00C422EE">
            <w:pPr>
              <w:keepNext/>
              <w:widowControl w:val="0"/>
              <w:tabs>
                <w:tab w:val="left" w:pos="567"/>
              </w:tabs>
              <w:rPr>
                <w:sz w:val="22"/>
                <w:szCs w:val="22"/>
              </w:rPr>
            </w:pPr>
            <w:r w:rsidRPr="004C2A59">
              <w:rPr>
                <w:sz w:val="22"/>
                <w:szCs w:val="22"/>
              </w:rPr>
              <w:t xml:space="preserve">98,7 </w:t>
            </w:r>
            <w:r w:rsidRPr="004C2A59">
              <w:rPr>
                <w:i/>
                <w:sz w:val="22"/>
                <w:szCs w:val="22"/>
              </w:rPr>
              <w:t>vs.</w:t>
            </w:r>
            <w:r w:rsidRPr="004C2A59">
              <w:rPr>
                <w:sz w:val="22"/>
                <w:szCs w:val="22"/>
              </w:rPr>
              <w:t xml:space="preserve"> 56,1</w:t>
            </w:r>
          </w:p>
        </w:tc>
        <w:tc>
          <w:tcPr>
            <w:tcW w:w="1360" w:type="dxa"/>
            <w:tcBorders>
              <w:top w:val="nil"/>
              <w:left w:val="single" w:sz="4" w:space="0" w:color="auto"/>
              <w:bottom w:val="single" w:sz="4" w:space="0" w:color="auto"/>
            </w:tcBorders>
            <w:vAlign w:val="bottom"/>
          </w:tcPr>
          <w:p w14:paraId="27912D74" w14:textId="77777777" w:rsidR="00A573B3" w:rsidRPr="004C2A59" w:rsidRDefault="00A573B3" w:rsidP="00C422EE">
            <w:pPr>
              <w:keepNext/>
              <w:widowControl w:val="0"/>
              <w:tabs>
                <w:tab w:val="left" w:pos="567"/>
              </w:tabs>
              <w:rPr>
                <w:sz w:val="22"/>
                <w:szCs w:val="22"/>
              </w:rPr>
            </w:pPr>
            <w:r w:rsidRPr="004C2A59">
              <w:rPr>
                <w:sz w:val="22"/>
                <w:szCs w:val="22"/>
              </w:rPr>
              <w:t xml:space="preserve">79,9 </w:t>
            </w:r>
            <w:r w:rsidRPr="004C2A59">
              <w:rPr>
                <w:i/>
                <w:sz w:val="22"/>
                <w:szCs w:val="22"/>
              </w:rPr>
              <w:t>vs.</w:t>
            </w:r>
            <w:r w:rsidRPr="004C2A59">
              <w:rPr>
                <w:sz w:val="22"/>
                <w:szCs w:val="22"/>
              </w:rPr>
              <w:t xml:space="preserve"> 41,5</w:t>
            </w:r>
          </w:p>
        </w:tc>
      </w:tr>
    </w:tbl>
    <w:p w14:paraId="43EBB571" w14:textId="77777777" w:rsidR="00A573B3" w:rsidRPr="004C2A59" w:rsidRDefault="00A573B3" w:rsidP="00421681">
      <w:pPr>
        <w:pStyle w:val="Text"/>
        <w:spacing w:before="0"/>
        <w:rPr>
          <w:sz w:val="22"/>
          <w:szCs w:val="22"/>
          <w:lang w:val="da-DK"/>
        </w:rPr>
      </w:pPr>
      <w:r w:rsidRPr="004C2A59">
        <w:rPr>
          <w:sz w:val="22"/>
          <w:szCs w:val="22"/>
          <w:lang w:val="da-DK"/>
        </w:rPr>
        <w:t>* Fuldstændig opfølgningsperiode; IE – Ikke estimerbar</w:t>
      </w:r>
    </w:p>
    <w:p w14:paraId="449C8F23" w14:textId="77777777" w:rsidR="00A573B3" w:rsidRPr="004C2A59" w:rsidRDefault="00A573B3" w:rsidP="00421681">
      <w:pPr>
        <w:pStyle w:val="Text"/>
        <w:spacing w:before="0"/>
        <w:rPr>
          <w:sz w:val="22"/>
          <w:szCs w:val="22"/>
          <w:lang w:val="da-DK"/>
        </w:rPr>
      </w:pPr>
    </w:p>
    <w:p w14:paraId="452BF872" w14:textId="77777777" w:rsidR="00A573B3" w:rsidRPr="004C2A59" w:rsidRDefault="00A573B3" w:rsidP="00421681">
      <w:pPr>
        <w:pStyle w:val="Text"/>
        <w:spacing w:before="0"/>
        <w:jc w:val="left"/>
        <w:rPr>
          <w:sz w:val="22"/>
          <w:szCs w:val="22"/>
          <w:lang w:val="da-DK"/>
        </w:rPr>
      </w:pPr>
      <w:r w:rsidRPr="004C2A59">
        <w:rPr>
          <w:sz w:val="22"/>
          <w:szCs w:val="22"/>
          <w:lang w:val="da-DK"/>
        </w:rPr>
        <w:t xml:space="preserve">Et andet multicenter, åbent fase-III-studie (SSG XVIII/AIO) sammenlignede 12 måneders behandling med Glivec 400 mg/dag </w:t>
      </w:r>
      <w:r w:rsidRPr="004C2A59">
        <w:rPr>
          <w:i/>
          <w:sz w:val="22"/>
          <w:szCs w:val="22"/>
          <w:lang w:val="da-DK"/>
        </w:rPr>
        <w:t>vs.</w:t>
      </w:r>
      <w:r w:rsidRPr="004C2A59">
        <w:rPr>
          <w:sz w:val="22"/>
          <w:szCs w:val="22"/>
          <w:lang w:val="da-DK"/>
        </w:rPr>
        <w:t xml:space="preserve"> 36 måneders behandling hos patienter efter kirurgisk resektion af GIST og en af følgende: tumordiameter &gt;5 cm og antal mitoser &gt;5/50 HPF (high power fields); eller tumordiameter &gt;10 cm og uanset antal mitoser; eller tumor af enhver størrelse med antal mitoser &gt;10/50 HPF; eller tumorer, der er bristet i bughulen. Der var i alt 397 patienter, der gav samtykke og blev randomiseret til studiet (199 patienter i 12 måneders armen og 198 patienter i 36 måneders armen), medianalderen var 61 år (interval fra 22 til 84 år). Mediantiden til follow-up var 54 måneder (fra dato for randomisering til data </w:t>
      </w:r>
      <w:r w:rsidRPr="004C2A59">
        <w:rPr>
          <w:i/>
          <w:sz w:val="22"/>
          <w:szCs w:val="22"/>
          <w:lang w:val="da-DK"/>
        </w:rPr>
        <w:t>cut-off</w:t>
      </w:r>
      <w:r w:rsidRPr="004C2A59">
        <w:rPr>
          <w:sz w:val="22"/>
          <w:szCs w:val="22"/>
          <w:lang w:val="da-DK"/>
        </w:rPr>
        <w:t xml:space="preserve">) med i alt 83 måneder mellem den første randomiserede patient og </w:t>
      </w:r>
      <w:r w:rsidRPr="004C2A59">
        <w:rPr>
          <w:i/>
          <w:sz w:val="22"/>
          <w:szCs w:val="22"/>
          <w:lang w:val="da-DK"/>
        </w:rPr>
        <w:t>cut-off</w:t>
      </w:r>
      <w:r w:rsidRPr="004C2A59">
        <w:rPr>
          <w:sz w:val="22"/>
          <w:szCs w:val="22"/>
          <w:lang w:val="da-DK"/>
        </w:rPr>
        <w:t xml:space="preserve"> datoen.</w:t>
      </w:r>
    </w:p>
    <w:p w14:paraId="42E7193C" w14:textId="77777777" w:rsidR="00A573B3" w:rsidRPr="004C2A59" w:rsidRDefault="00A573B3" w:rsidP="00421681">
      <w:pPr>
        <w:pStyle w:val="Text"/>
        <w:spacing w:before="0"/>
        <w:rPr>
          <w:sz w:val="22"/>
          <w:szCs w:val="22"/>
          <w:lang w:val="da-DK"/>
        </w:rPr>
      </w:pPr>
    </w:p>
    <w:p w14:paraId="36BFFB3F" w14:textId="77777777" w:rsidR="00A573B3" w:rsidRPr="004C2A59" w:rsidRDefault="00A573B3" w:rsidP="00421681">
      <w:pPr>
        <w:pStyle w:val="Text"/>
        <w:spacing w:before="0"/>
        <w:jc w:val="left"/>
        <w:rPr>
          <w:sz w:val="22"/>
          <w:szCs w:val="22"/>
          <w:lang w:val="da-DK"/>
        </w:rPr>
      </w:pPr>
      <w:r w:rsidRPr="004C2A59">
        <w:rPr>
          <w:sz w:val="22"/>
          <w:szCs w:val="22"/>
          <w:lang w:val="da-DK"/>
        </w:rPr>
        <w:t>Studiets primære endepunkt var recidivfri overlevelse (RFS), defineret som tiden fra randomisering til dato for tilbagefald eller død af enhver årsag.</w:t>
      </w:r>
    </w:p>
    <w:p w14:paraId="7E1681AA" w14:textId="77777777" w:rsidR="00A573B3" w:rsidRPr="004C2A59" w:rsidRDefault="00A573B3" w:rsidP="00421681">
      <w:pPr>
        <w:pStyle w:val="Text"/>
        <w:spacing w:before="0"/>
        <w:rPr>
          <w:sz w:val="22"/>
          <w:szCs w:val="22"/>
          <w:lang w:val="da-DK"/>
        </w:rPr>
      </w:pPr>
    </w:p>
    <w:p w14:paraId="40795889" w14:textId="77777777" w:rsidR="00A573B3" w:rsidRPr="004C2A59" w:rsidRDefault="00A573B3" w:rsidP="00421681">
      <w:pPr>
        <w:pStyle w:val="Text"/>
        <w:spacing w:before="0"/>
        <w:jc w:val="left"/>
        <w:rPr>
          <w:sz w:val="22"/>
          <w:szCs w:val="22"/>
          <w:lang w:val="da-DK"/>
        </w:rPr>
      </w:pPr>
      <w:r w:rsidRPr="004C2A59">
        <w:rPr>
          <w:sz w:val="22"/>
          <w:szCs w:val="22"/>
          <w:lang w:val="da-DK"/>
        </w:rPr>
        <w:t>Glivec-behandling i 36 måneder forlængede signifikant RFS sammenlignet med 12 måneders Glivec-behandling (samlet hazard ratio (HR) = 0,46 [0,32-0,65], p&lt;0,0001) (Tabel </w:t>
      </w:r>
      <w:r w:rsidR="00FD10C4" w:rsidRPr="004C2A59">
        <w:rPr>
          <w:sz w:val="22"/>
          <w:szCs w:val="22"/>
          <w:lang w:val="da-DK"/>
        </w:rPr>
        <w:t>8</w:t>
      </w:r>
      <w:r w:rsidRPr="004C2A59">
        <w:rPr>
          <w:sz w:val="22"/>
          <w:szCs w:val="22"/>
          <w:lang w:val="da-DK"/>
        </w:rPr>
        <w:t>, Figur 1).</w:t>
      </w:r>
    </w:p>
    <w:p w14:paraId="0A464A54" w14:textId="77777777" w:rsidR="00A573B3" w:rsidRPr="004C2A59" w:rsidRDefault="00A573B3" w:rsidP="00421681">
      <w:pPr>
        <w:pStyle w:val="Text"/>
        <w:spacing w:before="0"/>
        <w:jc w:val="left"/>
        <w:rPr>
          <w:sz w:val="22"/>
          <w:szCs w:val="22"/>
          <w:lang w:val="da-DK"/>
        </w:rPr>
      </w:pPr>
    </w:p>
    <w:p w14:paraId="459E21BA" w14:textId="77777777" w:rsidR="00A573B3" w:rsidRPr="004C2A59" w:rsidRDefault="00A573B3" w:rsidP="00421681">
      <w:pPr>
        <w:pStyle w:val="Text"/>
        <w:spacing w:before="0"/>
        <w:jc w:val="left"/>
        <w:rPr>
          <w:sz w:val="22"/>
          <w:szCs w:val="22"/>
          <w:lang w:val="da-DK"/>
        </w:rPr>
      </w:pPr>
      <w:r w:rsidRPr="004C2A59">
        <w:rPr>
          <w:sz w:val="22"/>
          <w:szCs w:val="22"/>
          <w:lang w:val="da-DK"/>
        </w:rPr>
        <w:t>Derudover forlængede 36 måneders Glivec-behandling signifikant den totale overlevelse (OS) sammenlignet med 12 måneders Glivec-behandling (HR = 0,45 [0,22-0,89], p = 0,0187) (Tabel </w:t>
      </w:r>
      <w:r w:rsidR="00FD10C4" w:rsidRPr="004C2A59">
        <w:rPr>
          <w:sz w:val="22"/>
          <w:szCs w:val="22"/>
          <w:lang w:val="da-DK"/>
        </w:rPr>
        <w:t>8</w:t>
      </w:r>
      <w:r w:rsidRPr="004C2A59">
        <w:rPr>
          <w:sz w:val="22"/>
          <w:szCs w:val="22"/>
          <w:lang w:val="da-DK"/>
        </w:rPr>
        <w:t>, Figur 2).</w:t>
      </w:r>
    </w:p>
    <w:p w14:paraId="5E80B2A9" w14:textId="77777777" w:rsidR="00A573B3" w:rsidRPr="004C2A59" w:rsidRDefault="00A573B3" w:rsidP="00421681">
      <w:pPr>
        <w:pStyle w:val="Text"/>
        <w:spacing w:before="0"/>
        <w:jc w:val="left"/>
        <w:rPr>
          <w:sz w:val="22"/>
          <w:szCs w:val="22"/>
          <w:lang w:val="da-DK"/>
        </w:rPr>
      </w:pPr>
    </w:p>
    <w:p w14:paraId="0A52F249" w14:textId="77777777" w:rsidR="00A573B3" w:rsidRPr="004C2A59" w:rsidRDefault="00A573B3" w:rsidP="00421681">
      <w:pPr>
        <w:pStyle w:val="Text"/>
        <w:spacing w:before="0"/>
        <w:jc w:val="left"/>
        <w:rPr>
          <w:sz w:val="22"/>
          <w:szCs w:val="22"/>
          <w:lang w:val="da-DK"/>
        </w:rPr>
      </w:pPr>
      <w:r w:rsidRPr="004C2A59">
        <w:rPr>
          <w:sz w:val="22"/>
          <w:szCs w:val="22"/>
          <w:lang w:val="da-DK"/>
        </w:rPr>
        <w:t>Længere behandlingsvarighed (&gt;36 måneder) kan muligvis forsinke yderligere tilbagefald. Det er dog fortsat uvist, hvilken indflydelse dette fund har på den totale overlevelse.</w:t>
      </w:r>
    </w:p>
    <w:p w14:paraId="2B259BC9" w14:textId="77777777" w:rsidR="00A573B3" w:rsidRPr="004C2A59" w:rsidRDefault="00A573B3" w:rsidP="00421681">
      <w:pPr>
        <w:pStyle w:val="Text"/>
        <w:spacing w:before="0"/>
        <w:jc w:val="left"/>
        <w:rPr>
          <w:sz w:val="22"/>
          <w:szCs w:val="22"/>
          <w:lang w:val="da-DK"/>
        </w:rPr>
      </w:pPr>
    </w:p>
    <w:p w14:paraId="5CD62983" w14:textId="77777777" w:rsidR="00A573B3" w:rsidRPr="004C2A59" w:rsidRDefault="00A573B3" w:rsidP="00421681">
      <w:pPr>
        <w:pStyle w:val="Text"/>
        <w:spacing w:before="0"/>
        <w:jc w:val="left"/>
        <w:rPr>
          <w:sz w:val="22"/>
          <w:szCs w:val="22"/>
          <w:lang w:val="da-DK"/>
        </w:rPr>
      </w:pPr>
      <w:r w:rsidRPr="004C2A59">
        <w:rPr>
          <w:sz w:val="22"/>
          <w:szCs w:val="22"/>
          <w:lang w:val="da-DK"/>
        </w:rPr>
        <w:t>Det totale antal dødsfald var 25 i 12 måneders behandlingsarmen og 12 i 36 måneders behandlingsarmen.</w:t>
      </w:r>
    </w:p>
    <w:p w14:paraId="1F0368F9" w14:textId="77777777" w:rsidR="00A573B3" w:rsidRPr="004C2A59" w:rsidRDefault="00A573B3" w:rsidP="00421681">
      <w:pPr>
        <w:pStyle w:val="Text"/>
        <w:spacing w:before="0"/>
        <w:jc w:val="left"/>
        <w:rPr>
          <w:sz w:val="22"/>
          <w:szCs w:val="22"/>
          <w:lang w:val="da-DK"/>
        </w:rPr>
      </w:pPr>
    </w:p>
    <w:p w14:paraId="60DEDEE3" w14:textId="77777777" w:rsidR="00A573B3" w:rsidRPr="004C2A59" w:rsidRDefault="00A573B3" w:rsidP="00421681">
      <w:pPr>
        <w:pStyle w:val="Text"/>
        <w:spacing w:before="0"/>
        <w:jc w:val="left"/>
        <w:rPr>
          <w:sz w:val="22"/>
          <w:szCs w:val="22"/>
          <w:lang w:val="da-DK"/>
        </w:rPr>
      </w:pPr>
      <w:r w:rsidRPr="004C2A59">
        <w:rPr>
          <w:sz w:val="22"/>
          <w:szCs w:val="22"/>
          <w:lang w:val="da-DK"/>
        </w:rPr>
        <w:t xml:space="preserve">Behandling med imatinib i 36 måneder var superior til behandling i 12 måneder i ITT-analysen, dvs. inklusive hele studiepopulationen. I en planlagt undergruppe-analyse af mutationstype var HR 0,35 </w:t>
      </w:r>
      <w:r w:rsidRPr="004C2A59">
        <w:rPr>
          <w:rFonts w:eastAsia="MS Mincho"/>
          <w:iCs/>
          <w:sz w:val="22"/>
          <w:szCs w:val="22"/>
          <w:lang w:val="da-DK" w:eastAsia="ja-JP"/>
        </w:rPr>
        <w:lastRenderedPageBreak/>
        <w:t>[95% konfidensinterval: 0,22-0,56]</w:t>
      </w:r>
      <w:r w:rsidRPr="004C2A59">
        <w:rPr>
          <w:sz w:val="22"/>
          <w:szCs w:val="22"/>
          <w:lang w:val="da-DK"/>
        </w:rPr>
        <w:t xml:space="preserve"> for RFS ved 36 måneders behandling af patienter med mutationer i exon 11. Der kan ikke drages nogle konklusioner for andre mindre almindelige mutations-undergrupper på grund af det lille antal observerede tilfælde.</w:t>
      </w:r>
    </w:p>
    <w:p w14:paraId="6119A0C6" w14:textId="77777777" w:rsidR="00A573B3" w:rsidRPr="004C2A59" w:rsidRDefault="00A573B3" w:rsidP="00421681">
      <w:pPr>
        <w:pStyle w:val="Text"/>
        <w:spacing w:before="0"/>
        <w:rPr>
          <w:sz w:val="22"/>
          <w:szCs w:val="22"/>
          <w:lang w:val="da-DK"/>
        </w:rPr>
      </w:pPr>
    </w:p>
    <w:p w14:paraId="2F39C4DE" w14:textId="77777777" w:rsidR="00A573B3" w:rsidRPr="004C2A59" w:rsidRDefault="00A573B3" w:rsidP="00C422EE">
      <w:pPr>
        <w:keepNext/>
        <w:ind w:left="1134" w:hanging="1134"/>
        <w:rPr>
          <w:rFonts w:eastAsia="MS Mincho"/>
          <w:b/>
          <w:sz w:val="22"/>
          <w:szCs w:val="22"/>
          <w:lang w:val="da-DK" w:eastAsia="ja-JP"/>
        </w:rPr>
      </w:pPr>
      <w:r w:rsidRPr="004C2A59">
        <w:rPr>
          <w:rFonts w:eastAsia="MS Mincho"/>
          <w:b/>
          <w:sz w:val="22"/>
          <w:szCs w:val="22"/>
          <w:lang w:val="da-DK"/>
        </w:rPr>
        <w:t>Tabel </w:t>
      </w:r>
      <w:r w:rsidR="00FD10C4" w:rsidRPr="004C2A59">
        <w:rPr>
          <w:rFonts w:eastAsia="MS Mincho"/>
          <w:b/>
          <w:sz w:val="22"/>
          <w:szCs w:val="22"/>
          <w:lang w:val="da-DK"/>
        </w:rPr>
        <w:t>8</w:t>
      </w:r>
      <w:r w:rsidRPr="004C2A59">
        <w:rPr>
          <w:rFonts w:eastAsia="MS Mincho"/>
          <w:sz w:val="22"/>
          <w:szCs w:val="22"/>
          <w:lang w:val="da-DK"/>
        </w:rPr>
        <w:tab/>
      </w:r>
      <w:r w:rsidRPr="004C2A59">
        <w:rPr>
          <w:rFonts w:eastAsia="MS Mincho"/>
          <w:b/>
          <w:sz w:val="22"/>
          <w:szCs w:val="22"/>
          <w:lang w:val="da-DK" w:eastAsia="ja-JP"/>
        </w:rPr>
        <w:t>12 måneders og 36 måneders Glivec-behandling (SSGXVIII/AIO forsøg)</w:t>
      </w:r>
    </w:p>
    <w:p w14:paraId="56423291" w14:textId="77777777" w:rsidR="00A573B3" w:rsidRPr="004C2A59" w:rsidRDefault="00A573B3" w:rsidP="00C422EE">
      <w:pPr>
        <w:keepNext/>
        <w:rPr>
          <w:rFonts w:eastAsia="MS Mincho"/>
          <w:sz w:val="22"/>
          <w:szCs w:val="22"/>
          <w:lang w:val="da-DK"/>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A573B3" w:rsidRPr="004C2A59" w14:paraId="7A238E8E" w14:textId="77777777" w:rsidTr="00C422EE">
        <w:trPr>
          <w:cantSplit/>
        </w:trPr>
        <w:tc>
          <w:tcPr>
            <w:tcW w:w="3099" w:type="dxa"/>
            <w:tcBorders>
              <w:top w:val="single" w:sz="4" w:space="0" w:color="auto"/>
              <w:bottom w:val="nil"/>
            </w:tcBorders>
            <w:shd w:val="clear" w:color="auto" w:fill="auto"/>
          </w:tcPr>
          <w:p w14:paraId="449ACE2D" w14:textId="77777777" w:rsidR="00A573B3" w:rsidRPr="004C2A59" w:rsidRDefault="00A573B3" w:rsidP="00C422EE">
            <w:pPr>
              <w:keepNext/>
              <w:tabs>
                <w:tab w:val="left" w:pos="284"/>
              </w:tabs>
              <w:rPr>
                <w:rFonts w:eastAsia="MS Mincho"/>
                <w:sz w:val="22"/>
                <w:szCs w:val="22"/>
                <w:lang w:val="da-DK"/>
              </w:rPr>
            </w:pPr>
          </w:p>
        </w:tc>
        <w:tc>
          <w:tcPr>
            <w:tcW w:w="3100" w:type="dxa"/>
            <w:tcBorders>
              <w:top w:val="single" w:sz="4" w:space="0" w:color="auto"/>
              <w:bottom w:val="nil"/>
            </w:tcBorders>
            <w:shd w:val="clear" w:color="auto" w:fill="auto"/>
          </w:tcPr>
          <w:p w14:paraId="01E4649A" w14:textId="77777777" w:rsidR="00A573B3" w:rsidRPr="004C2A59" w:rsidRDefault="00A573B3" w:rsidP="00C422EE">
            <w:pPr>
              <w:keepNext/>
              <w:tabs>
                <w:tab w:val="left" w:pos="284"/>
              </w:tabs>
              <w:rPr>
                <w:rFonts w:eastAsia="MS Mincho"/>
                <w:b/>
                <w:sz w:val="22"/>
                <w:szCs w:val="22"/>
              </w:rPr>
            </w:pPr>
            <w:r w:rsidRPr="004C2A59">
              <w:rPr>
                <w:rFonts w:eastAsia="MS Mincho"/>
                <w:b/>
                <w:sz w:val="22"/>
                <w:szCs w:val="22"/>
              </w:rPr>
              <w:t>12 måneders behandlingsarm</w:t>
            </w:r>
          </w:p>
        </w:tc>
        <w:tc>
          <w:tcPr>
            <w:tcW w:w="3100" w:type="dxa"/>
            <w:tcBorders>
              <w:top w:val="single" w:sz="4" w:space="0" w:color="auto"/>
              <w:bottom w:val="nil"/>
            </w:tcBorders>
            <w:shd w:val="clear" w:color="auto" w:fill="auto"/>
          </w:tcPr>
          <w:p w14:paraId="31F409AA" w14:textId="77777777" w:rsidR="00A573B3" w:rsidRPr="004C2A59" w:rsidRDefault="00A573B3" w:rsidP="00C422EE">
            <w:pPr>
              <w:keepNext/>
              <w:tabs>
                <w:tab w:val="left" w:pos="284"/>
              </w:tabs>
              <w:rPr>
                <w:rFonts w:eastAsia="MS Mincho"/>
                <w:b/>
                <w:sz w:val="22"/>
                <w:szCs w:val="22"/>
              </w:rPr>
            </w:pPr>
            <w:r w:rsidRPr="004C2A59">
              <w:rPr>
                <w:rFonts w:eastAsia="MS Mincho"/>
                <w:b/>
                <w:sz w:val="22"/>
                <w:szCs w:val="22"/>
              </w:rPr>
              <w:t>36 måneders behandlingsarm</w:t>
            </w:r>
          </w:p>
        </w:tc>
      </w:tr>
      <w:tr w:rsidR="00A573B3" w:rsidRPr="004C2A59" w14:paraId="4C034F4D" w14:textId="77777777" w:rsidTr="00C422EE">
        <w:trPr>
          <w:cantSplit/>
        </w:trPr>
        <w:tc>
          <w:tcPr>
            <w:tcW w:w="3099" w:type="dxa"/>
            <w:tcBorders>
              <w:top w:val="nil"/>
            </w:tcBorders>
            <w:shd w:val="clear" w:color="auto" w:fill="auto"/>
          </w:tcPr>
          <w:p w14:paraId="4120DF96" w14:textId="77777777" w:rsidR="00A573B3" w:rsidRPr="004C2A59" w:rsidRDefault="00A573B3" w:rsidP="00C422EE">
            <w:pPr>
              <w:keepNext/>
              <w:tabs>
                <w:tab w:val="left" w:pos="284"/>
              </w:tabs>
              <w:rPr>
                <w:rFonts w:eastAsia="MS Mincho"/>
                <w:b/>
                <w:sz w:val="22"/>
                <w:szCs w:val="22"/>
              </w:rPr>
            </w:pPr>
            <w:r w:rsidRPr="004C2A59">
              <w:rPr>
                <w:rFonts w:eastAsia="MS Mincho"/>
                <w:b/>
                <w:sz w:val="22"/>
                <w:szCs w:val="22"/>
              </w:rPr>
              <w:t>RFS</w:t>
            </w:r>
          </w:p>
        </w:tc>
        <w:tc>
          <w:tcPr>
            <w:tcW w:w="3100" w:type="dxa"/>
            <w:tcBorders>
              <w:top w:val="nil"/>
            </w:tcBorders>
            <w:shd w:val="clear" w:color="auto" w:fill="auto"/>
          </w:tcPr>
          <w:p w14:paraId="252E5D07" w14:textId="77777777" w:rsidR="00A573B3" w:rsidRPr="004C2A59" w:rsidRDefault="00A573B3" w:rsidP="00C422EE">
            <w:pPr>
              <w:keepNext/>
              <w:tabs>
                <w:tab w:val="left" w:pos="284"/>
              </w:tabs>
              <w:rPr>
                <w:rFonts w:eastAsia="MS Mincho"/>
                <w:b/>
                <w:sz w:val="22"/>
                <w:szCs w:val="22"/>
              </w:rPr>
            </w:pPr>
            <w:r w:rsidRPr="004C2A59">
              <w:rPr>
                <w:rFonts w:eastAsia="MS Mincho"/>
                <w:b/>
                <w:sz w:val="22"/>
                <w:szCs w:val="22"/>
              </w:rPr>
              <w:t>%(CI)</w:t>
            </w:r>
          </w:p>
        </w:tc>
        <w:tc>
          <w:tcPr>
            <w:tcW w:w="3100" w:type="dxa"/>
            <w:tcBorders>
              <w:top w:val="nil"/>
            </w:tcBorders>
            <w:shd w:val="clear" w:color="auto" w:fill="auto"/>
          </w:tcPr>
          <w:p w14:paraId="7EB39FB8" w14:textId="77777777" w:rsidR="00A573B3" w:rsidRPr="004C2A59" w:rsidRDefault="00A573B3" w:rsidP="00C422EE">
            <w:pPr>
              <w:keepNext/>
              <w:tabs>
                <w:tab w:val="left" w:pos="284"/>
              </w:tabs>
              <w:rPr>
                <w:rFonts w:eastAsia="MS Mincho"/>
                <w:b/>
                <w:sz w:val="22"/>
                <w:szCs w:val="22"/>
              </w:rPr>
            </w:pPr>
            <w:r w:rsidRPr="004C2A59">
              <w:rPr>
                <w:rFonts w:eastAsia="MS Mincho"/>
                <w:b/>
                <w:sz w:val="22"/>
                <w:szCs w:val="22"/>
              </w:rPr>
              <w:t>%(CI)</w:t>
            </w:r>
          </w:p>
        </w:tc>
      </w:tr>
      <w:tr w:rsidR="00A573B3" w:rsidRPr="004C2A59" w14:paraId="1CECFB7E" w14:textId="77777777" w:rsidTr="00C422EE">
        <w:trPr>
          <w:cantSplit/>
        </w:trPr>
        <w:tc>
          <w:tcPr>
            <w:tcW w:w="3099" w:type="dxa"/>
            <w:shd w:val="clear" w:color="auto" w:fill="auto"/>
          </w:tcPr>
          <w:p w14:paraId="360627BF" w14:textId="77777777" w:rsidR="00A573B3" w:rsidRPr="004C2A59" w:rsidRDefault="00A573B3" w:rsidP="00C422EE">
            <w:pPr>
              <w:keepNext/>
              <w:ind w:left="284"/>
              <w:rPr>
                <w:rFonts w:eastAsia="MS Mincho"/>
                <w:sz w:val="22"/>
                <w:szCs w:val="22"/>
              </w:rPr>
            </w:pPr>
            <w:r w:rsidRPr="004C2A59">
              <w:rPr>
                <w:rFonts w:eastAsia="MS Mincho"/>
                <w:sz w:val="22"/>
                <w:szCs w:val="22"/>
              </w:rPr>
              <w:t>12</w:t>
            </w:r>
            <w:r w:rsidRPr="004C2A59">
              <w:rPr>
                <w:rFonts w:eastAsia="MS Mincho"/>
                <w:sz w:val="22"/>
                <w:szCs w:val="22"/>
                <w:lang w:eastAsia="ja-JP"/>
              </w:rPr>
              <w:t> </w:t>
            </w:r>
            <w:r w:rsidRPr="004C2A59">
              <w:rPr>
                <w:rFonts w:eastAsia="MS Mincho"/>
                <w:sz w:val="22"/>
                <w:szCs w:val="22"/>
              </w:rPr>
              <w:t>måneder</w:t>
            </w:r>
          </w:p>
        </w:tc>
        <w:tc>
          <w:tcPr>
            <w:tcW w:w="3100" w:type="dxa"/>
            <w:shd w:val="clear" w:color="auto" w:fill="auto"/>
          </w:tcPr>
          <w:p w14:paraId="252F9E02" w14:textId="77777777" w:rsidR="00A573B3" w:rsidRPr="004C2A59" w:rsidRDefault="00A573B3" w:rsidP="00C422EE">
            <w:pPr>
              <w:keepNext/>
              <w:tabs>
                <w:tab w:val="left" w:pos="284"/>
              </w:tabs>
              <w:rPr>
                <w:rFonts w:eastAsia="MS Mincho"/>
                <w:sz w:val="22"/>
                <w:szCs w:val="22"/>
              </w:rPr>
            </w:pPr>
            <w:r w:rsidRPr="004C2A59">
              <w:rPr>
                <w:rFonts w:eastAsia="MS Mincho"/>
                <w:sz w:val="22"/>
                <w:szCs w:val="22"/>
              </w:rPr>
              <w:t>93,7 (89,2</w:t>
            </w:r>
            <w:r w:rsidRPr="004C2A59">
              <w:rPr>
                <w:rFonts w:eastAsia="MS Mincho"/>
                <w:sz w:val="22"/>
                <w:szCs w:val="22"/>
              </w:rPr>
              <w:noBreakHyphen/>
              <w:t>96,4)</w:t>
            </w:r>
          </w:p>
        </w:tc>
        <w:tc>
          <w:tcPr>
            <w:tcW w:w="3100" w:type="dxa"/>
            <w:shd w:val="clear" w:color="auto" w:fill="auto"/>
          </w:tcPr>
          <w:p w14:paraId="2ECD817A" w14:textId="77777777" w:rsidR="00A573B3" w:rsidRPr="004C2A59" w:rsidRDefault="00A573B3" w:rsidP="00C422EE">
            <w:pPr>
              <w:keepNext/>
              <w:tabs>
                <w:tab w:val="left" w:pos="284"/>
              </w:tabs>
              <w:rPr>
                <w:rFonts w:eastAsia="MS Mincho"/>
                <w:sz w:val="22"/>
                <w:szCs w:val="22"/>
              </w:rPr>
            </w:pPr>
            <w:r w:rsidRPr="004C2A59">
              <w:rPr>
                <w:rFonts w:eastAsia="MS Mincho"/>
                <w:sz w:val="22"/>
                <w:szCs w:val="22"/>
              </w:rPr>
              <w:t>95,9 (91,9</w:t>
            </w:r>
            <w:r w:rsidRPr="004C2A59">
              <w:rPr>
                <w:rFonts w:eastAsia="MS Mincho"/>
                <w:sz w:val="22"/>
                <w:szCs w:val="22"/>
              </w:rPr>
              <w:noBreakHyphen/>
              <w:t>97,9)</w:t>
            </w:r>
          </w:p>
        </w:tc>
      </w:tr>
      <w:tr w:rsidR="00A573B3" w:rsidRPr="004C2A59" w14:paraId="2550E517" w14:textId="77777777" w:rsidTr="00C422EE">
        <w:trPr>
          <w:cantSplit/>
        </w:trPr>
        <w:tc>
          <w:tcPr>
            <w:tcW w:w="3099" w:type="dxa"/>
            <w:shd w:val="clear" w:color="auto" w:fill="auto"/>
          </w:tcPr>
          <w:p w14:paraId="4A78BFE7" w14:textId="77777777" w:rsidR="00A573B3" w:rsidRPr="004C2A59" w:rsidRDefault="00A573B3" w:rsidP="00C422EE">
            <w:pPr>
              <w:keepNext/>
              <w:ind w:left="284"/>
              <w:rPr>
                <w:rFonts w:eastAsia="MS Mincho"/>
                <w:sz w:val="22"/>
                <w:szCs w:val="22"/>
              </w:rPr>
            </w:pPr>
            <w:r w:rsidRPr="004C2A59">
              <w:rPr>
                <w:rFonts w:eastAsia="MS Mincho"/>
                <w:sz w:val="22"/>
                <w:szCs w:val="22"/>
              </w:rPr>
              <w:t>24</w:t>
            </w:r>
            <w:r w:rsidRPr="004C2A59">
              <w:rPr>
                <w:rFonts w:eastAsia="MS Mincho"/>
                <w:sz w:val="22"/>
                <w:szCs w:val="22"/>
                <w:lang w:eastAsia="ja-JP"/>
              </w:rPr>
              <w:t> </w:t>
            </w:r>
            <w:r w:rsidRPr="004C2A59">
              <w:rPr>
                <w:rFonts w:eastAsia="MS Mincho"/>
                <w:sz w:val="22"/>
                <w:szCs w:val="22"/>
              </w:rPr>
              <w:t>måneder</w:t>
            </w:r>
          </w:p>
        </w:tc>
        <w:tc>
          <w:tcPr>
            <w:tcW w:w="3100" w:type="dxa"/>
            <w:shd w:val="clear" w:color="auto" w:fill="auto"/>
          </w:tcPr>
          <w:p w14:paraId="1566E46D" w14:textId="77777777" w:rsidR="00A573B3" w:rsidRPr="004C2A59" w:rsidRDefault="00A573B3" w:rsidP="00C422EE">
            <w:pPr>
              <w:keepNext/>
              <w:tabs>
                <w:tab w:val="left" w:pos="284"/>
              </w:tabs>
              <w:rPr>
                <w:rFonts w:eastAsia="MS Mincho"/>
                <w:sz w:val="22"/>
                <w:szCs w:val="22"/>
              </w:rPr>
            </w:pPr>
            <w:r w:rsidRPr="004C2A59">
              <w:rPr>
                <w:rFonts w:eastAsia="MS Mincho"/>
                <w:sz w:val="22"/>
                <w:szCs w:val="22"/>
              </w:rPr>
              <w:t>75,4 (68,6</w:t>
            </w:r>
            <w:r w:rsidRPr="004C2A59">
              <w:rPr>
                <w:rFonts w:eastAsia="MS Mincho"/>
                <w:sz w:val="22"/>
                <w:szCs w:val="22"/>
              </w:rPr>
              <w:noBreakHyphen/>
              <w:t>81,0)</w:t>
            </w:r>
          </w:p>
        </w:tc>
        <w:tc>
          <w:tcPr>
            <w:tcW w:w="3100" w:type="dxa"/>
            <w:shd w:val="clear" w:color="auto" w:fill="auto"/>
          </w:tcPr>
          <w:p w14:paraId="2755E578" w14:textId="77777777" w:rsidR="00A573B3" w:rsidRPr="004C2A59" w:rsidRDefault="00A573B3" w:rsidP="00C422EE">
            <w:pPr>
              <w:keepNext/>
              <w:tabs>
                <w:tab w:val="left" w:pos="284"/>
              </w:tabs>
              <w:rPr>
                <w:rFonts w:eastAsia="MS Mincho"/>
                <w:sz w:val="22"/>
                <w:szCs w:val="22"/>
              </w:rPr>
            </w:pPr>
            <w:r w:rsidRPr="004C2A59">
              <w:rPr>
                <w:rFonts w:eastAsia="MS Mincho"/>
                <w:sz w:val="22"/>
                <w:szCs w:val="22"/>
              </w:rPr>
              <w:t>90,7 (85,6</w:t>
            </w:r>
            <w:r w:rsidRPr="004C2A59">
              <w:rPr>
                <w:rFonts w:eastAsia="MS Mincho"/>
                <w:sz w:val="22"/>
                <w:szCs w:val="22"/>
              </w:rPr>
              <w:noBreakHyphen/>
              <w:t>94,0)</w:t>
            </w:r>
          </w:p>
        </w:tc>
      </w:tr>
      <w:tr w:rsidR="00A573B3" w:rsidRPr="004C2A59" w14:paraId="18DAD91E" w14:textId="77777777" w:rsidTr="00C422EE">
        <w:trPr>
          <w:cantSplit/>
        </w:trPr>
        <w:tc>
          <w:tcPr>
            <w:tcW w:w="3099" w:type="dxa"/>
            <w:shd w:val="clear" w:color="auto" w:fill="auto"/>
          </w:tcPr>
          <w:p w14:paraId="2B717B8C" w14:textId="77777777" w:rsidR="00A573B3" w:rsidRPr="004C2A59" w:rsidRDefault="00A573B3" w:rsidP="00C422EE">
            <w:pPr>
              <w:keepNext/>
              <w:ind w:left="284"/>
              <w:rPr>
                <w:rFonts w:eastAsia="MS Mincho"/>
                <w:sz w:val="22"/>
                <w:szCs w:val="22"/>
              </w:rPr>
            </w:pPr>
            <w:r w:rsidRPr="004C2A59">
              <w:rPr>
                <w:rFonts w:eastAsia="MS Mincho"/>
                <w:sz w:val="22"/>
                <w:szCs w:val="22"/>
              </w:rPr>
              <w:t>36</w:t>
            </w:r>
            <w:r w:rsidRPr="004C2A59">
              <w:rPr>
                <w:rFonts w:eastAsia="MS Mincho"/>
                <w:sz w:val="22"/>
                <w:szCs w:val="22"/>
                <w:lang w:eastAsia="ja-JP"/>
              </w:rPr>
              <w:t> </w:t>
            </w:r>
            <w:r w:rsidRPr="004C2A59">
              <w:rPr>
                <w:rFonts w:eastAsia="MS Mincho"/>
                <w:sz w:val="22"/>
                <w:szCs w:val="22"/>
              </w:rPr>
              <w:t>måneder</w:t>
            </w:r>
          </w:p>
        </w:tc>
        <w:tc>
          <w:tcPr>
            <w:tcW w:w="3100" w:type="dxa"/>
            <w:shd w:val="clear" w:color="auto" w:fill="auto"/>
          </w:tcPr>
          <w:p w14:paraId="3B9D7BAF" w14:textId="77777777" w:rsidR="00A573B3" w:rsidRPr="004C2A59" w:rsidRDefault="00A573B3" w:rsidP="00C422EE">
            <w:pPr>
              <w:keepNext/>
              <w:tabs>
                <w:tab w:val="left" w:pos="284"/>
              </w:tabs>
              <w:rPr>
                <w:rFonts w:eastAsia="MS Mincho"/>
                <w:sz w:val="22"/>
                <w:szCs w:val="22"/>
              </w:rPr>
            </w:pPr>
            <w:r w:rsidRPr="004C2A59">
              <w:rPr>
                <w:rFonts w:eastAsia="MS Mincho"/>
                <w:sz w:val="22"/>
                <w:szCs w:val="22"/>
              </w:rPr>
              <w:t>60,1 (52,5</w:t>
            </w:r>
            <w:r w:rsidRPr="004C2A59">
              <w:rPr>
                <w:rFonts w:eastAsia="MS Mincho"/>
                <w:sz w:val="22"/>
                <w:szCs w:val="22"/>
              </w:rPr>
              <w:noBreakHyphen/>
              <w:t>66,9)</w:t>
            </w:r>
          </w:p>
        </w:tc>
        <w:tc>
          <w:tcPr>
            <w:tcW w:w="3100" w:type="dxa"/>
            <w:shd w:val="clear" w:color="auto" w:fill="auto"/>
          </w:tcPr>
          <w:p w14:paraId="239EA98A" w14:textId="77777777" w:rsidR="00A573B3" w:rsidRPr="004C2A59" w:rsidRDefault="00A573B3" w:rsidP="00C422EE">
            <w:pPr>
              <w:keepNext/>
              <w:tabs>
                <w:tab w:val="left" w:pos="284"/>
              </w:tabs>
              <w:rPr>
                <w:rFonts w:eastAsia="MS Mincho"/>
                <w:sz w:val="22"/>
                <w:szCs w:val="22"/>
              </w:rPr>
            </w:pPr>
            <w:r w:rsidRPr="004C2A59">
              <w:rPr>
                <w:rFonts w:eastAsia="MS Mincho"/>
                <w:sz w:val="22"/>
                <w:szCs w:val="22"/>
              </w:rPr>
              <w:t>86,6 (80,8</w:t>
            </w:r>
            <w:r w:rsidRPr="004C2A59">
              <w:rPr>
                <w:rFonts w:eastAsia="MS Mincho"/>
                <w:sz w:val="22"/>
                <w:szCs w:val="22"/>
              </w:rPr>
              <w:noBreakHyphen/>
              <w:t>90,8)</w:t>
            </w:r>
          </w:p>
        </w:tc>
      </w:tr>
      <w:tr w:rsidR="00A573B3" w:rsidRPr="004C2A59" w14:paraId="17890447" w14:textId="77777777" w:rsidTr="00C422EE">
        <w:trPr>
          <w:cantSplit/>
        </w:trPr>
        <w:tc>
          <w:tcPr>
            <w:tcW w:w="3099" w:type="dxa"/>
            <w:shd w:val="clear" w:color="auto" w:fill="auto"/>
          </w:tcPr>
          <w:p w14:paraId="1EC82067" w14:textId="77777777" w:rsidR="00A573B3" w:rsidRPr="004C2A59" w:rsidRDefault="00A573B3" w:rsidP="00C422EE">
            <w:pPr>
              <w:keepNext/>
              <w:ind w:left="284"/>
              <w:rPr>
                <w:rFonts w:eastAsia="MS Mincho"/>
                <w:sz w:val="22"/>
                <w:szCs w:val="22"/>
              </w:rPr>
            </w:pPr>
            <w:r w:rsidRPr="004C2A59">
              <w:rPr>
                <w:rFonts w:eastAsia="MS Mincho"/>
                <w:sz w:val="22"/>
                <w:szCs w:val="22"/>
              </w:rPr>
              <w:t>48</w:t>
            </w:r>
            <w:r w:rsidRPr="004C2A59">
              <w:rPr>
                <w:rFonts w:eastAsia="MS Mincho"/>
                <w:sz w:val="22"/>
                <w:szCs w:val="22"/>
                <w:lang w:eastAsia="ja-JP"/>
              </w:rPr>
              <w:t> </w:t>
            </w:r>
            <w:r w:rsidRPr="004C2A59">
              <w:rPr>
                <w:rFonts w:eastAsia="MS Mincho"/>
                <w:sz w:val="22"/>
                <w:szCs w:val="22"/>
              </w:rPr>
              <w:t>måneder</w:t>
            </w:r>
          </w:p>
        </w:tc>
        <w:tc>
          <w:tcPr>
            <w:tcW w:w="3100" w:type="dxa"/>
            <w:shd w:val="clear" w:color="auto" w:fill="auto"/>
          </w:tcPr>
          <w:p w14:paraId="7E8FD459" w14:textId="77777777" w:rsidR="00A573B3" w:rsidRPr="004C2A59" w:rsidRDefault="00A573B3" w:rsidP="00C422EE">
            <w:pPr>
              <w:keepNext/>
              <w:tabs>
                <w:tab w:val="left" w:pos="284"/>
              </w:tabs>
              <w:rPr>
                <w:rFonts w:eastAsia="MS Mincho"/>
                <w:sz w:val="22"/>
                <w:szCs w:val="22"/>
              </w:rPr>
            </w:pPr>
            <w:r w:rsidRPr="004C2A59">
              <w:rPr>
                <w:rFonts w:eastAsia="MS Mincho"/>
                <w:sz w:val="22"/>
                <w:szCs w:val="22"/>
              </w:rPr>
              <w:t>52,3 (44,0</w:t>
            </w:r>
            <w:r w:rsidRPr="004C2A59">
              <w:rPr>
                <w:rFonts w:eastAsia="MS Mincho"/>
                <w:sz w:val="22"/>
                <w:szCs w:val="22"/>
              </w:rPr>
              <w:noBreakHyphen/>
              <w:t>59,8)</w:t>
            </w:r>
          </w:p>
        </w:tc>
        <w:tc>
          <w:tcPr>
            <w:tcW w:w="3100" w:type="dxa"/>
            <w:shd w:val="clear" w:color="auto" w:fill="auto"/>
          </w:tcPr>
          <w:p w14:paraId="6ED25EBA" w14:textId="77777777" w:rsidR="00A573B3" w:rsidRPr="004C2A59" w:rsidRDefault="00A573B3" w:rsidP="00C422EE">
            <w:pPr>
              <w:keepNext/>
              <w:tabs>
                <w:tab w:val="left" w:pos="284"/>
              </w:tabs>
              <w:rPr>
                <w:rFonts w:eastAsia="MS Mincho"/>
                <w:sz w:val="22"/>
                <w:szCs w:val="22"/>
              </w:rPr>
            </w:pPr>
            <w:r w:rsidRPr="004C2A59">
              <w:rPr>
                <w:rFonts w:eastAsia="MS Mincho"/>
                <w:sz w:val="22"/>
                <w:szCs w:val="22"/>
              </w:rPr>
              <w:t>78,3 (70,8</w:t>
            </w:r>
            <w:r w:rsidRPr="004C2A59">
              <w:rPr>
                <w:rFonts w:eastAsia="MS Mincho"/>
                <w:sz w:val="22"/>
                <w:szCs w:val="22"/>
              </w:rPr>
              <w:noBreakHyphen/>
              <w:t>84,1)</w:t>
            </w:r>
          </w:p>
        </w:tc>
      </w:tr>
      <w:tr w:rsidR="00A573B3" w:rsidRPr="004C2A59" w14:paraId="2305EBEA" w14:textId="77777777" w:rsidTr="00C422EE">
        <w:trPr>
          <w:cantSplit/>
        </w:trPr>
        <w:tc>
          <w:tcPr>
            <w:tcW w:w="3099" w:type="dxa"/>
            <w:shd w:val="clear" w:color="auto" w:fill="auto"/>
          </w:tcPr>
          <w:p w14:paraId="7E75D142" w14:textId="77777777" w:rsidR="00A573B3" w:rsidRPr="004C2A59" w:rsidRDefault="00A573B3" w:rsidP="00C422EE">
            <w:pPr>
              <w:keepNext/>
              <w:ind w:left="284"/>
              <w:rPr>
                <w:rFonts w:eastAsia="MS Mincho"/>
                <w:sz w:val="22"/>
                <w:szCs w:val="22"/>
              </w:rPr>
            </w:pPr>
            <w:r w:rsidRPr="004C2A59">
              <w:rPr>
                <w:rFonts w:eastAsia="MS Mincho"/>
                <w:sz w:val="22"/>
                <w:szCs w:val="22"/>
              </w:rPr>
              <w:t>60</w:t>
            </w:r>
            <w:r w:rsidRPr="004C2A59">
              <w:rPr>
                <w:rFonts w:eastAsia="MS Mincho"/>
                <w:sz w:val="22"/>
                <w:szCs w:val="22"/>
                <w:lang w:eastAsia="ja-JP"/>
              </w:rPr>
              <w:t> </w:t>
            </w:r>
            <w:r w:rsidRPr="004C2A59">
              <w:rPr>
                <w:rFonts w:eastAsia="MS Mincho"/>
                <w:sz w:val="22"/>
                <w:szCs w:val="22"/>
              </w:rPr>
              <w:t>måneder</w:t>
            </w:r>
          </w:p>
        </w:tc>
        <w:tc>
          <w:tcPr>
            <w:tcW w:w="3100" w:type="dxa"/>
            <w:shd w:val="clear" w:color="auto" w:fill="auto"/>
          </w:tcPr>
          <w:p w14:paraId="08E9DD65" w14:textId="77777777" w:rsidR="00A573B3" w:rsidRPr="004C2A59" w:rsidRDefault="00A573B3" w:rsidP="00C422EE">
            <w:pPr>
              <w:keepNext/>
              <w:tabs>
                <w:tab w:val="left" w:pos="284"/>
              </w:tabs>
              <w:rPr>
                <w:rFonts w:eastAsia="MS Mincho"/>
                <w:sz w:val="22"/>
                <w:szCs w:val="22"/>
              </w:rPr>
            </w:pPr>
            <w:r w:rsidRPr="004C2A59">
              <w:rPr>
                <w:rFonts w:eastAsia="MS Mincho"/>
                <w:sz w:val="22"/>
                <w:szCs w:val="22"/>
              </w:rPr>
              <w:t>47,9 (39,0</w:t>
            </w:r>
            <w:r w:rsidRPr="004C2A59">
              <w:rPr>
                <w:rFonts w:eastAsia="MS Mincho"/>
                <w:sz w:val="22"/>
                <w:szCs w:val="22"/>
              </w:rPr>
              <w:noBreakHyphen/>
              <w:t>56,3)</w:t>
            </w:r>
          </w:p>
        </w:tc>
        <w:tc>
          <w:tcPr>
            <w:tcW w:w="3100" w:type="dxa"/>
            <w:shd w:val="clear" w:color="auto" w:fill="auto"/>
          </w:tcPr>
          <w:p w14:paraId="0EDF2E75" w14:textId="77777777" w:rsidR="00A573B3" w:rsidRPr="004C2A59" w:rsidRDefault="00A573B3" w:rsidP="00C422EE">
            <w:pPr>
              <w:keepNext/>
              <w:tabs>
                <w:tab w:val="left" w:pos="284"/>
              </w:tabs>
              <w:rPr>
                <w:rFonts w:eastAsia="MS Mincho"/>
                <w:sz w:val="22"/>
                <w:szCs w:val="22"/>
              </w:rPr>
            </w:pPr>
            <w:r w:rsidRPr="004C2A59">
              <w:rPr>
                <w:rFonts w:eastAsia="MS Mincho"/>
                <w:sz w:val="22"/>
                <w:szCs w:val="22"/>
              </w:rPr>
              <w:t>65,6 (56,1</w:t>
            </w:r>
            <w:r w:rsidRPr="004C2A59">
              <w:rPr>
                <w:rFonts w:eastAsia="MS Mincho"/>
                <w:sz w:val="22"/>
                <w:szCs w:val="22"/>
              </w:rPr>
              <w:noBreakHyphen/>
              <w:t>73,4)</w:t>
            </w:r>
          </w:p>
        </w:tc>
      </w:tr>
      <w:tr w:rsidR="00A573B3" w:rsidRPr="004C2A59" w14:paraId="4886B4BA" w14:textId="77777777" w:rsidTr="00C422EE">
        <w:trPr>
          <w:cantSplit/>
        </w:trPr>
        <w:tc>
          <w:tcPr>
            <w:tcW w:w="3099" w:type="dxa"/>
            <w:shd w:val="clear" w:color="auto" w:fill="auto"/>
          </w:tcPr>
          <w:p w14:paraId="35382655" w14:textId="77777777" w:rsidR="00A573B3" w:rsidRPr="004C2A59" w:rsidRDefault="00A573B3" w:rsidP="00C422EE">
            <w:pPr>
              <w:keepNext/>
              <w:tabs>
                <w:tab w:val="left" w:pos="284"/>
              </w:tabs>
              <w:rPr>
                <w:rFonts w:eastAsia="MS Mincho"/>
                <w:b/>
                <w:sz w:val="22"/>
                <w:szCs w:val="22"/>
              </w:rPr>
            </w:pPr>
            <w:r w:rsidRPr="004C2A59">
              <w:rPr>
                <w:rFonts w:eastAsia="MS Mincho"/>
                <w:b/>
                <w:sz w:val="22"/>
                <w:szCs w:val="22"/>
              </w:rPr>
              <w:t>Overlevelse</w:t>
            </w:r>
          </w:p>
        </w:tc>
        <w:tc>
          <w:tcPr>
            <w:tcW w:w="3100" w:type="dxa"/>
            <w:shd w:val="clear" w:color="auto" w:fill="auto"/>
          </w:tcPr>
          <w:p w14:paraId="462358CE" w14:textId="77777777" w:rsidR="00A573B3" w:rsidRPr="004C2A59" w:rsidRDefault="00A573B3" w:rsidP="00C422EE">
            <w:pPr>
              <w:keepNext/>
              <w:tabs>
                <w:tab w:val="left" w:pos="284"/>
              </w:tabs>
              <w:rPr>
                <w:rFonts w:eastAsia="MS Mincho"/>
                <w:sz w:val="22"/>
                <w:szCs w:val="22"/>
              </w:rPr>
            </w:pPr>
          </w:p>
        </w:tc>
        <w:tc>
          <w:tcPr>
            <w:tcW w:w="3100" w:type="dxa"/>
            <w:shd w:val="clear" w:color="auto" w:fill="auto"/>
          </w:tcPr>
          <w:p w14:paraId="5512AD14" w14:textId="77777777" w:rsidR="00A573B3" w:rsidRPr="004C2A59" w:rsidRDefault="00A573B3" w:rsidP="00C422EE">
            <w:pPr>
              <w:keepNext/>
              <w:tabs>
                <w:tab w:val="left" w:pos="284"/>
              </w:tabs>
              <w:rPr>
                <w:rFonts w:eastAsia="MS Mincho"/>
                <w:sz w:val="22"/>
                <w:szCs w:val="22"/>
              </w:rPr>
            </w:pPr>
          </w:p>
        </w:tc>
      </w:tr>
      <w:tr w:rsidR="00A573B3" w:rsidRPr="004C2A59" w14:paraId="48D205A8" w14:textId="77777777" w:rsidTr="00C422EE">
        <w:trPr>
          <w:cantSplit/>
        </w:trPr>
        <w:tc>
          <w:tcPr>
            <w:tcW w:w="3099" w:type="dxa"/>
            <w:shd w:val="clear" w:color="auto" w:fill="auto"/>
          </w:tcPr>
          <w:p w14:paraId="72D022F4" w14:textId="77777777" w:rsidR="00A573B3" w:rsidRPr="004C2A59" w:rsidRDefault="00A573B3" w:rsidP="00C422EE">
            <w:pPr>
              <w:keepNext/>
              <w:ind w:left="284"/>
              <w:rPr>
                <w:rFonts w:eastAsia="MS Mincho"/>
                <w:sz w:val="22"/>
                <w:szCs w:val="22"/>
              </w:rPr>
            </w:pPr>
            <w:r w:rsidRPr="004C2A59">
              <w:rPr>
                <w:rFonts w:eastAsia="MS Mincho"/>
                <w:sz w:val="22"/>
                <w:szCs w:val="22"/>
              </w:rPr>
              <w:t>36</w:t>
            </w:r>
            <w:r w:rsidRPr="004C2A59">
              <w:rPr>
                <w:rFonts w:eastAsia="MS Mincho"/>
                <w:sz w:val="22"/>
                <w:szCs w:val="22"/>
                <w:lang w:eastAsia="ja-JP"/>
              </w:rPr>
              <w:t> </w:t>
            </w:r>
            <w:r w:rsidR="00C422EE">
              <w:rPr>
                <w:rFonts w:eastAsia="MS Mincho"/>
                <w:sz w:val="22"/>
                <w:szCs w:val="22"/>
              </w:rPr>
              <w:t>måneder</w:t>
            </w:r>
          </w:p>
        </w:tc>
        <w:tc>
          <w:tcPr>
            <w:tcW w:w="3100" w:type="dxa"/>
            <w:shd w:val="clear" w:color="auto" w:fill="auto"/>
          </w:tcPr>
          <w:p w14:paraId="35D9CD3F" w14:textId="77777777" w:rsidR="00A573B3" w:rsidRPr="004C2A59" w:rsidRDefault="00A573B3" w:rsidP="00C422EE">
            <w:pPr>
              <w:keepNext/>
              <w:tabs>
                <w:tab w:val="left" w:pos="284"/>
              </w:tabs>
              <w:rPr>
                <w:rFonts w:eastAsia="MS Mincho"/>
                <w:sz w:val="22"/>
                <w:szCs w:val="22"/>
              </w:rPr>
            </w:pPr>
            <w:r w:rsidRPr="004C2A59">
              <w:rPr>
                <w:rFonts w:eastAsia="MS Mincho"/>
                <w:sz w:val="22"/>
                <w:szCs w:val="22"/>
              </w:rPr>
              <w:t>94,0 (89,5</w:t>
            </w:r>
            <w:r w:rsidRPr="004C2A59">
              <w:rPr>
                <w:rFonts w:eastAsia="MS Mincho"/>
                <w:sz w:val="22"/>
                <w:szCs w:val="22"/>
              </w:rPr>
              <w:noBreakHyphen/>
              <w:t>96,7)</w:t>
            </w:r>
          </w:p>
        </w:tc>
        <w:tc>
          <w:tcPr>
            <w:tcW w:w="3100" w:type="dxa"/>
            <w:shd w:val="clear" w:color="auto" w:fill="auto"/>
          </w:tcPr>
          <w:p w14:paraId="7FA3C539" w14:textId="77777777" w:rsidR="00A573B3" w:rsidRPr="004C2A59" w:rsidRDefault="00A573B3" w:rsidP="00C422EE">
            <w:pPr>
              <w:keepNext/>
              <w:tabs>
                <w:tab w:val="left" w:pos="284"/>
              </w:tabs>
              <w:rPr>
                <w:rFonts w:eastAsia="MS Mincho"/>
                <w:sz w:val="22"/>
                <w:szCs w:val="22"/>
              </w:rPr>
            </w:pPr>
            <w:r w:rsidRPr="004C2A59">
              <w:rPr>
                <w:rFonts w:eastAsia="MS Mincho"/>
                <w:sz w:val="22"/>
                <w:szCs w:val="22"/>
              </w:rPr>
              <w:t>96,3 (92,4</w:t>
            </w:r>
            <w:r w:rsidRPr="004C2A59">
              <w:rPr>
                <w:rFonts w:eastAsia="MS Mincho"/>
                <w:sz w:val="22"/>
                <w:szCs w:val="22"/>
              </w:rPr>
              <w:noBreakHyphen/>
              <w:t>98,2)</w:t>
            </w:r>
          </w:p>
        </w:tc>
      </w:tr>
      <w:tr w:rsidR="00A573B3" w:rsidRPr="004C2A59" w14:paraId="3CB69ABC" w14:textId="77777777" w:rsidTr="00C422EE">
        <w:trPr>
          <w:cantSplit/>
        </w:trPr>
        <w:tc>
          <w:tcPr>
            <w:tcW w:w="3099" w:type="dxa"/>
            <w:shd w:val="clear" w:color="auto" w:fill="auto"/>
          </w:tcPr>
          <w:p w14:paraId="3C2FD1E0" w14:textId="77777777" w:rsidR="00A573B3" w:rsidRPr="004C2A59" w:rsidRDefault="00A573B3" w:rsidP="00C422EE">
            <w:pPr>
              <w:keepNext/>
              <w:ind w:left="284"/>
              <w:rPr>
                <w:rFonts w:eastAsia="MS Mincho"/>
                <w:sz w:val="22"/>
                <w:szCs w:val="22"/>
              </w:rPr>
            </w:pPr>
            <w:r w:rsidRPr="004C2A59">
              <w:rPr>
                <w:rFonts w:eastAsia="MS Mincho"/>
                <w:sz w:val="22"/>
                <w:szCs w:val="22"/>
              </w:rPr>
              <w:t>48</w:t>
            </w:r>
            <w:r w:rsidRPr="004C2A59">
              <w:rPr>
                <w:rFonts w:eastAsia="MS Mincho"/>
                <w:sz w:val="22"/>
                <w:szCs w:val="22"/>
                <w:lang w:eastAsia="ja-JP"/>
              </w:rPr>
              <w:t> </w:t>
            </w:r>
            <w:r w:rsidRPr="004C2A59">
              <w:rPr>
                <w:rFonts w:eastAsia="MS Mincho"/>
                <w:sz w:val="22"/>
                <w:szCs w:val="22"/>
              </w:rPr>
              <w:t>måneder</w:t>
            </w:r>
          </w:p>
        </w:tc>
        <w:tc>
          <w:tcPr>
            <w:tcW w:w="3100" w:type="dxa"/>
            <w:shd w:val="clear" w:color="auto" w:fill="auto"/>
          </w:tcPr>
          <w:p w14:paraId="11936208" w14:textId="77777777" w:rsidR="00A573B3" w:rsidRPr="004C2A59" w:rsidRDefault="00A573B3" w:rsidP="00C422EE">
            <w:pPr>
              <w:keepNext/>
              <w:tabs>
                <w:tab w:val="left" w:pos="284"/>
              </w:tabs>
              <w:rPr>
                <w:rFonts w:eastAsia="MS Mincho"/>
                <w:sz w:val="22"/>
                <w:szCs w:val="22"/>
              </w:rPr>
            </w:pPr>
            <w:r w:rsidRPr="004C2A59">
              <w:rPr>
                <w:rFonts w:eastAsia="MS Mincho"/>
                <w:sz w:val="22"/>
                <w:szCs w:val="22"/>
              </w:rPr>
              <w:t>87,9 (81,1</w:t>
            </w:r>
            <w:r w:rsidRPr="004C2A59">
              <w:rPr>
                <w:rFonts w:eastAsia="MS Mincho"/>
                <w:sz w:val="22"/>
                <w:szCs w:val="22"/>
              </w:rPr>
              <w:noBreakHyphen/>
              <w:t>92,3)</w:t>
            </w:r>
          </w:p>
        </w:tc>
        <w:tc>
          <w:tcPr>
            <w:tcW w:w="3100" w:type="dxa"/>
            <w:shd w:val="clear" w:color="auto" w:fill="auto"/>
          </w:tcPr>
          <w:p w14:paraId="5E2496B6" w14:textId="77777777" w:rsidR="00A573B3" w:rsidRPr="004C2A59" w:rsidRDefault="00A573B3" w:rsidP="00C422EE">
            <w:pPr>
              <w:keepNext/>
              <w:tabs>
                <w:tab w:val="left" w:pos="284"/>
              </w:tabs>
              <w:rPr>
                <w:rFonts w:eastAsia="MS Mincho"/>
                <w:sz w:val="22"/>
                <w:szCs w:val="22"/>
              </w:rPr>
            </w:pPr>
            <w:r w:rsidRPr="004C2A59">
              <w:rPr>
                <w:rFonts w:eastAsia="MS Mincho"/>
                <w:sz w:val="22"/>
                <w:szCs w:val="22"/>
              </w:rPr>
              <w:t>95,6 (91,2</w:t>
            </w:r>
            <w:r w:rsidRPr="004C2A59">
              <w:rPr>
                <w:rFonts w:eastAsia="MS Mincho"/>
                <w:sz w:val="22"/>
                <w:szCs w:val="22"/>
              </w:rPr>
              <w:noBreakHyphen/>
              <w:t>97,8)</w:t>
            </w:r>
          </w:p>
        </w:tc>
      </w:tr>
      <w:tr w:rsidR="00A573B3" w:rsidRPr="004C2A59" w14:paraId="3F14A9ED" w14:textId="77777777" w:rsidTr="00C422EE">
        <w:trPr>
          <w:cantSplit/>
        </w:trPr>
        <w:tc>
          <w:tcPr>
            <w:tcW w:w="3099" w:type="dxa"/>
            <w:shd w:val="clear" w:color="auto" w:fill="auto"/>
          </w:tcPr>
          <w:p w14:paraId="445AF73D" w14:textId="77777777" w:rsidR="00A573B3" w:rsidRPr="004C2A59" w:rsidRDefault="00A573B3" w:rsidP="00C422EE">
            <w:pPr>
              <w:ind w:left="284"/>
              <w:rPr>
                <w:rFonts w:eastAsia="MS Mincho"/>
                <w:sz w:val="22"/>
                <w:szCs w:val="22"/>
              </w:rPr>
            </w:pPr>
            <w:r w:rsidRPr="004C2A59">
              <w:rPr>
                <w:rFonts w:eastAsia="MS Mincho"/>
                <w:sz w:val="22"/>
                <w:szCs w:val="22"/>
              </w:rPr>
              <w:t>60</w:t>
            </w:r>
            <w:r w:rsidRPr="004C2A59">
              <w:rPr>
                <w:rFonts w:eastAsia="MS Mincho"/>
                <w:sz w:val="22"/>
                <w:szCs w:val="22"/>
                <w:lang w:eastAsia="ja-JP"/>
              </w:rPr>
              <w:t> </w:t>
            </w:r>
            <w:r w:rsidRPr="004C2A59">
              <w:rPr>
                <w:rFonts w:eastAsia="MS Mincho"/>
                <w:sz w:val="22"/>
                <w:szCs w:val="22"/>
              </w:rPr>
              <w:t>måneder</w:t>
            </w:r>
          </w:p>
        </w:tc>
        <w:tc>
          <w:tcPr>
            <w:tcW w:w="3100" w:type="dxa"/>
            <w:shd w:val="clear" w:color="auto" w:fill="auto"/>
          </w:tcPr>
          <w:p w14:paraId="70CBA9F0" w14:textId="77777777" w:rsidR="00A573B3" w:rsidRPr="004C2A59" w:rsidRDefault="00A573B3" w:rsidP="00C422EE">
            <w:pPr>
              <w:tabs>
                <w:tab w:val="left" w:pos="284"/>
              </w:tabs>
              <w:rPr>
                <w:rFonts w:eastAsia="MS Mincho"/>
                <w:sz w:val="22"/>
                <w:szCs w:val="22"/>
              </w:rPr>
            </w:pPr>
            <w:r w:rsidRPr="004C2A59">
              <w:rPr>
                <w:rFonts w:eastAsia="MS Mincho"/>
                <w:sz w:val="22"/>
                <w:szCs w:val="22"/>
              </w:rPr>
              <w:t>81,7 (73,0</w:t>
            </w:r>
            <w:r w:rsidRPr="004C2A59">
              <w:rPr>
                <w:rFonts w:eastAsia="MS Mincho"/>
                <w:sz w:val="22"/>
                <w:szCs w:val="22"/>
              </w:rPr>
              <w:noBreakHyphen/>
              <w:t>87,8)</w:t>
            </w:r>
          </w:p>
        </w:tc>
        <w:tc>
          <w:tcPr>
            <w:tcW w:w="3100" w:type="dxa"/>
            <w:shd w:val="clear" w:color="auto" w:fill="auto"/>
          </w:tcPr>
          <w:p w14:paraId="504340AA" w14:textId="77777777" w:rsidR="00A573B3" w:rsidRPr="004C2A59" w:rsidRDefault="00A573B3" w:rsidP="00C422EE">
            <w:pPr>
              <w:tabs>
                <w:tab w:val="left" w:pos="284"/>
              </w:tabs>
              <w:rPr>
                <w:rFonts w:eastAsia="MS Mincho"/>
                <w:sz w:val="22"/>
                <w:szCs w:val="22"/>
              </w:rPr>
            </w:pPr>
            <w:r w:rsidRPr="004C2A59">
              <w:rPr>
                <w:rFonts w:eastAsia="MS Mincho"/>
                <w:sz w:val="22"/>
                <w:szCs w:val="22"/>
              </w:rPr>
              <w:t>92,0 (85,3</w:t>
            </w:r>
            <w:r w:rsidRPr="004C2A59">
              <w:rPr>
                <w:rFonts w:eastAsia="MS Mincho"/>
                <w:sz w:val="22"/>
                <w:szCs w:val="22"/>
              </w:rPr>
              <w:noBreakHyphen/>
              <w:t>95,7)</w:t>
            </w:r>
          </w:p>
        </w:tc>
      </w:tr>
    </w:tbl>
    <w:p w14:paraId="16C7BFB8" w14:textId="77777777" w:rsidR="00A573B3" w:rsidRPr="004C2A59" w:rsidRDefault="00A573B3" w:rsidP="00421681">
      <w:pPr>
        <w:rPr>
          <w:rFonts w:eastAsia="MS Mincho"/>
          <w:sz w:val="22"/>
          <w:szCs w:val="22"/>
        </w:rPr>
      </w:pPr>
    </w:p>
    <w:p w14:paraId="0812A86D" w14:textId="77777777" w:rsidR="00A573B3" w:rsidRPr="00F852D1" w:rsidRDefault="00127CCC" w:rsidP="00421681">
      <w:pPr>
        <w:keepNext/>
        <w:tabs>
          <w:tab w:val="left" w:pos="1134"/>
        </w:tabs>
        <w:ind w:left="1134" w:hanging="1134"/>
        <w:outlineLvl w:val="6"/>
        <w:rPr>
          <w:rFonts w:eastAsia="MS Mincho"/>
          <w:b/>
          <w:sz w:val="22"/>
          <w:szCs w:val="22"/>
          <w:lang w:val="nb-NO"/>
        </w:rPr>
      </w:pPr>
      <w:r w:rsidRPr="004C2A59">
        <w:rPr>
          <w:noProof/>
          <w:lang w:val="en-GB" w:eastAsia="en-GB"/>
        </w:rPr>
        <mc:AlternateContent>
          <mc:Choice Requires="wps">
            <w:drawing>
              <wp:anchor distT="0" distB="0" distL="114300" distR="114300" simplePos="0" relativeHeight="251658240" behindDoc="0" locked="0" layoutInCell="1" allowOverlap="1" wp14:anchorId="59B86861" wp14:editId="128926CF">
                <wp:simplePos x="0" y="0"/>
                <wp:positionH relativeFrom="column">
                  <wp:posOffset>-302895</wp:posOffset>
                </wp:positionH>
                <wp:positionV relativeFrom="paragraph">
                  <wp:posOffset>146685</wp:posOffset>
                </wp:positionV>
                <wp:extent cx="335915" cy="29464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25EAF" w14:textId="77777777" w:rsidR="00DA2798" w:rsidRPr="00A33DBA" w:rsidRDefault="00DA2798" w:rsidP="00A573B3">
                            <w:pPr>
                              <w:rPr>
                                <w:rFonts w:ascii="Arial" w:hAnsi="Arial" w:cs="Arial"/>
                              </w:rPr>
                            </w:pPr>
                            <w:r>
                              <w:rPr>
                                <w:rFonts w:ascii="Arial" w:hAnsi="Arial" w:cs="Arial"/>
                              </w:rPr>
                              <w:t>Sandsynlighed for recidivfri overlevelse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B86861" id="_x0000_s1032" type="#_x0000_t202" style="position:absolute;left:0;text-align:left;margin-left:-23.85pt;margin-top:11.55pt;width:26.45pt;height:2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" stroked="f">
                <v:fill opacity="0"/>
                <v:textbox style="layout-flow:vertical;mso-layout-flow-alt:bottom-to-top">
                  <w:txbxContent>
                    <w:p w14:paraId="44425EAF" w14:textId="77777777" w:rsidR="00DA2798" w:rsidRPr="00A33DBA" w:rsidRDefault="00DA2798" w:rsidP="00A573B3">
                      <w:pPr>
                        <w:rPr>
                          <w:rFonts w:ascii="Arial" w:hAnsi="Arial" w:cs="Arial"/>
                        </w:rPr>
                      </w:pPr>
                      <w:r>
                        <w:rPr>
                          <w:rFonts w:ascii="Arial" w:hAnsi="Arial" w:cs="Arial"/>
                        </w:rPr>
                        <w:t>Sandsynlighed for recidivfri overlevelse</w:t>
                      </w:r>
                    </w:p>
                  </w:txbxContent>
                </v:textbox>
              </v:shape>
            </w:pict>
          </mc:Fallback>
        </mc:AlternateContent>
      </w:r>
      <w:r w:rsidR="00A573B3" w:rsidRPr="00F852D1">
        <w:rPr>
          <w:rFonts w:eastAsia="MS Mincho"/>
          <w:b/>
          <w:sz w:val="22"/>
          <w:szCs w:val="22"/>
          <w:lang w:val="nb-NO"/>
        </w:rPr>
        <w:t>Figur 1</w:t>
      </w:r>
      <w:r w:rsidR="00A573B3" w:rsidRPr="00F852D1">
        <w:rPr>
          <w:rFonts w:eastAsia="MS Mincho"/>
          <w:b/>
          <w:sz w:val="22"/>
          <w:szCs w:val="22"/>
          <w:lang w:val="nb-NO"/>
        </w:rPr>
        <w:tab/>
        <w:t>Kaplan-Meier-endepunkts-estimater for primær recidivfri overlevelse (ITT-population)</w:t>
      </w:r>
    </w:p>
    <w:p w14:paraId="4ED40203" w14:textId="77777777" w:rsidR="00A573B3" w:rsidRPr="00F852D1" w:rsidRDefault="00A573B3" w:rsidP="00421681">
      <w:pPr>
        <w:keepNext/>
        <w:widowControl w:val="0"/>
        <w:rPr>
          <w:noProof/>
          <w:sz w:val="22"/>
          <w:szCs w:val="22"/>
          <w:lang w:val="nb-NO"/>
        </w:rPr>
      </w:pPr>
    </w:p>
    <w:p w14:paraId="365E1192" w14:textId="77777777" w:rsidR="00A573B3" w:rsidRPr="004C2A59" w:rsidRDefault="00127CCC" w:rsidP="00421681">
      <w:pPr>
        <w:rPr>
          <w:noProof/>
          <w:sz w:val="22"/>
          <w:szCs w:val="22"/>
        </w:rPr>
      </w:pPr>
      <w:r w:rsidRPr="004C2A59">
        <w:rPr>
          <w:noProof/>
          <w:lang w:val="en-GB" w:eastAsia="en-GB"/>
        </w:rPr>
        <mc:AlternateContent>
          <mc:Choice Requires="wps">
            <w:drawing>
              <wp:anchor distT="0" distB="0" distL="114300" distR="114300" simplePos="0" relativeHeight="251659264" behindDoc="0" locked="0" layoutInCell="1" allowOverlap="1" wp14:anchorId="32A2974F" wp14:editId="22938FD0">
                <wp:simplePos x="0" y="0"/>
                <wp:positionH relativeFrom="column">
                  <wp:posOffset>350520</wp:posOffset>
                </wp:positionH>
                <wp:positionV relativeFrom="paragraph">
                  <wp:posOffset>1271270</wp:posOffset>
                </wp:positionV>
                <wp:extent cx="4585335" cy="13277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327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229"/>
                              <w:gridCol w:w="851"/>
                              <w:gridCol w:w="709"/>
                              <w:gridCol w:w="850"/>
                            </w:tblGrid>
                            <w:tr w:rsidR="00DA2798" w:rsidRPr="00B332DB" w14:paraId="34A18FF6" w14:textId="77777777" w:rsidTr="008101B1">
                              <w:trPr>
                                <w:gridAfter w:val="4"/>
                                <w:wAfter w:w="2639" w:type="dxa"/>
                              </w:trPr>
                              <w:tc>
                                <w:tcPr>
                                  <w:tcW w:w="3281" w:type="dxa"/>
                                  <w:gridSpan w:val="2"/>
                                  <w:shd w:val="clear" w:color="auto" w:fill="auto"/>
                                </w:tcPr>
                                <w:p w14:paraId="7FD8DB35" w14:textId="77777777" w:rsidR="00DA2798" w:rsidRPr="00B332DB" w:rsidRDefault="00DA2798" w:rsidP="008101B1">
                                  <w:pPr>
                                    <w:rPr>
                                      <w:rFonts w:ascii="Arial" w:hAnsi="Arial" w:cs="Arial"/>
                                    </w:rPr>
                                  </w:pPr>
                                  <w:r w:rsidRPr="00B332DB">
                                    <w:rPr>
                                      <w:rFonts w:ascii="Arial" w:hAnsi="Arial" w:cs="Arial"/>
                                    </w:rPr>
                                    <w:t>P &lt; 0,0001</w:t>
                                  </w:r>
                                </w:p>
                                <w:p w14:paraId="3D5E8F4B" w14:textId="77777777" w:rsidR="00DA2798" w:rsidRPr="00B332DB" w:rsidRDefault="00DA2798" w:rsidP="008101B1">
                                  <w:pPr>
                                    <w:rPr>
                                      <w:rFonts w:ascii="Arial" w:hAnsi="Arial" w:cs="Arial"/>
                                    </w:rPr>
                                  </w:pPr>
                                  <w:r w:rsidRPr="00B332DB">
                                    <w:rPr>
                                      <w:rFonts w:ascii="Arial" w:hAnsi="Arial" w:cs="Arial"/>
                                    </w:rPr>
                                    <w:t>Hazard ratio 0,46</w:t>
                                  </w:r>
                                </w:p>
                                <w:p w14:paraId="6FAC00A4" w14:textId="77777777" w:rsidR="00DA2798" w:rsidRPr="00B332DB" w:rsidRDefault="00DA2798" w:rsidP="0026493E">
                                  <w:pPr>
                                    <w:rPr>
                                      <w:rFonts w:ascii="Arial" w:hAnsi="Arial" w:cs="Arial"/>
                                      <w:lang w:val="de-DE"/>
                                    </w:rPr>
                                  </w:pPr>
                                  <w:r w:rsidRPr="00B332DB">
                                    <w:rPr>
                                      <w:rFonts w:ascii="Arial" w:hAnsi="Arial" w:cs="Arial"/>
                                    </w:rPr>
                                    <w:t>(95% Cl 0,32</w:t>
                                  </w:r>
                                  <w:r w:rsidRPr="00B332DB">
                                    <w:rPr>
                                      <w:rFonts w:ascii="Arial" w:hAnsi="Arial" w:cs="Arial"/>
                                    </w:rPr>
                                    <w:noBreakHyphen/>
                                    <w:t>0,65)</w:t>
                                  </w:r>
                                </w:p>
                              </w:tc>
                            </w:tr>
                            <w:tr w:rsidR="00DA2798" w:rsidRPr="0055776F" w14:paraId="3972AEE6" w14:textId="77777777" w:rsidTr="004F6388">
                              <w:tc>
                                <w:tcPr>
                                  <w:tcW w:w="817" w:type="dxa"/>
                                  <w:shd w:val="clear" w:color="auto" w:fill="auto"/>
                                </w:tcPr>
                                <w:p w14:paraId="351C97ED" w14:textId="77777777" w:rsidR="00DA2798" w:rsidRPr="0055776F" w:rsidRDefault="00DA2798" w:rsidP="0030775D">
                                  <w:pPr>
                                    <w:rPr>
                                      <w:rFonts w:ascii="Arial" w:hAnsi="Arial" w:cs="Arial"/>
                                    </w:rPr>
                                  </w:pPr>
                                </w:p>
                              </w:tc>
                              <w:tc>
                                <w:tcPr>
                                  <w:tcW w:w="2693" w:type="dxa"/>
                                  <w:gridSpan w:val="2"/>
                                  <w:shd w:val="clear" w:color="auto" w:fill="auto"/>
                                </w:tcPr>
                                <w:p w14:paraId="24FD247C" w14:textId="77777777" w:rsidR="00DA2798" w:rsidRPr="00B332DB" w:rsidRDefault="00DA2798" w:rsidP="0030775D">
                                  <w:pPr>
                                    <w:rPr>
                                      <w:rFonts w:ascii="Arial" w:hAnsi="Arial" w:cs="Arial"/>
                                    </w:rPr>
                                  </w:pPr>
                                </w:p>
                              </w:tc>
                              <w:tc>
                                <w:tcPr>
                                  <w:tcW w:w="851" w:type="dxa"/>
                                  <w:tcBorders>
                                    <w:bottom w:val="single" w:sz="4" w:space="0" w:color="auto"/>
                                  </w:tcBorders>
                                  <w:shd w:val="clear" w:color="auto" w:fill="auto"/>
                                </w:tcPr>
                                <w:p w14:paraId="1E6D642B" w14:textId="77777777" w:rsidR="00DA2798" w:rsidRPr="0055776F" w:rsidRDefault="00DA2798" w:rsidP="0030775D">
                                  <w:pPr>
                                    <w:rPr>
                                      <w:rFonts w:ascii="Arial" w:hAnsi="Arial" w:cs="Arial"/>
                                    </w:rPr>
                                  </w:pPr>
                                  <w:r w:rsidRPr="0055776F">
                                    <w:rPr>
                                      <w:rFonts w:ascii="Arial" w:hAnsi="Arial" w:cs="Arial"/>
                                      <w:lang w:val="de-DE"/>
                                    </w:rPr>
                                    <w:t>N</w:t>
                                  </w:r>
                                </w:p>
                              </w:tc>
                              <w:tc>
                                <w:tcPr>
                                  <w:tcW w:w="709" w:type="dxa"/>
                                  <w:tcBorders>
                                    <w:bottom w:val="single" w:sz="4" w:space="0" w:color="auto"/>
                                  </w:tcBorders>
                                  <w:shd w:val="clear" w:color="auto" w:fill="auto"/>
                                </w:tcPr>
                                <w:p w14:paraId="65A88529" w14:textId="77777777" w:rsidR="00DA2798" w:rsidRPr="0055776F" w:rsidRDefault="00DA2798" w:rsidP="0030775D">
                                  <w:pPr>
                                    <w:rPr>
                                      <w:rFonts w:ascii="Arial" w:hAnsi="Arial" w:cs="Arial"/>
                                    </w:rPr>
                                  </w:pPr>
                                  <w:r w:rsidRPr="0055776F">
                                    <w:rPr>
                                      <w:rFonts w:ascii="Arial" w:hAnsi="Arial" w:cs="Arial"/>
                                      <w:lang w:val="de-DE"/>
                                    </w:rPr>
                                    <w:t>Evt</w:t>
                                  </w:r>
                                </w:p>
                              </w:tc>
                              <w:tc>
                                <w:tcPr>
                                  <w:tcW w:w="850" w:type="dxa"/>
                                  <w:tcBorders>
                                    <w:bottom w:val="single" w:sz="4" w:space="0" w:color="auto"/>
                                  </w:tcBorders>
                                  <w:shd w:val="clear" w:color="auto" w:fill="auto"/>
                                </w:tcPr>
                                <w:p w14:paraId="0D0950F0" w14:textId="77777777" w:rsidR="00DA2798" w:rsidRPr="0055776F" w:rsidRDefault="00DA2798" w:rsidP="0030775D">
                                  <w:pPr>
                                    <w:rPr>
                                      <w:rFonts w:ascii="Arial" w:hAnsi="Arial" w:cs="Arial"/>
                                    </w:rPr>
                                  </w:pPr>
                                  <w:r w:rsidRPr="0055776F">
                                    <w:rPr>
                                      <w:rFonts w:ascii="Arial" w:hAnsi="Arial" w:cs="Arial"/>
                                      <w:lang w:val="de-DE"/>
                                    </w:rPr>
                                    <w:t>Cen</w:t>
                                  </w:r>
                                </w:p>
                              </w:tc>
                            </w:tr>
                            <w:tr w:rsidR="00DA2798" w:rsidRPr="0055776F" w14:paraId="76498A98" w14:textId="77777777" w:rsidTr="004F6388">
                              <w:tc>
                                <w:tcPr>
                                  <w:tcW w:w="817" w:type="dxa"/>
                                  <w:shd w:val="clear" w:color="auto" w:fill="auto"/>
                                </w:tcPr>
                                <w:p w14:paraId="7FAC91BB" w14:textId="77777777" w:rsidR="00DA2798" w:rsidRPr="0055776F" w:rsidRDefault="00DA2798" w:rsidP="0030775D">
                                  <w:pPr>
                                    <w:rPr>
                                      <w:rFonts w:ascii="Arial" w:hAnsi="Arial" w:cs="Arial"/>
                                    </w:rPr>
                                  </w:pPr>
                                  <w:r w:rsidRPr="0055776F">
                                    <w:rPr>
                                      <w:rFonts w:ascii="Arial" w:hAnsi="Arial" w:cs="Arial"/>
                                      <w:b/>
                                    </w:rPr>
                                    <w:t>——</w:t>
                                  </w:r>
                                </w:p>
                              </w:tc>
                              <w:tc>
                                <w:tcPr>
                                  <w:tcW w:w="2693" w:type="dxa"/>
                                  <w:gridSpan w:val="2"/>
                                  <w:shd w:val="clear" w:color="auto" w:fill="auto"/>
                                </w:tcPr>
                                <w:p w14:paraId="1A5FAD85" w14:textId="77777777" w:rsidR="00DA2798" w:rsidRPr="00B332DB" w:rsidRDefault="00DA2798" w:rsidP="0030775D">
                                  <w:pPr>
                                    <w:rPr>
                                      <w:rFonts w:ascii="Arial" w:hAnsi="Arial" w:cs="Arial"/>
                                    </w:rPr>
                                  </w:pPr>
                                  <w:r w:rsidRPr="00B332DB">
                                    <w:rPr>
                                      <w:rFonts w:ascii="Arial" w:hAnsi="Arial" w:cs="Arial"/>
                                    </w:rPr>
                                    <w:t>(1) Imatinib 12 mdr.</w:t>
                                  </w:r>
                                </w:p>
                              </w:tc>
                              <w:tc>
                                <w:tcPr>
                                  <w:tcW w:w="851" w:type="dxa"/>
                                  <w:tcBorders>
                                    <w:top w:val="single" w:sz="4" w:space="0" w:color="auto"/>
                                  </w:tcBorders>
                                  <w:shd w:val="clear" w:color="auto" w:fill="auto"/>
                                </w:tcPr>
                                <w:p w14:paraId="63908116" w14:textId="77777777" w:rsidR="00DA2798" w:rsidRPr="0055776F" w:rsidRDefault="00DA2798" w:rsidP="0030775D">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39B5048E" w14:textId="77777777" w:rsidR="00DA2798" w:rsidRPr="0055776F" w:rsidRDefault="00DA2798" w:rsidP="0030775D">
                                  <w:pPr>
                                    <w:rPr>
                                      <w:rFonts w:ascii="Arial" w:hAnsi="Arial" w:cs="Arial"/>
                                    </w:rPr>
                                  </w:pPr>
                                  <w:r w:rsidRPr="0055776F">
                                    <w:rPr>
                                      <w:rFonts w:ascii="Arial" w:hAnsi="Arial" w:cs="Arial"/>
                                    </w:rPr>
                                    <w:t>84</w:t>
                                  </w:r>
                                </w:p>
                              </w:tc>
                              <w:tc>
                                <w:tcPr>
                                  <w:tcW w:w="850" w:type="dxa"/>
                                  <w:tcBorders>
                                    <w:top w:val="single" w:sz="4" w:space="0" w:color="auto"/>
                                  </w:tcBorders>
                                  <w:shd w:val="clear" w:color="auto" w:fill="auto"/>
                                </w:tcPr>
                                <w:p w14:paraId="707C9413" w14:textId="77777777" w:rsidR="00DA2798" w:rsidRPr="0055776F" w:rsidRDefault="00DA2798" w:rsidP="0030775D">
                                  <w:pPr>
                                    <w:rPr>
                                      <w:rFonts w:ascii="Arial" w:hAnsi="Arial" w:cs="Arial"/>
                                    </w:rPr>
                                  </w:pPr>
                                  <w:r w:rsidRPr="0055776F">
                                    <w:rPr>
                                      <w:rFonts w:ascii="Arial" w:hAnsi="Arial" w:cs="Arial"/>
                                    </w:rPr>
                                    <w:t>115</w:t>
                                  </w:r>
                                </w:p>
                              </w:tc>
                            </w:tr>
                            <w:tr w:rsidR="00DA2798" w:rsidRPr="0055776F" w14:paraId="7498114D" w14:textId="77777777" w:rsidTr="004F6388">
                              <w:tc>
                                <w:tcPr>
                                  <w:tcW w:w="817" w:type="dxa"/>
                                  <w:shd w:val="clear" w:color="auto" w:fill="auto"/>
                                </w:tcPr>
                                <w:p w14:paraId="7E56E66C" w14:textId="77777777" w:rsidR="00DA2798" w:rsidRPr="0055776F" w:rsidRDefault="00DA2798" w:rsidP="0030775D">
                                  <w:pPr>
                                    <w:rPr>
                                      <w:rFonts w:ascii="Arial" w:hAnsi="Arial" w:cs="Arial"/>
                                    </w:rPr>
                                  </w:pPr>
                                  <w:r w:rsidRPr="0055776F">
                                    <w:rPr>
                                      <w:rFonts w:ascii="Arial" w:hAnsi="Arial" w:cs="Arial"/>
                                    </w:rPr>
                                    <w:t>-----</w:t>
                                  </w:r>
                                </w:p>
                              </w:tc>
                              <w:tc>
                                <w:tcPr>
                                  <w:tcW w:w="2693" w:type="dxa"/>
                                  <w:gridSpan w:val="2"/>
                                  <w:shd w:val="clear" w:color="auto" w:fill="auto"/>
                                </w:tcPr>
                                <w:p w14:paraId="66D2AB27" w14:textId="77777777" w:rsidR="00DA2798" w:rsidRPr="00B332DB" w:rsidRDefault="00DA2798" w:rsidP="0026493E">
                                  <w:pPr>
                                    <w:rPr>
                                      <w:rFonts w:ascii="Arial" w:hAnsi="Arial" w:cs="Arial"/>
                                    </w:rPr>
                                  </w:pPr>
                                  <w:r w:rsidRPr="00B332DB">
                                    <w:rPr>
                                      <w:rFonts w:ascii="Arial" w:hAnsi="Arial" w:cs="Arial"/>
                                    </w:rPr>
                                    <w:t>(2) Imatinib 36 mdr.</w:t>
                                  </w:r>
                                </w:p>
                              </w:tc>
                              <w:tc>
                                <w:tcPr>
                                  <w:tcW w:w="851" w:type="dxa"/>
                                  <w:tcBorders>
                                    <w:bottom w:val="single" w:sz="4" w:space="0" w:color="auto"/>
                                  </w:tcBorders>
                                  <w:shd w:val="clear" w:color="auto" w:fill="auto"/>
                                </w:tcPr>
                                <w:p w14:paraId="3AFCE2FE" w14:textId="77777777" w:rsidR="00DA2798" w:rsidRPr="0055776F" w:rsidRDefault="00DA2798" w:rsidP="0030775D">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129CEC5D" w14:textId="77777777" w:rsidR="00DA2798" w:rsidRPr="0055776F" w:rsidRDefault="00DA2798" w:rsidP="0030775D">
                                  <w:pPr>
                                    <w:rPr>
                                      <w:rFonts w:ascii="Arial" w:hAnsi="Arial" w:cs="Arial"/>
                                    </w:rPr>
                                  </w:pPr>
                                  <w:r w:rsidRPr="0055776F">
                                    <w:rPr>
                                      <w:rFonts w:ascii="Arial" w:hAnsi="Arial" w:cs="Arial"/>
                                    </w:rPr>
                                    <w:t>50</w:t>
                                  </w:r>
                                </w:p>
                              </w:tc>
                              <w:tc>
                                <w:tcPr>
                                  <w:tcW w:w="850" w:type="dxa"/>
                                  <w:tcBorders>
                                    <w:bottom w:val="single" w:sz="4" w:space="0" w:color="auto"/>
                                  </w:tcBorders>
                                  <w:shd w:val="clear" w:color="auto" w:fill="auto"/>
                                </w:tcPr>
                                <w:p w14:paraId="29246734" w14:textId="77777777" w:rsidR="00DA2798" w:rsidRPr="0055776F" w:rsidRDefault="00DA2798" w:rsidP="0030775D">
                                  <w:pPr>
                                    <w:rPr>
                                      <w:rFonts w:ascii="Arial" w:hAnsi="Arial" w:cs="Arial"/>
                                    </w:rPr>
                                  </w:pPr>
                                  <w:r w:rsidRPr="0055776F">
                                    <w:rPr>
                                      <w:rFonts w:ascii="Arial" w:hAnsi="Arial" w:cs="Arial"/>
                                    </w:rPr>
                                    <w:t>148</w:t>
                                  </w:r>
                                </w:p>
                              </w:tc>
                            </w:tr>
                            <w:tr w:rsidR="00DA2798" w:rsidRPr="0055776F" w14:paraId="6AF01C1E" w14:textId="77777777" w:rsidTr="004F6388">
                              <w:tc>
                                <w:tcPr>
                                  <w:tcW w:w="817" w:type="dxa"/>
                                  <w:shd w:val="clear" w:color="auto" w:fill="auto"/>
                                </w:tcPr>
                                <w:p w14:paraId="08DCA7E5" w14:textId="77777777" w:rsidR="00DA2798" w:rsidRPr="0055776F" w:rsidRDefault="00DA2798" w:rsidP="0030775D">
                                  <w:pPr>
                                    <w:rPr>
                                      <w:rFonts w:ascii="Arial" w:hAnsi="Arial" w:cs="Arial"/>
                                    </w:rPr>
                                  </w:pPr>
                                  <w:r w:rsidRPr="0055776F">
                                    <w:rPr>
                                      <w:rFonts w:ascii="Arial" w:hAnsi="Arial" w:cs="Arial"/>
                                    </w:rPr>
                                    <w:t>│││</w:t>
                                  </w:r>
                                </w:p>
                              </w:tc>
                              <w:tc>
                                <w:tcPr>
                                  <w:tcW w:w="2693" w:type="dxa"/>
                                  <w:gridSpan w:val="2"/>
                                  <w:shd w:val="clear" w:color="auto" w:fill="auto"/>
                                </w:tcPr>
                                <w:p w14:paraId="1421A57B" w14:textId="77777777" w:rsidR="00DA2798" w:rsidRPr="0055776F" w:rsidRDefault="00DA2798" w:rsidP="0030775D">
                                  <w:pPr>
                                    <w:rPr>
                                      <w:rFonts w:ascii="Arial" w:hAnsi="Arial" w:cs="Arial"/>
                                    </w:rPr>
                                  </w:pPr>
                                  <w:r w:rsidRPr="00703B82">
                                    <w:rPr>
                                      <w:rFonts w:ascii="Arial" w:hAnsi="Arial" w:cs="Arial"/>
                                    </w:rPr>
                                    <w:t>Censore</w:t>
                                  </w:r>
                                  <w:r>
                                    <w:rPr>
                                      <w:rFonts w:ascii="Arial" w:hAnsi="Arial" w:cs="Arial"/>
                                    </w:rPr>
                                    <w:t>rede</w:t>
                                  </w:r>
                                  <w:r w:rsidRPr="00703B82">
                                    <w:rPr>
                                      <w:rFonts w:ascii="Arial" w:hAnsi="Arial" w:cs="Arial"/>
                                    </w:rPr>
                                    <w:t xml:space="preserve"> observation</w:t>
                                  </w:r>
                                  <w:r>
                                    <w:rPr>
                                      <w:rFonts w:ascii="Arial" w:hAnsi="Arial" w:cs="Arial"/>
                                    </w:rPr>
                                    <w:t>er</w:t>
                                  </w:r>
                                </w:p>
                              </w:tc>
                              <w:tc>
                                <w:tcPr>
                                  <w:tcW w:w="851" w:type="dxa"/>
                                  <w:tcBorders>
                                    <w:top w:val="single" w:sz="4" w:space="0" w:color="auto"/>
                                  </w:tcBorders>
                                  <w:shd w:val="clear" w:color="auto" w:fill="auto"/>
                                </w:tcPr>
                                <w:p w14:paraId="69D61661" w14:textId="77777777" w:rsidR="00DA2798" w:rsidRPr="0055776F" w:rsidRDefault="00DA2798" w:rsidP="0030775D">
                                  <w:pPr>
                                    <w:rPr>
                                      <w:rFonts w:ascii="Arial" w:hAnsi="Arial" w:cs="Arial"/>
                                    </w:rPr>
                                  </w:pPr>
                                </w:p>
                              </w:tc>
                              <w:tc>
                                <w:tcPr>
                                  <w:tcW w:w="709" w:type="dxa"/>
                                  <w:tcBorders>
                                    <w:top w:val="single" w:sz="4" w:space="0" w:color="auto"/>
                                  </w:tcBorders>
                                  <w:shd w:val="clear" w:color="auto" w:fill="auto"/>
                                </w:tcPr>
                                <w:p w14:paraId="55257801" w14:textId="77777777" w:rsidR="00DA2798" w:rsidRPr="0055776F" w:rsidRDefault="00DA2798" w:rsidP="0030775D">
                                  <w:pPr>
                                    <w:rPr>
                                      <w:rFonts w:ascii="Arial" w:hAnsi="Arial" w:cs="Arial"/>
                                    </w:rPr>
                                  </w:pPr>
                                </w:p>
                              </w:tc>
                              <w:tc>
                                <w:tcPr>
                                  <w:tcW w:w="850" w:type="dxa"/>
                                  <w:tcBorders>
                                    <w:top w:val="single" w:sz="4" w:space="0" w:color="auto"/>
                                  </w:tcBorders>
                                  <w:shd w:val="clear" w:color="auto" w:fill="auto"/>
                                </w:tcPr>
                                <w:p w14:paraId="1979A65E" w14:textId="77777777" w:rsidR="00DA2798" w:rsidRPr="0055776F" w:rsidRDefault="00DA2798" w:rsidP="0030775D">
                                  <w:pPr>
                                    <w:rPr>
                                      <w:rFonts w:ascii="Arial" w:hAnsi="Arial" w:cs="Arial"/>
                                    </w:rPr>
                                  </w:pPr>
                                </w:p>
                              </w:tc>
                            </w:tr>
                          </w:tbl>
                          <w:p w14:paraId="18739F0A" w14:textId="77777777" w:rsidR="00DA2798" w:rsidRPr="00A33DBA" w:rsidRDefault="00DA2798" w:rsidP="00A573B3">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A2974F" id="_x0000_s1033" type="#_x0000_t202" style="position:absolute;margin-left:27.6pt;margin-top:100.1pt;width:361.05pt;height:10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" filled="f" stroked="f">
                <v:textbox>
                  <w:txbxContent>
                    <w:tbl>
                      <w:tblPr>
                        <w:tblW w:w="0" w:type="auto"/>
                        <w:tblLook w:val="04A0" w:firstRow="1" w:lastRow="0" w:firstColumn="1" w:lastColumn="0" w:noHBand="0" w:noVBand="1"/>
                      </w:tblPr>
                      <w:tblGrid>
                        <w:gridCol w:w="817"/>
                        <w:gridCol w:w="2464"/>
                        <w:gridCol w:w="229"/>
                        <w:gridCol w:w="851"/>
                        <w:gridCol w:w="709"/>
                        <w:gridCol w:w="850"/>
                      </w:tblGrid>
                      <w:tr w:rsidR="00DA2798" w:rsidRPr="00B332DB" w14:paraId="34A18FF6" w14:textId="77777777" w:rsidTr="008101B1">
                        <w:trPr>
                          <w:gridAfter w:val="4"/>
                          <w:wAfter w:w="2639" w:type="dxa"/>
                        </w:trPr>
                        <w:tc>
                          <w:tcPr>
                            <w:tcW w:w="3281" w:type="dxa"/>
                            <w:gridSpan w:val="2"/>
                            <w:shd w:val="clear" w:color="auto" w:fill="auto"/>
                          </w:tcPr>
                          <w:p w14:paraId="7FD8DB35" w14:textId="77777777" w:rsidR="00DA2798" w:rsidRPr="00B332DB" w:rsidRDefault="00DA2798" w:rsidP="008101B1">
                            <w:pPr>
                              <w:rPr>
                                <w:rFonts w:ascii="Arial" w:hAnsi="Arial" w:cs="Arial"/>
                              </w:rPr>
                            </w:pPr>
                            <w:r w:rsidRPr="00B332DB">
                              <w:rPr>
                                <w:rFonts w:ascii="Arial" w:hAnsi="Arial" w:cs="Arial"/>
                              </w:rPr>
                              <w:t>P &lt; 0,0001</w:t>
                            </w:r>
                          </w:p>
                          <w:p w14:paraId="3D5E8F4B" w14:textId="77777777" w:rsidR="00DA2798" w:rsidRPr="00B332DB" w:rsidRDefault="00DA2798" w:rsidP="008101B1">
                            <w:pPr>
                              <w:rPr>
                                <w:rFonts w:ascii="Arial" w:hAnsi="Arial" w:cs="Arial"/>
                              </w:rPr>
                            </w:pPr>
                            <w:r w:rsidRPr="00B332DB">
                              <w:rPr>
                                <w:rFonts w:ascii="Arial" w:hAnsi="Arial" w:cs="Arial"/>
                              </w:rPr>
                              <w:t>Hazard ratio 0,46</w:t>
                            </w:r>
                          </w:p>
                          <w:p w14:paraId="6FAC00A4" w14:textId="77777777" w:rsidR="00DA2798" w:rsidRPr="00B332DB" w:rsidRDefault="00DA2798" w:rsidP="0026493E">
                            <w:pPr>
                              <w:rPr>
                                <w:rFonts w:ascii="Arial" w:hAnsi="Arial" w:cs="Arial"/>
                                <w:lang w:val="de-DE"/>
                              </w:rPr>
                            </w:pPr>
                            <w:r w:rsidRPr="00B332DB">
                              <w:rPr>
                                <w:rFonts w:ascii="Arial" w:hAnsi="Arial" w:cs="Arial"/>
                              </w:rPr>
                              <w:t>(95% Cl 0,32</w:t>
                            </w:r>
                            <w:r w:rsidRPr="00B332DB">
                              <w:rPr>
                                <w:rFonts w:ascii="Arial" w:hAnsi="Arial" w:cs="Arial"/>
                              </w:rPr>
                              <w:noBreakHyphen/>
                              <w:t>0,65)</w:t>
                            </w:r>
                          </w:p>
                        </w:tc>
                      </w:tr>
                      <w:tr w:rsidR="00DA2798" w:rsidRPr="0055776F" w14:paraId="3972AEE6" w14:textId="77777777" w:rsidTr="004F6388">
                        <w:tc>
                          <w:tcPr>
                            <w:tcW w:w="817" w:type="dxa"/>
                            <w:shd w:val="clear" w:color="auto" w:fill="auto"/>
                          </w:tcPr>
                          <w:p w14:paraId="351C97ED" w14:textId="77777777" w:rsidR="00DA2798" w:rsidRPr="0055776F" w:rsidRDefault="00DA2798" w:rsidP="0030775D">
                            <w:pPr>
                              <w:rPr>
                                <w:rFonts w:ascii="Arial" w:hAnsi="Arial" w:cs="Arial"/>
                              </w:rPr>
                            </w:pPr>
                          </w:p>
                        </w:tc>
                        <w:tc>
                          <w:tcPr>
                            <w:tcW w:w="2693" w:type="dxa"/>
                            <w:gridSpan w:val="2"/>
                            <w:shd w:val="clear" w:color="auto" w:fill="auto"/>
                          </w:tcPr>
                          <w:p w14:paraId="24FD247C" w14:textId="77777777" w:rsidR="00DA2798" w:rsidRPr="00B332DB" w:rsidRDefault="00DA2798" w:rsidP="0030775D">
                            <w:pPr>
                              <w:rPr>
                                <w:rFonts w:ascii="Arial" w:hAnsi="Arial" w:cs="Arial"/>
                              </w:rPr>
                            </w:pPr>
                          </w:p>
                        </w:tc>
                        <w:tc>
                          <w:tcPr>
                            <w:tcW w:w="851" w:type="dxa"/>
                            <w:tcBorders>
                              <w:bottom w:val="single" w:sz="4" w:space="0" w:color="auto"/>
                            </w:tcBorders>
                            <w:shd w:val="clear" w:color="auto" w:fill="auto"/>
                          </w:tcPr>
                          <w:p w14:paraId="1E6D642B" w14:textId="77777777" w:rsidR="00DA2798" w:rsidRPr="0055776F" w:rsidRDefault="00DA2798" w:rsidP="0030775D">
                            <w:pPr>
                              <w:rPr>
                                <w:rFonts w:ascii="Arial" w:hAnsi="Arial" w:cs="Arial"/>
                              </w:rPr>
                            </w:pPr>
                            <w:r w:rsidRPr="0055776F">
                              <w:rPr>
                                <w:rFonts w:ascii="Arial" w:hAnsi="Arial" w:cs="Arial"/>
                                <w:lang w:val="de-DE"/>
                              </w:rPr>
                              <w:t>N</w:t>
                            </w:r>
                          </w:p>
                        </w:tc>
                        <w:tc>
                          <w:tcPr>
                            <w:tcW w:w="709" w:type="dxa"/>
                            <w:tcBorders>
                              <w:bottom w:val="single" w:sz="4" w:space="0" w:color="auto"/>
                            </w:tcBorders>
                            <w:shd w:val="clear" w:color="auto" w:fill="auto"/>
                          </w:tcPr>
                          <w:p w14:paraId="65A88529" w14:textId="77777777" w:rsidR="00DA2798" w:rsidRPr="0055776F" w:rsidRDefault="00DA2798" w:rsidP="0030775D">
                            <w:pPr>
                              <w:rPr>
                                <w:rFonts w:ascii="Arial" w:hAnsi="Arial" w:cs="Arial"/>
                              </w:rPr>
                            </w:pPr>
                            <w:r w:rsidRPr="0055776F">
                              <w:rPr>
                                <w:rFonts w:ascii="Arial" w:hAnsi="Arial" w:cs="Arial"/>
                                <w:lang w:val="de-DE"/>
                              </w:rPr>
                              <w:t>Evt</w:t>
                            </w:r>
                          </w:p>
                        </w:tc>
                        <w:tc>
                          <w:tcPr>
                            <w:tcW w:w="850" w:type="dxa"/>
                            <w:tcBorders>
                              <w:bottom w:val="single" w:sz="4" w:space="0" w:color="auto"/>
                            </w:tcBorders>
                            <w:shd w:val="clear" w:color="auto" w:fill="auto"/>
                          </w:tcPr>
                          <w:p w14:paraId="0D0950F0" w14:textId="77777777" w:rsidR="00DA2798" w:rsidRPr="0055776F" w:rsidRDefault="00DA2798" w:rsidP="0030775D">
                            <w:pPr>
                              <w:rPr>
                                <w:rFonts w:ascii="Arial" w:hAnsi="Arial" w:cs="Arial"/>
                              </w:rPr>
                            </w:pPr>
                            <w:r w:rsidRPr="0055776F">
                              <w:rPr>
                                <w:rFonts w:ascii="Arial" w:hAnsi="Arial" w:cs="Arial"/>
                                <w:lang w:val="de-DE"/>
                              </w:rPr>
                              <w:t>Cen</w:t>
                            </w:r>
                          </w:p>
                        </w:tc>
                      </w:tr>
                      <w:tr w:rsidR="00DA2798" w:rsidRPr="0055776F" w14:paraId="76498A98" w14:textId="77777777" w:rsidTr="004F6388">
                        <w:tc>
                          <w:tcPr>
                            <w:tcW w:w="817" w:type="dxa"/>
                            <w:shd w:val="clear" w:color="auto" w:fill="auto"/>
                          </w:tcPr>
                          <w:p w14:paraId="7FAC91BB" w14:textId="77777777" w:rsidR="00DA2798" w:rsidRPr="0055776F" w:rsidRDefault="00DA2798" w:rsidP="0030775D">
                            <w:pPr>
                              <w:rPr>
                                <w:rFonts w:ascii="Arial" w:hAnsi="Arial" w:cs="Arial"/>
                              </w:rPr>
                            </w:pPr>
                            <w:r w:rsidRPr="0055776F">
                              <w:rPr>
                                <w:rFonts w:ascii="Arial" w:hAnsi="Arial" w:cs="Arial"/>
                                <w:b/>
                              </w:rPr>
                              <w:t>——</w:t>
                            </w:r>
                          </w:p>
                        </w:tc>
                        <w:tc>
                          <w:tcPr>
                            <w:tcW w:w="2693" w:type="dxa"/>
                            <w:gridSpan w:val="2"/>
                            <w:shd w:val="clear" w:color="auto" w:fill="auto"/>
                          </w:tcPr>
                          <w:p w14:paraId="1A5FAD85" w14:textId="77777777" w:rsidR="00DA2798" w:rsidRPr="00B332DB" w:rsidRDefault="00DA2798" w:rsidP="0030775D">
                            <w:pPr>
                              <w:rPr>
                                <w:rFonts w:ascii="Arial" w:hAnsi="Arial" w:cs="Arial"/>
                              </w:rPr>
                            </w:pPr>
                            <w:r w:rsidRPr="00B332DB">
                              <w:rPr>
                                <w:rFonts w:ascii="Arial" w:hAnsi="Arial" w:cs="Arial"/>
                              </w:rPr>
                              <w:t>(1) Imatinib 12 mdr.</w:t>
                            </w:r>
                          </w:p>
                        </w:tc>
                        <w:tc>
                          <w:tcPr>
                            <w:tcW w:w="851" w:type="dxa"/>
                            <w:tcBorders>
                              <w:top w:val="single" w:sz="4" w:space="0" w:color="auto"/>
                            </w:tcBorders>
                            <w:shd w:val="clear" w:color="auto" w:fill="auto"/>
                          </w:tcPr>
                          <w:p w14:paraId="63908116" w14:textId="77777777" w:rsidR="00DA2798" w:rsidRPr="0055776F" w:rsidRDefault="00DA2798" w:rsidP="0030775D">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39B5048E" w14:textId="77777777" w:rsidR="00DA2798" w:rsidRPr="0055776F" w:rsidRDefault="00DA2798" w:rsidP="0030775D">
                            <w:pPr>
                              <w:rPr>
                                <w:rFonts w:ascii="Arial" w:hAnsi="Arial" w:cs="Arial"/>
                              </w:rPr>
                            </w:pPr>
                            <w:r w:rsidRPr="0055776F">
                              <w:rPr>
                                <w:rFonts w:ascii="Arial" w:hAnsi="Arial" w:cs="Arial"/>
                              </w:rPr>
                              <w:t>84</w:t>
                            </w:r>
                          </w:p>
                        </w:tc>
                        <w:tc>
                          <w:tcPr>
                            <w:tcW w:w="850" w:type="dxa"/>
                            <w:tcBorders>
                              <w:top w:val="single" w:sz="4" w:space="0" w:color="auto"/>
                            </w:tcBorders>
                            <w:shd w:val="clear" w:color="auto" w:fill="auto"/>
                          </w:tcPr>
                          <w:p w14:paraId="707C9413" w14:textId="77777777" w:rsidR="00DA2798" w:rsidRPr="0055776F" w:rsidRDefault="00DA2798" w:rsidP="0030775D">
                            <w:pPr>
                              <w:rPr>
                                <w:rFonts w:ascii="Arial" w:hAnsi="Arial" w:cs="Arial"/>
                              </w:rPr>
                            </w:pPr>
                            <w:r w:rsidRPr="0055776F">
                              <w:rPr>
                                <w:rFonts w:ascii="Arial" w:hAnsi="Arial" w:cs="Arial"/>
                              </w:rPr>
                              <w:t>115</w:t>
                            </w:r>
                          </w:p>
                        </w:tc>
                      </w:tr>
                      <w:tr w:rsidR="00DA2798" w:rsidRPr="0055776F" w14:paraId="7498114D" w14:textId="77777777" w:rsidTr="004F6388">
                        <w:tc>
                          <w:tcPr>
                            <w:tcW w:w="817" w:type="dxa"/>
                            <w:shd w:val="clear" w:color="auto" w:fill="auto"/>
                          </w:tcPr>
                          <w:p w14:paraId="7E56E66C" w14:textId="77777777" w:rsidR="00DA2798" w:rsidRPr="0055776F" w:rsidRDefault="00DA2798" w:rsidP="0030775D">
                            <w:pPr>
                              <w:rPr>
                                <w:rFonts w:ascii="Arial" w:hAnsi="Arial" w:cs="Arial"/>
                              </w:rPr>
                            </w:pPr>
                            <w:r w:rsidRPr="0055776F">
                              <w:rPr>
                                <w:rFonts w:ascii="Arial" w:hAnsi="Arial" w:cs="Arial"/>
                              </w:rPr>
                              <w:t>-----</w:t>
                            </w:r>
                          </w:p>
                        </w:tc>
                        <w:tc>
                          <w:tcPr>
                            <w:tcW w:w="2693" w:type="dxa"/>
                            <w:gridSpan w:val="2"/>
                            <w:shd w:val="clear" w:color="auto" w:fill="auto"/>
                          </w:tcPr>
                          <w:p w14:paraId="66D2AB27" w14:textId="77777777" w:rsidR="00DA2798" w:rsidRPr="00B332DB" w:rsidRDefault="00DA2798" w:rsidP="0026493E">
                            <w:pPr>
                              <w:rPr>
                                <w:rFonts w:ascii="Arial" w:hAnsi="Arial" w:cs="Arial"/>
                              </w:rPr>
                            </w:pPr>
                            <w:r w:rsidRPr="00B332DB">
                              <w:rPr>
                                <w:rFonts w:ascii="Arial" w:hAnsi="Arial" w:cs="Arial"/>
                              </w:rPr>
                              <w:t>(2) Imatinib 36 mdr.</w:t>
                            </w:r>
                          </w:p>
                        </w:tc>
                        <w:tc>
                          <w:tcPr>
                            <w:tcW w:w="851" w:type="dxa"/>
                            <w:tcBorders>
                              <w:bottom w:val="single" w:sz="4" w:space="0" w:color="auto"/>
                            </w:tcBorders>
                            <w:shd w:val="clear" w:color="auto" w:fill="auto"/>
                          </w:tcPr>
                          <w:p w14:paraId="3AFCE2FE" w14:textId="77777777" w:rsidR="00DA2798" w:rsidRPr="0055776F" w:rsidRDefault="00DA2798" w:rsidP="0030775D">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129CEC5D" w14:textId="77777777" w:rsidR="00DA2798" w:rsidRPr="0055776F" w:rsidRDefault="00DA2798" w:rsidP="0030775D">
                            <w:pPr>
                              <w:rPr>
                                <w:rFonts w:ascii="Arial" w:hAnsi="Arial" w:cs="Arial"/>
                              </w:rPr>
                            </w:pPr>
                            <w:r w:rsidRPr="0055776F">
                              <w:rPr>
                                <w:rFonts w:ascii="Arial" w:hAnsi="Arial" w:cs="Arial"/>
                              </w:rPr>
                              <w:t>50</w:t>
                            </w:r>
                          </w:p>
                        </w:tc>
                        <w:tc>
                          <w:tcPr>
                            <w:tcW w:w="850" w:type="dxa"/>
                            <w:tcBorders>
                              <w:bottom w:val="single" w:sz="4" w:space="0" w:color="auto"/>
                            </w:tcBorders>
                            <w:shd w:val="clear" w:color="auto" w:fill="auto"/>
                          </w:tcPr>
                          <w:p w14:paraId="29246734" w14:textId="77777777" w:rsidR="00DA2798" w:rsidRPr="0055776F" w:rsidRDefault="00DA2798" w:rsidP="0030775D">
                            <w:pPr>
                              <w:rPr>
                                <w:rFonts w:ascii="Arial" w:hAnsi="Arial" w:cs="Arial"/>
                              </w:rPr>
                            </w:pPr>
                            <w:r w:rsidRPr="0055776F">
                              <w:rPr>
                                <w:rFonts w:ascii="Arial" w:hAnsi="Arial" w:cs="Arial"/>
                              </w:rPr>
                              <w:t>148</w:t>
                            </w:r>
                          </w:p>
                        </w:tc>
                      </w:tr>
                      <w:tr w:rsidR="00DA2798" w:rsidRPr="0055776F" w14:paraId="6AF01C1E" w14:textId="77777777" w:rsidTr="004F6388">
                        <w:tc>
                          <w:tcPr>
                            <w:tcW w:w="817" w:type="dxa"/>
                            <w:shd w:val="clear" w:color="auto" w:fill="auto"/>
                          </w:tcPr>
                          <w:p w14:paraId="08DCA7E5" w14:textId="77777777" w:rsidR="00DA2798" w:rsidRPr="0055776F" w:rsidRDefault="00DA2798" w:rsidP="0030775D">
                            <w:pPr>
                              <w:rPr>
                                <w:rFonts w:ascii="Arial" w:hAnsi="Arial" w:cs="Arial"/>
                              </w:rPr>
                            </w:pPr>
                            <w:r w:rsidRPr="0055776F">
                              <w:rPr>
                                <w:rFonts w:ascii="Arial" w:hAnsi="Arial" w:cs="Arial"/>
                              </w:rPr>
                              <w:t>│││</w:t>
                            </w:r>
                          </w:p>
                        </w:tc>
                        <w:tc>
                          <w:tcPr>
                            <w:tcW w:w="2693" w:type="dxa"/>
                            <w:gridSpan w:val="2"/>
                            <w:shd w:val="clear" w:color="auto" w:fill="auto"/>
                          </w:tcPr>
                          <w:p w14:paraId="1421A57B" w14:textId="77777777" w:rsidR="00DA2798" w:rsidRPr="0055776F" w:rsidRDefault="00DA2798" w:rsidP="0030775D">
                            <w:pPr>
                              <w:rPr>
                                <w:rFonts w:ascii="Arial" w:hAnsi="Arial" w:cs="Arial"/>
                              </w:rPr>
                            </w:pPr>
                            <w:r w:rsidRPr="00703B82">
                              <w:rPr>
                                <w:rFonts w:ascii="Arial" w:hAnsi="Arial" w:cs="Arial"/>
                              </w:rPr>
                              <w:t>Censore</w:t>
                            </w:r>
                            <w:r>
                              <w:rPr>
                                <w:rFonts w:ascii="Arial" w:hAnsi="Arial" w:cs="Arial"/>
                              </w:rPr>
                              <w:t>rede</w:t>
                            </w:r>
                            <w:r w:rsidRPr="00703B82">
                              <w:rPr>
                                <w:rFonts w:ascii="Arial" w:hAnsi="Arial" w:cs="Arial"/>
                              </w:rPr>
                              <w:t xml:space="preserve"> observation</w:t>
                            </w:r>
                            <w:r>
                              <w:rPr>
                                <w:rFonts w:ascii="Arial" w:hAnsi="Arial" w:cs="Arial"/>
                              </w:rPr>
                              <w:t>er</w:t>
                            </w:r>
                          </w:p>
                        </w:tc>
                        <w:tc>
                          <w:tcPr>
                            <w:tcW w:w="851" w:type="dxa"/>
                            <w:tcBorders>
                              <w:top w:val="single" w:sz="4" w:space="0" w:color="auto"/>
                            </w:tcBorders>
                            <w:shd w:val="clear" w:color="auto" w:fill="auto"/>
                          </w:tcPr>
                          <w:p w14:paraId="69D61661" w14:textId="77777777" w:rsidR="00DA2798" w:rsidRPr="0055776F" w:rsidRDefault="00DA2798" w:rsidP="0030775D">
                            <w:pPr>
                              <w:rPr>
                                <w:rFonts w:ascii="Arial" w:hAnsi="Arial" w:cs="Arial"/>
                              </w:rPr>
                            </w:pPr>
                          </w:p>
                        </w:tc>
                        <w:tc>
                          <w:tcPr>
                            <w:tcW w:w="709" w:type="dxa"/>
                            <w:tcBorders>
                              <w:top w:val="single" w:sz="4" w:space="0" w:color="auto"/>
                            </w:tcBorders>
                            <w:shd w:val="clear" w:color="auto" w:fill="auto"/>
                          </w:tcPr>
                          <w:p w14:paraId="55257801" w14:textId="77777777" w:rsidR="00DA2798" w:rsidRPr="0055776F" w:rsidRDefault="00DA2798" w:rsidP="0030775D">
                            <w:pPr>
                              <w:rPr>
                                <w:rFonts w:ascii="Arial" w:hAnsi="Arial" w:cs="Arial"/>
                              </w:rPr>
                            </w:pPr>
                          </w:p>
                        </w:tc>
                        <w:tc>
                          <w:tcPr>
                            <w:tcW w:w="850" w:type="dxa"/>
                            <w:tcBorders>
                              <w:top w:val="single" w:sz="4" w:space="0" w:color="auto"/>
                            </w:tcBorders>
                            <w:shd w:val="clear" w:color="auto" w:fill="auto"/>
                          </w:tcPr>
                          <w:p w14:paraId="1979A65E" w14:textId="77777777" w:rsidR="00DA2798" w:rsidRPr="0055776F" w:rsidRDefault="00DA2798" w:rsidP="0030775D">
                            <w:pPr>
                              <w:rPr>
                                <w:rFonts w:ascii="Arial" w:hAnsi="Arial" w:cs="Arial"/>
                              </w:rPr>
                            </w:pPr>
                          </w:p>
                        </w:tc>
                      </w:tr>
                    </w:tbl>
                    <w:p w14:paraId="18739F0A" w14:textId="77777777" w:rsidR="00DA2798" w:rsidRPr="00A33DBA" w:rsidRDefault="00DA2798" w:rsidP="00A573B3">
                      <w:pPr>
                        <w:rPr>
                          <w:rFonts w:ascii="Arial" w:hAnsi="Arial" w:cs="Arial"/>
                        </w:rPr>
                      </w:pPr>
                    </w:p>
                  </w:txbxContent>
                </v:textbox>
              </v:shape>
            </w:pict>
          </mc:Fallback>
        </mc:AlternateContent>
      </w:r>
      <w:r w:rsidRPr="004C2A59">
        <w:rPr>
          <w:noProof/>
          <w:lang w:val="en-GB" w:eastAsia="en-GB"/>
        </w:rPr>
        <w:drawing>
          <wp:inline distT="0" distB="0" distL="0" distR="0" wp14:anchorId="1200D770" wp14:editId="455591FE">
            <wp:extent cx="5939790" cy="26797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51D4D7C5" w14:textId="77777777" w:rsidR="00A573B3" w:rsidRPr="004C2A59" w:rsidRDefault="00127CCC" w:rsidP="00421681">
      <w:pPr>
        <w:rPr>
          <w:noProof/>
          <w:sz w:val="22"/>
          <w:szCs w:val="22"/>
        </w:rPr>
      </w:pPr>
      <w:r w:rsidRPr="004C2A59">
        <w:rPr>
          <w:noProof/>
          <w:sz w:val="22"/>
          <w:szCs w:val="22"/>
          <w:lang w:val="en-GB" w:eastAsia="en-GB"/>
        </w:rPr>
        <mc:AlternateContent>
          <mc:Choice Requires="wps">
            <w:drawing>
              <wp:anchor distT="0" distB="0" distL="114300" distR="114300" simplePos="0" relativeHeight="251660288" behindDoc="0" locked="0" layoutInCell="1" allowOverlap="1" wp14:anchorId="7ECEA0DA" wp14:editId="57FDB465">
                <wp:simplePos x="0" y="0"/>
                <wp:positionH relativeFrom="column">
                  <wp:posOffset>1863090</wp:posOffset>
                </wp:positionH>
                <wp:positionV relativeFrom="paragraph">
                  <wp:posOffset>26035</wp:posOffset>
                </wp:positionV>
                <wp:extent cx="1722755" cy="31686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755" cy="3168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1B3DA2" w14:textId="77777777" w:rsidR="00DA2798" w:rsidRPr="00A33DBA" w:rsidRDefault="00DA2798" w:rsidP="00A573B3">
                            <w:pPr>
                              <w:rPr>
                                <w:rFonts w:ascii="Arial" w:hAnsi="Arial" w:cs="Arial"/>
                              </w:rPr>
                            </w:pPr>
                            <w:r>
                              <w:rPr>
                                <w:rFonts w:ascii="Arial" w:hAnsi="Arial" w:cs="Arial"/>
                                <w:lang w:val="de-DE"/>
                              </w:rPr>
                              <w:t>Overlevelsestid i måneder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CEA0DA" id="_x0000_s1034" type="#_x0000_t202" style="position:absolute;margin-left:146.7pt;margin-top:2.05pt;width:135.65pt;height: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" stroked="f">
                <v:fill opacity="0"/>
                <v:textbox>
                  <w:txbxContent>
                    <w:p w14:paraId="3E1B3DA2" w14:textId="77777777" w:rsidR="00DA2798" w:rsidRPr="00A33DBA" w:rsidRDefault="00DA2798" w:rsidP="00A573B3">
                      <w:pPr>
                        <w:rPr>
                          <w:rFonts w:ascii="Arial" w:hAnsi="Arial" w:cs="Arial"/>
                        </w:rPr>
                      </w:pPr>
                      <w:r>
                        <w:rPr>
                          <w:rFonts w:ascii="Arial" w:hAnsi="Arial" w:cs="Arial"/>
                          <w:lang w:val="de-DE"/>
                        </w:rPr>
                        <w:t>Overlevelsestid i måneder</w:t>
                      </w:r>
                    </w:p>
                  </w:txbxContent>
                </v:textbox>
              </v:shape>
            </w:pict>
          </mc:Fallback>
        </mc:AlternateContent>
      </w:r>
    </w:p>
    <w:p w14:paraId="6D667036" w14:textId="77777777" w:rsidR="00A573B3" w:rsidRPr="004C2A59" w:rsidRDefault="00A573B3" w:rsidP="00421681">
      <w:pPr>
        <w:rPr>
          <w:noProof/>
          <w:sz w:val="22"/>
          <w:szCs w:val="22"/>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A573B3" w:rsidRPr="004C2A59" w14:paraId="29D92F8D" w14:textId="77777777" w:rsidTr="001F01A9">
        <w:tc>
          <w:tcPr>
            <w:tcW w:w="10599" w:type="dxa"/>
            <w:gridSpan w:val="16"/>
            <w:shd w:val="clear" w:color="auto" w:fill="auto"/>
          </w:tcPr>
          <w:p w14:paraId="0DEBCB0B" w14:textId="77777777" w:rsidR="00A573B3" w:rsidRPr="004C2A59" w:rsidRDefault="00A573B3" w:rsidP="00421681">
            <w:pPr>
              <w:ind w:left="-27"/>
              <w:rPr>
                <w:rFonts w:ascii="Arial" w:hAnsi="Arial" w:cs="Arial"/>
              </w:rPr>
            </w:pPr>
            <w:r w:rsidRPr="004C2A59">
              <w:rPr>
                <w:rFonts w:ascii="Arial" w:hAnsi="Arial" w:cs="Arial"/>
              </w:rPr>
              <w:t>Risiko : Tilfælde</w:t>
            </w:r>
          </w:p>
        </w:tc>
      </w:tr>
      <w:tr w:rsidR="00A573B3" w:rsidRPr="004C2A59" w14:paraId="22BB3766" w14:textId="77777777" w:rsidTr="001F01A9">
        <w:tc>
          <w:tcPr>
            <w:tcW w:w="450" w:type="dxa"/>
            <w:shd w:val="clear" w:color="auto" w:fill="auto"/>
          </w:tcPr>
          <w:p w14:paraId="0C0203CD" w14:textId="77777777" w:rsidR="00A573B3" w:rsidRPr="004C2A59" w:rsidRDefault="00A573B3" w:rsidP="00421681">
            <w:pPr>
              <w:rPr>
                <w:sz w:val="18"/>
                <w:szCs w:val="18"/>
              </w:rPr>
            </w:pPr>
            <w:r w:rsidRPr="004C2A59">
              <w:rPr>
                <w:sz w:val="18"/>
                <w:szCs w:val="18"/>
              </w:rPr>
              <w:t>(1)</w:t>
            </w:r>
          </w:p>
        </w:tc>
        <w:tc>
          <w:tcPr>
            <w:tcW w:w="646" w:type="dxa"/>
            <w:shd w:val="clear" w:color="auto" w:fill="auto"/>
          </w:tcPr>
          <w:p w14:paraId="44587F34" w14:textId="77777777" w:rsidR="00A573B3" w:rsidRPr="004C2A59" w:rsidRDefault="00A573B3" w:rsidP="00421681">
            <w:pPr>
              <w:ind w:left="-27"/>
              <w:rPr>
                <w:sz w:val="18"/>
                <w:szCs w:val="18"/>
              </w:rPr>
            </w:pPr>
            <w:r w:rsidRPr="004C2A59">
              <w:rPr>
                <w:sz w:val="18"/>
                <w:szCs w:val="18"/>
              </w:rPr>
              <w:t>199:0</w:t>
            </w:r>
          </w:p>
        </w:tc>
        <w:tc>
          <w:tcPr>
            <w:tcW w:w="645" w:type="dxa"/>
            <w:shd w:val="clear" w:color="auto" w:fill="auto"/>
          </w:tcPr>
          <w:p w14:paraId="1214BC6B" w14:textId="77777777" w:rsidR="00A573B3" w:rsidRPr="004C2A59" w:rsidRDefault="00A573B3" w:rsidP="00421681">
            <w:pPr>
              <w:ind w:left="-27"/>
              <w:rPr>
                <w:sz w:val="18"/>
                <w:szCs w:val="18"/>
              </w:rPr>
            </w:pPr>
            <w:r w:rsidRPr="004C2A59">
              <w:rPr>
                <w:sz w:val="18"/>
                <w:szCs w:val="18"/>
              </w:rPr>
              <w:t>182:8</w:t>
            </w:r>
          </w:p>
        </w:tc>
        <w:tc>
          <w:tcPr>
            <w:tcW w:w="745" w:type="dxa"/>
            <w:shd w:val="clear" w:color="auto" w:fill="auto"/>
          </w:tcPr>
          <w:p w14:paraId="408D1622" w14:textId="77777777" w:rsidR="00A573B3" w:rsidRPr="004C2A59" w:rsidRDefault="00A573B3" w:rsidP="00421681">
            <w:pPr>
              <w:ind w:left="-27"/>
              <w:rPr>
                <w:sz w:val="18"/>
                <w:szCs w:val="18"/>
              </w:rPr>
            </w:pPr>
            <w:r w:rsidRPr="004C2A59">
              <w:rPr>
                <w:sz w:val="18"/>
                <w:szCs w:val="18"/>
              </w:rPr>
              <w:t>177:12</w:t>
            </w:r>
          </w:p>
        </w:tc>
        <w:tc>
          <w:tcPr>
            <w:tcW w:w="745" w:type="dxa"/>
            <w:shd w:val="clear" w:color="auto" w:fill="auto"/>
          </w:tcPr>
          <w:p w14:paraId="7F96F834" w14:textId="77777777" w:rsidR="00A573B3" w:rsidRPr="004C2A59" w:rsidRDefault="00A573B3" w:rsidP="00421681">
            <w:pPr>
              <w:ind w:left="-27"/>
              <w:rPr>
                <w:sz w:val="18"/>
                <w:szCs w:val="18"/>
              </w:rPr>
            </w:pPr>
            <w:r w:rsidRPr="004C2A59">
              <w:rPr>
                <w:sz w:val="18"/>
                <w:szCs w:val="18"/>
              </w:rPr>
              <w:t>163:25</w:t>
            </w:r>
          </w:p>
        </w:tc>
        <w:tc>
          <w:tcPr>
            <w:tcW w:w="745" w:type="dxa"/>
            <w:shd w:val="clear" w:color="auto" w:fill="auto"/>
          </w:tcPr>
          <w:p w14:paraId="5DBCEBA2" w14:textId="77777777" w:rsidR="00A573B3" w:rsidRPr="004C2A59" w:rsidRDefault="00A573B3" w:rsidP="00421681">
            <w:pPr>
              <w:ind w:left="-27"/>
              <w:rPr>
                <w:sz w:val="18"/>
                <w:szCs w:val="18"/>
              </w:rPr>
            </w:pPr>
            <w:r w:rsidRPr="004C2A59">
              <w:rPr>
                <w:sz w:val="18"/>
                <w:szCs w:val="18"/>
              </w:rPr>
              <w:t>137:46</w:t>
            </w:r>
          </w:p>
        </w:tc>
        <w:tc>
          <w:tcPr>
            <w:tcW w:w="752" w:type="dxa"/>
            <w:shd w:val="clear" w:color="auto" w:fill="auto"/>
          </w:tcPr>
          <w:p w14:paraId="33A892B9" w14:textId="77777777" w:rsidR="00A573B3" w:rsidRPr="004C2A59" w:rsidRDefault="00A573B3" w:rsidP="00421681">
            <w:pPr>
              <w:ind w:left="-27"/>
              <w:rPr>
                <w:sz w:val="18"/>
                <w:szCs w:val="18"/>
              </w:rPr>
            </w:pPr>
            <w:r w:rsidRPr="004C2A59">
              <w:rPr>
                <w:sz w:val="18"/>
                <w:szCs w:val="18"/>
              </w:rPr>
              <w:t>105:65</w:t>
            </w:r>
          </w:p>
        </w:tc>
        <w:tc>
          <w:tcPr>
            <w:tcW w:w="745" w:type="dxa"/>
            <w:shd w:val="clear" w:color="auto" w:fill="auto"/>
          </w:tcPr>
          <w:p w14:paraId="65119A1F" w14:textId="77777777" w:rsidR="00A573B3" w:rsidRPr="004C2A59" w:rsidRDefault="00A573B3" w:rsidP="00421681">
            <w:pPr>
              <w:ind w:left="-27"/>
              <w:rPr>
                <w:sz w:val="18"/>
                <w:szCs w:val="18"/>
              </w:rPr>
            </w:pPr>
            <w:r w:rsidRPr="004C2A59">
              <w:rPr>
                <w:sz w:val="18"/>
                <w:szCs w:val="18"/>
              </w:rPr>
              <w:t>88:72</w:t>
            </w:r>
          </w:p>
        </w:tc>
        <w:tc>
          <w:tcPr>
            <w:tcW w:w="745" w:type="dxa"/>
            <w:shd w:val="clear" w:color="auto" w:fill="auto"/>
          </w:tcPr>
          <w:p w14:paraId="6F528C13" w14:textId="77777777" w:rsidR="00A573B3" w:rsidRPr="004C2A59" w:rsidRDefault="00A573B3" w:rsidP="00421681">
            <w:pPr>
              <w:ind w:left="-27"/>
              <w:rPr>
                <w:sz w:val="18"/>
                <w:szCs w:val="18"/>
              </w:rPr>
            </w:pPr>
            <w:r w:rsidRPr="004C2A59">
              <w:rPr>
                <w:sz w:val="18"/>
                <w:szCs w:val="18"/>
              </w:rPr>
              <w:t>61:77</w:t>
            </w:r>
          </w:p>
        </w:tc>
        <w:tc>
          <w:tcPr>
            <w:tcW w:w="652" w:type="dxa"/>
            <w:shd w:val="clear" w:color="auto" w:fill="auto"/>
          </w:tcPr>
          <w:p w14:paraId="4CD4958F" w14:textId="77777777" w:rsidR="00A573B3" w:rsidRPr="004C2A59" w:rsidRDefault="00A573B3" w:rsidP="00421681">
            <w:pPr>
              <w:ind w:left="-27"/>
              <w:rPr>
                <w:sz w:val="18"/>
                <w:szCs w:val="18"/>
              </w:rPr>
            </w:pPr>
            <w:r w:rsidRPr="004C2A59">
              <w:rPr>
                <w:sz w:val="18"/>
                <w:szCs w:val="18"/>
              </w:rPr>
              <w:t>49:81</w:t>
            </w:r>
          </w:p>
        </w:tc>
        <w:tc>
          <w:tcPr>
            <w:tcW w:w="652" w:type="dxa"/>
            <w:shd w:val="clear" w:color="auto" w:fill="auto"/>
          </w:tcPr>
          <w:p w14:paraId="127A7514" w14:textId="77777777" w:rsidR="00A573B3" w:rsidRPr="004C2A59" w:rsidRDefault="00A573B3" w:rsidP="00421681">
            <w:pPr>
              <w:ind w:left="-27"/>
              <w:rPr>
                <w:sz w:val="18"/>
                <w:szCs w:val="18"/>
              </w:rPr>
            </w:pPr>
            <w:r w:rsidRPr="004C2A59">
              <w:rPr>
                <w:sz w:val="18"/>
                <w:szCs w:val="18"/>
              </w:rPr>
              <w:t>36:83</w:t>
            </w:r>
          </w:p>
        </w:tc>
        <w:tc>
          <w:tcPr>
            <w:tcW w:w="649" w:type="dxa"/>
            <w:shd w:val="clear" w:color="auto" w:fill="auto"/>
          </w:tcPr>
          <w:p w14:paraId="7EEA49D7" w14:textId="77777777" w:rsidR="00A573B3" w:rsidRPr="004C2A59" w:rsidRDefault="00A573B3" w:rsidP="00421681">
            <w:pPr>
              <w:ind w:left="-27"/>
              <w:rPr>
                <w:sz w:val="18"/>
                <w:szCs w:val="18"/>
              </w:rPr>
            </w:pPr>
            <w:r w:rsidRPr="004C2A59">
              <w:rPr>
                <w:sz w:val="18"/>
                <w:szCs w:val="18"/>
              </w:rPr>
              <w:t>27:84</w:t>
            </w:r>
          </w:p>
        </w:tc>
        <w:tc>
          <w:tcPr>
            <w:tcW w:w="660" w:type="dxa"/>
            <w:shd w:val="clear" w:color="auto" w:fill="auto"/>
          </w:tcPr>
          <w:p w14:paraId="7D1FCB8A" w14:textId="77777777" w:rsidR="00A573B3" w:rsidRPr="004C2A59" w:rsidRDefault="00A573B3" w:rsidP="00421681">
            <w:pPr>
              <w:ind w:left="-27"/>
              <w:rPr>
                <w:sz w:val="18"/>
                <w:szCs w:val="18"/>
              </w:rPr>
            </w:pPr>
            <w:r w:rsidRPr="004C2A59">
              <w:rPr>
                <w:sz w:val="18"/>
                <w:szCs w:val="18"/>
              </w:rPr>
              <w:t>14:84</w:t>
            </w:r>
          </w:p>
        </w:tc>
        <w:tc>
          <w:tcPr>
            <w:tcW w:w="649" w:type="dxa"/>
            <w:shd w:val="clear" w:color="auto" w:fill="auto"/>
          </w:tcPr>
          <w:p w14:paraId="47D078E0" w14:textId="77777777" w:rsidR="00A573B3" w:rsidRPr="004C2A59" w:rsidRDefault="00A573B3" w:rsidP="00421681">
            <w:pPr>
              <w:ind w:left="-27"/>
              <w:rPr>
                <w:sz w:val="18"/>
                <w:szCs w:val="18"/>
              </w:rPr>
            </w:pPr>
            <w:r w:rsidRPr="004C2A59">
              <w:rPr>
                <w:sz w:val="18"/>
                <w:szCs w:val="18"/>
              </w:rPr>
              <w:t>10:84</w:t>
            </w:r>
          </w:p>
        </w:tc>
        <w:tc>
          <w:tcPr>
            <w:tcW w:w="564" w:type="dxa"/>
            <w:shd w:val="clear" w:color="auto" w:fill="auto"/>
          </w:tcPr>
          <w:p w14:paraId="23B9FA13" w14:textId="77777777" w:rsidR="00A573B3" w:rsidRPr="004C2A59" w:rsidRDefault="00A573B3" w:rsidP="00421681">
            <w:pPr>
              <w:ind w:left="-27"/>
              <w:rPr>
                <w:sz w:val="18"/>
                <w:szCs w:val="18"/>
              </w:rPr>
            </w:pPr>
            <w:r w:rsidRPr="004C2A59">
              <w:rPr>
                <w:sz w:val="18"/>
                <w:szCs w:val="18"/>
              </w:rPr>
              <w:t>2:84</w:t>
            </w:r>
          </w:p>
        </w:tc>
        <w:tc>
          <w:tcPr>
            <w:tcW w:w="555" w:type="dxa"/>
            <w:shd w:val="clear" w:color="auto" w:fill="auto"/>
          </w:tcPr>
          <w:p w14:paraId="30BB766E" w14:textId="77777777" w:rsidR="00A573B3" w:rsidRPr="004C2A59" w:rsidRDefault="00A573B3" w:rsidP="00421681">
            <w:pPr>
              <w:ind w:left="-27"/>
              <w:rPr>
                <w:sz w:val="18"/>
                <w:szCs w:val="18"/>
              </w:rPr>
            </w:pPr>
            <w:r w:rsidRPr="004C2A59">
              <w:rPr>
                <w:sz w:val="18"/>
                <w:szCs w:val="18"/>
              </w:rPr>
              <w:t>0:84</w:t>
            </w:r>
          </w:p>
        </w:tc>
      </w:tr>
      <w:tr w:rsidR="00A573B3" w:rsidRPr="004C2A59" w14:paraId="60F832AB" w14:textId="77777777" w:rsidTr="001F01A9">
        <w:tc>
          <w:tcPr>
            <w:tcW w:w="450" w:type="dxa"/>
            <w:shd w:val="clear" w:color="auto" w:fill="auto"/>
          </w:tcPr>
          <w:p w14:paraId="03490AF1" w14:textId="77777777" w:rsidR="00A573B3" w:rsidRPr="004C2A59" w:rsidRDefault="00A573B3" w:rsidP="00421681">
            <w:pPr>
              <w:rPr>
                <w:sz w:val="18"/>
                <w:szCs w:val="18"/>
              </w:rPr>
            </w:pPr>
            <w:r w:rsidRPr="004C2A59">
              <w:rPr>
                <w:sz w:val="18"/>
                <w:szCs w:val="18"/>
              </w:rPr>
              <w:t>(2)</w:t>
            </w:r>
          </w:p>
        </w:tc>
        <w:tc>
          <w:tcPr>
            <w:tcW w:w="646" w:type="dxa"/>
            <w:shd w:val="clear" w:color="auto" w:fill="auto"/>
          </w:tcPr>
          <w:p w14:paraId="24356C96" w14:textId="77777777" w:rsidR="00A573B3" w:rsidRPr="004C2A59" w:rsidRDefault="00A573B3" w:rsidP="00421681">
            <w:pPr>
              <w:ind w:left="-27"/>
              <w:rPr>
                <w:sz w:val="18"/>
                <w:szCs w:val="18"/>
              </w:rPr>
            </w:pPr>
            <w:r w:rsidRPr="004C2A59">
              <w:rPr>
                <w:sz w:val="18"/>
                <w:szCs w:val="18"/>
              </w:rPr>
              <w:t>198:0</w:t>
            </w:r>
          </w:p>
        </w:tc>
        <w:tc>
          <w:tcPr>
            <w:tcW w:w="645" w:type="dxa"/>
            <w:shd w:val="clear" w:color="auto" w:fill="auto"/>
          </w:tcPr>
          <w:p w14:paraId="30937057" w14:textId="77777777" w:rsidR="00A573B3" w:rsidRPr="004C2A59" w:rsidRDefault="00A573B3" w:rsidP="00421681">
            <w:pPr>
              <w:ind w:left="-27"/>
              <w:rPr>
                <w:sz w:val="18"/>
                <w:szCs w:val="18"/>
              </w:rPr>
            </w:pPr>
            <w:r w:rsidRPr="004C2A59">
              <w:rPr>
                <w:sz w:val="18"/>
                <w:szCs w:val="18"/>
              </w:rPr>
              <w:t>189:5</w:t>
            </w:r>
          </w:p>
        </w:tc>
        <w:tc>
          <w:tcPr>
            <w:tcW w:w="745" w:type="dxa"/>
            <w:shd w:val="clear" w:color="auto" w:fill="auto"/>
          </w:tcPr>
          <w:p w14:paraId="23498CC7" w14:textId="77777777" w:rsidR="00A573B3" w:rsidRPr="004C2A59" w:rsidRDefault="00A573B3" w:rsidP="00421681">
            <w:pPr>
              <w:ind w:left="-27"/>
              <w:rPr>
                <w:sz w:val="18"/>
                <w:szCs w:val="18"/>
              </w:rPr>
            </w:pPr>
            <w:r w:rsidRPr="004C2A59">
              <w:rPr>
                <w:sz w:val="18"/>
                <w:szCs w:val="18"/>
              </w:rPr>
              <w:t>184:8</w:t>
            </w:r>
          </w:p>
        </w:tc>
        <w:tc>
          <w:tcPr>
            <w:tcW w:w="745" w:type="dxa"/>
            <w:shd w:val="clear" w:color="auto" w:fill="auto"/>
          </w:tcPr>
          <w:p w14:paraId="57AA7998" w14:textId="77777777" w:rsidR="00A573B3" w:rsidRPr="004C2A59" w:rsidRDefault="00A573B3" w:rsidP="00421681">
            <w:pPr>
              <w:ind w:left="-27"/>
              <w:rPr>
                <w:sz w:val="18"/>
                <w:szCs w:val="18"/>
              </w:rPr>
            </w:pPr>
            <w:r w:rsidRPr="004C2A59">
              <w:rPr>
                <w:sz w:val="18"/>
                <w:szCs w:val="18"/>
              </w:rPr>
              <w:t>181:11</w:t>
            </w:r>
          </w:p>
        </w:tc>
        <w:tc>
          <w:tcPr>
            <w:tcW w:w="745" w:type="dxa"/>
            <w:shd w:val="clear" w:color="auto" w:fill="auto"/>
          </w:tcPr>
          <w:p w14:paraId="4207AB1D" w14:textId="77777777" w:rsidR="00A573B3" w:rsidRPr="004C2A59" w:rsidRDefault="00A573B3" w:rsidP="00421681">
            <w:pPr>
              <w:ind w:left="-27"/>
              <w:rPr>
                <w:sz w:val="18"/>
                <w:szCs w:val="18"/>
              </w:rPr>
            </w:pPr>
            <w:r w:rsidRPr="004C2A59">
              <w:rPr>
                <w:sz w:val="18"/>
                <w:szCs w:val="18"/>
              </w:rPr>
              <w:t>173:18</w:t>
            </w:r>
          </w:p>
        </w:tc>
        <w:tc>
          <w:tcPr>
            <w:tcW w:w="752" w:type="dxa"/>
            <w:shd w:val="clear" w:color="auto" w:fill="auto"/>
          </w:tcPr>
          <w:p w14:paraId="3B3C4AC8" w14:textId="77777777" w:rsidR="00A573B3" w:rsidRPr="004C2A59" w:rsidRDefault="00A573B3" w:rsidP="00421681">
            <w:pPr>
              <w:ind w:left="-27"/>
              <w:rPr>
                <w:sz w:val="18"/>
                <w:szCs w:val="18"/>
              </w:rPr>
            </w:pPr>
            <w:r w:rsidRPr="004C2A59">
              <w:rPr>
                <w:sz w:val="18"/>
                <w:szCs w:val="18"/>
              </w:rPr>
              <w:t>152:22</w:t>
            </w:r>
          </w:p>
        </w:tc>
        <w:tc>
          <w:tcPr>
            <w:tcW w:w="745" w:type="dxa"/>
            <w:shd w:val="clear" w:color="auto" w:fill="auto"/>
          </w:tcPr>
          <w:p w14:paraId="130DACEE" w14:textId="77777777" w:rsidR="00A573B3" w:rsidRPr="004C2A59" w:rsidRDefault="00A573B3" w:rsidP="00421681">
            <w:pPr>
              <w:ind w:left="-27"/>
              <w:rPr>
                <w:sz w:val="18"/>
                <w:szCs w:val="18"/>
              </w:rPr>
            </w:pPr>
            <w:r w:rsidRPr="004C2A59">
              <w:rPr>
                <w:sz w:val="18"/>
                <w:szCs w:val="18"/>
              </w:rPr>
              <w:t>133:25</w:t>
            </w:r>
          </w:p>
        </w:tc>
        <w:tc>
          <w:tcPr>
            <w:tcW w:w="745" w:type="dxa"/>
            <w:shd w:val="clear" w:color="auto" w:fill="auto"/>
          </w:tcPr>
          <w:p w14:paraId="0EAFEAE0" w14:textId="77777777" w:rsidR="00A573B3" w:rsidRPr="004C2A59" w:rsidRDefault="00A573B3" w:rsidP="00421681">
            <w:pPr>
              <w:ind w:left="-27"/>
              <w:rPr>
                <w:sz w:val="18"/>
                <w:szCs w:val="18"/>
              </w:rPr>
            </w:pPr>
            <w:r w:rsidRPr="004C2A59">
              <w:rPr>
                <w:sz w:val="18"/>
                <w:szCs w:val="18"/>
              </w:rPr>
              <w:t>102:29</w:t>
            </w:r>
          </w:p>
        </w:tc>
        <w:tc>
          <w:tcPr>
            <w:tcW w:w="652" w:type="dxa"/>
            <w:shd w:val="clear" w:color="auto" w:fill="auto"/>
          </w:tcPr>
          <w:p w14:paraId="0DD240A3" w14:textId="77777777" w:rsidR="00A573B3" w:rsidRPr="004C2A59" w:rsidRDefault="00A573B3" w:rsidP="00421681">
            <w:pPr>
              <w:ind w:left="-27"/>
              <w:rPr>
                <w:sz w:val="18"/>
                <w:szCs w:val="18"/>
              </w:rPr>
            </w:pPr>
            <w:r w:rsidRPr="004C2A59">
              <w:rPr>
                <w:sz w:val="18"/>
                <w:szCs w:val="18"/>
              </w:rPr>
              <w:t>82:35</w:t>
            </w:r>
          </w:p>
        </w:tc>
        <w:tc>
          <w:tcPr>
            <w:tcW w:w="652" w:type="dxa"/>
            <w:shd w:val="clear" w:color="auto" w:fill="auto"/>
          </w:tcPr>
          <w:p w14:paraId="5606559A" w14:textId="77777777" w:rsidR="00A573B3" w:rsidRPr="004C2A59" w:rsidRDefault="00A573B3" w:rsidP="00421681">
            <w:pPr>
              <w:ind w:left="-27"/>
              <w:rPr>
                <w:sz w:val="18"/>
                <w:szCs w:val="18"/>
              </w:rPr>
            </w:pPr>
            <w:r w:rsidRPr="004C2A59">
              <w:rPr>
                <w:sz w:val="18"/>
                <w:szCs w:val="18"/>
              </w:rPr>
              <w:t>54:46</w:t>
            </w:r>
          </w:p>
        </w:tc>
        <w:tc>
          <w:tcPr>
            <w:tcW w:w="649" w:type="dxa"/>
            <w:shd w:val="clear" w:color="auto" w:fill="auto"/>
          </w:tcPr>
          <w:p w14:paraId="4C0ECB1D" w14:textId="77777777" w:rsidR="00A573B3" w:rsidRPr="004C2A59" w:rsidRDefault="00A573B3" w:rsidP="00421681">
            <w:pPr>
              <w:ind w:left="-27"/>
              <w:rPr>
                <w:sz w:val="18"/>
                <w:szCs w:val="18"/>
              </w:rPr>
            </w:pPr>
            <w:r w:rsidRPr="004C2A59">
              <w:rPr>
                <w:sz w:val="18"/>
                <w:szCs w:val="18"/>
              </w:rPr>
              <w:t>39:47</w:t>
            </w:r>
          </w:p>
        </w:tc>
        <w:tc>
          <w:tcPr>
            <w:tcW w:w="660" w:type="dxa"/>
            <w:shd w:val="clear" w:color="auto" w:fill="auto"/>
          </w:tcPr>
          <w:p w14:paraId="6E92ED07" w14:textId="77777777" w:rsidR="00A573B3" w:rsidRPr="004C2A59" w:rsidRDefault="00A573B3" w:rsidP="00421681">
            <w:pPr>
              <w:ind w:left="-27"/>
              <w:rPr>
                <w:sz w:val="18"/>
                <w:szCs w:val="18"/>
              </w:rPr>
            </w:pPr>
            <w:r w:rsidRPr="004C2A59">
              <w:rPr>
                <w:sz w:val="18"/>
                <w:szCs w:val="18"/>
              </w:rPr>
              <w:t>21:49</w:t>
            </w:r>
          </w:p>
        </w:tc>
        <w:tc>
          <w:tcPr>
            <w:tcW w:w="649" w:type="dxa"/>
            <w:shd w:val="clear" w:color="auto" w:fill="auto"/>
          </w:tcPr>
          <w:p w14:paraId="159C090D" w14:textId="77777777" w:rsidR="00A573B3" w:rsidRPr="004C2A59" w:rsidRDefault="00A573B3" w:rsidP="00421681">
            <w:pPr>
              <w:ind w:left="-27"/>
              <w:rPr>
                <w:sz w:val="18"/>
                <w:szCs w:val="18"/>
              </w:rPr>
            </w:pPr>
            <w:r w:rsidRPr="004C2A59">
              <w:rPr>
                <w:sz w:val="18"/>
                <w:szCs w:val="18"/>
              </w:rPr>
              <w:t>8:50</w:t>
            </w:r>
          </w:p>
        </w:tc>
        <w:tc>
          <w:tcPr>
            <w:tcW w:w="564" w:type="dxa"/>
            <w:shd w:val="clear" w:color="auto" w:fill="auto"/>
          </w:tcPr>
          <w:p w14:paraId="1E13F398" w14:textId="77777777" w:rsidR="00A573B3" w:rsidRPr="004C2A59" w:rsidRDefault="00A573B3" w:rsidP="00421681">
            <w:pPr>
              <w:ind w:left="-27"/>
              <w:rPr>
                <w:sz w:val="18"/>
                <w:szCs w:val="18"/>
              </w:rPr>
            </w:pPr>
            <w:r w:rsidRPr="004C2A59">
              <w:rPr>
                <w:sz w:val="18"/>
                <w:szCs w:val="18"/>
              </w:rPr>
              <w:t>0:50</w:t>
            </w:r>
          </w:p>
        </w:tc>
        <w:tc>
          <w:tcPr>
            <w:tcW w:w="555" w:type="dxa"/>
            <w:shd w:val="clear" w:color="auto" w:fill="auto"/>
          </w:tcPr>
          <w:p w14:paraId="7E74C6B6" w14:textId="77777777" w:rsidR="00A573B3" w:rsidRPr="004C2A59" w:rsidRDefault="00A573B3" w:rsidP="00421681">
            <w:pPr>
              <w:ind w:left="-27"/>
              <w:rPr>
                <w:sz w:val="18"/>
                <w:szCs w:val="18"/>
              </w:rPr>
            </w:pPr>
          </w:p>
        </w:tc>
      </w:tr>
    </w:tbl>
    <w:p w14:paraId="2CBCC262" w14:textId="77777777" w:rsidR="00A573B3" w:rsidRPr="004C2A59" w:rsidRDefault="00A573B3" w:rsidP="00421681">
      <w:pPr>
        <w:widowControl w:val="0"/>
        <w:ind w:left="1134" w:hanging="1134"/>
        <w:outlineLvl w:val="6"/>
        <w:rPr>
          <w:rFonts w:eastAsia="MS Mincho"/>
          <w:sz w:val="22"/>
          <w:szCs w:val="22"/>
        </w:rPr>
      </w:pPr>
    </w:p>
    <w:p w14:paraId="6079F188" w14:textId="77777777" w:rsidR="00A573B3" w:rsidRPr="004C2A59" w:rsidRDefault="00A573B3" w:rsidP="00421681">
      <w:pPr>
        <w:keepNext/>
        <w:ind w:left="1134" w:hanging="1134"/>
        <w:outlineLvl w:val="6"/>
        <w:rPr>
          <w:rFonts w:eastAsia="MS Mincho"/>
          <w:b/>
          <w:sz w:val="22"/>
          <w:szCs w:val="22"/>
        </w:rPr>
      </w:pPr>
      <w:r w:rsidRPr="004C2A59">
        <w:rPr>
          <w:rFonts w:eastAsia="MS Mincho"/>
          <w:b/>
          <w:sz w:val="22"/>
          <w:szCs w:val="22"/>
        </w:rPr>
        <w:lastRenderedPageBreak/>
        <w:t>Figur 2</w:t>
      </w:r>
      <w:r w:rsidRPr="004C2A59">
        <w:rPr>
          <w:rFonts w:eastAsia="MS Mincho"/>
          <w:b/>
          <w:sz w:val="22"/>
          <w:szCs w:val="22"/>
        </w:rPr>
        <w:tab/>
        <w:t>Kaplan-Meier-estimater for total overlevelse (ITT-population)</w:t>
      </w:r>
    </w:p>
    <w:p w14:paraId="4133D6A2" w14:textId="77777777" w:rsidR="00A573B3" w:rsidRPr="004C2A59" w:rsidRDefault="00A573B3" w:rsidP="00421681">
      <w:pPr>
        <w:keepNext/>
        <w:rPr>
          <w:noProof/>
          <w:sz w:val="22"/>
          <w:szCs w:val="22"/>
        </w:rPr>
      </w:pPr>
    </w:p>
    <w:p w14:paraId="7CBDD1BA" w14:textId="77777777" w:rsidR="00A573B3" w:rsidRPr="004C2A59" w:rsidRDefault="00127CCC" w:rsidP="00421681">
      <w:pPr>
        <w:rPr>
          <w:noProof/>
          <w:sz w:val="22"/>
          <w:szCs w:val="22"/>
        </w:rPr>
      </w:pPr>
      <w:r w:rsidRPr="004C2A59">
        <w:rPr>
          <w:noProof/>
          <w:lang w:val="en-GB" w:eastAsia="en-GB"/>
        </w:rPr>
        <mc:AlternateContent>
          <mc:Choice Requires="wps">
            <w:drawing>
              <wp:anchor distT="0" distB="0" distL="114300" distR="114300" simplePos="0" relativeHeight="251663360" behindDoc="0" locked="0" layoutInCell="1" allowOverlap="1" wp14:anchorId="3AFE616E" wp14:editId="4BEC9187">
                <wp:simplePos x="0" y="0"/>
                <wp:positionH relativeFrom="column">
                  <wp:posOffset>350520</wp:posOffset>
                </wp:positionH>
                <wp:positionV relativeFrom="paragraph">
                  <wp:posOffset>1028065</wp:posOffset>
                </wp:positionV>
                <wp:extent cx="4585335" cy="14287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BA2EC" w14:textId="77777777" w:rsidR="00DA2798" w:rsidRDefault="00DA2798" w:rsidP="00A573B3">
                            <w:pPr>
                              <w:rPr>
                                <w:rFonts w:ascii="Arial" w:hAnsi="Arial" w:cs="Arial"/>
                              </w:rPr>
                            </w:pPr>
                          </w:p>
                          <w:tbl>
                            <w:tblPr>
                              <w:tblW w:w="0" w:type="auto"/>
                              <w:tblLook w:val="04A0" w:firstRow="1" w:lastRow="0" w:firstColumn="1" w:lastColumn="0" w:noHBand="0" w:noVBand="1"/>
                            </w:tblPr>
                            <w:tblGrid>
                              <w:gridCol w:w="817"/>
                              <w:gridCol w:w="2835"/>
                              <w:gridCol w:w="851"/>
                              <w:gridCol w:w="709"/>
                              <w:gridCol w:w="850"/>
                            </w:tblGrid>
                            <w:tr w:rsidR="00DA2798" w:rsidRPr="0055776F" w14:paraId="4CE4242C" w14:textId="77777777" w:rsidTr="004F6388">
                              <w:tc>
                                <w:tcPr>
                                  <w:tcW w:w="6062" w:type="dxa"/>
                                  <w:gridSpan w:val="5"/>
                                  <w:shd w:val="clear" w:color="auto" w:fill="auto"/>
                                </w:tcPr>
                                <w:p w14:paraId="5CB60EE0" w14:textId="77777777" w:rsidR="00DA2798" w:rsidRPr="00B5221C" w:rsidRDefault="00DA2798" w:rsidP="0030775D">
                                  <w:pPr>
                                    <w:rPr>
                                      <w:rFonts w:ascii="Arial" w:hAnsi="Arial" w:cs="Arial"/>
                                    </w:rPr>
                                  </w:pPr>
                                  <w:r w:rsidRPr="00B5221C">
                                    <w:rPr>
                                      <w:rFonts w:ascii="Arial" w:hAnsi="Arial" w:cs="Arial"/>
                                    </w:rPr>
                                    <w:t>P = 0,019</w:t>
                                  </w:r>
                                </w:p>
                                <w:p w14:paraId="4F658ABB" w14:textId="77777777" w:rsidR="00DA2798" w:rsidRPr="00B5221C" w:rsidRDefault="00DA2798" w:rsidP="0030775D">
                                  <w:pPr>
                                    <w:rPr>
                                      <w:rFonts w:ascii="Arial" w:hAnsi="Arial" w:cs="Arial"/>
                                    </w:rPr>
                                  </w:pPr>
                                  <w:r w:rsidRPr="00B5221C">
                                    <w:rPr>
                                      <w:rFonts w:ascii="Arial" w:hAnsi="Arial" w:cs="Arial"/>
                                    </w:rPr>
                                    <w:t>Hazard ratio 0,45</w:t>
                                  </w:r>
                                </w:p>
                                <w:p w14:paraId="0587FC3B" w14:textId="77777777" w:rsidR="00DA2798" w:rsidRPr="00B5221C" w:rsidRDefault="00DA2798" w:rsidP="0026493E">
                                  <w:pPr>
                                    <w:rPr>
                                      <w:rFonts w:ascii="Arial" w:hAnsi="Arial" w:cs="Arial"/>
                                      <w:lang w:val="de-DE"/>
                                    </w:rPr>
                                  </w:pPr>
                                  <w:r w:rsidRPr="00B5221C">
                                    <w:rPr>
                                      <w:rFonts w:ascii="Arial" w:hAnsi="Arial" w:cs="Arial"/>
                                    </w:rPr>
                                    <w:t>(95% Cl 0,22</w:t>
                                  </w:r>
                                  <w:r w:rsidRPr="00B5221C">
                                    <w:rPr>
                                      <w:rFonts w:ascii="Arial" w:hAnsi="Arial" w:cs="Arial"/>
                                    </w:rPr>
                                    <w:noBreakHyphen/>
                                    <w:t>0,89)</w:t>
                                  </w:r>
                                </w:p>
                              </w:tc>
                            </w:tr>
                            <w:tr w:rsidR="00DA2798" w:rsidRPr="0055776F" w14:paraId="1B62DA3B" w14:textId="77777777" w:rsidTr="004F6388">
                              <w:tc>
                                <w:tcPr>
                                  <w:tcW w:w="817" w:type="dxa"/>
                                  <w:shd w:val="clear" w:color="auto" w:fill="auto"/>
                                </w:tcPr>
                                <w:p w14:paraId="674C836C" w14:textId="77777777" w:rsidR="00DA2798" w:rsidRPr="0055776F" w:rsidRDefault="00DA2798" w:rsidP="0030775D">
                                  <w:pPr>
                                    <w:rPr>
                                      <w:rFonts w:ascii="Arial" w:hAnsi="Arial" w:cs="Arial"/>
                                    </w:rPr>
                                  </w:pPr>
                                </w:p>
                              </w:tc>
                              <w:tc>
                                <w:tcPr>
                                  <w:tcW w:w="2835" w:type="dxa"/>
                                  <w:shd w:val="clear" w:color="auto" w:fill="auto"/>
                                </w:tcPr>
                                <w:p w14:paraId="7D5AC576" w14:textId="77777777" w:rsidR="00DA2798" w:rsidRPr="00B5221C" w:rsidRDefault="00DA2798" w:rsidP="0030775D">
                                  <w:pPr>
                                    <w:rPr>
                                      <w:rFonts w:ascii="Arial" w:hAnsi="Arial" w:cs="Arial"/>
                                    </w:rPr>
                                  </w:pPr>
                                </w:p>
                              </w:tc>
                              <w:tc>
                                <w:tcPr>
                                  <w:tcW w:w="851" w:type="dxa"/>
                                  <w:tcBorders>
                                    <w:bottom w:val="single" w:sz="4" w:space="0" w:color="auto"/>
                                  </w:tcBorders>
                                  <w:shd w:val="clear" w:color="auto" w:fill="auto"/>
                                </w:tcPr>
                                <w:p w14:paraId="1E562A0B" w14:textId="77777777" w:rsidR="00DA2798" w:rsidRPr="0055776F" w:rsidRDefault="00DA2798" w:rsidP="0030775D">
                                  <w:pPr>
                                    <w:rPr>
                                      <w:rFonts w:ascii="Arial" w:hAnsi="Arial" w:cs="Arial"/>
                                    </w:rPr>
                                  </w:pPr>
                                  <w:r w:rsidRPr="0055776F">
                                    <w:rPr>
                                      <w:rFonts w:ascii="Arial" w:hAnsi="Arial" w:cs="Arial"/>
                                      <w:lang w:val="de-DE"/>
                                    </w:rPr>
                                    <w:t>N</w:t>
                                  </w:r>
                                </w:p>
                              </w:tc>
                              <w:tc>
                                <w:tcPr>
                                  <w:tcW w:w="709" w:type="dxa"/>
                                  <w:tcBorders>
                                    <w:bottom w:val="single" w:sz="4" w:space="0" w:color="auto"/>
                                  </w:tcBorders>
                                  <w:shd w:val="clear" w:color="auto" w:fill="auto"/>
                                </w:tcPr>
                                <w:p w14:paraId="6A97AA4E" w14:textId="77777777" w:rsidR="00DA2798" w:rsidRPr="0055776F" w:rsidRDefault="00DA2798" w:rsidP="0030775D">
                                  <w:pPr>
                                    <w:rPr>
                                      <w:rFonts w:ascii="Arial" w:hAnsi="Arial" w:cs="Arial"/>
                                    </w:rPr>
                                  </w:pPr>
                                  <w:r w:rsidRPr="0055776F">
                                    <w:rPr>
                                      <w:rFonts w:ascii="Arial" w:hAnsi="Arial" w:cs="Arial"/>
                                      <w:lang w:val="de-DE"/>
                                    </w:rPr>
                                    <w:t>Evt</w:t>
                                  </w:r>
                                </w:p>
                              </w:tc>
                              <w:tc>
                                <w:tcPr>
                                  <w:tcW w:w="850" w:type="dxa"/>
                                  <w:tcBorders>
                                    <w:bottom w:val="single" w:sz="4" w:space="0" w:color="auto"/>
                                  </w:tcBorders>
                                  <w:shd w:val="clear" w:color="auto" w:fill="auto"/>
                                </w:tcPr>
                                <w:p w14:paraId="576D6905" w14:textId="77777777" w:rsidR="00DA2798" w:rsidRPr="0055776F" w:rsidRDefault="00DA2798" w:rsidP="0030775D">
                                  <w:pPr>
                                    <w:rPr>
                                      <w:rFonts w:ascii="Arial" w:hAnsi="Arial" w:cs="Arial"/>
                                    </w:rPr>
                                  </w:pPr>
                                  <w:r w:rsidRPr="0055776F">
                                    <w:rPr>
                                      <w:rFonts w:ascii="Arial" w:hAnsi="Arial" w:cs="Arial"/>
                                      <w:lang w:val="de-DE"/>
                                    </w:rPr>
                                    <w:t>Cen</w:t>
                                  </w:r>
                                </w:p>
                              </w:tc>
                            </w:tr>
                            <w:tr w:rsidR="00DA2798" w:rsidRPr="0055776F" w14:paraId="6E7C5F7D" w14:textId="77777777" w:rsidTr="004F6388">
                              <w:tc>
                                <w:tcPr>
                                  <w:tcW w:w="817" w:type="dxa"/>
                                  <w:shd w:val="clear" w:color="auto" w:fill="auto"/>
                                </w:tcPr>
                                <w:p w14:paraId="3A5AD51D" w14:textId="77777777" w:rsidR="00DA2798" w:rsidRPr="0055776F" w:rsidRDefault="00DA2798" w:rsidP="0030775D">
                                  <w:pPr>
                                    <w:rPr>
                                      <w:rFonts w:ascii="Arial" w:hAnsi="Arial" w:cs="Arial"/>
                                    </w:rPr>
                                  </w:pPr>
                                  <w:r w:rsidRPr="0055776F">
                                    <w:rPr>
                                      <w:rFonts w:ascii="Arial" w:hAnsi="Arial" w:cs="Arial"/>
                                      <w:b/>
                                    </w:rPr>
                                    <w:t>——</w:t>
                                  </w:r>
                                </w:p>
                              </w:tc>
                              <w:tc>
                                <w:tcPr>
                                  <w:tcW w:w="2835" w:type="dxa"/>
                                  <w:shd w:val="clear" w:color="auto" w:fill="auto"/>
                                </w:tcPr>
                                <w:p w14:paraId="49AE7E8B" w14:textId="77777777" w:rsidR="00DA2798" w:rsidRPr="00B5221C" w:rsidRDefault="00DA2798" w:rsidP="0026493E">
                                  <w:pPr>
                                    <w:rPr>
                                      <w:rFonts w:ascii="Arial" w:hAnsi="Arial" w:cs="Arial"/>
                                    </w:rPr>
                                  </w:pPr>
                                  <w:r w:rsidRPr="00B5221C">
                                    <w:rPr>
                                      <w:rFonts w:ascii="Arial" w:hAnsi="Arial" w:cs="Arial"/>
                                    </w:rPr>
                                    <w:t>(1) Imatinib 12 mdr.</w:t>
                                  </w:r>
                                </w:p>
                              </w:tc>
                              <w:tc>
                                <w:tcPr>
                                  <w:tcW w:w="851" w:type="dxa"/>
                                  <w:tcBorders>
                                    <w:top w:val="single" w:sz="4" w:space="0" w:color="auto"/>
                                  </w:tcBorders>
                                  <w:shd w:val="clear" w:color="auto" w:fill="auto"/>
                                </w:tcPr>
                                <w:p w14:paraId="46397F80" w14:textId="77777777" w:rsidR="00DA2798" w:rsidRPr="0055776F" w:rsidRDefault="00DA2798" w:rsidP="0030775D">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26DD25A5" w14:textId="77777777" w:rsidR="00DA2798" w:rsidRPr="0055776F" w:rsidRDefault="00DA2798" w:rsidP="0030775D">
                                  <w:pPr>
                                    <w:rPr>
                                      <w:rFonts w:ascii="Arial" w:hAnsi="Arial" w:cs="Arial"/>
                                    </w:rPr>
                                  </w:pPr>
                                  <w:r w:rsidRPr="0055776F">
                                    <w:rPr>
                                      <w:rFonts w:ascii="Arial" w:hAnsi="Arial" w:cs="Arial"/>
                                    </w:rPr>
                                    <w:t>25</w:t>
                                  </w:r>
                                </w:p>
                              </w:tc>
                              <w:tc>
                                <w:tcPr>
                                  <w:tcW w:w="850" w:type="dxa"/>
                                  <w:tcBorders>
                                    <w:top w:val="single" w:sz="4" w:space="0" w:color="auto"/>
                                  </w:tcBorders>
                                  <w:shd w:val="clear" w:color="auto" w:fill="auto"/>
                                </w:tcPr>
                                <w:p w14:paraId="0CFA041C" w14:textId="77777777" w:rsidR="00DA2798" w:rsidRPr="0055776F" w:rsidRDefault="00DA2798" w:rsidP="0030775D">
                                  <w:pPr>
                                    <w:rPr>
                                      <w:rFonts w:ascii="Arial" w:hAnsi="Arial" w:cs="Arial"/>
                                    </w:rPr>
                                  </w:pPr>
                                  <w:r w:rsidRPr="0055776F">
                                    <w:rPr>
                                      <w:rFonts w:ascii="Arial" w:hAnsi="Arial" w:cs="Arial"/>
                                    </w:rPr>
                                    <w:t>174</w:t>
                                  </w:r>
                                </w:p>
                              </w:tc>
                            </w:tr>
                            <w:tr w:rsidR="00DA2798" w:rsidRPr="0055776F" w14:paraId="5A5F3581" w14:textId="77777777" w:rsidTr="004F6388">
                              <w:tc>
                                <w:tcPr>
                                  <w:tcW w:w="817" w:type="dxa"/>
                                  <w:shd w:val="clear" w:color="auto" w:fill="auto"/>
                                </w:tcPr>
                                <w:p w14:paraId="34683CE4" w14:textId="77777777" w:rsidR="00DA2798" w:rsidRPr="0055776F" w:rsidRDefault="00DA2798" w:rsidP="0030775D">
                                  <w:pPr>
                                    <w:rPr>
                                      <w:rFonts w:ascii="Arial" w:hAnsi="Arial" w:cs="Arial"/>
                                    </w:rPr>
                                  </w:pPr>
                                  <w:r w:rsidRPr="0055776F">
                                    <w:rPr>
                                      <w:rFonts w:ascii="Arial" w:hAnsi="Arial" w:cs="Arial"/>
                                    </w:rPr>
                                    <w:t>-----</w:t>
                                  </w:r>
                                </w:p>
                              </w:tc>
                              <w:tc>
                                <w:tcPr>
                                  <w:tcW w:w="2835" w:type="dxa"/>
                                  <w:shd w:val="clear" w:color="auto" w:fill="auto"/>
                                </w:tcPr>
                                <w:p w14:paraId="1DF4C1AF" w14:textId="77777777" w:rsidR="00DA2798" w:rsidRPr="00B5221C" w:rsidRDefault="00DA2798" w:rsidP="0026493E">
                                  <w:pPr>
                                    <w:rPr>
                                      <w:rFonts w:ascii="Arial" w:hAnsi="Arial" w:cs="Arial"/>
                                    </w:rPr>
                                  </w:pPr>
                                  <w:r w:rsidRPr="00B5221C">
                                    <w:rPr>
                                      <w:rFonts w:ascii="Arial" w:hAnsi="Arial" w:cs="Arial"/>
                                    </w:rPr>
                                    <w:t>(2) Imatinib 36 mdr.</w:t>
                                  </w:r>
                                </w:p>
                              </w:tc>
                              <w:tc>
                                <w:tcPr>
                                  <w:tcW w:w="851" w:type="dxa"/>
                                  <w:tcBorders>
                                    <w:bottom w:val="single" w:sz="4" w:space="0" w:color="auto"/>
                                  </w:tcBorders>
                                  <w:shd w:val="clear" w:color="auto" w:fill="auto"/>
                                </w:tcPr>
                                <w:p w14:paraId="51B71BA8" w14:textId="77777777" w:rsidR="00DA2798" w:rsidRPr="0055776F" w:rsidRDefault="00DA2798" w:rsidP="0030775D">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78ACE800" w14:textId="77777777" w:rsidR="00DA2798" w:rsidRPr="0055776F" w:rsidRDefault="00DA2798" w:rsidP="0030775D">
                                  <w:pPr>
                                    <w:rPr>
                                      <w:rFonts w:ascii="Arial" w:hAnsi="Arial" w:cs="Arial"/>
                                    </w:rPr>
                                  </w:pPr>
                                  <w:r w:rsidRPr="0055776F">
                                    <w:rPr>
                                      <w:rFonts w:ascii="Arial" w:hAnsi="Arial" w:cs="Arial"/>
                                    </w:rPr>
                                    <w:t>12</w:t>
                                  </w:r>
                                </w:p>
                              </w:tc>
                              <w:tc>
                                <w:tcPr>
                                  <w:tcW w:w="850" w:type="dxa"/>
                                  <w:tcBorders>
                                    <w:bottom w:val="single" w:sz="4" w:space="0" w:color="auto"/>
                                  </w:tcBorders>
                                  <w:shd w:val="clear" w:color="auto" w:fill="auto"/>
                                </w:tcPr>
                                <w:p w14:paraId="1C4D3E64" w14:textId="77777777" w:rsidR="00DA2798" w:rsidRPr="0055776F" w:rsidRDefault="00DA2798" w:rsidP="0030775D">
                                  <w:pPr>
                                    <w:rPr>
                                      <w:rFonts w:ascii="Arial" w:hAnsi="Arial" w:cs="Arial"/>
                                    </w:rPr>
                                  </w:pPr>
                                  <w:r w:rsidRPr="0055776F">
                                    <w:rPr>
                                      <w:rFonts w:ascii="Arial" w:hAnsi="Arial" w:cs="Arial"/>
                                    </w:rPr>
                                    <w:t>186</w:t>
                                  </w:r>
                                </w:p>
                              </w:tc>
                            </w:tr>
                            <w:tr w:rsidR="00DA2798" w:rsidRPr="0055776F" w14:paraId="0A8C889F" w14:textId="77777777" w:rsidTr="004F6388">
                              <w:tc>
                                <w:tcPr>
                                  <w:tcW w:w="817" w:type="dxa"/>
                                  <w:shd w:val="clear" w:color="auto" w:fill="auto"/>
                                </w:tcPr>
                                <w:p w14:paraId="11947207" w14:textId="77777777" w:rsidR="00DA2798" w:rsidRPr="0055776F" w:rsidRDefault="00DA2798" w:rsidP="0030775D">
                                  <w:pPr>
                                    <w:rPr>
                                      <w:rFonts w:ascii="Arial" w:hAnsi="Arial" w:cs="Arial"/>
                                    </w:rPr>
                                  </w:pPr>
                                  <w:r w:rsidRPr="0055776F">
                                    <w:rPr>
                                      <w:rFonts w:ascii="Arial" w:hAnsi="Arial" w:cs="Arial"/>
                                    </w:rPr>
                                    <w:t>│││</w:t>
                                  </w:r>
                                </w:p>
                              </w:tc>
                              <w:tc>
                                <w:tcPr>
                                  <w:tcW w:w="2835" w:type="dxa"/>
                                  <w:shd w:val="clear" w:color="auto" w:fill="auto"/>
                                </w:tcPr>
                                <w:p w14:paraId="06E73A0F" w14:textId="77777777" w:rsidR="00DA2798" w:rsidRPr="0055776F" w:rsidRDefault="00DA2798" w:rsidP="0030775D">
                                  <w:pPr>
                                    <w:rPr>
                                      <w:rFonts w:ascii="Arial" w:hAnsi="Arial" w:cs="Arial"/>
                                    </w:rPr>
                                  </w:pPr>
                                  <w:r w:rsidRPr="00A33DBA">
                                    <w:rPr>
                                      <w:rFonts w:ascii="Arial" w:hAnsi="Arial" w:cs="Arial"/>
                                    </w:rPr>
                                    <w:t>Censore</w:t>
                                  </w:r>
                                  <w:r>
                                    <w:rPr>
                                      <w:rFonts w:ascii="Arial" w:hAnsi="Arial" w:cs="Arial"/>
                                    </w:rPr>
                                    <w:t>rede</w:t>
                                  </w:r>
                                  <w:r w:rsidRPr="00A33DBA">
                                    <w:rPr>
                                      <w:rFonts w:ascii="Arial" w:hAnsi="Arial" w:cs="Arial"/>
                                    </w:rPr>
                                    <w:t xml:space="preserve"> observation</w:t>
                                  </w:r>
                                  <w:r>
                                    <w:rPr>
                                      <w:rFonts w:ascii="Arial" w:hAnsi="Arial" w:cs="Arial"/>
                                    </w:rPr>
                                    <w:t>er</w:t>
                                  </w:r>
                                </w:p>
                              </w:tc>
                              <w:tc>
                                <w:tcPr>
                                  <w:tcW w:w="851" w:type="dxa"/>
                                  <w:tcBorders>
                                    <w:top w:val="single" w:sz="4" w:space="0" w:color="auto"/>
                                  </w:tcBorders>
                                  <w:shd w:val="clear" w:color="auto" w:fill="auto"/>
                                </w:tcPr>
                                <w:p w14:paraId="6FAAF7CF" w14:textId="77777777" w:rsidR="00DA2798" w:rsidRPr="0055776F" w:rsidRDefault="00DA2798" w:rsidP="0030775D">
                                  <w:pPr>
                                    <w:rPr>
                                      <w:rFonts w:ascii="Arial" w:hAnsi="Arial" w:cs="Arial"/>
                                    </w:rPr>
                                  </w:pPr>
                                </w:p>
                              </w:tc>
                              <w:tc>
                                <w:tcPr>
                                  <w:tcW w:w="709" w:type="dxa"/>
                                  <w:tcBorders>
                                    <w:top w:val="single" w:sz="4" w:space="0" w:color="auto"/>
                                  </w:tcBorders>
                                  <w:shd w:val="clear" w:color="auto" w:fill="auto"/>
                                </w:tcPr>
                                <w:p w14:paraId="0CF1C068" w14:textId="77777777" w:rsidR="00DA2798" w:rsidRPr="0055776F" w:rsidRDefault="00DA2798" w:rsidP="0030775D">
                                  <w:pPr>
                                    <w:rPr>
                                      <w:rFonts w:ascii="Arial" w:hAnsi="Arial" w:cs="Arial"/>
                                    </w:rPr>
                                  </w:pPr>
                                </w:p>
                              </w:tc>
                              <w:tc>
                                <w:tcPr>
                                  <w:tcW w:w="850" w:type="dxa"/>
                                  <w:tcBorders>
                                    <w:top w:val="single" w:sz="4" w:space="0" w:color="auto"/>
                                  </w:tcBorders>
                                  <w:shd w:val="clear" w:color="auto" w:fill="auto"/>
                                </w:tcPr>
                                <w:p w14:paraId="316F012A" w14:textId="77777777" w:rsidR="00DA2798" w:rsidRPr="0055776F" w:rsidRDefault="00DA2798" w:rsidP="0030775D">
                                  <w:pPr>
                                    <w:rPr>
                                      <w:rFonts w:ascii="Arial" w:hAnsi="Arial" w:cs="Arial"/>
                                    </w:rPr>
                                  </w:pPr>
                                </w:p>
                              </w:tc>
                            </w:tr>
                          </w:tbl>
                          <w:p w14:paraId="4C61DF81" w14:textId="77777777" w:rsidR="00DA2798" w:rsidRPr="00A33DBA" w:rsidRDefault="00DA2798" w:rsidP="00A573B3">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FE616E" id="_x0000_s1035" type="#_x0000_t202" style="position:absolute;margin-left:27.6pt;margin-top:80.95pt;width:361.0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" filled="f" stroked="f">
                <v:textbox>
                  <w:txbxContent>
                    <w:p w14:paraId="5C4BA2EC" w14:textId="77777777" w:rsidR="00DA2798" w:rsidRDefault="00DA2798" w:rsidP="00A573B3">
                      <w:pPr>
                        <w:rPr>
                          <w:rFonts w:ascii="Arial" w:hAnsi="Arial" w:cs="Arial"/>
                        </w:rPr>
                      </w:pPr>
                    </w:p>
                    <w:tbl>
                      <w:tblPr>
                        <w:tblW w:w="0" w:type="auto"/>
                        <w:tblLook w:val="04A0" w:firstRow="1" w:lastRow="0" w:firstColumn="1" w:lastColumn="0" w:noHBand="0" w:noVBand="1"/>
                      </w:tblPr>
                      <w:tblGrid>
                        <w:gridCol w:w="817"/>
                        <w:gridCol w:w="2835"/>
                        <w:gridCol w:w="851"/>
                        <w:gridCol w:w="709"/>
                        <w:gridCol w:w="850"/>
                      </w:tblGrid>
                      <w:tr w:rsidR="00DA2798" w:rsidRPr="0055776F" w14:paraId="4CE4242C" w14:textId="77777777" w:rsidTr="004F6388">
                        <w:tc>
                          <w:tcPr>
                            <w:tcW w:w="6062" w:type="dxa"/>
                            <w:gridSpan w:val="5"/>
                            <w:shd w:val="clear" w:color="auto" w:fill="auto"/>
                          </w:tcPr>
                          <w:p w14:paraId="5CB60EE0" w14:textId="77777777" w:rsidR="00DA2798" w:rsidRPr="00B5221C" w:rsidRDefault="00DA2798" w:rsidP="0030775D">
                            <w:pPr>
                              <w:rPr>
                                <w:rFonts w:ascii="Arial" w:hAnsi="Arial" w:cs="Arial"/>
                              </w:rPr>
                            </w:pPr>
                            <w:r w:rsidRPr="00B5221C">
                              <w:rPr>
                                <w:rFonts w:ascii="Arial" w:hAnsi="Arial" w:cs="Arial"/>
                              </w:rPr>
                              <w:t>P = 0,019</w:t>
                            </w:r>
                          </w:p>
                          <w:p w14:paraId="4F658ABB" w14:textId="77777777" w:rsidR="00DA2798" w:rsidRPr="00B5221C" w:rsidRDefault="00DA2798" w:rsidP="0030775D">
                            <w:pPr>
                              <w:rPr>
                                <w:rFonts w:ascii="Arial" w:hAnsi="Arial" w:cs="Arial"/>
                              </w:rPr>
                            </w:pPr>
                            <w:r w:rsidRPr="00B5221C">
                              <w:rPr>
                                <w:rFonts w:ascii="Arial" w:hAnsi="Arial" w:cs="Arial"/>
                              </w:rPr>
                              <w:t>Hazard ratio 0,45</w:t>
                            </w:r>
                          </w:p>
                          <w:p w14:paraId="0587FC3B" w14:textId="77777777" w:rsidR="00DA2798" w:rsidRPr="00B5221C" w:rsidRDefault="00DA2798" w:rsidP="0026493E">
                            <w:pPr>
                              <w:rPr>
                                <w:rFonts w:ascii="Arial" w:hAnsi="Arial" w:cs="Arial"/>
                                <w:lang w:val="de-DE"/>
                              </w:rPr>
                            </w:pPr>
                            <w:r w:rsidRPr="00B5221C">
                              <w:rPr>
                                <w:rFonts w:ascii="Arial" w:hAnsi="Arial" w:cs="Arial"/>
                              </w:rPr>
                              <w:t>(95% Cl 0,22</w:t>
                            </w:r>
                            <w:r w:rsidRPr="00B5221C">
                              <w:rPr>
                                <w:rFonts w:ascii="Arial" w:hAnsi="Arial" w:cs="Arial"/>
                              </w:rPr>
                              <w:noBreakHyphen/>
                              <w:t>0,89)</w:t>
                            </w:r>
                          </w:p>
                        </w:tc>
                      </w:tr>
                      <w:tr w:rsidR="00DA2798" w:rsidRPr="0055776F" w14:paraId="1B62DA3B" w14:textId="77777777" w:rsidTr="004F6388">
                        <w:tc>
                          <w:tcPr>
                            <w:tcW w:w="817" w:type="dxa"/>
                            <w:shd w:val="clear" w:color="auto" w:fill="auto"/>
                          </w:tcPr>
                          <w:p w14:paraId="674C836C" w14:textId="77777777" w:rsidR="00DA2798" w:rsidRPr="0055776F" w:rsidRDefault="00DA2798" w:rsidP="0030775D">
                            <w:pPr>
                              <w:rPr>
                                <w:rFonts w:ascii="Arial" w:hAnsi="Arial" w:cs="Arial"/>
                              </w:rPr>
                            </w:pPr>
                          </w:p>
                        </w:tc>
                        <w:tc>
                          <w:tcPr>
                            <w:tcW w:w="2835" w:type="dxa"/>
                            <w:shd w:val="clear" w:color="auto" w:fill="auto"/>
                          </w:tcPr>
                          <w:p w14:paraId="7D5AC576" w14:textId="77777777" w:rsidR="00DA2798" w:rsidRPr="00B5221C" w:rsidRDefault="00DA2798" w:rsidP="0030775D">
                            <w:pPr>
                              <w:rPr>
                                <w:rFonts w:ascii="Arial" w:hAnsi="Arial" w:cs="Arial"/>
                              </w:rPr>
                            </w:pPr>
                          </w:p>
                        </w:tc>
                        <w:tc>
                          <w:tcPr>
                            <w:tcW w:w="851" w:type="dxa"/>
                            <w:tcBorders>
                              <w:bottom w:val="single" w:sz="4" w:space="0" w:color="auto"/>
                            </w:tcBorders>
                            <w:shd w:val="clear" w:color="auto" w:fill="auto"/>
                          </w:tcPr>
                          <w:p w14:paraId="1E562A0B" w14:textId="77777777" w:rsidR="00DA2798" w:rsidRPr="0055776F" w:rsidRDefault="00DA2798" w:rsidP="0030775D">
                            <w:pPr>
                              <w:rPr>
                                <w:rFonts w:ascii="Arial" w:hAnsi="Arial" w:cs="Arial"/>
                              </w:rPr>
                            </w:pPr>
                            <w:r w:rsidRPr="0055776F">
                              <w:rPr>
                                <w:rFonts w:ascii="Arial" w:hAnsi="Arial" w:cs="Arial"/>
                                <w:lang w:val="de-DE"/>
                              </w:rPr>
                              <w:t>N</w:t>
                            </w:r>
                          </w:p>
                        </w:tc>
                        <w:tc>
                          <w:tcPr>
                            <w:tcW w:w="709" w:type="dxa"/>
                            <w:tcBorders>
                              <w:bottom w:val="single" w:sz="4" w:space="0" w:color="auto"/>
                            </w:tcBorders>
                            <w:shd w:val="clear" w:color="auto" w:fill="auto"/>
                          </w:tcPr>
                          <w:p w14:paraId="6A97AA4E" w14:textId="77777777" w:rsidR="00DA2798" w:rsidRPr="0055776F" w:rsidRDefault="00DA2798" w:rsidP="0030775D">
                            <w:pPr>
                              <w:rPr>
                                <w:rFonts w:ascii="Arial" w:hAnsi="Arial" w:cs="Arial"/>
                              </w:rPr>
                            </w:pPr>
                            <w:r w:rsidRPr="0055776F">
                              <w:rPr>
                                <w:rFonts w:ascii="Arial" w:hAnsi="Arial" w:cs="Arial"/>
                                <w:lang w:val="de-DE"/>
                              </w:rPr>
                              <w:t>Evt</w:t>
                            </w:r>
                          </w:p>
                        </w:tc>
                        <w:tc>
                          <w:tcPr>
                            <w:tcW w:w="850" w:type="dxa"/>
                            <w:tcBorders>
                              <w:bottom w:val="single" w:sz="4" w:space="0" w:color="auto"/>
                            </w:tcBorders>
                            <w:shd w:val="clear" w:color="auto" w:fill="auto"/>
                          </w:tcPr>
                          <w:p w14:paraId="576D6905" w14:textId="77777777" w:rsidR="00DA2798" w:rsidRPr="0055776F" w:rsidRDefault="00DA2798" w:rsidP="0030775D">
                            <w:pPr>
                              <w:rPr>
                                <w:rFonts w:ascii="Arial" w:hAnsi="Arial" w:cs="Arial"/>
                              </w:rPr>
                            </w:pPr>
                            <w:r w:rsidRPr="0055776F">
                              <w:rPr>
                                <w:rFonts w:ascii="Arial" w:hAnsi="Arial" w:cs="Arial"/>
                                <w:lang w:val="de-DE"/>
                              </w:rPr>
                              <w:t>Cen</w:t>
                            </w:r>
                          </w:p>
                        </w:tc>
                      </w:tr>
                      <w:tr w:rsidR="00DA2798" w:rsidRPr="0055776F" w14:paraId="6E7C5F7D" w14:textId="77777777" w:rsidTr="004F6388">
                        <w:tc>
                          <w:tcPr>
                            <w:tcW w:w="817" w:type="dxa"/>
                            <w:shd w:val="clear" w:color="auto" w:fill="auto"/>
                          </w:tcPr>
                          <w:p w14:paraId="3A5AD51D" w14:textId="77777777" w:rsidR="00DA2798" w:rsidRPr="0055776F" w:rsidRDefault="00DA2798" w:rsidP="0030775D">
                            <w:pPr>
                              <w:rPr>
                                <w:rFonts w:ascii="Arial" w:hAnsi="Arial" w:cs="Arial"/>
                              </w:rPr>
                            </w:pPr>
                            <w:r w:rsidRPr="0055776F">
                              <w:rPr>
                                <w:rFonts w:ascii="Arial" w:hAnsi="Arial" w:cs="Arial"/>
                                <w:b/>
                              </w:rPr>
                              <w:t>——</w:t>
                            </w:r>
                          </w:p>
                        </w:tc>
                        <w:tc>
                          <w:tcPr>
                            <w:tcW w:w="2835" w:type="dxa"/>
                            <w:shd w:val="clear" w:color="auto" w:fill="auto"/>
                          </w:tcPr>
                          <w:p w14:paraId="49AE7E8B" w14:textId="77777777" w:rsidR="00DA2798" w:rsidRPr="00B5221C" w:rsidRDefault="00DA2798" w:rsidP="0026493E">
                            <w:pPr>
                              <w:rPr>
                                <w:rFonts w:ascii="Arial" w:hAnsi="Arial" w:cs="Arial"/>
                              </w:rPr>
                            </w:pPr>
                            <w:r w:rsidRPr="00B5221C">
                              <w:rPr>
                                <w:rFonts w:ascii="Arial" w:hAnsi="Arial" w:cs="Arial"/>
                              </w:rPr>
                              <w:t>(1) Imatinib 12 mdr.</w:t>
                            </w:r>
                          </w:p>
                        </w:tc>
                        <w:tc>
                          <w:tcPr>
                            <w:tcW w:w="851" w:type="dxa"/>
                            <w:tcBorders>
                              <w:top w:val="single" w:sz="4" w:space="0" w:color="auto"/>
                            </w:tcBorders>
                            <w:shd w:val="clear" w:color="auto" w:fill="auto"/>
                          </w:tcPr>
                          <w:p w14:paraId="46397F80" w14:textId="77777777" w:rsidR="00DA2798" w:rsidRPr="0055776F" w:rsidRDefault="00DA2798" w:rsidP="0030775D">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26DD25A5" w14:textId="77777777" w:rsidR="00DA2798" w:rsidRPr="0055776F" w:rsidRDefault="00DA2798" w:rsidP="0030775D">
                            <w:pPr>
                              <w:rPr>
                                <w:rFonts w:ascii="Arial" w:hAnsi="Arial" w:cs="Arial"/>
                              </w:rPr>
                            </w:pPr>
                            <w:r w:rsidRPr="0055776F">
                              <w:rPr>
                                <w:rFonts w:ascii="Arial" w:hAnsi="Arial" w:cs="Arial"/>
                              </w:rPr>
                              <w:t>25</w:t>
                            </w:r>
                          </w:p>
                        </w:tc>
                        <w:tc>
                          <w:tcPr>
                            <w:tcW w:w="850" w:type="dxa"/>
                            <w:tcBorders>
                              <w:top w:val="single" w:sz="4" w:space="0" w:color="auto"/>
                            </w:tcBorders>
                            <w:shd w:val="clear" w:color="auto" w:fill="auto"/>
                          </w:tcPr>
                          <w:p w14:paraId="0CFA041C" w14:textId="77777777" w:rsidR="00DA2798" w:rsidRPr="0055776F" w:rsidRDefault="00DA2798" w:rsidP="0030775D">
                            <w:pPr>
                              <w:rPr>
                                <w:rFonts w:ascii="Arial" w:hAnsi="Arial" w:cs="Arial"/>
                              </w:rPr>
                            </w:pPr>
                            <w:r w:rsidRPr="0055776F">
                              <w:rPr>
                                <w:rFonts w:ascii="Arial" w:hAnsi="Arial" w:cs="Arial"/>
                              </w:rPr>
                              <w:t>174</w:t>
                            </w:r>
                          </w:p>
                        </w:tc>
                      </w:tr>
                      <w:tr w:rsidR="00DA2798" w:rsidRPr="0055776F" w14:paraId="5A5F3581" w14:textId="77777777" w:rsidTr="004F6388">
                        <w:tc>
                          <w:tcPr>
                            <w:tcW w:w="817" w:type="dxa"/>
                            <w:shd w:val="clear" w:color="auto" w:fill="auto"/>
                          </w:tcPr>
                          <w:p w14:paraId="34683CE4" w14:textId="77777777" w:rsidR="00DA2798" w:rsidRPr="0055776F" w:rsidRDefault="00DA2798" w:rsidP="0030775D">
                            <w:pPr>
                              <w:rPr>
                                <w:rFonts w:ascii="Arial" w:hAnsi="Arial" w:cs="Arial"/>
                              </w:rPr>
                            </w:pPr>
                            <w:r w:rsidRPr="0055776F">
                              <w:rPr>
                                <w:rFonts w:ascii="Arial" w:hAnsi="Arial" w:cs="Arial"/>
                              </w:rPr>
                              <w:t>-----</w:t>
                            </w:r>
                          </w:p>
                        </w:tc>
                        <w:tc>
                          <w:tcPr>
                            <w:tcW w:w="2835" w:type="dxa"/>
                            <w:shd w:val="clear" w:color="auto" w:fill="auto"/>
                          </w:tcPr>
                          <w:p w14:paraId="1DF4C1AF" w14:textId="77777777" w:rsidR="00DA2798" w:rsidRPr="00B5221C" w:rsidRDefault="00DA2798" w:rsidP="0026493E">
                            <w:pPr>
                              <w:rPr>
                                <w:rFonts w:ascii="Arial" w:hAnsi="Arial" w:cs="Arial"/>
                              </w:rPr>
                            </w:pPr>
                            <w:r w:rsidRPr="00B5221C">
                              <w:rPr>
                                <w:rFonts w:ascii="Arial" w:hAnsi="Arial" w:cs="Arial"/>
                              </w:rPr>
                              <w:t>(2) Imatinib 36 mdr.</w:t>
                            </w:r>
                          </w:p>
                        </w:tc>
                        <w:tc>
                          <w:tcPr>
                            <w:tcW w:w="851" w:type="dxa"/>
                            <w:tcBorders>
                              <w:bottom w:val="single" w:sz="4" w:space="0" w:color="auto"/>
                            </w:tcBorders>
                            <w:shd w:val="clear" w:color="auto" w:fill="auto"/>
                          </w:tcPr>
                          <w:p w14:paraId="51B71BA8" w14:textId="77777777" w:rsidR="00DA2798" w:rsidRPr="0055776F" w:rsidRDefault="00DA2798" w:rsidP="0030775D">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78ACE800" w14:textId="77777777" w:rsidR="00DA2798" w:rsidRPr="0055776F" w:rsidRDefault="00DA2798" w:rsidP="0030775D">
                            <w:pPr>
                              <w:rPr>
                                <w:rFonts w:ascii="Arial" w:hAnsi="Arial" w:cs="Arial"/>
                              </w:rPr>
                            </w:pPr>
                            <w:r w:rsidRPr="0055776F">
                              <w:rPr>
                                <w:rFonts w:ascii="Arial" w:hAnsi="Arial" w:cs="Arial"/>
                              </w:rPr>
                              <w:t>12</w:t>
                            </w:r>
                          </w:p>
                        </w:tc>
                        <w:tc>
                          <w:tcPr>
                            <w:tcW w:w="850" w:type="dxa"/>
                            <w:tcBorders>
                              <w:bottom w:val="single" w:sz="4" w:space="0" w:color="auto"/>
                            </w:tcBorders>
                            <w:shd w:val="clear" w:color="auto" w:fill="auto"/>
                          </w:tcPr>
                          <w:p w14:paraId="1C4D3E64" w14:textId="77777777" w:rsidR="00DA2798" w:rsidRPr="0055776F" w:rsidRDefault="00DA2798" w:rsidP="0030775D">
                            <w:pPr>
                              <w:rPr>
                                <w:rFonts w:ascii="Arial" w:hAnsi="Arial" w:cs="Arial"/>
                              </w:rPr>
                            </w:pPr>
                            <w:r w:rsidRPr="0055776F">
                              <w:rPr>
                                <w:rFonts w:ascii="Arial" w:hAnsi="Arial" w:cs="Arial"/>
                              </w:rPr>
                              <w:t>186</w:t>
                            </w:r>
                          </w:p>
                        </w:tc>
                      </w:tr>
                      <w:tr w:rsidR="00DA2798" w:rsidRPr="0055776F" w14:paraId="0A8C889F" w14:textId="77777777" w:rsidTr="004F6388">
                        <w:tc>
                          <w:tcPr>
                            <w:tcW w:w="817" w:type="dxa"/>
                            <w:shd w:val="clear" w:color="auto" w:fill="auto"/>
                          </w:tcPr>
                          <w:p w14:paraId="11947207" w14:textId="77777777" w:rsidR="00DA2798" w:rsidRPr="0055776F" w:rsidRDefault="00DA2798" w:rsidP="0030775D">
                            <w:pPr>
                              <w:rPr>
                                <w:rFonts w:ascii="Arial" w:hAnsi="Arial" w:cs="Arial"/>
                              </w:rPr>
                            </w:pPr>
                            <w:r w:rsidRPr="0055776F">
                              <w:rPr>
                                <w:rFonts w:ascii="Arial" w:hAnsi="Arial" w:cs="Arial"/>
                              </w:rPr>
                              <w:t>│││</w:t>
                            </w:r>
                          </w:p>
                        </w:tc>
                        <w:tc>
                          <w:tcPr>
                            <w:tcW w:w="2835" w:type="dxa"/>
                            <w:shd w:val="clear" w:color="auto" w:fill="auto"/>
                          </w:tcPr>
                          <w:p w14:paraId="06E73A0F" w14:textId="77777777" w:rsidR="00DA2798" w:rsidRPr="0055776F" w:rsidRDefault="00DA2798" w:rsidP="0030775D">
                            <w:pPr>
                              <w:rPr>
                                <w:rFonts w:ascii="Arial" w:hAnsi="Arial" w:cs="Arial"/>
                              </w:rPr>
                            </w:pPr>
                            <w:r w:rsidRPr="00A33DBA">
                              <w:rPr>
                                <w:rFonts w:ascii="Arial" w:hAnsi="Arial" w:cs="Arial"/>
                              </w:rPr>
                              <w:t>Censore</w:t>
                            </w:r>
                            <w:r>
                              <w:rPr>
                                <w:rFonts w:ascii="Arial" w:hAnsi="Arial" w:cs="Arial"/>
                              </w:rPr>
                              <w:t>rede</w:t>
                            </w:r>
                            <w:r w:rsidRPr="00A33DBA">
                              <w:rPr>
                                <w:rFonts w:ascii="Arial" w:hAnsi="Arial" w:cs="Arial"/>
                              </w:rPr>
                              <w:t xml:space="preserve"> observation</w:t>
                            </w:r>
                            <w:r>
                              <w:rPr>
                                <w:rFonts w:ascii="Arial" w:hAnsi="Arial" w:cs="Arial"/>
                              </w:rPr>
                              <w:t>er</w:t>
                            </w:r>
                          </w:p>
                        </w:tc>
                        <w:tc>
                          <w:tcPr>
                            <w:tcW w:w="851" w:type="dxa"/>
                            <w:tcBorders>
                              <w:top w:val="single" w:sz="4" w:space="0" w:color="auto"/>
                            </w:tcBorders>
                            <w:shd w:val="clear" w:color="auto" w:fill="auto"/>
                          </w:tcPr>
                          <w:p w14:paraId="6FAAF7CF" w14:textId="77777777" w:rsidR="00DA2798" w:rsidRPr="0055776F" w:rsidRDefault="00DA2798" w:rsidP="0030775D">
                            <w:pPr>
                              <w:rPr>
                                <w:rFonts w:ascii="Arial" w:hAnsi="Arial" w:cs="Arial"/>
                              </w:rPr>
                            </w:pPr>
                          </w:p>
                        </w:tc>
                        <w:tc>
                          <w:tcPr>
                            <w:tcW w:w="709" w:type="dxa"/>
                            <w:tcBorders>
                              <w:top w:val="single" w:sz="4" w:space="0" w:color="auto"/>
                            </w:tcBorders>
                            <w:shd w:val="clear" w:color="auto" w:fill="auto"/>
                          </w:tcPr>
                          <w:p w14:paraId="0CF1C068" w14:textId="77777777" w:rsidR="00DA2798" w:rsidRPr="0055776F" w:rsidRDefault="00DA2798" w:rsidP="0030775D">
                            <w:pPr>
                              <w:rPr>
                                <w:rFonts w:ascii="Arial" w:hAnsi="Arial" w:cs="Arial"/>
                              </w:rPr>
                            </w:pPr>
                          </w:p>
                        </w:tc>
                        <w:tc>
                          <w:tcPr>
                            <w:tcW w:w="850" w:type="dxa"/>
                            <w:tcBorders>
                              <w:top w:val="single" w:sz="4" w:space="0" w:color="auto"/>
                            </w:tcBorders>
                            <w:shd w:val="clear" w:color="auto" w:fill="auto"/>
                          </w:tcPr>
                          <w:p w14:paraId="316F012A" w14:textId="77777777" w:rsidR="00DA2798" w:rsidRPr="0055776F" w:rsidRDefault="00DA2798" w:rsidP="0030775D">
                            <w:pPr>
                              <w:rPr>
                                <w:rFonts w:ascii="Arial" w:hAnsi="Arial" w:cs="Arial"/>
                              </w:rPr>
                            </w:pPr>
                          </w:p>
                        </w:tc>
                      </w:tr>
                    </w:tbl>
                    <w:p w14:paraId="4C61DF81" w14:textId="77777777" w:rsidR="00DA2798" w:rsidRPr="00A33DBA" w:rsidRDefault="00DA2798" w:rsidP="00A573B3">
                      <w:pPr>
                        <w:rPr>
                          <w:rFonts w:ascii="Arial" w:hAnsi="Arial" w:cs="Arial"/>
                        </w:rPr>
                      </w:pPr>
                    </w:p>
                  </w:txbxContent>
                </v:textbox>
              </v:shape>
            </w:pict>
          </mc:Fallback>
        </mc:AlternateContent>
      </w:r>
      <w:r w:rsidRPr="004C2A59">
        <w:rPr>
          <w:noProof/>
          <w:lang w:val="en-GB" w:eastAsia="en-GB"/>
        </w:rPr>
        <mc:AlternateContent>
          <mc:Choice Requires="wps">
            <w:drawing>
              <wp:anchor distT="0" distB="0" distL="114300" distR="114300" simplePos="0" relativeHeight="251661312" behindDoc="0" locked="0" layoutInCell="1" allowOverlap="1" wp14:anchorId="4D97B658" wp14:editId="503B20B0">
                <wp:simplePos x="0" y="0"/>
                <wp:positionH relativeFrom="column">
                  <wp:posOffset>-302895</wp:posOffset>
                </wp:positionH>
                <wp:positionV relativeFrom="paragraph">
                  <wp:posOffset>29845</wp:posOffset>
                </wp:positionV>
                <wp:extent cx="335915" cy="22326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98FBA" w14:textId="77777777" w:rsidR="00DA2798" w:rsidRPr="00A33DBA" w:rsidRDefault="00DA2798" w:rsidP="00A573B3">
                            <w:pPr>
                              <w:rPr>
                                <w:rFonts w:ascii="Arial" w:hAnsi="Arial" w:cs="Arial"/>
                              </w:rPr>
                            </w:pPr>
                            <w:r>
                              <w:rPr>
                                <w:rFonts w:ascii="Arial" w:hAnsi="Arial" w:cs="Arial"/>
                              </w:rPr>
                              <w:t>Sandsynlighed for</w:t>
                            </w:r>
                            <w:r w:rsidRPr="00A33DBA">
                              <w:rPr>
                                <w:rFonts w:ascii="Arial" w:hAnsi="Arial" w:cs="Arial"/>
                              </w:rPr>
                              <w:t xml:space="preserve"> overall survival</w:t>
                            </w:r>
                          </w:p>
                          <w:p w14:paraId="2DABC536" w14:textId="77777777" w:rsidR="00DA2798" w:rsidRPr="00A33DBA" w:rsidRDefault="00DA2798" w:rsidP="00A573B3">
                            <w:pPr>
                              <w:rPr>
                                <w:rFonts w:ascii="Arial" w:hAnsi="Arial" w:cs="Arial"/>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97B658" id="_x0000_s1036" type="#_x0000_t202" style="position:absolute;margin-left:-23.85pt;margin-top:2.35pt;width:26.45pt;height:17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" stroked="f">
                <v:fill opacity="0"/>
                <v:textbox style="layout-flow:vertical;mso-layout-flow-alt:bottom-to-top">
                  <w:txbxContent>
                    <w:p w14:paraId="56198FBA" w14:textId="77777777" w:rsidR="00DA2798" w:rsidRPr="00A33DBA" w:rsidRDefault="00DA2798" w:rsidP="00A573B3">
                      <w:pPr>
                        <w:rPr>
                          <w:rFonts w:ascii="Arial" w:hAnsi="Arial" w:cs="Arial"/>
                        </w:rPr>
                      </w:pPr>
                      <w:r>
                        <w:rPr>
                          <w:rFonts w:ascii="Arial" w:hAnsi="Arial" w:cs="Arial"/>
                        </w:rPr>
                        <w:t>Sandsynlighed for</w:t>
                      </w:r>
                      <w:r w:rsidRPr="00A33DBA">
                        <w:rPr>
                          <w:rFonts w:ascii="Arial" w:hAnsi="Arial" w:cs="Arial"/>
                        </w:rPr>
                        <w:t xml:space="preserve"> overall survival</w:t>
                      </w:r>
                    </w:p>
                    <w:p w14:paraId="2DABC536" w14:textId="77777777" w:rsidR="00DA2798" w:rsidRPr="00A33DBA" w:rsidRDefault="00DA2798" w:rsidP="00A573B3">
                      <w:pPr>
                        <w:rPr>
                          <w:rFonts w:ascii="Arial" w:hAnsi="Arial" w:cs="Arial"/>
                        </w:rPr>
                      </w:pPr>
                    </w:p>
                  </w:txbxContent>
                </v:textbox>
              </v:shape>
            </w:pict>
          </mc:Fallback>
        </mc:AlternateContent>
      </w:r>
      <w:r w:rsidRPr="004C2A59">
        <w:rPr>
          <w:noProof/>
          <w:lang w:val="en-GB" w:eastAsia="en-GB"/>
        </w:rPr>
        <w:drawing>
          <wp:inline distT="0" distB="0" distL="0" distR="0" wp14:anchorId="0761EE29" wp14:editId="52FA55CA">
            <wp:extent cx="5947410" cy="26320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1923B459" w14:textId="77777777" w:rsidR="00A573B3" w:rsidRPr="004C2A59" w:rsidRDefault="00127CCC" w:rsidP="00421681">
      <w:pPr>
        <w:rPr>
          <w:noProof/>
          <w:sz w:val="22"/>
          <w:szCs w:val="22"/>
        </w:rPr>
      </w:pPr>
      <w:r w:rsidRPr="004C2A59">
        <w:rPr>
          <w:noProof/>
          <w:lang w:val="en-GB" w:eastAsia="en-GB"/>
        </w:rPr>
        <mc:AlternateContent>
          <mc:Choice Requires="wps">
            <w:drawing>
              <wp:anchor distT="0" distB="0" distL="114300" distR="114300" simplePos="0" relativeHeight="251662336" behindDoc="0" locked="0" layoutInCell="1" allowOverlap="1" wp14:anchorId="68B9F761" wp14:editId="41542BA4">
                <wp:simplePos x="0" y="0"/>
                <wp:positionH relativeFrom="column">
                  <wp:posOffset>2320290</wp:posOffset>
                </wp:positionH>
                <wp:positionV relativeFrom="paragraph">
                  <wp:posOffset>45720</wp:posOffset>
                </wp:positionV>
                <wp:extent cx="1619250" cy="2197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19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4A5A20" w14:textId="77777777" w:rsidR="00DA2798" w:rsidRPr="00A33DBA" w:rsidRDefault="00DA2798" w:rsidP="00A573B3">
                            <w:pPr>
                              <w:rPr>
                                <w:rFonts w:ascii="Arial" w:hAnsi="Arial" w:cs="Arial"/>
                              </w:rPr>
                            </w:pPr>
                            <w:r>
                              <w:rPr>
                                <w:rFonts w:ascii="Arial" w:hAnsi="Arial" w:cs="Arial"/>
                                <w:lang w:val="de-DE"/>
                              </w:rPr>
                              <w:t>Overlevelse i måneder</w:t>
                            </w:r>
                          </w:p>
                          <w:p w14:paraId="237054C5" w14:textId="77777777" w:rsidR="00DA2798" w:rsidRPr="00A33DBA" w:rsidRDefault="00DA2798" w:rsidP="00A573B3">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B9F761" id="_x0000_s1037" type="#_x0000_t202" style="position:absolute;margin-left:182.7pt;margin-top:3.6pt;width:127.5pt;height:1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" stroked="f">
                <v:fill opacity="0"/>
                <v:textbox>
                  <w:txbxContent>
                    <w:p w14:paraId="344A5A20" w14:textId="77777777" w:rsidR="00DA2798" w:rsidRPr="00A33DBA" w:rsidRDefault="00DA2798" w:rsidP="00A573B3">
                      <w:pPr>
                        <w:rPr>
                          <w:rFonts w:ascii="Arial" w:hAnsi="Arial" w:cs="Arial"/>
                        </w:rPr>
                      </w:pPr>
                      <w:r>
                        <w:rPr>
                          <w:rFonts w:ascii="Arial" w:hAnsi="Arial" w:cs="Arial"/>
                          <w:lang w:val="de-DE"/>
                        </w:rPr>
                        <w:t>Overlevelse i måneder</w:t>
                      </w:r>
                    </w:p>
                    <w:p w14:paraId="237054C5" w14:textId="77777777" w:rsidR="00DA2798" w:rsidRPr="00A33DBA" w:rsidRDefault="00DA2798" w:rsidP="00A573B3">
                      <w:pPr>
                        <w:rPr>
                          <w:rFonts w:ascii="Arial" w:hAnsi="Arial" w:cs="Arial"/>
                        </w:rPr>
                      </w:pPr>
                    </w:p>
                  </w:txbxContent>
                </v:textbox>
              </v:shape>
            </w:pict>
          </mc:Fallback>
        </mc:AlternateContent>
      </w:r>
    </w:p>
    <w:p w14:paraId="09CA83D7" w14:textId="77777777" w:rsidR="00A573B3" w:rsidRPr="004C2A59" w:rsidRDefault="00A573B3" w:rsidP="00421681">
      <w:pPr>
        <w:rPr>
          <w:noProof/>
          <w:sz w:val="22"/>
          <w:szCs w:val="22"/>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A573B3" w:rsidRPr="004C2A59" w14:paraId="16253342" w14:textId="77777777" w:rsidTr="001F01A9">
        <w:tc>
          <w:tcPr>
            <w:tcW w:w="10632" w:type="dxa"/>
            <w:gridSpan w:val="16"/>
            <w:shd w:val="clear" w:color="auto" w:fill="auto"/>
          </w:tcPr>
          <w:p w14:paraId="393089DA" w14:textId="77777777" w:rsidR="00A573B3" w:rsidRPr="004C2A59" w:rsidRDefault="00A573B3" w:rsidP="00421681">
            <w:pPr>
              <w:ind w:left="-27"/>
              <w:rPr>
                <w:rFonts w:ascii="Arial" w:hAnsi="Arial" w:cs="Arial"/>
                <w:sz w:val="16"/>
                <w:szCs w:val="16"/>
              </w:rPr>
            </w:pPr>
            <w:r w:rsidRPr="004C2A59">
              <w:rPr>
                <w:rFonts w:ascii="Arial" w:hAnsi="Arial" w:cs="Arial"/>
              </w:rPr>
              <w:t>Risiko : Tilfælde</w:t>
            </w:r>
          </w:p>
        </w:tc>
      </w:tr>
      <w:tr w:rsidR="00A573B3" w:rsidRPr="004C2A59" w14:paraId="129D2963" w14:textId="77777777" w:rsidTr="001F01A9">
        <w:tc>
          <w:tcPr>
            <w:tcW w:w="450" w:type="dxa"/>
            <w:shd w:val="clear" w:color="auto" w:fill="auto"/>
          </w:tcPr>
          <w:p w14:paraId="2C2C3442" w14:textId="77777777" w:rsidR="00A573B3" w:rsidRPr="004C2A59" w:rsidRDefault="00A573B3" w:rsidP="00421681">
            <w:r w:rsidRPr="004C2A59">
              <w:t>(1)</w:t>
            </w:r>
          </w:p>
        </w:tc>
        <w:tc>
          <w:tcPr>
            <w:tcW w:w="687" w:type="dxa"/>
            <w:shd w:val="clear" w:color="auto" w:fill="auto"/>
          </w:tcPr>
          <w:p w14:paraId="36DD942E" w14:textId="77777777" w:rsidR="00A573B3" w:rsidRPr="004C2A59" w:rsidRDefault="00A573B3" w:rsidP="00421681">
            <w:pPr>
              <w:ind w:left="-45"/>
            </w:pPr>
            <w:r w:rsidRPr="004C2A59">
              <w:t>199:0</w:t>
            </w:r>
          </w:p>
        </w:tc>
        <w:tc>
          <w:tcPr>
            <w:tcW w:w="670" w:type="dxa"/>
            <w:shd w:val="clear" w:color="auto" w:fill="auto"/>
          </w:tcPr>
          <w:p w14:paraId="6D8A7822" w14:textId="77777777" w:rsidR="00A573B3" w:rsidRPr="004C2A59" w:rsidRDefault="00A573B3" w:rsidP="00421681">
            <w:pPr>
              <w:ind w:left="-45"/>
            </w:pPr>
            <w:r w:rsidRPr="004C2A59">
              <w:t>190:2</w:t>
            </w:r>
          </w:p>
        </w:tc>
        <w:tc>
          <w:tcPr>
            <w:tcW w:w="710" w:type="dxa"/>
            <w:shd w:val="clear" w:color="auto" w:fill="auto"/>
          </w:tcPr>
          <w:p w14:paraId="742F9EDE" w14:textId="77777777" w:rsidR="00A573B3" w:rsidRPr="004C2A59" w:rsidRDefault="00A573B3" w:rsidP="00421681">
            <w:pPr>
              <w:ind w:left="-45"/>
            </w:pPr>
            <w:r w:rsidRPr="004C2A59">
              <w:t>188:2</w:t>
            </w:r>
          </w:p>
        </w:tc>
        <w:tc>
          <w:tcPr>
            <w:tcW w:w="717" w:type="dxa"/>
            <w:shd w:val="clear" w:color="auto" w:fill="auto"/>
          </w:tcPr>
          <w:p w14:paraId="61EEA7DA" w14:textId="77777777" w:rsidR="00A573B3" w:rsidRPr="004C2A59" w:rsidRDefault="00A573B3" w:rsidP="00421681">
            <w:pPr>
              <w:ind w:left="-45"/>
            </w:pPr>
            <w:r w:rsidRPr="004C2A59">
              <w:t>183:6</w:t>
            </w:r>
          </w:p>
        </w:tc>
        <w:tc>
          <w:tcPr>
            <w:tcW w:w="691" w:type="dxa"/>
            <w:shd w:val="clear" w:color="auto" w:fill="auto"/>
          </w:tcPr>
          <w:p w14:paraId="1BAA441E" w14:textId="77777777" w:rsidR="00A573B3" w:rsidRPr="004C2A59" w:rsidRDefault="00A573B3" w:rsidP="00421681">
            <w:pPr>
              <w:ind w:left="-45"/>
            </w:pPr>
            <w:r w:rsidRPr="004C2A59">
              <w:t>176:8</w:t>
            </w:r>
          </w:p>
        </w:tc>
        <w:tc>
          <w:tcPr>
            <w:tcW w:w="770" w:type="dxa"/>
            <w:shd w:val="clear" w:color="auto" w:fill="auto"/>
          </w:tcPr>
          <w:p w14:paraId="6E03F848" w14:textId="77777777" w:rsidR="00A573B3" w:rsidRPr="004C2A59" w:rsidRDefault="00A573B3" w:rsidP="00421681">
            <w:pPr>
              <w:ind w:left="-45"/>
            </w:pPr>
            <w:r w:rsidRPr="004C2A59">
              <w:t>156:10</w:t>
            </w:r>
          </w:p>
        </w:tc>
        <w:tc>
          <w:tcPr>
            <w:tcW w:w="779" w:type="dxa"/>
            <w:shd w:val="clear" w:color="auto" w:fill="auto"/>
          </w:tcPr>
          <w:p w14:paraId="2958C3A4" w14:textId="77777777" w:rsidR="00A573B3" w:rsidRPr="004C2A59" w:rsidRDefault="00A573B3" w:rsidP="00421681">
            <w:pPr>
              <w:ind w:left="-45"/>
            </w:pPr>
            <w:r w:rsidRPr="004C2A59">
              <w:t>140:11</w:t>
            </w:r>
          </w:p>
        </w:tc>
        <w:tc>
          <w:tcPr>
            <w:tcW w:w="794" w:type="dxa"/>
            <w:shd w:val="clear" w:color="auto" w:fill="auto"/>
          </w:tcPr>
          <w:p w14:paraId="4D562A31" w14:textId="77777777" w:rsidR="00A573B3" w:rsidRPr="004C2A59" w:rsidRDefault="00A573B3" w:rsidP="00421681">
            <w:pPr>
              <w:ind w:left="-45"/>
            </w:pPr>
            <w:r w:rsidRPr="004C2A59">
              <w:t>105:14</w:t>
            </w:r>
          </w:p>
        </w:tc>
        <w:tc>
          <w:tcPr>
            <w:tcW w:w="653" w:type="dxa"/>
            <w:shd w:val="clear" w:color="auto" w:fill="auto"/>
          </w:tcPr>
          <w:p w14:paraId="7D9D7BCE" w14:textId="77777777" w:rsidR="00A573B3" w:rsidRPr="004C2A59" w:rsidRDefault="00A573B3" w:rsidP="00421681">
            <w:pPr>
              <w:ind w:left="-45"/>
            </w:pPr>
            <w:r w:rsidRPr="004C2A59">
              <w:t>87:18</w:t>
            </w:r>
          </w:p>
        </w:tc>
        <w:tc>
          <w:tcPr>
            <w:tcW w:w="630" w:type="dxa"/>
            <w:shd w:val="clear" w:color="auto" w:fill="auto"/>
          </w:tcPr>
          <w:p w14:paraId="1DA37E28" w14:textId="77777777" w:rsidR="00A573B3" w:rsidRPr="004C2A59" w:rsidRDefault="00A573B3" w:rsidP="00421681">
            <w:pPr>
              <w:ind w:left="-45"/>
            </w:pPr>
            <w:r w:rsidRPr="004C2A59">
              <w:t>64:22</w:t>
            </w:r>
          </w:p>
        </w:tc>
        <w:tc>
          <w:tcPr>
            <w:tcW w:w="643" w:type="dxa"/>
            <w:shd w:val="clear" w:color="auto" w:fill="auto"/>
          </w:tcPr>
          <w:p w14:paraId="242B82CC" w14:textId="77777777" w:rsidR="00A573B3" w:rsidRPr="004C2A59" w:rsidRDefault="00A573B3" w:rsidP="00421681">
            <w:pPr>
              <w:ind w:left="-45"/>
            </w:pPr>
            <w:r w:rsidRPr="004C2A59">
              <w:t>46:23</w:t>
            </w:r>
          </w:p>
        </w:tc>
        <w:tc>
          <w:tcPr>
            <w:tcW w:w="670" w:type="dxa"/>
            <w:shd w:val="clear" w:color="auto" w:fill="auto"/>
          </w:tcPr>
          <w:p w14:paraId="3445A3C7" w14:textId="77777777" w:rsidR="00A573B3" w:rsidRPr="004C2A59" w:rsidRDefault="00A573B3" w:rsidP="00421681">
            <w:pPr>
              <w:ind w:left="-45"/>
            </w:pPr>
            <w:r w:rsidRPr="004C2A59">
              <w:t>27:25</w:t>
            </w:r>
          </w:p>
        </w:tc>
        <w:tc>
          <w:tcPr>
            <w:tcW w:w="683" w:type="dxa"/>
            <w:shd w:val="clear" w:color="auto" w:fill="auto"/>
          </w:tcPr>
          <w:p w14:paraId="6EA8D0B2" w14:textId="77777777" w:rsidR="00A573B3" w:rsidRPr="004C2A59" w:rsidRDefault="00A573B3" w:rsidP="00421681">
            <w:pPr>
              <w:ind w:left="-45"/>
            </w:pPr>
            <w:r w:rsidRPr="004C2A59">
              <w:t>20:25</w:t>
            </w:r>
          </w:p>
        </w:tc>
        <w:tc>
          <w:tcPr>
            <w:tcW w:w="558" w:type="dxa"/>
            <w:shd w:val="clear" w:color="auto" w:fill="auto"/>
          </w:tcPr>
          <w:p w14:paraId="5D5B40D6" w14:textId="77777777" w:rsidR="00A573B3" w:rsidRPr="004C2A59" w:rsidRDefault="00A573B3" w:rsidP="00421681">
            <w:pPr>
              <w:ind w:left="-45"/>
            </w:pPr>
            <w:r w:rsidRPr="004C2A59">
              <w:t>2:25</w:t>
            </w:r>
          </w:p>
        </w:tc>
        <w:tc>
          <w:tcPr>
            <w:tcW w:w="527" w:type="dxa"/>
            <w:shd w:val="clear" w:color="auto" w:fill="auto"/>
          </w:tcPr>
          <w:p w14:paraId="10D33B78" w14:textId="77777777" w:rsidR="00A573B3" w:rsidRPr="004C2A59" w:rsidRDefault="00A573B3" w:rsidP="00421681">
            <w:pPr>
              <w:ind w:left="-45"/>
            </w:pPr>
            <w:r w:rsidRPr="004C2A59">
              <w:t>0:25</w:t>
            </w:r>
          </w:p>
        </w:tc>
      </w:tr>
      <w:tr w:rsidR="00A573B3" w:rsidRPr="004C2A59" w14:paraId="238D931F" w14:textId="77777777" w:rsidTr="001F01A9">
        <w:tc>
          <w:tcPr>
            <w:tcW w:w="450" w:type="dxa"/>
            <w:shd w:val="clear" w:color="auto" w:fill="auto"/>
          </w:tcPr>
          <w:p w14:paraId="324976AF" w14:textId="77777777" w:rsidR="00A573B3" w:rsidRPr="004C2A59" w:rsidRDefault="00A573B3" w:rsidP="00421681">
            <w:r w:rsidRPr="004C2A59">
              <w:t>(2)</w:t>
            </w:r>
          </w:p>
        </w:tc>
        <w:tc>
          <w:tcPr>
            <w:tcW w:w="687" w:type="dxa"/>
            <w:shd w:val="clear" w:color="auto" w:fill="auto"/>
          </w:tcPr>
          <w:p w14:paraId="475AE87F" w14:textId="77777777" w:rsidR="00A573B3" w:rsidRPr="004C2A59" w:rsidRDefault="00A573B3" w:rsidP="00421681">
            <w:pPr>
              <w:ind w:left="-45"/>
            </w:pPr>
            <w:r w:rsidRPr="004C2A59">
              <w:t>198:0</w:t>
            </w:r>
          </w:p>
        </w:tc>
        <w:tc>
          <w:tcPr>
            <w:tcW w:w="670" w:type="dxa"/>
            <w:shd w:val="clear" w:color="auto" w:fill="auto"/>
          </w:tcPr>
          <w:p w14:paraId="05963093" w14:textId="77777777" w:rsidR="00A573B3" w:rsidRPr="004C2A59" w:rsidRDefault="00A573B3" w:rsidP="00421681">
            <w:pPr>
              <w:ind w:left="-45"/>
            </w:pPr>
            <w:r w:rsidRPr="004C2A59">
              <w:t>196:0</w:t>
            </w:r>
          </w:p>
        </w:tc>
        <w:tc>
          <w:tcPr>
            <w:tcW w:w="710" w:type="dxa"/>
            <w:shd w:val="clear" w:color="auto" w:fill="auto"/>
          </w:tcPr>
          <w:p w14:paraId="6DD2221C" w14:textId="77777777" w:rsidR="00A573B3" w:rsidRPr="004C2A59" w:rsidRDefault="00A573B3" w:rsidP="00421681">
            <w:pPr>
              <w:ind w:left="-45"/>
            </w:pPr>
            <w:r w:rsidRPr="004C2A59">
              <w:t>192:0</w:t>
            </w:r>
          </w:p>
        </w:tc>
        <w:tc>
          <w:tcPr>
            <w:tcW w:w="717" w:type="dxa"/>
            <w:shd w:val="clear" w:color="auto" w:fill="auto"/>
          </w:tcPr>
          <w:p w14:paraId="31737A8B" w14:textId="77777777" w:rsidR="00A573B3" w:rsidRPr="004C2A59" w:rsidRDefault="00A573B3" w:rsidP="00421681">
            <w:pPr>
              <w:ind w:left="-45"/>
            </w:pPr>
            <w:r w:rsidRPr="004C2A59">
              <w:t>187:4</w:t>
            </w:r>
          </w:p>
        </w:tc>
        <w:tc>
          <w:tcPr>
            <w:tcW w:w="691" w:type="dxa"/>
            <w:shd w:val="clear" w:color="auto" w:fill="auto"/>
          </w:tcPr>
          <w:p w14:paraId="3630EF67" w14:textId="77777777" w:rsidR="00A573B3" w:rsidRPr="004C2A59" w:rsidRDefault="00A573B3" w:rsidP="00421681">
            <w:pPr>
              <w:ind w:left="-45"/>
            </w:pPr>
            <w:r w:rsidRPr="004C2A59">
              <w:t>184:5</w:t>
            </w:r>
          </w:p>
        </w:tc>
        <w:tc>
          <w:tcPr>
            <w:tcW w:w="770" w:type="dxa"/>
            <w:shd w:val="clear" w:color="auto" w:fill="auto"/>
          </w:tcPr>
          <w:p w14:paraId="0E5D1225" w14:textId="77777777" w:rsidR="00A573B3" w:rsidRPr="004C2A59" w:rsidRDefault="00A573B3" w:rsidP="00421681">
            <w:pPr>
              <w:ind w:left="-45"/>
            </w:pPr>
            <w:r w:rsidRPr="004C2A59">
              <w:t>164:7</w:t>
            </w:r>
          </w:p>
        </w:tc>
        <w:tc>
          <w:tcPr>
            <w:tcW w:w="779" w:type="dxa"/>
            <w:shd w:val="clear" w:color="auto" w:fill="auto"/>
          </w:tcPr>
          <w:p w14:paraId="238DD31C" w14:textId="77777777" w:rsidR="00A573B3" w:rsidRPr="004C2A59" w:rsidRDefault="00A573B3" w:rsidP="00421681">
            <w:pPr>
              <w:ind w:left="-45"/>
            </w:pPr>
            <w:r w:rsidRPr="004C2A59">
              <w:t>152:7</w:t>
            </w:r>
          </w:p>
        </w:tc>
        <w:tc>
          <w:tcPr>
            <w:tcW w:w="794" w:type="dxa"/>
            <w:shd w:val="clear" w:color="auto" w:fill="auto"/>
          </w:tcPr>
          <w:p w14:paraId="12E89F75" w14:textId="77777777" w:rsidR="00A573B3" w:rsidRPr="004C2A59" w:rsidRDefault="00A573B3" w:rsidP="00421681">
            <w:pPr>
              <w:ind w:left="-45"/>
            </w:pPr>
            <w:r w:rsidRPr="004C2A59">
              <w:t>119:8</w:t>
            </w:r>
          </w:p>
        </w:tc>
        <w:tc>
          <w:tcPr>
            <w:tcW w:w="653" w:type="dxa"/>
            <w:shd w:val="clear" w:color="auto" w:fill="auto"/>
          </w:tcPr>
          <w:p w14:paraId="013A0D85" w14:textId="77777777" w:rsidR="00A573B3" w:rsidRPr="004C2A59" w:rsidRDefault="00A573B3" w:rsidP="00421681">
            <w:pPr>
              <w:ind w:left="-45"/>
            </w:pPr>
            <w:r w:rsidRPr="004C2A59">
              <w:t>100:8</w:t>
            </w:r>
          </w:p>
        </w:tc>
        <w:tc>
          <w:tcPr>
            <w:tcW w:w="630" w:type="dxa"/>
            <w:shd w:val="clear" w:color="auto" w:fill="auto"/>
          </w:tcPr>
          <w:p w14:paraId="2B255BC5" w14:textId="77777777" w:rsidR="00A573B3" w:rsidRPr="004C2A59" w:rsidRDefault="00A573B3" w:rsidP="00421681">
            <w:pPr>
              <w:ind w:left="-45"/>
            </w:pPr>
            <w:r w:rsidRPr="004C2A59">
              <w:t>76:10</w:t>
            </w:r>
          </w:p>
        </w:tc>
        <w:tc>
          <w:tcPr>
            <w:tcW w:w="643" w:type="dxa"/>
            <w:shd w:val="clear" w:color="auto" w:fill="auto"/>
          </w:tcPr>
          <w:p w14:paraId="533E4DBD" w14:textId="77777777" w:rsidR="00A573B3" w:rsidRPr="004C2A59" w:rsidRDefault="00A573B3" w:rsidP="00421681">
            <w:pPr>
              <w:ind w:left="-45"/>
            </w:pPr>
            <w:r w:rsidRPr="004C2A59">
              <w:t>56:11</w:t>
            </w:r>
          </w:p>
        </w:tc>
        <w:tc>
          <w:tcPr>
            <w:tcW w:w="670" w:type="dxa"/>
            <w:shd w:val="clear" w:color="auto" w:fill="auto"/>
          </w:tcPr>
          <w:p w14:paraId="18392158" w14:textId="77777777" w:rsidR="00A573B3" w:rsidRPr="004C2A59" w:rsidRDefault="00A573B3" w:rsidP="00421681">
            <w:pPr>
              <w:ind w:left="-45"/>
            </w:pPr>
            <w:r w:rsidRPr="004C2A59">
              <w:t>31:11</w:t>
            </w:r>
          </w:p>
        </w:tc>
        <w:tc>
          <w:tcPr>
            <w:tcW w:w="683" w:type="dxa"/>
            <w:shd w:val="clear" w:color="auto" w:fill="auto"/>
          </w:tcPr>
          <w:p w14:paraId="62C0E84F" w14:textId="77777777" w:rsidR="00A573B3" w:rsidRPr="004C2A59" w:rsidRDefault="00A573B3" w:rsidP="00421681">
            <w:pPr>
              <w:ind w:left="-45"/>
            </w:pPr>
            <w:r w:rsidRPr="004C2A59">
              <w:t>13:12</w:t>
            </w:r>
          </w:p>
        </w:tc>
        <w:tc>
          <w:tcPr>
            <w:tcW w:w="558" w:type="dxa"/>
            <w:shd w:val="clear" w:color="auto" w:fill="auto"/>
          </w:tcPr>
          <w:p w14:paraId="1D9D1982" w14:textId="77777777" w:rsidR="00A573B3" w:rsidRPr="004C2A59" w:rsidRDefault="00A573B3" w:rsidP="00421681">
            <w:pPr>
              <w:ind w:left="-45"/>
            </w:pPr>
            <w:r w:rsidRPr="004C2A59">
              <w:t>0:12</w:t>
            </w:r>
          </w:p>
        </w:tc>
        <w:tc>
          <w:tcPr>
            <w:tcW w:w="527" w:type="dxa"/>
            <w:shd w:val="clear" w:color="auto" w:fill="auto"/>
          </w:tcPr>
          <w:p w14:paraId="2EE85EE7" w14:textId="77777777" w:rsidR="00A573B3" w:rsidRPr="004C2A59" w:rsidRDefault="00A573B3" w:rsidP="00421681">
            <w:pPr>
              <w:ind w:left="-45"/>
            </w:pPr>
          </w:p>
        </w:tc>
      </w:tr>
    </w:tbl>
    <w:p w14:paraId="0951BF84" w14:textId="77777777" w:rsidR="00A573B3" w:rsidRPr="004C2A59" w:rsidRDefault="00A573B3" w:rsidP="00421681">
      <w:pPr>
        <w:pStyle w:val="Text"/>
        <w:spacing w:before="0"/>
        <w:rPr>
          <w:sz w:val="22"/>
          <w:szCs w:val="22"/>
          <w:lang w:val="da-DK"/>
        </w:rPr>
      </w:pPr>
    </w:p>
    <w:p w14:paraId="202CE7B9" w14:textId="77777777" w:rsidR="00A573B3" w:rsidRPr="004C2A59" w:rsidRDefault="00A573B3" w:rsidP="00421681">
      <w:pPr>
        <w:pStyle w:val="EndnoteText"/>
        <w:tabs>
          <w:tab w:val="clear" w:pos="567"/>
        </w:tabs>
        <w:rPr>
          <w:color w:val="000000"/>
          <w:szCs w:val="22"/>
        </w:rPr>
      </w:pPr>
      <w:r w:rsidRPr="004C2A59">
        <w:rPr>
          <w:color w:val="000000"/>
          <w:szCs w:val="22"/>
        </w:rPr>
        <w:t>Der er ingen kontrollerede forsøg med pædiatriske patienter med c-Kit-positiv GIST. I syv publikationer var der rapporteret om sytten (17) patienter med GIST (med eller uden Kit og PDGFR-mutationer). Alderen på disse patienter rangerede fra 8 til 18 år, og imatinib blev givet ved både adjuverende og metastatiske forhold i doser, der lå i intervallet fra 300 til 800 mg daglig. Hovedparten af de pædiatriske patienter, der blev behandlet for GIST, manglede data, der bekræftede c-Kit eller PDGFR-mutationer, hvilket kan have ført til varierende kliniske udfald.</w:t>
      </w:r>
    </w:p>
    <w:p w14:paraId="75C26398" w14:textId="77777777" w:rsidR="00A573B3" w:rsidRPr="004C2A59" w:rsidRDefault="00A573B3" w:rsidP="00421681">
      <w:pPr>
        <w:pStyle w:val="Text"/>
        <w:spacing w:before="0"/>
        <w:rPr>
          <w:sz w:val="22"/>
          <w:szCs w:val="22"/>
          <w:lang w:val="da-DK"/>
        </w:rPr>
      </w:pPr>
    </w:p>
    <w:p w14:paraId="3D73B1AF" w14:textId="77777777" w:rsidR="00A573B3" w:rsidRPr="004C2A59" w:rsidRDefault="00A573B3" w:rsidP="00C422EE">
      <w:pPr>
        <w:pStyle w:val="EndnoteText"/>
        <w:keepNext/>
        <w:tabs>
          <w:tab w:val="clear" w:pos="567"/>
        </w:tabs>
        <w:rPr>
          <w:color w:val="000000"/>
          <w:szCs w:val="22"/>
          <w:u w:val="single"/>
        </w:rPr>
      </w:pPr>
      <w:r w:rsidRPr="004C2A59">
        <w:rPr>
          <w:color w:val="000000"/>
          <w:szCs w:val="22"/>
          <w:u w:val="single"/>
        </w:rPr>
        <w:t>Kliniske studier ved DFSP</w:t>
      </w:r>
    </w:p>
    <w:p w14:paraId="1A745CF8" w14:textId="77777777" w:rsidR="00A573B3" w:rsidRPr="004C2A59" w:rsidRDefault="00A573B3" w:rsidP="00421681">
      <w:pPr>
        <w:pStyle w:val="EndnoteText"/>
        <w:tabs>
          <w:tab w:val="clear" w:pos="567"/>
        </w:tabs>
        <w:rPr>
          <w:color w:val="000000"/>
          <w:szCs w:val="22"/>
        </w:rPr>
      </w:pPr>
      <w:r w:rsidRPr="004C2A59">
        <w:rPr>
          <w:color w:val="000000"/>
          <w:szCs w:val="22"/>
        </w:rPr>
        <w:t>Der er udført et åbent multicenter fase II-klinisk forsøg (studie B2225) med inklusion af 12 patienter med DFSP, som blev behandlet med Glivec 800 mg daglig. Alderen hos patienterne med DFSP varierede fra 23 til 75 år; DFSP var på tidspunktet for inklusion i studiet metastaseret, recidiveret lokalt efter initial resektionskirurgi og vurderet som ikke modtagelig for yderligere resekterende kirurgi. Det primære bevis for effekt var baseret på onjektive responsrater. Af de 12 inkluderede patienter responderede 9, en komplet og 8 partielt. Tre af de partielt responderende blev sygdomsfri efter kirurgi. Den mediane varighed af behandlingen i studie B2225 var 6,2 måneder med en maksimum varighed på 24,3 måneder. Yderligere seks patienter, behandlet med Glivec, er blevet beskrevet i 5 publicerede kasuistikker, alderen varierede fra 18 måneder til 49 år. De voksne patienter, som er beskrevet i publiceret litteratur blev behandlet med enten 400 mg (fire tilfælde) eller 800 mg (et tilfælde) Glivec daglig. Fem (5) patienter responderede, 3 komplet og 2 partielt. Den mediane behandlingsvarighed i publiceret litteratur varierede mellem 4 uger og mere end 20 måneder. Translokationen t(17:22)</w:t>
      </w:r>
      <w:r w:rsidRPr="004C2A59">
        <w:rPr>
          <w:color w:val="000000"/>
          <w:szCs w:val="22"/>
          <w:lang w:eastAsia="ja-JP"/>
        </w:rPr>
        <w:t xml:space="preserve"> [(q22:q13)], eller dets gen-produkt, var til stede i næsten alle respons på Glivec-behandling.</w:t>
      </w:r>
    </w:p>
    <w:p w14:paraId="7D1F5A20" w14:textId="77777777" w:rsidR="00A573B3" w:rsidRPr="004C2A59" w:rsidRDefault="00A573B3" w:rsidP="00421681">
      <w:pPr>
        <w:pStyle w:val="EndnoteText"/>
        <w:tabs>
          <w:tab w:val="clear" w:pos="567"/>
        </w:tabs>
        <w:rPr>
          <w:color w:val="000000"/>
          <w:szCs w:val="22"/>
          <w:lang w:eastAsia="ja-JP"/>
        </w:rPr>
      </w:pPr>
    </w:p>
    <w:p w14:paraId="36D17B21" w14:textId="77777777" w:rsidR="00A573B3" w:rsidRPr="004C2A59" w:rsidRDefault="00A573B3" w:rsidP="00421681">
      <w:pPr>
        <w:pStyle w:val="EndnoteText"/>
        <w:tabs>
          <w:tab w:val="clear" w:pos="567"/>
        </w:tabs>
        <w:rPr>
          <w:color w:val="000000"/>
          <w:szCs w:val="22"/>
        </w:rPr>
      </w:pPr>
      <w:r w:rsidRPr="004C2A59">
        <w:rPr>
          <w:color w:val="000000"/>
          <w:szCs w:val="22"/>
        </w:rPr>
        <w:t>Der er ingen kontrollerede forsøg med pædiatriske patienter med DFSP. I tre publikationer var der rapporteret om fem (5) patienter med DFSP og PDGFR-omlejringer. Alderen på disse patienter rangerede fra nyfødt til 14 år, og imatinib blev givet i en dosis på 50 mg dagligt eller doser, der lå i intervallet fra 400 til 520 mg/m</w:t>
      </w:r>
      <w:r w:rsidRPr="004C2A59">
        <w:rPr>
          <w:color w:val="000000"/>
          <w:szCs w:val="22"/>
          <w:vertAlign w:val="superscript"/>
        </w:rPr>
        <w:t>2</w:t>
      </w:r>
      <w:r w:rsidRPr="004C2A59">
        <w:rPr>
          <w:color w:val="000000"/>
          <w:szCs w:val="22"/>
        </w:rPr>
        <w:t xml:space="preserve"> dagligt. Alle patienter opnåede delvist og/eller komplet respons.</w:t>
      </w:r>
    </w:p>
    <w:p w14:paraId="1D6D846C" w14:textId="77777777" w:rsidR="00A573B3" w:rsidRPr="004C2A59" w:rsidRDefault="00A573B3" w:rsidP="00421681">
      <w:pPr>
        <w:pStyle w:val="EndnoteText"/>
        <w:tabs>
          <w:tab w:val="clear" w:pos="567"/>
        </w:tabs>
        <w:rPr>
          <w:color w:val="000000"/>
          <w:szCs w:val="22"/>
          <w:lang w:eastAsia="ja-JP"/>
        </w:rPr>
      </w:pPr>
    </w:p>
    <w:p w14:paraId="0D7DD823" w14:textId="77777777" w:rsidR="00A361AD" w:rsidRPr="004C2A59" w:rsidRDefault="00A361AD" w:rsidP="00C422EE">
      <w:pPr>
        <w:keepNext/>
        <w:widowControl w:val="0"/>
        <w:suppressAutoHyphens/>
        <w:ind w:left="567" w:hanging="567"/>
        <w:rPr>
          <w:b/>
          <w:color w:val="000000"/>
          <w:sz w:val="22"/>
          <w:szCs w:val="22"/>
          <w:lang w:val="da-DK"/>
        </w:rPr>
      </w:pPr>
      <w:r w:rsidRPr="004C2A59">
        <w:rPr>
          <w:b/>
          <w:color w:val="000000"/>
          <w:sz w:val="22"/>
          <w:szCs w:val="22"/>
          <w:lang w:val="da-DK"/>
        </w:rPr>
        <w:t>5.2</w:t>
      </w:r>
      <w:r w:rsidRPr="004C2A59">
        <w:rPr>
          <w:b/>
          <w:color w:val="000000"/>
          <w:sz w:val="22"/>
          <w:szCs w:val="22"/>
          <w:lang w:val="da-DK"/>
        </w:rPr>
        <w:tab/>
        <w:t>Farmakokinetiske egenskaber</w:t>
      </w:r>
    </w:p>
    <w:p w14:paraId="2FD97355" w14:textId="77777777" w:rsidR="00A361AD" w:rsidRPr="004C2A59" w:rsidRDefault="00A361AD" w:rsidP="00C422EE">
      <w:pPr>
        <w:keepNext/>
        <w:widowControl w:val="0"/>
        <w:suppressAutoHyphens/>
        <w:rPr>
          <w:color w:val="000000"/>
          <w:sz w:val="22"/>
          <w:szCs w:val="22"/>
          <w:lang w:val="da-DK"/>
        </w:rPr>
      </w:pPr>
    </w:p>
    <w:p w14:paraId="442A5BB2" w14:textId="77777777" w:rsidR="00A361AD" w:rsidRPr="004C2A59" w:rsidRDefault="00A361AD" w:rsidP="00C422EE">
      <w:pPr>
        <w:keepNext/>
        <w:widowControl w:val="0"/>
        <w:suppressAutoHyphens/>
        <w:rPr>
          <w:color w:val="000000"/>
          <w:sz w:val="22"/>
          <w:szCs w:val="22"/>
          <w:u w:val="single"/>
          <w:lang w:val="da-DK"/>
        </w:rPr>
      </w:pPr>
      <w:r w:rsidRPr="004C2A59">
        <w:rPr>
          <w:color w:val="000000"/>
          <w:sz w:val="22"/>
          <w:szCs w:val="22"/>
          <w:u w:val="single"/>
          <w:lang w:val="da-DK"/>
        </w:rPr>
        <w:t>Glivecs farmakokinetik</w:t>
      </w:r>
    </w:p>
    <w:p w14:paraId="280C9102" w14:textId="77777777" w:rsidR="00A361AD" w:rsidRPr="004C2A59" w:rsidRDefault="00A361AD" w:rsidP="00421681">
      <w:pPr>
        <w:widowControl w:val="0"/>
        <w:suppressAutoHyphens/>
        <w:rPr>
          <w:color w:val="000000"/>
          <w:sz w:val="22"/>
          <w:szCs w:val="22"/>
          <w:lang w:val="da-DK"/>
        </w:rPr>
      </w:pPr>
      <w:r w:rsidRPr="004C2A59">
        <w:rPr>
          <w:color w:val="000000"/>
          <w:sz w:val="22"/>
          <w:szCs w:val="22"/>
          <w:lang w:val="da-DK"/>
        </w:rPr>
        <w:t xml:space="preserve">Glivecs farmakokinetik er evalueret i dosisintervallet: 25–1.000 mg. Plasmafarmakokinetiske profiler blev analyseret på dag 1 og på enten dag 7 eller dag 28, hvor plasmakoncentrationerne havde nået </w:t>
      </w:r>
      <w:r w:rsidRPr="004C2A59">
        <w:rPr>
          <w:color w:val="000000"/>
          <w:sz w:val="22"/>
          <w:szCs w:val="22"/>
          <w:lang w:val="da-DK"/>
        </w:rPr>
        <w:lastRenderedPageBreak/>
        <w:t>steady-state.</w:t>
      </w:r>
    </w:p>
    <w:p w14:paraId="0523CF4C" w14:textId="77777777" w:rsidR="00C107A9" w:rsidRPr="004C2A59" w:rsidRDefault="00C107A9" w:rsidP="00421681">
      <w:pPr>
        <w:widowControl w:val="0"/>
        <w:suppressAutoHyphens/>
        <w:rPr>
          <w:color w:val="000000"/>
          <w:sz w:val="22"/>
          <w:szCs w:val="22"/>
          <w:lang w:val="da-DK"/>
        </w:rPr>
      </w:pPr>
    </w:p>
    <w:p w14:paraId="49D45AB8" w14:textId="77777777" w:rsidR="00C107A9" w:rsidRPr="004C2A59" w:rsidRDefault="00C107A9" w:rsidP="00C422EE">
      <w:pPr>
        <w:keepNext/>
        <w:widowControl w:val="0"/>
        <w:suppressAutoHyphens/>
        <w:rPr>
          <w:color w:val="000000"/>
          <w:sz w:val="22"/>
          <w:szCs w:val="22"/>
          <w:u w:val="single"/>
          <w:lang w:val="da-DK"/>
        </w:rPr>
      </w:pPr>
      <w:r w:rsidRPr="004C2A59">
        <w:rPr>
          <w:color w:val="000000"/>
          <w:sz w:val="22"/>
          <w:szCs w:val="22"/>
          <w:u w:val="single"/>
          <w:lang w:val="da-DK"/>
        </w:rPr>
        <w:t>Absorption</w:t>
      </w:r>
    </w:p>
    <w:p w14:paraId="72A922F3" w14:textId="77777777" w:rsidR="00C107A9" w:rsidRPr="004C2A59" w:rsidRDefault="00C107A9" w:rsidP="00421681">
      <w:pPr>
        <w:widowControl w:val="0"/>
        <w:suppressAutoHyphens/>
        <w:rPr>
          <w:color w:val="000000"/>
          <w:sz w:val="22"/>
          <w:szCs w:val="22"/>
          <w:lang w:val="da-DK"/>
        </w:rPr>
      </w:pPr>
      <w:r w:rsidRPr="004C2A59">
        <w:rPr>
          <w:color w:val="000000"/>
          <w:sz w:val="22"/>
          <w:szCs w:val="22"/>
          <w:lang w:val="da-DK"/>
        </w:rPr>
        <w:t>Den gennemsnitlige absolutte biotilgængelighed for imatinib er 98%. Der var stor variabilitet patienterne i mellem i plasmaimatinib AUC efter en oral dosis. Når imatinib indtages i forbindelse med et måltid med høj fedtprocent, reduceres absorptionen af imatinib minimalt (11%’s fald i C</w:t>
      </w:r>
      <w:r w:rsidRPr="004C2A59">
        <w:rPr>
          <w:color w:val="000000"/>
          <w:sz w:val="22"/>
          <w:szCs w:val="22"/>
          <w:vertAlign w:val="subscript"/>
          <w:lang w:val="da-DK"/>
        </w:rPr>
        <w:t>max</w:t>
      </w:r>
      <w:r w:rsidRPr="004C2A59">
        <w:rPr>
          <w:color w:val="000000"/>
          <w:sz w:val="22"/>
          <w:szCs w:val="22"/>
          <w:lang w:val="da-DK"/>
        </w:rPr>
        <w:t xml:space="preserve"> og forlængelse af t</w:t>
      </w:r>
      <w:r w:rsidRPr="004C2A59">
        <w:rPr>
          <w:color w:val="000000"/>
          <w:sz w:val="22"/>
          <w:szCs w:val="22"/>
          <w:vertAlign w:val="subscript"/>
          <w:lang w:val="da-DK"/>
        </w:rPr>
        <w:t>max</w:t>
      </w:r>
      <w:r w:rsidRPr="004C2A59">
        <w:rPr>
          <w:color w:val="000000"/>
          <w:sz w:val="22"/>
          <w:szCs w:val="22"/>
          <w:lang w:val="da-DK"/>
        </w:rPr>
        <w:t xml:space="preserve"> med 1,5</w:t>
      </w:r>
      <w:r w:rsidR="000E01B0" w:rsidRPr="004C2A59">
        <w:rPr>
          <w:color w:val="000000"/>
          <w:sz w:val="22"/>
          <w:szCs w:val="22"/>
          <w:lang w:val="da-DK"/>
        </w:rPr>
        <w:t> </w:t>
      </w:r>
      <w:r w:rsidRPr="004C2A59">
        <w:rPr>
          <w:color w:val="000000"/>
          <w:sz w:val="22"/>
          <w:szCs w:val="22"/>
          <w:lang w:val="da-DK"/>
        </w:rPr>
        <w:t>time), med et lille fald i AUC (7,4%) sammenlignet med fastende. Tidligere gastrointestinale indgrebs påvirkning af lægemiddelabsorptionen er ikke undersøgt.</w:t>
      </w:r>
    </w:p>
    <w:p w14:paraId="5DAEC9DF" w14:textId="77777777" w:rsidR="00C107A9" w:rsidRPr="004C2A59" w:rsidRDefault="00C107A9" w:rsidP="00421681">
      <w:pPr>
        <w:widowControl w:val="0"/>
        <w:suppressAutoHyphens/>
        <w:rPr>
          <w:color w:val="000000"/>
          <w:sz w:val="22"/>
          <w:szCs w:val="22"/>
          <w:lang w:val="da-DK"/>
        </w:rPr>
      </w:pPr>
    </w:p>
    <w:p w14:paraId="15836B1F" w14:textId="77777777" w:rsidR="005046A9" w:rsidRPr="004C2A59" w:rsidRDefault="005046A9" w:rsidP="00C422EE">
      <w:pPr>
        <w:keepNext/>
        <w:widowControl w:val="0"/>
        <w:suppressAutoHyphens/>
        <w:rPr>
          <w:color w:val="000000"/>
          <w:sz w:val="22"/>
          <w:szCs w:val="22"/>
          <w:u w:val="single"/>
          <w:lang w:val="da-DK"/>
        </w:rPr>
      </w:pPr>
      <w:r w:rsidRPr="004C2A59">
        <w:rPr>
          <w:color w:val="000000"/>
          <w:sz w:val="22"/>
          <w:szCs w:val="22"/>
          <w:u w:val="single"/>
          <w:lang w:val="da-DK"/>
        </w:rPr>
        <w:t>Fordeling</w:t>
      </w:r>
    </w:p>
    <w:p w14:paraId="6DB14872" w14:textId="77777777" w:rsidR="00A361AD" w:rsidRPr="004C2A59" w:rsidRDefault="00A361AD" w:rsidP="00421681">
      <w:pPr>
        <w:widowControl w:val="0"/>
        <w:suppressAutoHyphens/>
        <w:rPr>
          <w:color w:val="000000"/>
          <w:sz w:val="22"/>
          <w:szCs w:val="22"/>
          <w:lang w:val="da-DK"/>
        </w:rPr>
      </w:pPr>
      <w:r w:rsidRPr="004C2A59">
        <w:rPr>
          <w:color w:val="000000"/>
          <w:sz w:val="22"/>
          <w:szCs w:val="22"/>
          <w:lang w:val="da-DK"/>
        </w:rPr>
        <w:t xml:space="preserve">Baseret på </w:t>
      </w:r>
      <w:r w:rsidRPr="004C2A59">
        <w:rPr>
          <w:i/>
          <w:color w:val="000000"/>
          <w:sz w:val="22"/>
          <w:szCs w:val="22"/>
          <w:lang w:val="da-DK"/>
        </w:rPr>
        <w:t xml:space="preserve">in vitro </w:t>
      </w:r>
      <w:r w:rsidRPr="004C2A59">
        <w:rPr>
          <w:color w:val="000000"/>
          <w:sz w:val="22"/>
          <w:szCs w:val="22"/>
          <w:lang w:val="da-DK"/>
        </w:rPr>
        <w:t>undersøgelser, bindes, ved kliniske relevante koncentrationer af imatinib, ca. 95% til plasmaproteiner, hovedsagelig albumin og alfa-syre-glycoprotein, med en mindre binding til lipoproteiner.</w:t>
      </w:r>
    </w:p>
    <w:p w14:paraId="4535227E" w14:textId="77777777" w:rsidR="00A361AD" w:rsidRPr="004C2A59" w:rsidRDefault="00A361AD" w:rsidP="00421681">
      <w:pPr>
        <w:widowControl w:val="0"/>
        <w:suppressAutoHyphens/>
        <w:rPr>
          <w:color w:val="000000"/>
          <w:sz w:val="22"/>
          <w:szCs w:val="22"/>
          <w:lang w:val="da-DK"/>
        </w:rPr>
      </w:pPr>
    </w:p>
    <w:p w14:paraId="227916F7" w14:textId="77777777" w:rsidR="00A361AD" w:rsidRPr="004C2A59" w:rsidRDefault="001B377C" w:rsidP="00C422EE">
      <w:pPr>
        <w:keepNext/>
        <w:widowControl w:val="0"/>
        <w:suppressAutoHyphens/>
        <w:rPr>
          <w:color w:val="000000"/>
          <w:sz w:val="22"/>
          <w:szCs w:val="22"/>
          <w:u w:val="single"/>
          <w:lang w:val="da-DK"/>
        </w:rPr>
      </w:pPr>
      <w:r w:rsidRPr="004C2A59">
        <w:rPr>
          <w:color w:val="000000"/>
          <w:sz w:val="22"/>
          <w:szCs w:val="22"/>
          <w:u w:val="single"/>
          <w:lang w:val="da-DK"/>
        </w:rPr>
        <w:t>Biotransformation</w:t>
      </w:r>
    </w:p>
    <w:p w14:paraId="1A72B762" w14:textId="77777777" w:rsidR="00A361AD" w:rsidRPr="004C2A59" w:rsidRDefault="00A361AD" w:rsidP="00421681">
      <w:pPr>
        <w:widowControl w:val="0"/>
        <w:suppressAutoHyphens/>
        <w:rPr>
          <w:color w:val="000000"/>
          <w:sz w:val="22"/>
          <w:szCs w:val="22"/>
          <w:lang w:val="da-DK"/>
        </w:rPr>
      </w:pPr>
      <w:r w:rsidRPr="004C2A59">
        <w:rPr>
          <w:color w:val="000000"/>
          <w:sz w:val="22"/>
          <w:szCs w:val="22"/>
          <w:lang w:val="da-DK"/>
        </w:rPr>
        <w:t xml:space="preserve">Den cirkulerende hovedmetabolit i mennesker er N-demethyl-piperazinderivatet, som udviser samme potens </w:t>
      </w:r>
      <w:r w:rsidRPr="004C2A59">
        <w:rPr>
          <w:i/>
          <w:color w:val="000000"/>
          <w:sz w:val="22"/>
          <w:szCs w:val="22"/>
          <w:lang w:val="da-DK"/>
        </w:rPr>
        <w:t>in vitro</w:t>
      </w:r>
      <w:r w:rsidRPr="004C2A59">
        <w:rPr>
          <w:color w:val="000000"/>
          <w:sz w:val="22"/>
          <w:szCs w:val="22"/>
          <w:lang w:val="da-DK"/>
        </w:rPr>
        <w:t xml:space="preserve"> som det stof, den er afledt af. Plasma AUC for denne metabolit blev kun fundet at være 16% af AUC for imatinib. Plasmaproteinbindingen af den N-demethylerede metabolit er sammenlignlig med den for hovedkomponenten.</w:t>
      </w:r>
    </w:p>
    <w:p w14:paraId="3DF1E02D" w14:textId="77777777" w:rsidR="00A361AD" w:rsidRPr="004C2A59" w:rsidRDefault="00A361AD" w:rsidP="00421681">
      <w:pPr>
        <w:suppressAutoHyphens/>
        <w:rPr>
          <w:color w:val="000000"/>
          <w:sz w:val="22"/>
          <w:szCs w:val="22"/>
          <w:lang w:val="da-DK"/>
        </w:rPr>
      </w:pPr>
    </w:p>
    <w:p w14:paraId="0331F352" w14:textId="77777777" w:rsidR="00A361AD" w:rsidRPr="004C2A59" w:rsidRDefault="00A361AD" w:rsidP="00421681">
      <w:pPr>
        <w:pStyle w:val="Text"/>
        <w:spacing w:before="0"/>
        <w:jc w:val="left"/>
        <w:rPr>
          <w:color w:val="000000"/>
          <w:sz w:val="22"/>
          <w:szCs w:val="22"/>
          <w:lang w:val="da-DK"/>
        </w:rPr>
      </w:pPr>
      <w:r w:rsidRPr="004C2A59">
        <w:rPr>
          <w:color w:val="000000"/>
          <w:sz w:val="22"/>
          <w:szCs w:val="22"/>
          <w:lang w:val="da-DK"/>
        </w:rPr>
        <w:t>Imatinib og N-demethylmetabolitten udgjorde tilsammen ca. 65% af den cirkulerende radioaktivitet (AUC</w:t>
      </w:r>
      <w:r w:rsidRPr="004C2A59">
        <w:rPr>
          <w:color w:val="000000"/>
          <w:sz w:val="22"/>
          <w:szCs w:val="22"/>
          <w:vertAlign w:val="subscript"/>
          <w:lang w:val="da-DK"/>
        </w:rPr>
        <w:t>(0-48t)</w:t>
      </w:r>
      <w:r w:rsidRPr="004C2A59">
        <w:rPr>
          <w:color w:val="000000"/>
          <w:sz w:val="22"/>
          <w:szCs w:val="22"/>
          <w:lang w:val="da-DK"/>
        </w:rPr>
        <w:t>). Den resterende cirkulerende radioaktivitet bestod af en række mindre metabolitter.</w:t>
      </w:r>
    </w:p>
    <w:p w14:paraId="2E504384" w14:textId="77777777" w:rsidR="00A361AD" w:rsidRPr="004C2A59" w:rsidRDefault="00A361AD" w:rsidP="00421681">
      <w:pPr>
        <w:pStyle w:val="Text"/>
        <w:spacing w:before="0"/>
        <w:jc w:val="left"/>
        <w:rPr>
          <w:color w:val="000000"/>
          <w:sz w:val="22"/>
          <w:szCs w:val="22"/>
          <w:lang w:val="da-DK"/>
        </w:rPr>
      </w:pPr>
    </w:p>
    <w:p w14:paraId="583AF7AB" w14:textId="77777777" w:rsidR="005046A9" w:rsidRPr="004C2A59" w:rsidRDefault="005046A9" w:rsidP="00421681">
      <w:pPr>
        <w:pStyle w:val="Text"/>
        <w:spacing w:before="0"/>
        <w:jc w:val="left"/>
        <w:rPr>
          <w:color w:val="000000"/>
          <w:sz w:val="22"/>
          <w:szCs w:val="22"/>
          <w:lang w:val="da-DK"/>
        </w:rPr>
      </w:pPr>
      <w:r w:rsidRPr="004C2A59">
        <w:rPr>
          <w:i/>
          <w:color w:val="000000"/>
          <w:sz w:val="22"/>
          <w:szCs w:val="22"/>
          <w:lang w:val="da-DK"/>
        </w:rPr>
        <w:t>In vitro</w:t>
      </w:r>
      <w:r w:rsidRPr="004C2A59">
        <w:rPr>
          <w:color w:val="000000"/>
          <w:sz w:val="22"/>
          <w:szCs w:val="22"/>
          <w:lang w:val="da-DK"/>
        </w:rPr>
        <w:t xml:space="preserve"> resultater viste, at CYP3A4 var det primære CYP-enzym som katalysator af biotransformationen af imatinib. Af en række potentielt samtidigt administrerede lægemidler (acetaminophen, aciclovir, allopurinol, amphotericin, cytarabin, erythromycin, fluconazol, hydroxyurea, norfloxacin, phenoxymethylpenicillin) hæmmede kun erythromycin (IC</w:t>
      </w:r>
      <w:r w:rsidRPr="004C2A59">
        <w:rPr>
          <w:color w:val="000000"/>
          <w:sz w:val="22"/>
          <w:szCs w:val="22"/>
          <w:vertAlign w:val="subscript"/>
          <w:lang w:val="da-DK"/>
        </w:rPr>
        <w:t>50</w:t>
      </w:r>
      <w:r w:rsidRPr="004C2A59">
        <w:rPr>
          <w:color w:val="000000"/>
          <w:sz w:val="22"/>
          <w:szCs w:val="22"/>
          <w:lang w:val="da-DK"/>
        </w:rPr>
        <w:t xml:space="preserve"> 50 µm) og fluconazol (IC</w:t>
      </w:r>
      <w:r w:rsidRPr="004C2A59">
        <w:rPr>
          <w:color w:val="000000"/>
          <w:sz w:val="22"/>
          <w:szCs w:val="22"/>
          <w:vertAlign w:val="subscript"/>
          <w:lang w:val="da-DK"/>
        </w:rPr>
        <w:t>50</w:t>
      </w:r>
      <w:r w:rsidRPr="004C2A59">
        <w:rPr>
          <w:color w:val="000000"/>
          <w:sz w:val="22"/>
          <w:szCs w:val="22"/>
          <w:lang w:val="da-DK"/>
        </w:rPr>
        <w:t xml:space="preserve"> 118 µm) imatinib-metabolismen i et omfang, der kunne have klinisk betydning.</w:t>
      </w:r>
    </w:p>
    <w:p w14:paraId="693C4E5C" w14:textId="77777777" w:rsidR="00A361AD" w:rsidRPr="004C2A59" w:rsidRDefault="00A361AD" w:rsidP="00421681">
      <w:pPr>
        <w:pStyle w:val="Text"/>
        <w:spacing w:before="0"/>
        <w:jc w:val="left"/>
        <w:rPr>
          <w:color w:val="000000"/>
          <w:sz w:val="22"/>
          <w:szCs w:val="22"/>
          <w:lang w:val="da-DK"/>
        </w:rPr>
      </w:pPr>
    </w:p>
    <w:p w14:paraId="49970733" w14:textId="77777777" w:rsidR="00A361AD" w:rsidRPr="004C2A59" w:rsidRDefault="00A361AD" w:rsidP="00421681">
      <w:pPr>
        <w:pStyle w:val="Text"/>
        <w:spacing w:before="0"/>
        <w:jc w:val="left"/>
        <w:rPr>
          <w:color w:val="000000"/>
          <w:sz w:val="22"/>
          <w:szCs w:val="22"/>
          <w:lang w:val="da-DK"/>
        </w:rPr>
      </w:pPr>
      <w:r w:rsidRPr="004C2A59">
        <w:rPr>
          <w:color w:val="000000"/>
          <w:sz w:val="22"/>
          <w:szCs w:val="22"/>
          <w:lang w:val="da-DK"/>
        </w:rPr>
        <w:t xml:space="preserve">Imatinib blev </w:t>
      </w:r>
      <w:r w:rsidRPr="004C2A59">
        <w:rPr>
          <w:i/>
          <w:color w:val="000000"/>
          <w:sz w:val="22"/>
          <w:szCs w:val="22"/>
          <w:lang w:val="da-DK"/>
        </w:rPr>
        <w:t>in vitro</w:t>
      </w:r>
      <w:r w:rsidRPr="004C2A59">
        <w:rPr>
          <w:color w:val="000000"/>
          <w:sz w:val="22"/>
          <w:szCs w:val="22"/>
          <w:lang w:val="da-DK"/>
        </w:rPr>
        <w:t xml:space="preserve"> vist at være en kompetitiv hæmmer af markørsubstrater for CYP2C9, CYP2D6 og CYP3A4/5. K</w:t>
      </w:r>
      <w:r w:rsidRPr="004C2A59">
        <w:rPr>
          <w:color w:val="000000"/>
          <w:sz w:val="22"/>
          <w:szCs w:val="22"/>
          <w:vertAlign w:val="subscript"/>
          <w:lang w:val="da-DK"/>
        </w:rPr>
        <w:t>i</w:t>
      </w:r>
      <w:r w:rsidRPr="004C2A59">
        <w:rPr>
          <w:color w:val="000000"/>
          <w:sz w:val="22"/>
          <w:szCs w:val="22"/>
          <w:lang w:val="da-DK"/>
        </w:rPr>
        <w:t xml:space="preserve"> værdier i humane levermikrosomer var henholdsvis 27; 7,5 og 7,9 </w:t>
      </w:r>
      <w:r w:rsidRPr="004C2A59">
        <w:rPr>
          <w:color w:val="000000"/>
          <w:sz w:val="22"/>
          <w:szCs w:val="22"/>
          <w:lang w:val="da-DK"/>
        </w:rPr>
        <w:sym w:font="Symbol" w:char="F06D"/>
      </w:r>
      <w:r w:rsidRPr="004C2A59">
        <w:rPr>
          <w:color w:val="000000"/>
          <w:sz w:val="22"/>
          <w:szCs w:val="22"/>
          <w:lang w:val="da-DK"/>
        </w:rPr>
        <w:t>mol/l. Maksimale plasmakoncentrationer af imatinib er hos patienter 2–4 </w:t>
      </w:r>
      <w:r w:rsidRPr="004C2A59">
        <w:rPr>
          <w:color w:val="000000"/>
          <w:sz w:val="22"/>
          <w:szCs w:val="22"/>
          <w:lang w:val="da-DK"/>
        </w:rPr>
        <w:sym w:font="Symbol" w:char="F06D"/>
      </w:r>
      <w:r w:rsidRPr="004C2A59">
        <w:rPr>
          <w:color w:val="000000"/>
          <w:sz w:val="22"/>
          <w:szCs w:val="22"/>
          <w:lang w:val="da-DK"/>
        </w:rPr>
        <w:t>mol/l, og hæmning af CYP2D6 og/eller CYP3A4/5-medieret metabolisme af samtidigt administrerede lægemidler er derfor mulig. Imatinib interfererede ikke med biotransformationen af 5-fluorouracil, men hæmmede paclitaxelmetabolismen på grund af kompetitiv hæmning af CYP2C8 (K</w:t>
      </w:r>
      <w:r w:rsidRPr="004C2A59">
        <w:rPr>
          <w:color w:val="000000"/>
          <w:sz w:val="22"/>
          <w:szCs w:val="22"/>
          <w:vertAlign w:val="subscript"/>
          <w:lang w:val="da-DK"/>
        </w:rPr>
        <w:t>i</w:t>
      </w:r>
      <w:r w:rsidRPr="004C2A59">
        <w:rPr>
          <w:color w:val="000000"/>
          <w:sz w:val="22"/>
          <w:szCs w:val="22"/>
          <w:lang w:val="da-DK"/>
        </w:rPr>
        <w:t xml:space="preserve"> = 34,7 µm). Denne K</w:t>
      </w:r>
      <w:r w:rsidRPr="004C2A59">
        <w:rPr>
          <w:color w:val="000000"/>
          <w:sz w:val="22"/>
          <w:szCs w:val="22"/>
          <w:vertAlign w:val="subscript"/>
          <w:lang w:val="da-DK"/>
        </w:rPr>
        <w:t>i</w:t>
      </w:r>
      <w:r w:rsidRPr="004C2A59">
        <w:rPr>
          <w:color w:val="000000"/>
          <w:sz w:val="22"/>
          <w:szCs w:val="22"/>
          <w:lang w:val="da-DK"/>
        </w:rPr>
        <w:t xml:space="preserve"> værdi er langt højere end de forventede plasmaniveauer af imatinib hos patienter, og der forventes derfor ingen interaktion i forbindelse med samtidig administration af hverken 5-fluorouracil eller paclitaxel og imatinib.</w:t>
      </w:r>
    </w:p>
    <w:p w14:paraId="41FBF8F5" w14:textId="77777777" w:rsidR="00A361AD" w:rsidRPr="004C2A59" w:rsidRDefault="00A361AD" w:rsidP="00421681">
      <w:pPr>
        <w:widowControl w:val="0"/>
        <w:suppressAutoHyphens/>
        <w:rPr>
          <w:color w:val="000000"/>
          <w:sz w:val="22"/>
          <w:szCs w:val="22"/>
          <w:lang w:val="da-DK"/>
        </w:rPr>
      </w:pPr>
    </w:p>
    <w:p w14:paraId="7A8AA924" w14:textId="77777777" w:rsidR="00A361AD" w:rsidRPr="004C2A59" w:rsidRDefault="00A361AD" w:rsidP="00C422EE">
      <w:pPr>
        <w:keepNext/>
        <w:widowControl w:val="0"/>
        <w:suppressAutoHyphens/>
        <w:rPr>
          <w:color w:val="000000"/>
          <w:sz w:val="22"/>
          <w:szCs w:val="22"/>
          <w:u w:val="single"/>
          <w:lang w:val="da-DK"/>
        </w:rPr>
      </w:pPr>
      <w:r w:rsidRPr="004C2A59">
        <w:rPr>
          <w:color w:val="000000"/>
          <w:sz w:val="22"/>
          <w:szCs w:val="22"/>
          <w:u w:val="single"/>
          <w:lang w:val="da-DK"/>
        </w:rPr>
        <w:t>Elimination</w:t>
      </w:r>
    </w:p>
    <w:p w14:paraId="3487B7A0" w14:textId="77777777" w:rsidR="00A361AD" w:rsidRPr="004C2A59" w:rsidRDefault="00A361AD" w:rsidP="00421681">
      <w:pPr>
        <w:widowControl w:val="0"/>
        <w:suppressAutoHyphens/>
        <w:rPr>
          <w:color w:val="000000"/>
          <w:sz w:val="22"/>
          <w:szCs w:val="22"/>
          <w:lang w:val="da-DK"/>
        </w:rPr>
      </w:pPr>
      <w:r w:rsidRPr="004C2A59">
        <w:rPr>
          <w:color w:val="000000"/>
          <w:sz w:val="22"/>
          <w:szCs w:val="22"/>
          <w:lang w:val="da-DK"/>
        </w:rPr>
        <w:t xml:space="preserve">Baseret på fremkomne stof(fer) efter oral dosis af </w:t>
      </w:r>
      <w:r w:rsidRPr="004C2A59">
        <w:rPr>
          <w:color w:val="000000"/>
          <w:sz w:val="22"/>
          <w:szCs w:val="22"/>
          <w:vertAlign w:val="superscript"/>
          <w:lang w:val="da-DK"/>
        </w:rPr>
        <w:t>14</w:t>
      </w:r>
      <w:r w:rsidRPr="004C2A59">
        <w:rPr>
          <w:color w:val="000000"/>
          <w:sz w:val="22"/>
          <w:szCs w:val="22"/>
          <w:lang w:val="da-DK"/>
        </w:rPr>
        <w:t>C-mærket imatinib, genfandtes ca. 81% af dosis inden for 7 dage i fæces (68% af dosis) og urin (13% af dosis). Uomdannet imatinib er ansvarlig for ca. 25% af dosis (5% urin og 20% fæces), resten er metabolitter.</w:t>
      </w:r>
    </w:p>
    <w:p w14:paraId="559C3E2E" w14:textId="77777777" w:rsidR="00A361AD" w:rsidRPr="004C2A59" w:rsidRDefault="00A361AD" w:rsidP="00421681">
      <w:pPr>
        <w:widowControl w:val="0"/>
        <w:suppressAutoHyphens/>
        <w:rPr>
          <w:color w:val="000000"/>
          <w:sz w:val="22"/>
          <w:szCs w:val="22"/>
          <w:lang w:val="da-DK"/>
        </w:rPr>
      </w:pPr>
    </w:p>
    <w:p w14:paraId="660A485F" w14:textId="77777777" w:rsidR="00A361AD" w:rsidRPr="004C2A59" w:rsidRDefault="00A361AD" w:rsidP="00C422EE">
      <w:pPr>
        <w:keepNext/>
        <w:widowControl w:val="0"/>
        <w:suppressAutoHyphens/>
        <w:rPr>
          <w:color w:val="000000"/>
          <w:sz w:val="22"/>
          <w:szCs w:val="22"/>
          <w:u w:val="single"/>
          <w:lang w:val="da-DK"/>
        </w:rPr>
      </w:pPr>
      <w:r w:rsidRPr="004C2A59">
        <w:rPr>
          <w:color w:val="000000"/>
          <w:sz w:val="22"/>
          <w:szCs w:val="22"/>
          <w:u w:val="single"/>
          <w:lang w:val="da-DK"/>
        </w:rPr>
        <w:t>Plasmafarmakokinetik</w:t>
      </w:r>
    </w:p>
    <w:p w14:paraId="3387404D" w14:textId="77777777" w:rsidR="00A361AD" w:rsidRPr="004C2A59" w:rsidRDefault="00A361AD" w:rsidP="00421681">
      <w:pPr>
        <w:widowControl w:val="0"/>
        <w:suppressAutoHyphens/>
        <w:rPr>
          <w:color w:val="000000"/>
          <w:sz w:val="22"/>
          <w:szCs w:val="22"/>
          <w:lang w:val="da-DK"/>
        </w:rPr>
      </w:pPr>
      <w:r w:rsidRPr="004C2A59">
        <w:rPr>
          <w:color w:val="000000"/>
          <w:sz w:val="22"/>
          <w:szCs w:val="22"/>
          <w:lang w:val="da-DK"/>
        </w:rPr>
        <w:t>Efter oral administration til raske frivillige var t</w:t>
      </w:r>
      <w:r w:rsidRPr="004C2A59">
        <w:rPr>
          <w:color w:val="000000"/>
          <w:sz w:val="22"/>
          <w:szCs w:val="22"/>
          <w:vertAlign w:val="subscript"/>
          <w:lang w:val="da-DK"/>
        </w:rPr>
        <w:t>½</w:t>
      </w:r>
      <w:r w:rsidRPr="004C2A59">
        <w:rPr>
          <w:color w:val="000000"/>
          <w:sz w:val="22"/>
          <w:szCs w:val="22"/>
          <w:lang w:val="da-DK"/>
        </w:rPr>
        <w:t xml:space="preserve"> ca. 18 timer, hvilket indikerer, at dosering 1 gang daglig er passende. Øgningen i gennemsnitlig AUC ved dosisøgning efter oral administration var lineær og dosisproportional i intervallet 25–1.000 mg imatinib. Der var ingen ændringer i imatinibs kinetik ved gentagen dosering, og akkumulering var 1,5–2,5 gange ved steady-state ved dosering 1 gang daglig.</w:t>
      </w:r>
    </w:p>
    <w:p w14:paraId="66BA9101" w14:textId="77777777" w:rsidR="00A361AD" w:rsidRPr="004C2A59" w:rsidRDefault="00A361AD" w:rsidP="00421681">
      <w:pPr>
        <w:widowControl w:val="0"/>
        <w:suppressAutoHyphens/>
        <w:rPr>
          <w:color w:val="000000"/>
          <w:sz w:val="22"/>
          <w:szCs w:val="22"/>
          <w:lang w:val="da-DK"/>
        </w:rPr>
      </w:pPr>
    </w:p>
    <w:p w14:paraId="1E59B4B3" w14:textId="77777777" w:rsidR="00A361AD" w:rsidRPr="004C2A59" w:rsidRDefault="00A361AD" w:rsidP="00C422EE">
      <w:pPr>
        <w:keepNext/>
        <w:widowControl w:val="0"/>
        <w:suppressAutoHyphens/>
        <w:rPr>
          <w:color w:val="000000"/>
          <w:sz w:val="22"/>
          <w:szCs w:val="22"/>
          <w:u w:val="single"/>
          <w:lang w:val="da-DK"/>
        </w:rPr>
      </w:pPr>
      <w:r w:rsidRPr="004C2A59">
        <w:rPr>
          <w:color w:val="000000"/>
          <w:sz w:val="22"/>
          <w:szCs w:val="22"/>
          <w:u w:val="single"/>
          <w:lang w:val="da-DK"/>
        </w:rPr>
        <w:t>Farmakokinetik hos GIST-patienter</w:t>
      </w:r>
    </w:p>
    <w:p w14:paraId="7275E8A1" w14:textId="77777777" w:rsidR="00A361AD" w:rsidRPr="004C2A59" w:rsidRDefault="00A361AD" w:rsidP="00421681">
      <w:pPr>
        <w:widowControl w:val="0"/>
        <w:suppressAutoHyphens/>
        <w:rPr>
          <w:color w:val="000000"/>
          <w:sz w:val="22"/>
          <w:szCs w:val="22"/>
          <w:lang w:val="da-DK"/>
        </w:rPr>
      </w:pPr>
      <w:r w:rsidRPr="004C2A59">
        <w:rPr>
          <w:color w:val="000000"/>
          <w:sz w:val="22"/>
          <w:szCs w:val="22"/>
          <w:lang w:val="da-DK"/>
        </w:rPr>
        <w:t xml:space="preserve">Hos GIST-patienter var optagelsen ved steady-state 1,5 gange højere end den observeret hos CML-patienter ved samme dosis (400 mg daglig). Ved præliminær populationsfarmakokinetikanalyse hos GIST-patienter fandtes 3 variable (albumin, leukocytter og bilirubin) at have statistisk signifikant indflydelse på imatinibs farmakokinetik. Fald i albuminværdier forårsagede nedsat clearance (CL/f); og stigninger i leukocyttal forårsagede fald i Cl/f. Disse associationer er dog ikke tilstrækkeligt udtalte </w:t>
      </w:r>
      <w:r w:rsidRPr="004C2A59">
        <w:rPr>
          <w:color w:val="000000"/>
          <w:sz w:val="22"/>
          <w:szCs w:val="22"/>
          <w:lang w:val="da-DK"/>
        </w:rPr>
        <w:lastRenderedPageBreak/>
        <w:t>til at udløse dosisjusteringer. I denne patientpopulation kan levermetastaser potentielt medføre leverinsufficiens og nedsat metabolisme.</w:t>
      </w:r>
    </w:p>
    <w:p w14:paraId="306A4BC5" w14:textId="77777777" w:rsidR="00A361AD" w:rsidRPr="004C2A59" w:rsidRDefault="00A361AD" w:rsidP="00421681">
      <w:pPr>
        <w:widowControl w:val="0"/>
        <w:suppressAutoHyphens/>
        <w:rPr>
          <w:color w:val="000000"/>
          <w:sz w:val="22"/>
          <w:szCs w:val="22"/>
          <w:lang w:val="da-DK"/>
        </w:rPr>
      </w:pPr>
    </w:p>
    <w:p w14:paraId="78E991F7" w14:textId="77777777" w:rsidR="00A361AD" w:rsidRPr="004C2A59" w:rsidRDefault="00A361AD" w:rsidP="00C422EE">
      <w:pPr>
        <w:keepNext/>
        <w:widowControl w:val="0"/>
        <w:suppressAutoHyphens/>
        <w:rPr>
          <w:color w:val="000000"/>
          <w:sz w:val="22"/>
          <w:szCs w:val="22"/>
          <w:u w:val="single"/>
          <w:lang w:val="da-DK"/>
        </w:rPr>
      </w:pPr>
      <w:r w:rsidRPr="004C2A59">
        <w:rPr>
          <w:color w:val="000000"/>
          <w:sz w:val="22"/>
          <w:szCs w:val="22"/>
          <w:u w:val="single"/>
          <w:lang w:val="da-DK"/>
        </w:rPr>
        <w:t>Populationsfarmakokinetik</w:t>
      </w:r>
    </w:p>
    <w:p w14:paraId="3391A2EC" w14:textId="77777777" w:rsidR="00A361AD" w:rsidRPr="004C2A59" w:rsidRDefault="00A361AD" w:rsidP="00421681">
      <w:pPr>
        <w:widowControl w:val="0"/>
        <w:suppressAutoHyphens/>
        <w:rPr>
          <w:color w:val="000000"/>
          <w:sz w:val="22"/>
          <w:szCs w:val="22"/>
          <w:lang w:val="da-DK"/>
        </w:rPr>
      </w:pPr>
      <w:r w:rsidRPr="004C2A59">
        <w:rPr>
          <w:color w:val="000000"/>
          <w:sz w:val="22"/>
          <w:szCs w:val="22"/>
          <w:lang w:val="da-DK"/>
        </w:rPr>
        <w:t xml:space="preserve">Populationsfarmakokinetiske analyser hos CML-patienter har vist, at alder har en lille effekt på fordelingsvolumen (12% stigning hos patienter </w:t>
      </w:r>
      <w:r w:rsidRPr="004C2A59">
        <w:rPr>
          <w:color w:val="000000"/>
          <w:sz w:val="22"/>
          <w:szCs w:val="22"/>
          <w:lang w:val="da-DK"/>
        </w:rPr>
        <w:sym w:font="Symbol" w:char="F03E"/>
      </w:r>
      <w:r w:rsidRPr="004C2A59">
        <w:rPr>
          <w:color w:val="000000"/>
          <w:sz w:val="22"/>
          <w:szCs w:val="22"/>
          <w:lang w:val="da-DK"/>
        </w:rPr>
        <w:t>65 år). Denne ændring menes ikke at være klinisk signifikant. Kropsvægtens betydning for clearance af imatinib er således, at for patienter, der vejer 50 kg, forventes den gennemsnitlige clearance at være 8,5 l/t, mens den for patienter, der vejer 100 kg, vil stige til 11,8 l/t. Disse ændringer anses ikke for at være tilstrækkelige til at indføre dosisjusteringer på basis af kg kropsvægt. Køn har ingen betydning for imatinib’s kinetik.</w:t>
      </w:r>
    </w:p>
    <w:p w14:paraId="75240AAD" w14:textId="77777777" w:rsidR="00A361AD" w:rsidRPr="004C2A59" w:rsidRDefault="00A361AD" w:rsidP="00421681">
      <w:pPr>
        <w:pStyle w:val="EndnoteText"/>
        <w:tabs>
          <w:tab w:val="clear" w:pos="567"/>
        </w:tabs>
        <w:suppressAutoHyphens/>
        <w:rPr>
          <w:color w:val="000000"/>
          <w:szCs w:val="22"/>
        </w:rPr>
      </w:pPr>
    </w:p>
    <w:p w14:paraId="02BA91FA" w14:textId="77777777" w:rsidR="00A361AD" w:rsidRPr="004C2A59" w:rsidRDefault="00A361AD" w:rsidP="00C422EE">
      <w:pPr>
        <w:pStyle w:val="EndnoteText"/>
        <w:keepNext/>
        <w:tabs>
          <w:tab w:val="clear" w:pos="567"/>
        </w:tabs>
        <w:rPr>
          <w:color w:val="000000"/>
          <w:szCs w:val="22"/>
          <w:u w:val="single"/>
        </w:rPr>
      </w:pPr>
      <w:r w:rsidRPr="004C2A59">
        <w:rPr>
          <w:color w:val="000000"/>
          <w:szCs w:val="22"/>
          <w:u w:val="single"/>
        </w:rPr>
        <w:t>Farmakokinetik hos børn</w:t>
      </w:r>
    </w:p>
    <w:p w14:paraId="4A7ED280" w14:textId="77777777" w:rsidR="00A361AD" w:rsidRPr="004C2A59" w:rsidRDefault="00A361AD" w:rsidP="00421681">
      <w:pPr>
        <w:pStyle w:val="EndnoteText"/>
        <w:rPr>
          <w:color w:val="000000"/>
          <w:szCs w:val="22"/>
        </w:rPr>
      </w:pPr>
      <w:r w:rsidRPr="004C2A59">
        <w:rPr>
          <w:color w:val="000000"/>
          <w:szCs w:val="22"/>
        </w:rPr>
        <w:t>Ligesom hos voksne absorberedes imatinib hurtigt hos pædiatriske patienter efter oral administration i både fase I- og fase II-undersøgelser. Doser på 260 og 340 mg/m</w:t>
      </w:r>
      <w:r w:rsidRPr="004C2A59">
        <w:rPr>
          <w:color w:val="000000"/>
          <w:szCs w:val="22"/>
          <w:vertAlign w:val="superscript"/>
        </w:rPr>
        <w:t>2</w:t>
      </w:r>
      <w:r w:rsidRPr="004C2A59">
        <w:rPr>
          <w:color w:val="000000"/>
          <w:szCs w:val="22"/>
        </w:rPr>
        <w:t>/dag til børn gav samme optagelse som doser på henholdsvis 400 mg og 600 mg til voksne. Sammenligningen af AUC</w:t>
      </w:r>
      <w:r w:rsidRPr="004C2A59">
        <w:rPr>
          <w:color w:val="000000"/>
          <w:szCs w:val="22"/>
          <w:vertAlign w:val="subscript"/>
        </w:rPr>
        <w:t>(0-24)</w:t>
      </w:r>
      <w:r w:rsidRPr="004C2A59">
        <w:rPr>
          <w:color w:val="000000"/>
          <w:szCs w:val="22"/>
        </w:rPr>
        <w:t xml:space="preserve"> på dag 8 og dag 1 ved 340 mg/m</w:t>
      </w:r>
      <w:r w:rsidRPr="004C2A59">
        <w:rPr>
          <w:color w:val="000000"/>
          <w:szCs w:val="22"/>
          <w:vertAlign w:val="superscript"/>
        </w:rPr>
        <w:t>2</w:t>
      </w:r>
      <w:r w:rsidRPr="004C2A59">
        <w:rPr>
          <w:color w:val="000000"/>
          <w:szCs w:val="22"/>
        </w:rPr>
        <w:t>/dag dosisniveauet viste en 1,7 gang højere lægemiddelakkumulering efter gentagen dosering, én gang daglig.</w:t>
      </w:r>
    </w:p>
    <w:p w14:paraId="7E5E588F" w14:textId="77777777" w:rsidR="00A361AD" w:rsidRPr="004C2A59" w:rsidRDefault="00A361AD" w:rsidP="00421681">
      <w:pPr>
        <w:widowControl w:val="0"/>
        <w:suppressAutoHyphens/>
        <w:rPr>
          <w:color w:val="000000"/>
          <w:sz w:val="22"/>
          <w:szCs w:val="22"/>
          <w:u w:val="single"/>
          <w:lang w:val="da-DK"/>
        </w:rPr>
      </w:pPr>
    </w:p>
    <w:p w14:paraId="0478518D" w14:textId="77777777" w:rsidR="000C09AB" w:rsidRPr="004C2A59" w:rsidRDefault="000C09AB" w:rsidP="00421681">
      <w:pPr>
        <w:widowControl w:val="0"/>
        <w:suppressAutoHyphens/>
        <w:rPr>
          <w:color w:val="000000"/>
          <w:sz w:val="22"/>
          <w:szCs w:val="22"/>
          <w:lang w:val="da-DK"/>
        </w:rPr>
      </w:pPr>
      <w:r w:rsidRPr="004C2A59">
        <w:rPr>
          <w:color w:val="000000"/>
          <w:sz w:val="22"/>
          <w:szCs w:val="22"/>
          <w:lang w:val="da-DK"/>
        </w:rPr>
        <w:t>Baseret på den poolede farmakokinetiske populationsanalyse hos børn med hæmatologiske sygdomme (CML, Ph+ ALL eller andre hæmatologiske sygdomme behandlet med imatinib), stiger imatinib-clearance med stigende legemsoverflade. Efter korrigering for legemsoverflade-effekten havde andre demografiske faktorer som alder, kropsvægt og kropsmasseindeks (</w:t>
      </w:r>
      <w:r w:rsidRPr="004C2A59">
        <w:rPr>
          <w:i/>
          <w:color w:val="000000"/>
          <w:sz w:val="22"/>
          <w:szCs w:val="22"/>
          <w:lang w:val="da-DK"/>
        </w:rPr>
        <w:t>body mass index</w:t>
      </w:r>
      <w:r w:rsidRPr="004C2A59">
        <w:rPr>
          <w:color w:val="000000"/>
          <w:sz w:val="22"/>
          <w:szCs w:val="22"/>
          <w:lang w:val="da-DK"/>
        </w:rPr>
        <w:t>) ikke klinisk signifikant effekt på imatinib-eksponeringen. Analysen bekræftede, at imatinib-eksponeringen hos børn, som fik 260 mg/m</w:t>
      </w:r>
      <w:r w:rsidRPr="004C2A59">
        <w:rPr>
          <w:color w:val="000000"/>
          <w:sz w:val="22"/>
          <w:szCs w:val="22"/>
          <w:vertAlign w:val="superscript"/>
          <w:lang w:val="da-DK"/>
        </w:rPr>
        <w:t>2</w:t>
      </w:r>
      <w:r w:rsidRPr="004C2A59">
        <w:rPr>
          <w:color w:val="000000"/>
          <w:sz w:val="22"/>
          <w:szCs w:val="22"/>
          <w:lang w:val="da-DK"/>
        </w:rPr>
        <w:t xml:space="preserve"> en gang daglig (højst 400 mg en gang daglig) eller 340 mg/m</w:t>
      </w:r>
      <w:r w:rsidRPr="004C2A59">
        <w:rPr>
          <w:color w:val="000000"/>
          <w:sz w:val="22"/>
          <w:szCs w:val="22"/>
          <w:vertAlign w:val="superscript"/>
          <w:lang w:val="da-DK"/>
        </w:rPr>
        <w:t>2</w:t>
      </w:r>
      <w:r w:rsidRPr="004C2A59">
        <w:rPr>
          <w:color w:val="000000"/>
          <w:sz w:val="22"/>
          <w:szCs w:val="22"/>
          <w:lang w:val="da-DK"/>
        </w:rPr>
        <w:t xml:space="preserve"> en gang daglig (højst 600 mg en gang daglig), svarede til eksponeringen hos voksne, som fik imatinib 400 mg eller 600 mg en gang daglig.</w:t>
      </w:r>
    </w:p>
    <w:p w14:paraId="16DD3B68" w14:textId="77777777" w:rsidR="000C09AB" w:rsidRPr="004C2A59" w:rsidRDefault="000C09AB" w:rsidP="00421681">
      <w:pPr>
        <w:widowControl w:val="0"/>
        <w:suppressAutoHyphens/>
        <w:rPr>
          <w:color w:val="000000"/>
          <w:sz w:val="22"/>
          <w:szCs w:val="22"/>
          <w:u w:val="single"/>
          <w:lang w:val="da-DK"/>
        </w:rPr>
      </w:pPr>
    </w:p>
    <w:p w14:paraId="403CCC90" w14:textId="77777777" w:rsidR="00A361AD" w:rsidRPr="004C2A59" w:rsidRDefault="00A361AD" w:rsidP="00C422EE">
      <w:pPr>
        <w:keepNext/>
        <w:widowControl w:val="0"/>
        <w:suppressAutoHyphens/>
        <w:rPr>
          <w:color w:val="000000"/>
          <w:sz w:val="22"/>
          <w:szCs w:val="22"/>
          <w:u w:val="single"/>
          <w:lang w:val="da-DK"/>
        </w:rPr>
      </w:pPr>
      <w:r w:rsidRPr="004C2A59">
        <w:rPr>
          <w:color w:val="000000"/>
          <w:sz w:val="22"/>
          <w:szCs w:val="22"/>
          <w:u w:val="single"/>
          <w:lang w:val="da-DK"/>
        </w:rPr>
        <w:t>Nedsat organfunktion</w:t>
      </w:r>
    </w:p>
    <w:p w14:paraId="77808A99" w14:textId="77777777" w:rsidR="00A361AD" w:rsidRPr="004C2A59" w:rsidRDefault="00A361AD" w:rsidP="00421681">
      <w:pPr>
        <w:widowControl w:val="0"/>
        <w:suppressAutoHyphens/>
        <w:rPr>
          <w:color w:val="000000"/>
          <w:sz w:val="22"/>
          <w:szCs w:val="22"/>
          <w:lang w:val="da-DK"/>
        </w:rPr>
      </w:pPr>
      <w:r w:rsidRPr="004C2A59">
        <w:rPr>
          <w:color w:val="000000"/>
          <w:sz w:val="22"/>
          <w:szCs w:val="22"/>
          <w:lang w:val="da-DK"/>
        </w:rPr>
        <w:t>Imatinib og dets metabolitter udskilles kun i ubetydelig grad via nyrerne. Patienter med mild og moderat nedsat nyrefunktion ser ud til at have større plasmaeksponering end patienter med normal nyrefunktion. Eksponeringen er ca. 1,5</w:t>
      </w:r>
      <w:r w:rsidRPr="004C2A59">
        <w:rPr>
          <w:color w:val="000000"/>
          <w:sz w:val="22"/>
          <w:szCs w:val="22"/>
          <w:lang w:val="da-DK"/>
        </w:rPr>
        <w:noBreakHyphen/>
        <w:t> til 2</w:t>
      </w:r>
      <w:r w:rsidRPr="004C2A59">
        <w:rPr>
          <w:color w:val="000000"/>
          <w:sz w:val="22"/>
          <w:szCs w:val="22"/>
          <w:lang w:val="da-DK"/>
        </w:rPr>
        <w:noBreakHyphen/>
        <w:t> fold, svarende til en 1,5</w:t>
      </w:r>
      <w:r w:rsidRPr="004C2A59">
        <w:rPr>
          <w:color w:val="000000"/>
          <w:sz w:val="22"/>
          <w:szCs w:val="22"/>
          <w:lang w:val="da-DK"/>
        </w:rPr>
        <w:noBreakHyphen/>
        <w:t>gangs stigning af plasma AGP som imatinib binder stærkt til. Udskildning af fri imatinib er sandsynligvis sammenlignelig for patienter med nedsat nyrefunktion og dem med normal nyrefunktion, eftersom udskillelse via nyren kun udgør en mindre elimineringsvej for imatinib (se pkt. 4.2 og 4.4).</w:t>
      </w:r>
    </w:p>
    <w:p w14:paraId="19520B11" w14:textId="77777777" w:rsidR="00A361AD" w:rsidRPr="004C2A59" w:rsidRDefault="00A361AD" w:rsidP="00421681">
      <w:pPr>
        <w:widowControl w:val="0"/>
        <w:suppressAutoHyphens/>
        <w:rPr>
          <w:color w:val="000000"/>
          <w:sz w:val="22"/>
          <w:szCs w:val="22"/>
          <w:lang w:val="da-DK"/>
        </w:rPr>
      </w:pPr>
    </w:p>
    <w:p w14:paraId="7B7F4BD6" w14:textId="77777777" w:rsidR="00A361AD" w:rsidRPr="004C2A59" w:rsidRDefault="00A361AD" w:rsidP="00421681">
      <w:pPr>
        <w:widowControl w:val="0"/>
        <w:suppressAutoHyphens/>
        <w:rPr>
          <w:color w:val="000000"/>
          <w:sz w:val="22"/>
          <w:szCs w:val="22"/>
          <w:lang w:val="da-DK"/>
        </w:rPr>
      </w:pPr>
      <w:r w:rsidRPr="004C2A59">
        <w:rPr>
          <w:color w:val="000000"/>
          <w:sz w:val="22"/>
          <w:szCs w:val="22"/>
          <w:lang w:val="da-DK"/>
        </w:rPr>
        <w:t>Selvom resultaterne fra en farmakokinetisk analyse viste, at der var en betydelig variation mellem forsøgspersoner, øgede den gennemsnitlige eksponering af imatinib sig ikke hos patienter med varierende grad af nedsat leverfunktion, sammenlignet med patienter med normal leverfunktion (se pkt. 4.2, 4.4 og 4.8).</w:t>
      </w:r>
    </w:p>
    <w:p w14:paraId="5D8D4794" w14:textId="77777777" w:rsidR="00A361AD" w:rsidRPr="004C2A59" w:rsidRDefault="00A361AD" w:rsidP="00421681">
      <w:pPr>
        <w:widowControl w:val="0"/>
        <w:suppressAutoHyphens/>
        <w:rPr>
          <w:color w:val="000000"/>
          <w:sz w:val="22"/>
          <w:szCs w:val="22"/>
          <w:lang w:val="da-DK"/>
        </w:rPr>
      </w:pPr>
    </w:p>
    <w:p w14:paraId="0FFFD5E8" w14:textId="77777777" w:rsidR="00A361AD" w:rsidRPr="004C2A59" w:rsidRDefault="00A361AD" w:rsidP="00C422EE">
      <w:pPr>
        <w:keepNext/>
        <w:widowControl w:val="0"/>
        <w:suppressAutoHyphens/>
        <w:ind w:left="567" w:hanging="567"/>
        <w:rPr>
          <w:color w:val="000000"/>
          <w:sz w:val="22"/>
          <w:szCs w:val="22"/>
          <w:lang w:val="da-DK"/>
        </w:rPr>
      </w:pPr>
      <w:r w:rsidRPr="004C2A59">
        <w:rPr>
          <w:b/>
          <w:color w:val="000000"/>
          <w:sz w:val="22"/>
          <w:szCs w:val="22"/>
          <w:lang w:val="da-DK"/>
        </w:rPr>
        <w:t>5.3</w:t>
      </w:r>
      <w:r w:rsidRPr="004C2A59">
        <w:rPr>
          <w:b/>
          <w:color w:val="000000"/>
          <w:sz w:val="22"/>
          <w:szCs w:val="22"/>
          <w:lang w:val="da-DK"/>
        </w:rPr>
        <w:tab/>
        <w:t>Prækliniske sikkerhedsdata</w:t>
      </w:r>
    </w:p>
    <w:p w14:paraId="64BDD04A" w14:textId="77777777" w:rsidR="00A361AD" w:rsidRPr="004C2A59" w:rsidRDefault="00A361AD" w:rsidP="00C422EE">
      <w:pPr>
        <w:keepNext/>
        <w:widowControl w:val="0"/>
        <w:numPr>
          <w:ilvl w:val="12"/>
          <w:numId w:val="0"/>
        </w:numPr>
        <w:ind w:right="11"/>
        <w:rPr>
          <w:color w:val="000000"/>
          <w:sz w:val="22"/>
          <w:szCs w:val="22"/>
          <w:lang w:val="da-DK"/>
        </w:rPr>
      </w:pPr>
    </w:p>
    <w:p w14:paraId="60EC8AC3" w14:textId="77777777" w:rsidR="00A361AD" w:rsidRPr="004C2A59" w:rsidRDefault="00A361AD" w:rsidP="00421681">
      <w:pPr>
        <w:widowControl w:val="0"/>
        <w:rPr>
          <w:color w:val="000000"/>
          <w:sz w:val="22"/>
          <w:szCs w:val="22"/>
          <w:lang w:val="da-DK"/>
        </w:rPr>
      </w:pPr>
      <w:r w:rsidRPr="004C2A59">
        <w:rPr>
          <w:color w:val="000000"/>
          <w:sz w:val="22"/>
          <w:szCs w:val="22"/>
          <w:lang w:val="da-DK"/>
        </w:rPr>
        <w:t>Imatinibs prækliniske sikkerhedsprofil blev vurderet hos rotter, hunde, aber og kaniner.</w:t>
      </w:r>
    </w:p>
    <w:p w14:paraId="6D94398C" w14:textId="77777777" w:rsidR="00A361AD" w:rsidRPr="004C2A59" w:rsidRDefault="00A361AD" w:rsidP="00421681">
      <w:pPr>
        <w:widowControl w:val="0"/>
        <w:rPr>
          <w:color w:val="000000"/>
          <w:sz w:val="22"/>
          <w:szCs w:val="22"/>
          <w:lang w:val="da-DK"/>
        </w:rPr>
      </w:pPr>
    </w:p>
    <w:p w14:paraId="6A70A079" w14:textId="77777777" w:rsidR="00A361AD" w:rsidRPr="004C2A59" w:rsidRDefault="00A361AD" w:rsidP="00421681">
      <w:pPr>
        <w:pStyle w:val="Text"/>
        <w:spacing w:before="0"/>
        <w:jc w:val="left"/>
        <w:outlineLvl w:val="0"/>
        <w:rPr>
          <w:color w:val="000000"/>
          <w:sz w:val="22"/>
          <w:szCs w:val="22"/>
          <w:lang w:val="da-DK"/>
        </w:rPr>
      </w:pPr>
      <w:r w:rsidRPr="004C2A59">
        <w:rPr>
          <w:color w:val="000000"/>
          <w:sz w:val="22"/>
          <w:szCs w:val="22"/>
          <w:lang w:val="da-DK"/>
        </w:rPr>
        <w:t>Toksicitetsundersøgelser med gentagen dosering viste milde til moderate hæmatologiske forandringer hos rotter, hunde og aber, ledsaget af knoglemarvsændringer hos rotter og hunde.</w:t>
      </w:r>
    </w:p>
    <w:p w14:paraId="7DC94275" w14:textId="77777777" w:rsidR="00A361AD" w:rsidRPr="004C2A59" w:rsidRDefault="00A361AD" w:rsidP="00421681">
      <w:pPr>
        <w:pStyle w:val="Text"/>
        <w:spacing w:before="0"/>
        <w:jc w:val="left"/>
        <w:outlineLvl w:val="0"/>
        <w:rPr>
          <w:color w:val="000000"/>
          <w:sz w:val="22"/>
          <w:szCs w:val="22"/>
          <w:lang w:val="da-DK"/>
        </w:rPr>
      </w:pPr>
    </w:p>
    <w:p w14:paraId="2D07700D" w14:textId="77777777" w:rsidR="00A361AD" w:rsidRPr="004C2A59" w:rsidRDefault="00A361AD" w:rsidP="00421681">
      <w:pPr>
        <w:pStyle w:val="Text"/>
        <w:spacing w:before="0"/>
        <w:jc w:val="left"/>
        <w:outlineLvl w:val="0"/>
        <w:rPr>
          <w:color w:val="000000"/>
          <w:sz w:val="22"/>
          <w:szCs w:val="22"/>
          <w:lang w:val="da-DK"/>
        </w:rPr>
      </w:pPr>
      <w:r w:rsidRPr="004C2A59">
        <w:rPr>
          <w:color w:val="000000"/>
          <w:sz w:val="22"/>
          <w:szCs w:val="22"/>
          <w:lang w:val="da-DK"/>
        </w:rPr>
        <w:t>Leveren var målorganet hos rotter og hunde. Der sås milde til moderate stigninger i transaminaser og lette stigninger i kolesterol, triglycerider, totale protein- og albuminniveauer hos begge dyrearter. Der sås ingen histopatologiske forandringer i rottelever. Der sås svær levertoksicitet hos hunde behandlet i 2 uger, inkluderende forhøjede leverenzymer, hepatocellulær nekrose, galdevejsnekrose samt galdevejshyperplasia.</w:t>
      </w:r>
    </w:p>
    <w:p w14:paraId="11626BC8" w14:textId="77777777" w:rsidR="00A361AD" w:rsidRPr="004C2A59" w:rsidRDefault="00A361AD" w:rsidP="00421681">
      <w:pPr>
        <w:pStyle w:val="Text"/>
        <w:spacing w:before="0"/>
        <w:jc w:val="left"/>
        <w:outlineLvl w:val="0"/>
        <w:rPr>
          <w:color w:val="000000"/>
          <w:sz w:val="22"/>
          <w:szCs w:val="22"/>
          <w:lang w:val="da-DK"/>
        </w:rPr>
      </w:pPr>
    </w:p>
    <w:p w14:paraId="07CD8EF5" w14:textId="77777777" w:rsidR="00A361AD" w:rsidRPr="004C2A59" w:rsidRDefault="00A361AD" w:rsidP="00421681">
      <w:pPr>
        <w:pStyle w:val="Text"/>
        <w:spacing w:before="0"/>
        <w:jc w:val="left"/>
        <w:outlineLvl w:val="0"/>
        <w:rPr>
          <w:color w:val="000000"/>
          <w:sz w:val="22"/>
          <w:szCs w:val="22"/>
          <w:lang w:val="da-DK"/>
        </w:rPr>
      </w:pPr>
      <w:r w:rsidRPr="004C2A59">
        <w:rPr>
          <w:color w:val="000000"/>
          <w:sz w:val="22"/>
          <w:szCs w:val="22"/>
          <w:lang w:val="da-DK"/>
        </w:rPr>
        <w:t xml:space="preserve">Der sås nyretoksicitet hos aber behandlet i 2 uger, inkluderende fokal mineralisering og dilatering af nyretubuli samt tubulær nefrose. Der sås forhøjet se-carbamid og se-creatinin hos adskillige af disse dyr. Ved doser </w:t>
      </w:r>
      <w:r w:rsidRPr="004C2A59">
        <w:rPr>
          <w:color w:val="000000"/>
          <w:sz w:val="22"/>
          <w:szCs w:val="22"/>
          <w:u w:val="single"/>
          <w:lang w:val="da-DK"/>
        </w:rPr>
        <w:t>&gt;</w:t>
      </w:r>
      <w:r w:rsidRPr="004C2A59">
        <w:rPr>
          <w:color w:val="000000"/>
          <w:sz w:val="22"/>
          <w:szCs w:val="22"/>
          <w:lang w:val="da-DK"/>
        </w:rPr>
        <w:t xml:space="preserve">6 mg/kg, sås hos rotter i 13-ugers undersøgelsen hyperplasi af det transitoriske epithel </w:t>
      </w:r>
      <w:r w:rsidRPr="004C2A59">
        <w:rPr>
          <w:color w:val="000000"/>
          <w:sz w:val="22"/>
          <w:szCs w:val="22"/>
          <w:lang w:val="da-DK"/>
        </w:rPr>
        <w:lastRenderedPageBreak/>
        <w:t>i nyrepapillerne og i urinblæren, uden ændringer i serum- eller urinparametre. Der sås øget incidens af opportunistiske infektioner ved kronisk imatinib-behandling.</w:t>
      </w:r>
    </w:p>
    <w:p w14:paraId="73F2026D" w14:textId="77777777" w:rsidR="00A361AD" w:rsidRPr="004C2A59" w:rsidRDefault="00A361AD" w:rsidP="00421681">
      <w:pPr>
        <w:pStyle w:val="Text"/>
        <w:spacing w:before="0"/>
        <w:jc w:val="left"/>
        <w:outlineLvl w:val="0"/>
        <w:rPr>
          <w:color w:val="000000"/>
          <w:sz w:val="22"/>
          <w:szCs w:val="22"/>
          <w:lang w:val="da-DK"/>
        </w:rPr>
      </w:pPr>
    </w:p>
    <w:p w14:paraId="2653FCFF" w14:textId="77777777" w:rsidR="00A361AD" w:rsidRPr="004C2A59" w:rsidRDefault="00A361AD" w:rsidP="00421681">
      <w:pPr>
        <w:pStyle w:val="Text"/>
        <w:spacing w:before="0"/>
        <w:jc w:val="left"/>
        <w:outlineLvl w:val="0"/>
        <w:rPr>
          <w:color w:val="000000"/>
          <w:sz w:val="22"/>
          <w:szCs w:val="22"/>
          <w:lang w:val="da-DK"/>
        </w:rPr>
      </w:pPr>
      <w:r w:rsidRPr="004C2A59">
        <w:rPr>
          <w:color w:val="000000"/>
          <w:sz w:val="22"/>
          <w:szCs w:val="22"/>
          <w:lang w:val="da-DK"/>
        </w:rPr>
        <w:t>Der fandtes i en 39-ugers undersøgelse med aber ingen NOAEL (no observed adverse effect level/niveau ved ingen observeret bivirkningseffekt) ved den laveste dosis på 15 mg/kg, ca. 1/3 af den maksimale humane dosis på 800 mg baseret på legemsoverfladeareal. Behandlingen resulterede hos disse dyr i en forværring af normalt kontrollerede malariainfektioner.</w:t>
      </w:r>
    </w:p>
    <w:p w14:paraId="7F1D7D9A" w14:textId="77777777" w:rsidR="00A361AD" w:rsidRPr="004C2A59" w:rsidRDefault="00A361AD" w:rsidP="00421681">
      <w:pPr>
        <w:pStyle w:val="Text"/>
        <w:spacing w:before="0"/>
        <w:jc w:val="left"/>
        <w:outlineLvl w:val="0"/>
        <w:rPr>
          <w:color w:val="000000"/>
          <w:sz w:val="22"/>
          <w:szCs w:val="22"/>
          <w:lang w:val="da-DK"/>
        </w:rPr>
      </w:pPr>
    </w:p>
    <w:p w14:paraId="29687B47" w14:textId="77777777" w:rsidR="00A361AD" w:rsidRPr="004C2A59" w:rsidRDefault="00A361AD" w:rsidP="00421681">
      <w:pPr>
        <w:pStyle w:val="Text"/>
        <w:spacing w:before="0"/>
        <w:jc w:val="left"/>
        <w:outlineLvl w:val="0"/>
        <w:rPr>
          <w:color w:val="000000"/>
          <w:sz w:val="22"/>
          <w:szCs w:val="22"/>
          <w:lang w:val="da-DK"/>
        </w:rPr>
      </w:pPr>
      <w:r w:rsidRPr="004C2A59">
        <w:rPr>
          <w:color w:val="000000"/>
          <w:sz w:val="22"/>
          <w:szCs w:val="22"/>
          <w:lang w:val="da-DK"/>
        </w:rPr>
        <w:t xml:space="preserve">Imatinib ansås ikke som værende genotoksisk i </w:t>
      </w:r>
      <w:r w:rsidRPr="004C2A59">
        <w:rPr>
          <w:i/>
          <w:color w:val="000000"/>
          <w:sz w:val="22"/>
          <w:szCs w:val="22"/>
          <w:lang w:val="da-DK"/>
        </w:rPr>
        <w:t xml:space="preserve">in vitro </w:t>
      </w:r>
      <w:r w:rsidRPr="004C2A59">
        <w:rPr>
          <w:color w:val="000000"/>
          <w:sz w:val="22"/>
          <w:szCs w:val="22"/>
          <w:lang w:val="da-DK"/>
        </w:rPr>
        <w:t xml:space="preserve">bakteriecelleundersøgelse (Ames test), i </w:t>
      </w:r>
      <w:r w:rsidRPr="004C2A59">
        <w:rPr>
          <w:i/>
          <w:color w:val="000000"/>
          <w:sz w:val="22"/>
          <w:szCs w:val="22"/>
          <w:lang w:val="da-DK"/>
        </w:rPr>
        <w:t xml:space="preserve">in vitro </w:t>
      </w:r>
      <w:r w:rsidRPr="004C2A59">
        <w:rPr>
          <w:color w:val="000000"/>
          <w:sz w:val="22"/>
          <w:szCs w:val="22"/>
          <w:lang w:val="da-DK"/>
        </w:rPr>
        <w:t xml:space="preserve">pattedyrscelleundersøgelse (muselymfom) samt i </w:t>
      </w:r>
      <w:r w:rsidRPr="004C2A59">
        <w:rPr>
          <w:i/>
          <w:color w:val="000000"/>
          <w:sz w:val="22"/>
          <w:szCs w:val="22"/>
          <w:lang w:val="da-DK"/>
        </w:rPr>
        <w:t xml:space="preserve">in vivo </w:t>
      </w:r>
      <w:r w:rsidRPr="004C2A59">
        <w:rPr>
          <w:color w:val="000000"/>
          <w:sz w:val="22"/>
          <w:szCs w:val="22"/>
          <w:lang w:val="da-DK"/>
        </w:rPr>
        <w:t xml:space="preserve">rottemikronukleusundersøgelse. Der sås positiv genotoksisk effekt med imatinib i en </w:t>
      </w:r>
      <w:r w:rsidRPr="004C2A59">
        <w:rPr>
          <w:i/>
          <w:color w:val="000000"/>
          <w:sz w:val="22"/>
          <w:szCs w:val="22"/>
          <w:lang w:val="da-DK"/>
        </w:rPr>
        <w:t xml:space="preserve">in vitro </w:t>
      </w:r>
      <w:r w:rsidRPr="004C2A59">
        <w:rPr>
          <w:color w:val="000000"/>
          <w:sz w:val="22"/>
          <w:szCs w:val="22"/>
          <w:lang w:val="da-DK"/>
        </w:rPr>
        <w:t>pattedyrscelleundersøgelse (kinesisk hamsterovarium) for clastogenicitet (kromosomafvigelser) ved metabolisk aktivering. To intermediatorer i fremstillingsprocessen, der også tilstede i det endelige produkt, er positive for mutagenese i Ames testen. En af disse intermediatorer var også positiv i muselymfomtesten.</w:t>
      </w:r>
    </w:p>
    <w:p w14:paraId="284E0FDC" w14:textId="77777777" w:rsidR="00A361AD" w:rsidRPr="004C2A59" w:rsidRDefault="00A361AD" w:rsidP="00421681">
      <w:pPr>
        <w:pStyle w:val="Text"/>
        <w:spacing w:before="0"/>
        <w:jc w:val="left"/>
        <w:outlineLvl w:val="0"/>
        <w:rPr>
          <w:color w:val="000000"/>
          <w:sz w:val="22"/>
          <w:szCs w:val="22"/>
          <w:lang w:val="da-DK"/>
        </w:rPr>
      </w:pPr>
    </w:p>
    <w:p w14:paraId="55C3462F" w14:textId="77777777" w:rsidR="00A361AD" w:rsidRPr="004C2A59" w:rsidRDefault="00A361AD" w:rsidP="00421681">
      <w:pPr>
        <w:pStyle w:val="Text"/>
        <w:spacing w:before="0"/>
        <w:jc w:val="left"/>
        <w:rPr>
          <w:color w:val="000000"/>
          <w:sz w:val="22"/>
          <w:szCs w:val="22"/>
          <w:lang w:val="da-DK"/>
        </w:rPr>
      </w:pPr>
      <w:r w:rsidRPr="004C2A59">
        <w:rPr>
          <w:color w:val="000000"/>
          <w:sz w:val="22"/>
          <w:szCs w:val="22"/>
          <w:lang w:val="da-DK"/>
        </w:rPr>
        <w:t xml:space="preserve">I en fertilitetsundersøgelse med hanrotter doseret i 70 dage før parring, sås nedsat testikel- og epididymisvægt samt reduceret antal bevægelige sædceller ved 60 mg/kg, ca. svarende til den maksimale kliniske dosis på 800 mg/dag, baseret på legemsoverfladeareal. Dette sås ikke ved doser ≤20 mg/kg. Der sås også en let til moderat reduktion i spermatogenesen hos hunde ved orale doser </w:t>
      </w:r>
      <w:r w:rsidRPr="004C2A59">
        <w:rPr>
          <w:color w:val="000000"/>
          <w:sz w:val="22"/>
          <w:szCs w:val="22"/>
          <w:u w:val="single"/>
          <w:lang w:val="da-DK"/>
        </w:rPr>
        <w:t>&gt;</w:t>
      </w:r>
      <w:r w:rsidRPr="004C2A59">
        <w:rPr>
          <w:color w:val="000000"/>
          <w:sz w:val="22"/>
          <w:szCs w:val="22"/>
          <w:lang w:val="da-DK"/>
        </w:rPr>
        <w:t>30 mg/kg. Når hunrotter doseredes 14 dage inden parring og vedvarende til gestationsdag 6, sås ingen effekt på parringen eller antallet af gravide hunner. Ved en dosis på 60 mg/kg, havde hunrotterne et signifikant føtaltab efter implantation og et reduceret antal levende fostre. Dette sås ikke ved doser ≤20 mg/kg.</w:t>
      </w:r>
    </w:p>
    <w:p w14:paraId="3F685C0E" w14:textId="77777777" w:rsidR="00A361AD" w:rsidRPr="004C2A59" w:rsidRDefault="00A361AD" w:rsidP="00421681">
      <w:pPr>
        <w:pStyle w:val="Text"/>
        <w:spacing w:before="0"/>
        <w:jc w:val="left"/>
        <w:rPr>
          <w:color w:val="000000"/>
          <w:sz w:val="22"/>
          <w:szCs w:val="22"/>
          <w:lang w:val="da-DK"/>
        </w:rPr>
      </w:pPr>
    </w:p>
    <w:p w14:paraId="21A05CE7" w14:textId="77777777" w:rsidR="00A361AD" w:rsidRPr="004C2A59" w:rsidRDefault="00A361AD" w:rsidP="00421681">
      <w:pPr>
        <w:pStyle w:val="Text"/>
        <w:widowControl w:val="0"/>
        <w:spacing w:before="0"/>
        <w:jc w:val="left"/>
        <w:rPr>
          <w:color w:val="000000"/>
          <w:sz w:val="22"/>
          <w:szCs w:val="22"/>
          <w:lang w:val="da-DK"/>
        </w:rPr>
      </w:pPr>
      <w:r w:rsidRPr="004C2A59">
        <w:rPr>
          <w:color w:val="000000"/>
          <w:sz w:val="22"/>
          <w:szCs w:val="22"/>
          <w:lang w:val="da-DK"/>
        </w:rPr>
        <w:t>I et oralt præ</w:t>
      </w:r>
      <w:r w:rsidRPr="004C2A59">
        <w:rPr>
          <w:color w:val="000000"/>
          <w:sz w:val="22"/>
          <w:szCs w:val="22"/>
          <w:lang w:val="da-DK"/>
        </w:rPr>
        <w:noBreakHyphen/>
        <w:t xml:space="preserve"> og postnatalt udviklingsstudie med rotter sås rødt, vaginalt udflåd i gruppen med 45 mg/kg/dag på enten dag 14 eller dag 15 efter gestation. Der sås ved samme dosis øgning i antallet af dødfødte unger, såvel som i antallet af unger der døde postpartum mellem dag 0 og dag 4. I F</w:t>
      </w:r>
      <w:r w:rsidRPr="004C2A59">
        <w:rPr>
          <w:color w:val="000000"/>
          <w:sz w:val="22"/>
          <w:szCs w:val="22"/>
          <w:vertAlign w:val="subscript"/>
          <w:lang w:val="da-DK"/>
        </w:rPr>
        <w:t>1</w:t>
      </w:r>
      <w:r w:rsidRPr="004C2A59">
        <w:rPr>
          <w:color w:val="000000"/>
          <w:sz w:val="22"/>
          <w:szCs w:val="22"/>
          <w:lang w:val="da-DK"/>
        </w:rPr>
        <w:t xml:space="preserve"> -afkommet var den gennemsnitlige kropsvægt ved samme dosisniveau reduceret fra fødsel til aflivning og antallet af kuld der opfyldte kriteriet for præputial separation var let nedsat. F</w:t>
      </w:r>
      <w:r w:rsidRPr="004C2A59">
        <w:rPr>
          <w:color w:val="000000"/>
          <w:sz w:val="22"/>
          <w:szCs w:val="22"/>
          <w:vertAlign w:val="subscript"/>
          <w:lang w:val="da-DK"/>
        </w:rPr>
        <w:t>1</w:t>
      </w:r>
      <w:r w:rsidRPr="004C2A59">
        <w:rPr>
          <w:color w:val="000000"/>
          <w:sz w:val="22"/>
          <w:szCs w:val="22"/>
          <w:lang w:val="da-DK"/>
        </w:rPr>
        <w:t xml:space="preserve"> fertilitet var ikke påvirket, mens der sås et øget antal resorptioner og et nedsat antal levende fostre ved 45 mg/kg/dag. Niveauet for ingen observeret effekt (NOEL) var 15 mg/kg/dag for både moderdyr og F</w:t>
      </w:r>
      <w:r w:rsidRPr="004C2A59">
        <w:rPr>
          <w:color w:val="000000"/>
          <w:sz w:val="22"/>
          <w:szCs w:val="22"/>
          <w:vertAlign w:val="subscript"/>
          <w:lang w:val="da-DK"/>
        </w:rPr>
        <w:t>1</w:t>
      </w:r>
      <w:r w:rsidRPr="004C2A59">
        <w:rPr>
          <w:color w:val="000000"/>
          <w:sz w:val="22"/>
          <w:szCs w:val="22"/>
          <w:lang w:val="da-DK"/>
        </w:rPr>
        <w:t xml:space="preserve"> generation (en ¼ af den maksimale humane dosis på 800 mg).</w:t>
      </w:r>
    </w:p>
    <w:p w14:paraId="2018DF43" w14:textId="77777777" w:rsidR="00A361AD" w:rsidRPr="004C2A59" w:rsidRDefault="00A361AD" w:rsidP="00421681">
      <w:pPr>
        <w:pStyle w:val="Text"/>
        <w:spacing w:before="0"/>
        <w:jc w:val="left"/>
        <w:rPr>
          <w:color w:val="000000"/>
          <w:sz w:val="22"/>
          <w:szCs w:val="22"/>
          <w:lang w:val="da-DK"/>
        </w:rPr>
      </w:pPr>
    </w:p>
    <w:p w14:paraId="7539E2E8" w14:textId="77777777" w:rsidR="00A361AD" w:rsidRPr="004C2A59" w:rsidRDefault="00A361AD" w:rsidP="00421681">
      <w:pPr>
        <w:pStyle w:val="Text"/>
        <w:spacing w:before="0"/>
        <w:jc w:val="left"/>
        <w:rPr>
          <w:color w:val="000000"/>
          <w:sz w:val="22"/>
          <w:szCs w:val="22"/>
          <w:lang w:val="da-DK"/>
        </w:rPr>
      </w:pPr>
      <w:r w:rsidRPr="004C2A59">
        <w:rPr>
          <w:color w:val="000000"/>
          <w:sz w:val="22"/>
          <w:szCs w:val="22"/>
          <w:lang w:val="da-DK"/>
        </w:rPr>
        <w:t>Imatinib var teratogent hos rotter ved administration under organgenese ved doser ≥100 mg/kg, ca. svarende til den maksimale kliniske dosis på 800 mg/dag, baseret på legemsoverfladeareal. Teratogene virkninger inkluderede exencephali eller encephalocele, manglende/reducerede frontale knogler og manglende parietalknogler. Disse virkninger sås ikke ved doser ≤30 mg/kg.</w:t>
      </w:r>
    </w:p>
    <w:p w14:paraId="48C2C8C1" w14:textId="77777777" w:rsidR="005046A9" w:rsidRPr="004C2A59" w:rsidRDefault="005046A9" w:rsidP="00421681">
      <w:pPr>
        <w:pStyle w:val="Text"/>
        <w:spacing w:before="0"/>
        <w:jc w:val="left"/>
        <w:rPr>
          <w:color w:val="000000"/>
          <w:sz w:val="22"/>
          <w:szCs w:val="22"/>
          <w:lang w:val="da-DK"/>
        </w:rPr>
      </w:pPr>
    </w:p>
    <w:p w14:paraId="739C724C" w14:textId="77777777" w:rsidR="005046A9" w:rsidRPr="004C2A59" w:rsidRDefault="005046A9" w:rsidP="00421681">
      <w:pPr>
        <w:pStyle w:val="Text"/>
        <w:spacing w:before="0"/>
        <w:jc w:val="left"/>
        <w:rPr>
          <w:color w:val="000000"/>
          <w:sz w:val="22"/>
          <w:szCs w:val="22"/>
          <w:lang w:val="da-DK"/>
        </w:rPr>
      </w:pPr>
      <w:r w:rsidRPr="004C2A59">
        <w:rPr>
          <w:color w:val="000000"/>
          <w:sz w:val="22"/>
          <w:szCs w:val="22"/>
          <w:lang w:val="da-DK"/>
        </w:rPr>
        <w:t>I et juvenilt udviklingstoksikologisk rottestudie blev der ikke identificeret nye målorganer (dag 10 til 70 postpartum) med hensyn til kendte målorganer hos voksne rotter. I det juvenile toksikologistudie blev der set effekt på vækst samt forsinket vaginalåbning og præputial separation ved ca. 0,3 til 2 gange den gennemsnitlige pædiatriske eksponering ved den højst anbefalede dosis på 340 mg/m</w:t>
      </w:r>
      <w:r w:rsidRPr="004C2A59">
        <w:rPr>
          <w:color w:val="000000"/>
          <w:sz w:val="22"/>
          <w:szCs w:val="22"/>
          <w:vertAlign w:val="superscript"/>
          <w:lang w:val="da-DK"/>
        </w:rPr>
        <w:t>2</w:t>
      </w:r>
      <w:r w:rsidRPr="004C2A59">
        <w:rPr>
          <w:color w:val="000000"/>
          <w:sz w:val="22"/>
          <w:szCs w:val="22"/>
          <w:lang w:val="da-DK"/>
        </w:rPr>
        <w:t>. Derudover blev der set mortalitet hos juvenile dyr (omkring fravænningsfase) ved ca. 2 gange den gennemsnitlige pædiatriske eksponering ved den højst anbefalede dosis på 340 mg/m</w:t>
      </w:r>
      <w:r w:rsidRPr="004C2A59">
        <w:rPr>
          <w:color w:val="000000"/>
          <w:sz w:val="22"/>
          <w:szCs w:val="22"/>
          <w:vertAlign w:val="superscript"/>
          <w:lang w:val="da-DK"/>
        </w:rPr>
        <w:t>2</w:t>
      </w:r>
      <w:r w:rsidRPr="004C2A59">
        <w:rPr>
          <w:color w:val="000000"/>
          <w:sz w:val="22"/>
          <w:szCs w:val="22"/>
          <w:lang w:val="da-DK"/>
        </w:rPr>
        <w:t>.</w:t>
      </w:r>
    </w:p>
    <w:p w14:paraId="53D9B3D0" w14:textId="77777777" w:rsidR="00A361AD" w:rsidRPr="004C2A59" w:rsidRDefault="00A361AD" w:rsidP="00421681">
      <w:pPr>
        <w:pStyle w:val="Text"/>
        <w:spacing w:before="0"/>
        <w:jc w:val="left"/>
        <w:rPr>
          <w:color w:val="000000"/>
          <w:sz w:val="22"/>
          <w:szCs w:val="22"/>
          <w:lang w:val="da-DK"/>
        </w:rPr>
      </w:pPr>
    </w:p>
    <w:p w14:paraId="61D4031C" w14:textId="77777777" w:rsidR="00A361AD" w:rsidRPr="004C2A59" w:rsidRDefault="005046A9" w:rsidP="00421681">
      <w:pPr>
        <w:numPr>
          <w:ilvl w:val="12"/>
          <w:numId w:val="0"/>
        </w:numPr>
        <w:ind w:right="11"/>
        <w:rPr>
          <w:color w:val="000000"/>
          <w:sz w:val="22"/>
          <w:szCs w:val="22"/>
          <w:lang w:val="da-DK"/>
        </w:rPr>
      </w:pPr>
      <w:r w:rsidRPr="004C2A59">
        <w:rPr>
          <w:color w:val="000000"/>
          <w:sz w:val="22"/>
          <w:szCs w:val="22"/>
          <w:lang w:val="da-DK"/>
        </w:rPr>
        <w:t>I et 2-års karcinogenicitetsstudie</w:t>
      </w:r>
      <w:r w:rsidR="00A361AD" w:rsidRPr="004C2A59">
        <w:rPr>
          <w:color w:val="000000"/>
          <w:sz w:val="22"/>
          <w:szCs w:val="22"/>
          <w:lang w:val="da-DK"/>
        </w:rPr>
        <w:t xml:space="preserve"> i rotter resulterede administration af imatinib på 15, 30 og 60 mg/kg/dag i en signifikant reduktion i levetiden ved 60 mg/kg/dag for hanner og for hunner ved ≥30 mg/kg/dag. Histopatologiske undersøgelser af de afdøde rotter afslørede kardiomyopati (begge køn), kronisk progressiv nefropati (hun</w:t>
      </w:r>
      <w:r w:rsidR="003C2A57">
        <w:rPr>
          <w:color w:val="000000"/>
          <w:sz w:val="22"/>
          <w:szCs w:val="22"/>
          <w:lang w:val="da-DK"/>
        </w:rPr>
        <w:t>ner</w:t>
      </w:r>
      <w:r w:rsidR="00A361AD" w:rsidRPr="004C2A59">
        <w:rPr>
          <w:color w:val="000000"/>
          <w:sz w:val="22"/>
          <w:szCs w:val="22"/>
          <w:lang w:val="da-DK"/>
        </w:rPr>
        <w:t>) og papillomaer på forhuden som hovedårsag til død eller begrundelse for aflivning. Målorganerne for neoplastiske ændringer var nyrerne, urinblæren, urinrøret, fedtkirtlerne på forhuden og klitoris, tyndtarmen, biskjoldbruskkirtlerne, binyrererne og den ikke-kirtellignende del af maven.</w:t>
      </w:r>
    </w:p>
    <w:p w14:paraId="1D882D21" w14:textId="77777777" w:rsidR="00A361AD" w:rsidRPr="004C2A59" w:rsidRDefault="00A361AD" w:rsidP="00421681">
      <w:pPr>
        <w:numPr>
          <w:ilvl w:val="12"/>
          <w:numId w:val="0"/>
        </w:numPr>
        <w:ind w:right="11"/>
        <w:rPr>
          <w:color w:val="000000"/>
          <w:sz w:val="22"/>
          <w:szCs w:val="22"/>
          <w:lang w:val="da-DK"/>
        </w:rPr>
      </w:pPr>
    </w:p>
    <w:p w14:paraId="0C380A4E" w14:textId="77777777" w:rsidR="00A361AD" w:rsidRPr="004C2A59" w:rsidRDefault="00A361AD" w:rsidP="00421681">
      <w:pPr>
        <w:numPr>
          <w:ilvl w:val="12"/>
          <w:numId w:val="0"/>
        </w:numPr>
        <w:ind w:right="11"/>
        <w:rPr>
          <w:color w:val="000000"/>
          <w:sz w:val="22"/>
          <w:szCs w:val="22"/>
          <w:lang w:val="da-DK"/>
        </w:rPr>
      </w:pPr>
      <w:r w:rsidRPr="004C2A59">
        <w:rPr>
          <w:color w:val="000000"/>
          <w:sz w:val="22"/>
          <w:szCs w:val="22"/>
          <w:lang w:val="da-DK"/>
        </w:rPr>
        <w:t>Papillomaer/carcinomer i fedtkirtlerne på forhuden/klitoris blev set fra 30 mg/kg/dag og højere, som svarer til cirka 0,5 eller 0,3 gange den daglige humane eksponering (baseret på AUC) på henholdsvis 400 mg/dag eller 800 mg/dag. Dette svarer til 0,4 gange den daglige eksponering (baseret på AUC) hos børn på 340 mg/</w:t>
      </w:r>
      <w:r w:rsidRPr="004C2A59">
        <w:rPr>
          <w:bCs/>
          <w:color w:val="000000"/>
          <w:sz w:val="22"/>
          <w:szCs w:val="22"/>
          <w:lang w:val="da-DK"/>
        </w:rPr>
        <w:t>m</w:t>
      </w:r>
      <w:r w:rsidRPr="004C2A59">
        <w:rPr>
          <w:bCs/>
          <w:color w:val="000000"/>
          <w:sz w:val="22"/>
          <w:szCs w:val="22"/>
          <w:vertAlign w:val="superscript"/>
          <w:lang w:val="da-DK"/>
        </w:rPr>
        <w:t>2</w:t>
      </w:r>
      <w:r w:rsidRPr="004C2A59">
        <w:rPr>
          <w:bCs/>
          <w:color w:val="000000"/>
          <w:sz w:val="22"/>
          <w:szCs w:val="22"/>
          <w:lang w:val="da-DK"/>
        </w:rPr>
        <w:t>/dag.</w:t>
      </w:r>
      <w:r w:rsidRPr="004C2A59">
        <w:rPr>
          <w:color w:val="000000"/>
          <w:sz w:val="22"/>
          <w:szCs w:val="22"/>
          <w:lang w:val="da-DK"/>
        </w:rPr>
        <w:t xml:space="preserve"> Niveauet for ingen observeret effekt (NOEL) var 15 mg/kg/dag. Renale </w:t>
      </w:r>
      <w:r w:rsidRPr="004C2A59">
        <w:rPr>
          <w:color w:val="000000"/>
          <w:sz w:val="22"/>
          <w:szCs w:val="22"/>
          <w:lang w:val="da-DK"/>
        </w:rPr>
        <w:lastRenderedPageBreak/>
        <w:t>adenomer/carcinomer, papillomaer i blæren og urinrøret, adenocarcinomer i tyndtarmen, adenomer i bisskjoldbruskkirtlerne, de benigne og maligne tumorer i binyremarven og ikke-kirtellignende ventrikelpapillomaer/carcinomer blev observeret ved 60 mg/kg/dag. Dette svarer til ca. 1,7 eller 1 gang den humane daglige eksponering (baseret på AUC) på henholdsvis 400 mg/dag eller 800 mg/dag, og 1,2 gange den daglige eksponering hos børn (baseret på AUC) på 340 mg/</w:t>
      </w:r>
      <w:r w:rsidRPr="004C2A59">
        <w:rPr>
          <w:bCs/>
          <w:color w:val="000000"/>
          <w:sz w:val="22"/>
          <w:szCs w:val="22"/>
          <w:lang w:val="da-DK"/>
        </w:rPr>
        <w:t>m</w:t>
      </w:r>
      <w:r w:rsidRPr="004C2A59">
        <w:rPr>
          <w:bCs/>
          <w:color w:val="000000"/>
          <w:sz w:val="22"/>
          <w:szCs w:val="22"/>
          <w:vertAlign w:val="superscript"/>
          <w:lang w:val="da-DK"/>
        </w:rPr>
        <w:t>2</w:t>
      </w:r>
      <w:r w:rsidRPr="004C2A59">
        <w:rPr>
          <w:bCs/>
          <w:color w:val="000000"/>
          <w:sz w:val="22"/>
          <w:szCs w:val="22"/>
          <w:lang w:val="da-DK"/>
        </w:rPr>
        <w:t>/dag.</w:t>
      </w:r>
      <w:r w:rsidRPr="004C2A59">
        <w:rPr>
          <w:color w:val="000000"/>
          <w:sz w:val="22"/>
          <w:szCs w:val="22"/>
          <w:lang w:val="da-DK"/>
        </w:rPr>
        <w:t xml:space="preserve"> Niveauet for ingen observeret effekt (NOEL) var 30 mg/kg/dag.</w:t>
      </w:r>
    </w:p>
    <w:p w14:paraId="5CF01878" w14:textId="77777777" w:rsidR="00A361AD" w:rsidRPr="004C2A59" w:rsidRDefault="00A361AD" w:rsidP="00421681">
      <w:pPr>
        <w:numPr>
          <w:ilvl w:val="12"/>
          <w:numId w:val="0"/>
        </w:numPr>
        <w:ind w:right="11"/>
        <w:rPr>
          <w:color w:val="000000"/>
          <w:sz w:val="22"/>
          <w:szCs w:val="22"/>
          <w:lang w:val="da-DK"/>
        </w:rPr>
      </w:pPr>
    </w:p>
    <w:p w14:paraId="01E78E09" w14:textId="77777777" w:rsidR="00A361AD" w:rsidRPr="004C2A59" w:rsidRDefault="00A361AD" w:rsidP="00421681">
      <w:pPr>
        <w:numPr>
          <w:ilvl w:val="12"/>
          <w:numId w:val="0"/>
        </w:numPr>
        <w:ind w:right="11"/>
        <w:rPr>
          <w:color w:val="000000"/>
          <w:sz w:val="22"/>
          <w:szCs w:val="22"/>
          <w:lang w:val="da-DK"/>
        </w:rPr>
      </w:pPr>
      <w:r w:rsidRPr="004C2A59">
        <w:rPr>
          <w:color w:val="000000"/>
          <w:sz w:val="22"/>
          <w:szCs w:val="22"/>
          <w:lang w:val="da-DK"/>
        </w:rPr>
        <w:t xml:space="preserve">Mekanismen og betydningen for mennesker af disse resultater i </w:t>
      </w:r>
      <w:r w:rsidR="005046A9" w:rsidRPr="004C2A59">
        <w:rPr>
          <w:color w:val="000000"/>
          <w:sz w:val="22"/>
          <w:szCs w:val="22"/>
          <w:lang w:val="da-DK"/>
        </w:rPr>
        <w:t>karcinogenicitetsstudie</w:t>
      </w:r>
      <w:r w:rsidRPr="004C2A59">
        <w:rPr>
          <w:color w:val="000000"/>
          <w:sz w:val="22"/>
          <w:szCs w:val="22"/>
          <w:lang w:val="da-DK"/>
        </w:rPr>
        <w:t xml:space="preserve"> hos rotter er endnu ikke afklaret.</w:t>
      </w:r>
    </w:p>
    <w:p w14:paraId="2B40ABF7" w14:textId="77777777" w:rsidR="00A361AD" w:rsidRPr="004C2A59" w:rsidRDefault="00A361AD" w:rsidP="00421681">
      <w:pPr>
        <w:numPr>
          <w:ilvl w:val="12"/>
          <w:numId w:val="0"/>
        </w:numPr>
        <w:ind w:right="11"/>
        <w:rPr>
          <w:color w:val="000000"/>
          <w:sz w:val="22"/>
          <w:szCs w:val="22"/>
          <w:lang w:val="da-DK"/>
        </w:rPr>
      </w:pPr>
    </w:p>
    <w:p w14:paraId="6B11DB27" w14:textId="77777777" w:rsidR="00A361AD" w:rsidRPr="004C2A59" w:rsidRDefault="00A361AD" w:rsidP="00421681">
      <w:pPr>
        <w:numPr>
          <w:ilvl w:val="12"/>
          <w:numId w:val="0"/>
        </w:numPr>
        <w:ind w:right="11"/>
        <w:rPr>
          <w:color w:val="000000"/>
          <w:sz w:val="22"/>
          <w:szCs w:val="22"/>
          <w:lang w:val="da-DK"/>
        </w:rPr>
      </w:pPr>
      <w:r w:rsidRPr="004C2A59">
        <w:rPr>
          <w:color w:val="000000"/>
          <w:sz w:val="22"/>
          <w:szCs w:val="22"/>
          <w:lang w:val="da-DK"/>
        </w:rPr>
        <w:t>Non-neoplastisk skade, som ikke er identificeret ved tidligere prækliniske studier, er i det kardiovaskulære system, pankreas, endokrine organer og tænder. Den vigtigste ændring er hjertehypertrofi og dilation, som i nogle dyr kan føre til tegn på hjerte</w:t>
      </w:r>
      <w:r w:rsidR="00623FE4" w:rsidRPr="004C2A59">
        <w:rPr>
          <w:color w:val="000000"/>
          <w:sz w:val="22"/>
          <w:szCs w:val="22"/>
          <w:lang w:val="da-DK"/>
        </w:rPr>
        <w:t>insufficiens</w:t>
      </w:r>
      <w:r w:rsidRPr="004C2A59">
        <w:rPr>
          <w:color w:val="000000"/>
          <w:sz w:val="22"/>
          <w:szCs w:val="22"/>
          <w:lang w:val="da-DK"/>
        </w:rPr>
        <w:t>.</w:t>
      </w:r>
    </w:p>
    <w:p w14:paraId="27114F65" w14:textId="77777777" w:rsidR="000C09AB" w:rsidRPr="004C2A59" w:rsidRDefault="000C09AB" w:rsidP="00421681">
      <w:pPr>
        <w:numPr>
          <w:ilvl w:val="12"/>
          <w:numId w:val="0"/>
        </w:numPr>
        <w:ind w:right="11"/>
        <w:rPr>
          <w:color w:val="000000"/>
          <w:sz w:val="22"/>
          <w:szCs w:val="22"/>
          <w:lang w:val="da-DK"/>
        </w:rPr>
      </w:pPr>
    </w:p>
    <w:p w14:paraId="5E1FA2A4" w14:textId="77777777" w:rsidR="000C09AB" w:rsidRPr="004C2A59" w:rsidRDefault="000C09AB" w:rsidP="00421681">
      <w:pPr>
        <w:numPr>
          <w:ilvl w:val="12"/>
          <w:numId w:val="0"/>
        </w:numPr>
        <w:ind w:right="11"/>
        <w:rPr>
          <w:color w:val="000000"/>
          <w:sz w:val="22"/>
          <w:szCs w:val="22"/>
          <w:lang w:val="da-DK"/>
        </w:rPr>
      </w:pPr>
      <w:r w:rsidRPr="004C2A59">
        <w:rPr>
          <w:color w:val="000000"/>
          <w:sz w:val="22"/>
          <w:szCs w:val="22"/>
          <w:lang w:val="da-DK"/>
        </w:rPr>
        <w:t>Det aktive stof imatinib viser en miljørisiko for sedimentlevende organismer.</w:t>
      </w:r>
    </w:p>
    <w:p w14:paraId="7EAF5C52" w14:textId="77777777" w:rsidR="00A361AD" w:rsidRPr="004C2A59" w:rsidRDefault="00A361AD" w:rsidP="00421681">
      <w:pPr>
        <w:numPr>
          <w:ilvl w:val="12"/>
          <w:numId w:val="0"/>
        </w:numPr>
        <w:ind w:right="11"/>
        <w:rPr>
          <w:color w:val="000000"/>
          <w:sz w:val="22"/>
          <w:szCs w:val="22"/>
          <w:lang w:val="da-DK"/>
        </w:rPr>
      </w:pPr>
    </w:p>
    <w:p w14:paraId="2875A176" w14:textId="77777777" w:rsidR="00A361AD" w:rsidRPr="004C2A59" w:rsidRDefault="00A361AD" w:rsidP="00421681">
      <w:pPr>
        <w:widowControl w:val="0"/>
        <w:suppressAutoHyphens/>
        <w:ind w:left="567" w:hanging="567"/>
        <w:rPr>
          <w:color w:val="000000"/>
          <w:sz w:val="22"/>
          <w:szCs w:val="22"/>
          <w:lang w:val="da-DK"/>
        </w:rPr>
      </w:pPr>
    </w:p>
    <w:p w14:paraId="43C00675" w14:textId="77777777" w:rsidR="00C107A9" w:rsidRPr="004C2A59" w:rsidRDefault="00C107A9" w:rsidP="00C422EE">
      <w:pPr>
        <w:keepNext/>
        <w:widowControl w:val="0"/>
        <w:suppressAutoHyphens/>
        <w:ind w:left="567" w:hanging="567"/>
        <w:rPr>
          <w:color w:val="000000"/>
          <w:sz w:val="22"/>
          <w:szCs w:val="22"/>
          <w:lang w:val="da-DK"/>
        </w:rPr>
      </w:pPr>
      <w:r w:rsidRPr="004C2A59">
        <w:rPr>
          <w:b/>
          <w:color w:val="000000"/>
          <w:sz w:val="22"/>
          <w:szCs w:val="22"/>
          <w:lang w:val="da-DK"/>
        </w:rPr>
        <w:t>6.</w:t>
      </w:r>
      <w:r w:rsidRPr="004C2A59">
        <w:rPr>
          <w:b/>
          <w:color w:val="000000"/>
          <w:sz w:val="22"/>
          <w:szCs w:val="22"/>
          <w:lang w:val="da-DK"/>
        </w:rPr>
        <w:tab/>
        <w:t>FARMACEUTISKE OPLYSNINGER</w:t>
      </w:r>
    </w:p>
    <w:p w14:paraId="38C48122" w14:textId="77777777" w:rsidR="00C107A9" w:rsidRPr="004C2A59" w:rsidRDefault="00C107A9" w:rsidP="00C422EE">
      <w:pPr>
        <w:keepNext/>
        <w:widowControl w:val="0"/>
        <w:rPr>
          <w:color w:val="000000"/>
          <w:sz w:val="22"/>
          <w:szCs w:val="22"/>
          <w:lang w:val="da-DK"/>
        </w:rPr>
      </w:pPr>
    </w:p>
    <w:p w14:paraId="659ACBE4" w14:textId="77777777" w:rsidR="00C107A9" w:rsidRPr="004C2A59" w:rsidRDefault="00C107A9" w:rsidP="00C422EE">
      <w:pPr>
        <w:keepNext/>
        <w:widowControl w:val="0"/>
        <w:suppressAutoHyphens/>
        <w:ind w:left="567" w:hanging="567"/>
        <w:rPr>
          <w:color w:val="000000"/>
          <w:sz w:val="22"/>
          <w:szCs w:val="22"/>
          <w:lang w:val="da-DK"/>
        </w:rPr>
      </w:pPr>
      <w:r w:rsidRPr="004C2A59">
        <w:rPr>
          <w:b/>
          <w:color w:val="000000"/>
          <w:sz w:val="22"/>
          <w:szCs w:val="22"/>
          <w:lang w:val="da-DK"/>
        </w:rPr>
        <w:t>6.1</w:t>
      </w:r>
      <w:r w:rsidRPr="004C2A59">
        <w:rPr>
          <w:b/>
          <w:color w:val="000000"/>
          <w:sz w:val="22"/>
          <w:szCs w:val="22"/>
          <w:lang w:val="da-DK"/>
        </w:rPr>
        <w:tab/>
      </w:r>
      <w:r w:rsidR="00DF1173" w:rsidRPr="004C2A59">
        <w:rPr>
          <w:b/>
          <w:color w:val="000000"/>
          <w:sz w:val="22"/>
          <w:szCs w:val="22"/>
          <w:lang w:val="da-DK"/>
        </w:rPr>
        <w:t>H</w:t>
      </w:r>
      <w:r w:rsidRPr="004C2A59">
        <w:rPr>
          <w:b/>
          <w:color w:val="000000"/>
          <w:sz w:val="22"/>
          <w:szCs w:val="22"/>
          <w:lang w:val="da-DK"/>
        </w:rPr>
        <w:t>jælpestoffer</w:t>
      </w:r>
    </w:p>
    <w:p w14:paraId="7E8CE229" w14:textId="77777777" w:rsidR="00C107A9" w:rsidRPr="004C2A59" w:rsidRDefault="00C107A9" w:rsidP="00C422EE">
      <w:pPr>
        <w:keepNext/>
        <w:widowControl w:val="0"/>
        <w:rPr>
          <w:color w:val="000000"/>
          <w:sz w:val="22"/>
          <w:szCs w:val="22"/>
          <w:lang w:val="da-DK"/>
        </w:rPr>
      </w:pPr>
    </w:p>
    <w:p w14:paraId="7DCD3427" w14:textId="77777777" w:rsidR="00610A3A" w:rsidRPr="004C2A59" w:rsidRDefault="004B07E8" w:rsidP="00C422EE">
      <w:pPr>
        <w:keepNext/>
        <w:widowControl w:val="0"/>
        <w:suppressAutoHyphens/>
        <w:ind w:left="567" w:hanging="567"/>
        <w:rPr>
          <w:color w:val="000000"/>
          <w:sz w:val="22"/>
          <w:szCs w:val="22"/>
          <w:lang w:val="da-DK"/>
        </w:rPr>
      </w:pPr>
      <w:r w:rsidRPr="004C2A59">
        <w:rPr>
          <w:color w:val="000000"/>
          <w:sz w:val="22"/>
          <w:szCs w:val="22"/>
          <w:lang w:val="da-DK"/>
        </w:rPr>
        <w:t>Tabletkerne:</w:t>
      </w:r>
    </w:p>
    <w:p w14:paraId="4456C6B6" w14:textId="77777777" w:rsidR="00610A3A" w:rsidRPr="004C2A59" w:rsidRDefault="00C107A9" w:rsidP="00C422EE">
      <w:pPr>
        <w:keepNext/>
        <w:widowControl w:val="0"/>
        <w:suppressAutoHyphens/>
        <w:ind w:left="567" w:hanging="567"/>
        <w:rPr>
          <w:color w:val="000000"/>
          <w:sz w:val="22"/>
          <w:szCs w:val="22"/>
          <w:lang w:val="da-DK"/>
        </w:rPr>
      </w:pPr>
      <w:r w:rsidRPr="004C2A59">
        <w:rPr>
          <w:color w:val="000000"/>
          <w:sz w:val="22"/>
          <w:szCs w:val="22"/>
          <w:lang w:val="da-DK"/>
        </w:rPr>
        <w:t>Cellulose, mikrokrystallinsk</w:t>
      </w:r>
    </w:p>
    <w:p w14:paraId="50120869" w14:textId="77777777" w:rsidR="00C107A9" w:rsidRPr="00F852D1" w:rsidRDefault="00C107A9" w:rsidP="00C422EE">
      <w:pPr>
        <w:keepNext/>
        <w:widowControl w:val="0"/>
        <w:suppressAutoHyphens/>
        <w:ind w:left="567" w:hanging="567"/>
        <w:rPr>
          <w:color w:val="000000"/>
          <w:sz w:val="22"/>
          <w:szCs w:val="22"/>
          <w:lang w:val="da-DK"/>
        </w:rPr>
      </w:pPr>
      <w:r w:rsidRPr="00F852D1">
        <w:rPr>
          <w:color w:val="000000"/>
          <w:sz w:val="22"/>
          <w:szCs w:val="22"/>
          <w:lang w:val="da-DK"/>
        </w:rPr>
        <w:t>Crospovidon</w:t>
      </w:r>
    </w:p>
    <w:p w14:paraId="5ED98B3F" w14:textId="77777777" w:rsidR="00C107A9" w:rsidRPr="00F852D1" w:rsidRDefault="00C107A9" w:rsidP="00C422EE">
      <w:pPr>
        <w:keepNext/>
        <w:widowControl w:val="0"/>
        <w:suppressAutoHyphens/>
        <w:ind w:left="567" w:hanging="567"/>
        <w:rPr>
          <w:color w:val="000000"/>
          <w:sz w:val="22"/>
          <w:szCs w:val="22"/>
          <w:lang w:val="da-DK"/>
        </w:rPr>
      </w:pPr>
      <w:r w:rsidRPr="00F852D1">
        <w:rPr>
          <w:color w:val="000000"/>
          <w:sz w:val="22"/>
          <w:szCs w:val="22"/>
          <w:lang w:val="da-DK"/>
        </w:rPr>
        <w:t>Hypromellose</w:t>
      </w:r>
    </w:p>
    <w:p w14:paraId="5ABFC754" w14:textId="77777777" w:rsidR="00C107A9" w:rsidRPr="00F852D1" w:rsidRDefault="00C107A9" w:rsidP="00C422EE">
      <w:pPr>
        <w:keepNext/>
        <w:widowControl w:val="0"/>
        <w:suppressAutoHyphens/>
        <w:ind w:left="567" w:hanging="567"/>
        <w:rPr>
          <w:color w:val="000000"/>
          <w:sz w:val="22"/>
          <w:szCs w:val="22"/>
          <w:lang w:val="da-DK"/>
        </w:rPr>
      </w:pPr>
      <w:r w:rsidRPr="00F852D1">
        <w:rPr>
          <w:color w:val="000000"/>
          <w:sz w:val="22"/>
          <w:szCs w:val="22"/>
          <w:lang w:val="da-DK"/>
        </w:rPr>
        <w:t>Magnesiumstearat</w:t>
      </w:r>
    </w:p>
    <w:p w14:paraId="0A4EBA62" w14:textId="77777777" w:rsidR="00C107A9" w:rsidRPr="00F852D1" w:rsidRDefault="00C107A9" w:rsidP="00421681">
      <w:pPr>
        <w:widowControl w:val="0"/>
        <w:suppressAutoHyphens/>
        <w:ind w:left="567" w:hanging="567"/>
        <w:rPr>
          <w:color w:val="000000"/>
          <w:sz w:val="22"/>
          <w:szCs w:val="22"/>
          <w:lang w:val="da-DK"/>
        </w:rPr>
      </w:pPr>
      <w:r w:rsidRPr="00F852D1">
        <w:rPr>
          <w:color w:val="000000"/>
          <w:sz w:val="22"/>
          <w:szCs w:val="22"/>
          <w:lang w:val="da-DK"/>
        </w:rPr>
        <w:t>Silica, kolloid vandfri</w:t>
      </w:r>
    </w:p>
    <w:p w14:paraId="0951056A" w14:textId="77777777" w:rsidR="00C107A9" w:rsidRPr="00F852D1" w:rsidRDefault="00C107A9" w:rsidP="00421681">
      <w:pPr>
        <w:widowControl w:val="0"/>
        <w:suppressAutoHyphens/>
        <w:ind w:left="567" w:hanging="567"/>
        <w:rPr>
          <w:color w:val="000000"/>
          <w:sz w:val="22"/>
          <w:szCs w:val="22"/>
          <w:lang w:val="da-DK"/>
        </w:rPr>
      </w:pPr>
    </w:p>
    <w:p w14:paraId="044975C0" w14:textId="77777777" w:rsidR="00C107A9" w:rsidRPr="004C2A59" w:rsidRDefault="00C107A9" w:rsidP="00C422EE">
      <w:pPr>
        <w:keepNext/>
        <w:widowControl w:val="0"/>
        <w:suppressAutoHyphens/>
        <w:ind w:left="567" w:hanging="567"/>
        <w:rPr>
          <w:color w:val="000000"/>
          <w:sz w:val="22"/>
          <w:szCs w:val="22"/>
          <w:lang w:val="da-DK"/>
        </w:rPr>
      </w:pPr>
      <w:r w:rsidRPr="004C2A59">
        <w:rPr>
          <w:color w:val="000000"/>
          <w:sz w:val="22"/>
          <w:szCs w:val="22"/>
          <w:lang w:val="da-DK"/>
        </w:rPr>
        <w:t>Tabletovertræk:</w:t>
      </w:r>
    </w:p>
    <w:p w14:paraId="1136E9BF" w14:textId="77777777" w:rsidR="00C107A9" w:rsidRPr="00F852D1" w:rsidRDefault="00C107A9" w:rsidP="00C422EE">
      <w:pPr>
        <w:keepNext/>
        <w:widowControl w:val="0"/>
        <w:suppressAutoHyphens/>
        <w:ind w:left="567" w:hanging="567"/>
        <w:rPr>
          <w:color w:val="000000"/>
          <w:sz w:val="22"/>
          <w:szCs w:val="22"/>
          <w:lang w:val="pt-PT"/>
        </w:rPr>
      </w:pPr>
      <w:r w:rsidRPr="00F852D1">
        <w:rPr>
          <w:color w:val="000000"/>
          <w:sz w:val="22"/>
          <w:szCs w:val="22"/>
          <w:lang w:val="pt-PT"/>
        </w:rPr>
        <w:t>Jernoxid, rød (E</w:t>
      </w:r>
      <w:r w:rsidR="00610A3A" w:rsidRPr="00F852D1">
        <w:rPr>
          <w:color w:val="000000"/>
          <w:sz w:val="22"/>
          <w:szCs w:val="22"/>
          <w:lang w:val="pt-PT"/>
        </w:rPr>
        <w:t> </w:t>
      </w:r>
      <w:r w:rsidRPr="00F852D1">
        <w:rPr>
          <w:color w:val="000000"/>
          <w:sz w:val="22"/>
          <w:szCs w:val="22"/>
          <w:lang w:val="pt-PT"/>
        </w:rPr>
        <w:t>172)</w:t>
      </w:r>
    </w:p>
    <w:p w14:paraId="02B1F133" w14:textId="77777777" w:rsidR="00C107A9" w:rsidRPr="00F852D1" w:rsidRDefault="00C107A9" w:rsidP="00C422EE">
      <w:pPr>
        <w:keepNext/>
        <w:widowControl w:val="0"/>
        <w:suppressAutoHyphens/>
        <w:ind w:left="567" w:hanging="567"/>
        <w:rPr>
          <w:color w:val="000000"/>
          <w:sz w:val="22"/>
          <w:szCs w:val="22"/>
          <w:lang w:val="pt-PT"/>
        </w:rPr>
      </w:pPr>
      <w:r w:rsidRPr="00F852D1">
        <w:rPr>
          <w:color w:val="000000"/>
          <w:sz w:val="22"/>
          <w:szCs w:val="22"/>
          <w:lang w:val="pt-PT"/>
        </w:rPr>
        <w:t>Jernoxid, gul (E</w:t>
      </w:r>
      <w:r w:rsidR="00610A3A" w:rsidRPr="00F852D1">
        <w:rPr>
          <w:color w:val="000000"/>
          <w:sz w:val="22"/>
          <w:szCs w:val="22"/>
          <w:lang w:val="pt-PT"/>
        </w:rPr>
        <w:t> </w:t>
      </w:r>
      <w:r w:rsidRPr="00F852D1">
        <w:rPr>
          <w:color w:val="000000"/>
          <w:sz w:val="22"/>
          <w:szCs w:val="22"/>
          <w:lang w:val="pt-PT"/>
        </w:rPr>
        <w:t>172)</w:t>
      </w:r>
    </w:p>
    <w:p w14:paraId="7F7ED677" w14:textId="77777777" w:rsidR="00382B05" w:rsidRPr="004C2A59" w:rsidRDefault="00382B05" w:rsidP="00C422EE">
      <w:pPr>
        <w:keepNext/>
        <w:widowControl w:val="0"/>
        <w:suppressAutoHyphens/>
        <w:ind w:left="567" w:hanging="567"/>
        <w:rPr>
          <w:color w:val="000000"/>
          <w:sz w:val="22"/>
          <w:szCs w:val="22"/>
          <w:lang w:val="da-DK"/>
        </w:rPr>
      </w:pPr>
      <w:r w:rsidRPr="004C2A59">
        <w:rPr>
          <w:color w:val="000000"/>
          <w:sz w:val="22"/>
          <w:szCs w:val="22"/>
          <w:lang w:val="da-DK"/>
        </w:rPr>
        <w:t>Macrogol</w:t>
      </w:r>
    </w:p>
    <w:p w14:paraId="3FF68221" w14:textId="77777777" w:rsidR="00382B05" w:rsidRPr="004C2A59" w:rsidRDefault="007A72E5" w:rsidP="00C422EE">
      <w:pPr>
        <w:keepNext/>
        <w:widowControl w:val="0"/>
        <w:suppressAutoHyphens/>
        <w:ind w:left="567" w:hanging="567"/>
        <w:rPr>
          <w:color w:val="000000"/>
          <w:sz w:val="22"/>
          <w:szCs w:val="22"/>
          <w:lang w:val="da-DK"/>
        </w:rPr>
      </w:pPr>
      <w:r w:rsidRPr="004C2A59">
        <w:rPr>
          <w:color w:val="000000"/>
          <w:sz w:val="22"/>
          <w:szCs w:val="22"/>
          <w:lang w:val="da-DK"/>
        </w:rPr>
        <w:t>Talc</w:t>
      </w:r>
      <w:r w:rsidR="00382B05" w:rsidRPr="004C2A59">
        <w:rPr>
          <w:color w:val="000000"/>
          <w:sz w:val="22"/>
          <w:szCs w:val="22"/>
          <w:lang w:val="da-DK"/>
        </w:rPr>
        <w:t>um</w:t>
      </w:r>
    </w:p>
    <w:p w14:paraId="6EEAEFF2" w14:textId="77777777" w:rsidR="00382B05" w:rsidRPr="004C2A59" w:rsidRDefault="00382B05" w:rsidP="00421681">
      <w:pPr>
        <w:widowControl w:val="0"/>
        <w:suppressAutoHyphens/>
        <w:ind w:left="567" w:hanging="567"/>
        <w:rPr>
          <w:color w:val="000000"/>
          <w:sz w:val="22"/>
          <w:szCs w:val="22"/>
          <w:lang w:val="da-DK"/>
        </w:rPr>
      </w:pPr>
      <w:r w:rsidRPr="004C2A59">
        <w:rPr>
          <w:color w:val="000000"/>
          <w:sz w:val="22"/>
          <w:szCs w:val="22"/>
          <w:lang w:val="da-DK"/>
        </w:rPr>
        <w:t>Hypromellose</w:t>
      </w:r>
    </w:p>
    <w:p w14:paraId="46040D73" w14:textId="77777777" w:rsidR="00C107A9" w:rsidRPr="004C2A59" w:rsidRDefault="00C107A9" w:rsidP="00421681">
      <w:pPr>
        <w:widowControl w:val="0"/>
        <w:rPr>
          <w:color w:val="000000"/>
          <w:sz w:val="22"/>
          <w:szCs w:val="22"/>
          <w:lang w:val="da-DK"/>
        </w:rPr>
      </w:pPr>
    </w:p>
    <w:p w14:paraId="2484DC68" w14:textId="77777777" w:rsidR="00C107A9" w:rsidRPr="004C2A59" w:rsidRDefault="00C107A9" w:rsidP="00C422EE">
      <w:pPr>
        <w:keepNext/>
        <w:widowControl w:val="0"/>
        <w:suppressAutoHyphens/>
        <w:ind w:left="570" w:hanging="570"/>
        <w:rPr>
          <w:color w:val="000000"/>
          <w:sz w:val="22"/>
          <w:szCs w:val="22"/>
          <w:lang w:val="da-DK"/>
        </w:rPr>
      </w:pPr>
      <w:r w:rsidRPr="004C2A59">
        <w:rPr>
          <w:b/>
          <w:color w:val="000000"/>
          <w:sz w:val="22"/>
          <w:szCs w:val="22"/>
          <w:lang w:val="da-DK"/>
        </w:rPr>
        <w:t>6.2</w:t>
      </w:r>
      <w:r w:rsidRPr="004C2A59">
        <w:rPr>
          <w:b/>
          <w:color w:val="000000"/>
          <w:sz w:val="22"/>
          <w:szCs w:val="22"/>
          <w:lang w:val="da-DK"/>
        </w:rPr>
        <w:tab/>
        <w:t>Uforligeligheder</w:t>
      </w:r>
    </w:p>
    <w:p w14:paraId="18083D47" w14:textId="77777777" w:rsidR="00C107A9" w:rsidRPr="004C2A59" w:rsidRDefault="00C107A9" w:rsidP="00C422EE">
      <w:pPr>
        <w:keepNext/>
        <w:widowControl w:val="0"/>
        <w:rPr>
          <w:color w:val="000000"/>
          <w:sz w:val="22"/>
          <w:szCs w:val="22"/>
          <w:lang w:val="da-DK"/>
        </w:rPr>
      </w:pPr>
    </w:p>
    <w:p w14:paraId="0F2388D0" w14:textId="77777777" w:rsidR="00C107A9" w:rsidRPr="004C2A59" w:rsidRDefault="00C107A9" w:rsidP="00421681">
      <w:pPr>
        <w:widowControl w:val="0"/>
        <w:rPr>
          <w:color w:val="000000"/>
          <w:sz w:val="22"/>
          <w:szCs w:val="22"/>
          <w:lang w:val="da-DK"/>
        </w:rPr>
      </w:pPr>
      <w:r w:rsidRPr="004C2A59">
        <w:rPr>
          <w:color w:val="000000"/>
          <w:sz w:val="22"/>
          <w:szCs w:val="22"/>
          <w:lang w:val="da-DK"/>
        </w:rPr>
        <w:t>Ikke relevant</w:t>
      </w:r>
      <w:r w:rsidR="009F0B4A" w:rsidRPr="004C2A59">
        <w:rPr>
          <w:color w:val="000000"/>
          <w:sz w:val="22"/>
          <w:szCs w:val="22"/>
          <w:lang w:val="da-DK"/>
        </w:rPr>
        <w:t>.</w:t>
      </w:r>
    </w:p>
    <w:p w14:paraId="614459FE" w14:textId="77777777" w:rsidR="00C107A9" w:rsidRPr="004C2A59" w:rsidRDefault="00C107A9" w:rsidP="00421681">
      <w:pPr>
        <w:widowControl w:val="0"/>
        <w:rPr>
          <w:color w:val="000000"/>
          <w:sz w:val="22"/>
          <w:szCs w:val="22"/>
          <w:lang w:val="da-DK"/>
        </w:rPr>
      </w:pPr>
    </w:p>
    <w:p w14:paraId="163D5B97" w14:textId="77777777" w:rsidR="00C107A9" w:rsidRPr="004C2A59" w:rsidRDefault="00C107A9" w:rsidP="00C422EE">
      <w:pPr>
        <w:keepNext/>
        <w:widowControl w:val="0"/>
        <w:suppressAutoHyphens/>
        <w:ind w:left="570" w:hanging="570"/>
        <w:rPr>
          <w:color w:val="000000"/>
          <w:sz w:val="22"/>
          <w:szCs w:val="22"/>
          <w:lang w:val="da-DK"/>
        </w:rPr>
      </w:pPr>
      <w:r w:rsidRPr="004C2A59">
        <w:rPr>
          <w:b/>
          <w:color w:val="000000"/>
          <w:sz w:val="22"/>
          <w:szCs w:val="22"/>
          <w:lang w:val="da-DK"/>
        </w:rPr>
        <w:t>6.3</w:t>
      </w:r>
      <w:r w:rsidRPr="004C2A59">
        <w:rPr>
          <w:b/>
          <w:color w:val="000000"/>
          <w:sz w:val="22"/>
          <w:szCs w:val="22"/>
          <w:lang w:val="da-DK"/>
        </w:rPr>
        <w:tab/>
        <w:t>Opbevaringstid</w:t>
      </w:r>
    </w:p>
    <w:p w14:paraId="4AEF5C10" w14:textId="77777777" w:rsidR="00C107A9" w:rsidRPr="004C2A59" w:rsidRDefault="00C107A9" w:rsidP="00C422EE">
      <w:pPr>
        <w:keepNext/>
        <w:widowControl w:val="0"/>
        <w:rPr>
          <w:color w:val="000000"/>
          <w:sz w:val="22"/>
          <w:szCs w:val="22"/>
          <w:lang w:val="da-DK"/>
        </w:rPr>
      </w:pPr>
    </w:p>
    <w:p w14:paraId="5BABB218" w14:textId="77777777" w:rsidR="00C107A9" w:rsidRPr="004C2A59" w:rsidRDefault="00506CAF" w:rsidP="00421681">
      <w:pPr>
        <w:widowControl w:val="0"/>
        <w:rPr>
          <w:color w:val="000000"/>
          <w:sz w:val="22"/>
          <w:szCs w:val="22"/>
          <w:lang w:val="da-DK"/>
        </w:rPr>
      </w:pPr>
      <w:r w:rsidRPr="004C2A59">
        <w:rPr>
          <w:color w:val="000000"/>
          <w:sz w:val="22"/>
          <w:szCs w:val="22"/>
          <w:lang w:val="da-DK"/>
        </w:rPr>
        <w:t>3</w:t>
      </w:r>
      <w:r w:rsidR="000E01B0" w:rsidRPr="004C2A59">
        <w:rPr>
          <w:color w:val="000000"/>
          <w:sz w:val="22"/>
          <w:szCs w:val="22"/>
          <w:lang w:val="da-DK"/>
        </w:rPr>
        <w:t> </w:t>
      </w:r>
      <w:r w:rsidR="00C107A9" w:rsidRPr="004C2A59">
        <w:rPr>
          <w:color w:val="000000"/>
          <w:sz w:val="22"/>
          <w:szCs w:val="22"/>
          <w:lang w:val="da-DK"/>
        </w:rPr>
        <w:t>år</w:t>
      </w:r>
    </w:p>
    <w:p w14:paraId="64DC2C37" w14:textId="77777777" w:rsidR="00C107A9" w:rsidRPr="004C2A59" w:rsidRDefault="00C107A9" w:rsidP="00421681">
      <w:pPr>
        <w:widowControl w:val="0"/>
        <w:rPr>
          <w:color w:val="000000"/>
          <w:sz w:val="22"/>
          <w:szCs w:val="22"/>
          <w:lang w:val="da-DK"/>
        </w:rPr>
      </w:pPr>
    </w:p>
    <w:p w14:paraId="6D993097" w14:textId="77777777" w:rsidR="00C107A9" w:rsidRPr="004C2A59" w:rsidRDefault="00C107A9" w:rsidP="00C422EE">
      <w:pPr>
        <w:keepNext/>
        <w:widowControl w:val="0"/>
        <w:suppressAutoHyphens/>
        <w:ind w:left="570" w:hanging="570"/>
        <w:rPr>
          <w:color w:val="000000"/>
          <w:sz w:val="22"/>
          <w:szCs w:val="22"/>
          <w:lang w:val="da-DK"/>
        </w:rPr>
      </w:pPr>
      <w:r w:rsidRPr="004C2A59">
        <w:rPr>
          <w:b/>
          <w:color w:val="000000"/>
          <w:sz w:val="22"/>
          <w:szCs w:val="22"/>
          <w:lang w:val="da-DK"/>
        </w:rPr>
        <w:t>6.4</w:t>
      </w:r>
      <w:r w:rsidRPr="004C2A59">
        <w:rPr>
          <w:b/>
          <w:color w:val="000000"/>
          <w:sz w:val="22"/>
          <w:szCs w:val="22"/>
          <w:lang w:val="da-DK"/>
        </w:rPr>
        <w:tab/>
        <w:t>Særlige opbevaringsforhold</w:t>
      </w:r>
    </w:p>
    <w:p w14:paraId="28E9FF4D" w14:textId="77777777" w:rsidR="00C107A9" w:rsidRPr="004C2A59" w:rsidRDefault="00C107A9" w:rsidP="00C422EE">
      <w:pPr>
        <w:keepNext/>
        <w:widowControl w:val="0"/>
        <w:rPr>
          <w:color w:val="000000"/>
          <w:sz w:val="22"/>
          <w:szCs w:val="22"/>
          <w:lang w:val="da-DK"/>
        </w:rPr>
      </w:pPr>
    </w:p>
    <w:p w14:paraId="33F3FCEC" w14:textId="77777777" w:rsidR="00C107A9" w:rsidRPr="004C2A59" w:rsidRDefault="00C107A9" w:rsidP="00421681">
      <w:pPr>
        <w:widowControl w:val="0"/>
        <w:rPr>
          <w:color w:val="000000"/>
          <w:sz w:val="22"/>
          <w:szCs w:val="22"/>
          <w:lang w:val="da-DK"/>
        </w:rPr>
      </w:pPr>
      <w:r w:rsidRPr="004C2A59">
        <w:rPr>
          <w:color w:val="000000"/>
          <w:sz w:val="22"/>
          <w:szCs w:val="22"/>
          <w:lang w:val="da-DK"/>
        </w:rPr>
        <w:t xml:space="preserve">Må ikke opbevares </w:t>
      </w:r>
      <w:r w:rsidR="00E27415" w:rsidRPr="004C2A59">
        <w:rPr>
          <w:color w:val="000000"/>
          <w:sz w:val="22"/>
          <w:szCs w:val="22"/>
          <w:lang w:val="da-DK"/>
        </w:rPr>
        <w:t xml:space="preserve">ved temperaturer </w:t>
      </w:r>
      <w:r w:rsidRPr="004C2A59">
        <w:rPr>
          <w:color w:val="000000"/>
          <w:sz w:val="22"/>
          <w:szCs w:val="22"/>
          <w:lang w:val="da-DK"/>
        </w:rPr>
        <w:t>over 30°C.</w:t>
      </w:r>
    </w:p>
    <w:p w14:paraId="323ABC4E" w14:textId="77777777" w:rsidR="00C107A9" w:rsidRPr="004C2A59" w:rsidRDefault="00C107A9" w:rsidP="00421681">
      <w:pPr>
        <w:widowControl w:val="0"/>
        <w:rPr>
          <w:color w:val="000000"/>
          <w:sz w:val="22"/>
          <w:szCs w:val="22"/>
          <w:lang w:val="da-DK"/>
        </w:rPr>
      </w:pPr>
    </w:p>
    <w:p w14:paraId="1256DC9F" w14:textId="77777777" w:rsidR="00C107A9" w:rsidRPr="004C2A59" w:rsidRDefault="00C107A9" w:rsidP="00421681">
      <w:pPr>
        <w:widowControl w:val="0"/>
        <w:rPr>
          <w:color w:val="000000"/>
          <w:sz w:val="22"/>
          <w:szCs w:val="22"/>
          <w:lang w:val="da-DK"/>
        </w:rPr>
      </w:pPr>
      <w:r w:rsidRPr="004C2A59">
        <w:rPr>
          <w:color w:val="000000"/>
          <w:sz w:val="22"/>
          <w:szCs w:val="22"/>
          <w:lang w:val="da-DK"/>
        </w:rPr>
        <w:t>Opbevares i den originale yderpakning for at beskytte mod fugt.</w:t>
      </w:r>
    </w:p>
    <w:p w14:paraId="295A82E6" w14:textId="77777777" w:rsidR="00C107A9" w:rsidRPr="004C2A59" w:rsidRDefault="00C107A9" w:rsidP="00421681">
      <w:pPr>
        <w:widowControl w:val="0"/>
        <w:rPr>
          <w:color w:val="000000"/>
          <w:sz w:val="22"/>
          <w:szCs w:val="22"/>
          <w:lang w:val="da-DK"/>
        </w:rPr>
      </w:pPr>
    </w:p>
    <w:p w14:paraId="105C81CE" w14:textId="77777777" w:rsidR="00C107A9" w:rsidRPr="004C2A59" w:rsidRDefault="00DB1667" w:rsidP="00C422EE">
      <w:pPr>
        <w:keepNext/>
        <w:widowControl w:val="0"/>
        <w:suppressAutoHyphens/>
        <w:ind w:left="573" w:hanging="573"/>
        <w:rPr>
          <w:b/>
          <w:color w:val="000000"/>
          <w:sz w:val="22"/>
          <w:szCs w:val="22"/>
          <w:lang w:val="da-DK"/>
        </w:rPr>
      </w:pPr>
      <w:r w:rsidRPr="004C2A59">
        <w:rPr>
          <w:b/>
          <w:color w:val="000000"/>
          <w:sz w:val="22"/>
          <w:szCs w:val="22"/>
          <w:lang w:val="da-DK"/>
        </w:rPr>
        <w:t>6.5</w:t>
      </w:r>
      <w:r w:rsidRPr="004C2A59">
        <w:rPr>
          <w:b/>
          <w:color w:val="000000"/>
          <w:sz w:val="22"/>
          <w:szCs w:val="22"/>
          <w:lang w:val="da-DK"/>
        </w:rPr>
        <w:tab/>
      </w:r>
      <w:r w:rsidR="00C107A9" w:rsidRPr="004C2A59">
        <w:rPr>
          <w:b/>
          <w:color w:val="000000"/>
          <w:sz w:val="22"/>
          <w:szCs w:val="22"/>
          <w:lang w:val="da-DK"/>
        </w:rPr>
        <w:t>Emballage</w:t>
      </w:r>
      <w:r w:rsidR="00DF1173" w:rsidRPr="004C2A59">
        <w:rPr>
          <w:b/>
          <w:color w:val="000000"/>
          <w:sz w:val="22"/>
          <w:szCs w:val="22"/>
          <w:lang w:val="da-DK"/>
        </w:rPr>
        <w:t>type og pakningsstørrelser</w:t>
      </w:r>
    </w:p>
    <w:p w14:paraId="47EC83EB" w14:textId="77777777" w:rsidR="00C107A9" w:rsidRPr="004C2A59" w:rsidRDefault="00C107A9" w:rsidP="00C422EE">
      <w:pPr>
        <w:keepNext/>
        <w:widowControl w:val="0"/>
        <w:suppressAutoHyphens/>
        <w:rPr>
          <w:color w:val="000000"/>
          <w:sz w:val="22"/>
          <w:szCs w:val="22"/>
          <w:lang w:val="da-DK"/>
        </w:rPr>
      </w:pPr>
    </w:p>
    <w:p w14:paraId="578D9E2B" w14:textId="77777777" w:rsidR="00707ABF" w:rsidRDefault="00707ABF" w:rsidP="00421681">
      <w:pPr>
        <w:pStyle w:val="EndnoteText"/>
        <w:keepNext/>
        <w:tabs>
          <w:tab w:val="clear" w:pos="567"/>
        </w:tabs>
        <w:suppressAutoHyphens/>
        <w:rPr>
          <w:color w:val="000000"/>
          <w:szCs w:val="22"/>
          <w:u w:val="single"/>
        </w:rPr>
      </w:pPr>
      <w:r>
        <w:rPr>
          <w:color w:val="000000"/>
          <w:szCs w:val="22"/>
          <w:u w:val="single"/>
        </w:rPr>
        <w:t>Glivec 100</w:t>
      </w:r>
      <w:r w:rsidR="00DA5D95">
        <w:rPr>
          <w:color w:val="000000"/>
          <w:szCs w:val="22"/>
          <w:u w:val="single"/>
        </w:rPr>
        <w:t> </w:t>
      </w:r>
      <w:r>
        <w:rPr>
          <w:color w:val="000000"/>
          <w:szCs w:val="22"/>
          <w:u w:val="single"/>
        </w:rPr>
        <w:t>mg filmovertrukne tabletter</w:t>
      </w:r>
    </w:p>
    <w:p w14:paraId="6EF9C29E" w14:textId="77777777" w:rsidR="00C107A9" w:rsidRPr="004C2A59" w:rsidRDefault="00C107A9" w:rsidP="00421681">
      <w:pPr>
        <w:pStyle w:val="EndnoteText"/>
        <w:tabs>
          <w:tab w:val="clear" w:pos="567"/>
        </w:tabs>
        <w:suppressAutoHyphens/>
        <w:rPr>
          <w:color w:val="000000"/>
          <w:szCs w:val="22"/>
        </w:rPr>
      </w:pPr>
      <w:r w:rsidRPr="004C2A59">
        <w:rPr>
          <w:color w:val="000000"/>
          <w:szCs w:val="22"/>
        </w:rPr>
        <w:t>PVC/alu blister.</w:t>
      </w:r>
    </w:p>
    <w:p w14:paraId="7EAC0FEB" w14:textId="77777777" w:rsidR="00C107A9" w:rsidRPr="004C2A59" w:rsidRDefault="00C107A9" w:rsidP="00421681">
      <w:pPr>
        <w:widowControl w:val="0"/>
        <w:suppressAutoHyphens/>
        <w:rPr>
          <w:color w:val="000000"/>
          <w:sz w:val="22"/>
          <w:szCs w:val="22"/>
          <w:lang w:val="da-DK"/>
        </w:rPr>
      </w:pPr>
      <w:r w:rsidRPr="004C2A59">
        <w:rPr>
          <w:color w:val="000000"/>
          <w:sz w:val="22"/>
          <w:szCs w:val="22"/>
          <w:lang w:val="da-DK"/>
        </w:rPr>
        <w:t>Pakninger indeholdende 20, 60, 120 eller 180</w:t>
      </w:r>
      <w:r w:rsidR="000E01B0" w:rsidRPr="004C2A59">
        <w:rPr>
          <w:color w:val="000000"/>
          <w:sz w:val="22"/>
          <w:szCs w:val="22"/>
          <w:lang w:val="da-DK"/>
        </w:rPr>
        <w:t> </w:t>
      </w:r>
      <w:r w:rsidRPr="004C2A59">
        <w:rPr>
          <w:color w:val="000000"/>
          <w:sz w:val="22"/>
          <w:szCs w:val="22"/>
          <w:lang w:val="da-DK"/>
        </w:rPr>
        <w:t>filmovertrukne tabletter.</w:t>
      </w:r>
    </w:p>
    <w:p w14:paraId="29EBB990" w14:textId="77777777" w:rsidR="00856A2E" w:rsidRDefault="00856A2E" w:rsidP="00421681">
      <w:pPr>
        <w:widowControl w:val="0"/>
        <w:suppressAutoHyphens/>
        <w:rPr>
          <w:color w:val="000000"/>
          <w:sz w:val="22"/>
          <w:szCs w:val="22"/>
          <w:lang w:val="da-DK"/>
        </w:rPr>
      </w:pPr>
    </w:p>
    <w:p w14:paraId="533A8148" w14:textId="77777777" w:rsidR="00856A2E" w:rsidRPr="004C2A59" w:rsidRDefault="00856A2E" w:rsidP="00421681">
      <w:pPr>
        <w:pStyle w:val="EndnoteText"/>
        <w:tabs>
          <w:tab w:val="clear" w:pos="567"/>
        </w:tabs>
        <w:suppressAutoHyphens/>
        <w:rPr>
          <w:color w:val="000000"/>
          <w:szCs w:val="22"/>
        </w:rPr>
      </w:pPr>
      <w:r w:rsidRPr="004C2A59">
        <w:rPr>
          <w:color w:val="000000"/>
          <w:szCs w:val="22"/>
        </w:rPr>
        <w:t>PV</w:t>
      </w:r>
      <w:r>
        <w:rPr>
          <w:color w:val="000000"/>
          <w:szCs w:val="22"/>
        </w:rPr>
        <w:t>D</w:t>
      </w:r>
      <w:r w:rsidRPr="004C2A59">
        <w:rPr>
          <w:color w:val="000000"/>
          <w:szCs w:val="22"/>
        </w:rPr>
        <w:t>C/alu blister.</w:t>
      </w:r>
    </w:p>
    <w:p w14:paraId="067E9B4D" w14:textId="77777777" w:rsidR="00856A2E" w:rsidRPr="004C2A59" w:rsidRDefault="00856A2E" w:rsidP="00421681">
      <w:pPr>
        <w:widowControl w:val="0"/>
        <w:suppressAutoHyphens/>
        <w:rPr>
          <w:color w:val="000000"/>
          <w:sz w:val="22"/>
          <w:szCs w:val="22"/>
          <w:lang w:val="da-DK"/>
        </w:rPr>
      </w:pPr>
      <w:r>
        <w:rPr>
          <w:color w:val="000000"/>
          <w:sz w:val="22"/>
          <w:szCs w:val="22"/>
          <w:lang w:val="da-DK"/>
        </w:rPr>
        <w:t xml:space="preserve">Pakninger indeholdende </w:t>
      </w:r>
      <w:r w:rsidR="00A14130">
        <w:rPr>
          <w:color w:val="000000"/>
          <w:sz w:val="22"/>
          <w:szCs w:val="22"/>
          <w:lang w:val="da-DK"/>
        </w:rPr>
        <w:t>6</w:t>
      </w:r>
      <w:r w:rsidRPr="004C2A59">
        <w:rPr>
          <w:color w:val="000000"/>
          <w:sz w:val="22"/>
          <w:szCs w:val="22"/>
          <w:lang w:val="da-DK"/>
        </w:rPr>
        <w:t xml:space="preserve">0, </w:t>
      </w:r>
      <w:r>
        <w:rPr>
          <w:color w:val="000000"/>
          <w:sz w:val="22"/>
          <w:szCs w:val="22"/>
          <w:lang w:val="da-DK"/>
        </w:rPr>
        <w:t xml:space="preserve">120 </w:t>
      </w:r>
      <w:r w:rsidRPr="004C2A59">
        <w:rPr>
          <w:color w:val="000000"/>
          <w:sz w:val="22"/>
          <w:szCs w:val="22"/>
          <w:lang w:val="da-DK"/>
        </w:rPr>
        <w:t xml:space="preserve">eller </w:t>
      </w:r>
      <w:r>
        <w:rPr>
          <w:color w:val="000000"/>
          <w:sz w:val="22"/>
          <w:szCs w:val="22"/>
          <w:lang w:val="da-DK"/>
        </w:rPr>
        <w:t>180</w:t>
      </w:r>
      <w:r w:rsidRPr="004C2A59">
        <w:rPr>
          <w:color w:val="000000"/>
          <w:sz w:val="22"/>
          <w:szCs w:val="22"/>
          <w:lang w:val="da-DK"/>
        </w:rPr>
        <w:t> filmovertrukne tabletter.</w:t>
      </w:r>
    </w:p>
    <w:p w14:paraId="42187AEA" w14:textId="77777777" w:rsidR="00C107A9" w:rsidRDefault="00C107A9" w:rsidP="00421681">
      <w:pPr>
        <w:widowControl w:val="0"/>
        <w:suppressAutoHyphens/>
        <w:rPr>
          <w:color w:val="000000"/>
          <w:sz w:val="22"/>
          <w:szCs w:val="22"/>
          <w:lang w:val="da-DK"/>
        </w:rPr>
      </w:pPr>
    </w:p>
    <w:p w14:paraId="403047B6" w14:textId="77777777" w:rsidR="00707ABF" w:rsidRDefault="00707ABF" w:rsidP="00421681">
      <w:pPr>
        <w:pStyle w:val="EndnoteText"/>
        <w:keepNext/>
        <w:tabs>
          <w:tab w:val="clear" w:pos="567"/>
        </w:tabs>
        <w:suppressAutoHyphens/>
        <w:rPr>
          <w:color w:val="000000"/>
          <w:szCs w:val="22"/>
          <w:u w:val="single"/>
        </w:rPr>
      </w:pPr>
      <w:r>
        <w:rPr>
          <w:color w:val="000000"/>
          <w:szCs w:val="22"/>
          <w:u w:val="single"/>
        </w:rPr>
        <w:t>Glivec 400</w:t>
      </w:r>
      <w:r w:rsidR="00DA5D95">
        <w:rPr>
          <w:color w:val="000000"/>
          <w:szCs w:val="22"/>
          <w:u w:val="single"/>
        </w:rPr>
        <w:t> </w:t>
      </w:r>
      <w:r>
        <w:rPr>
          <w:color w:val="000000"/>
          <w:szCs w:val="22"/>
          <w:u w:val="single"/>
        </w:rPr>
        <w:t>mg filmovertrukne tabletter</w:t>
      </w:r>
    </w:p>
    <w:p w14:paraId="173BEFC1" w14:textId="77777777" w:rsidR="00707ABF" w:rsidRPr="004C2A59" w:rsidRDefault="00707ABF" w:rsidP="00421681">
      <w:pPr>
        <w:pStyle w:val="EndnoteText"/>
        <w:tabs>
          <w:tab w:val="clear" w:pos="567"/>
        </w:tabs>
        <w:suppressAutoHyphens/>
        <w:rPr>
          <w:color w:val="000000"/>
          <w:szCs w:val="22"/>
        </w:rPr>
      </w:pPr>
      <w:r w:rsidRPr="004C2A59">
        <w:rPr>
          <w:color w:val="000000"/>
          <w:szCs w:val="22"/>
        </w:rPr>
        <w:t>PV</w:t>
      </w:r>
      <w:r w:rsidR="00DC2D5C">
        <w:rPr>
          <w:color w:val="000000"/>
          <w:szCs w:val="22"/>
        </w:rPr>
        <w:t>D</w:t>
      </w:r>
      <w:r w:rsidRPr="004C2A59">
        <w:rPr>
          <w:color w:val="000000"/>
          <w:szCs w:val="22"/>
        </w:rPr>
        <w:t>C/alu blister.</w:t>
      </w:r>
    </w:p>
    <w:p w14:paraId="71698265" w14:textId="77777777" w:rsidR="00707ABF" w:rsidRPr="004C2A59" w:rsidRDefault="00707ABF" w:rsidP="00421681">
      <w:pPr>
        <w:widowControl w:val="0"/>
        <w:suppressAutoHyphens/>
        <w:rPr>
          <w:color w:val="000000"/>
          <w:sz w:val="22"/>
          <w:szCs w:val="22"/>
          <w:lang w:val="da-DK"/>
        </w:rPr>
      </w:pPr>
      <w:r>
        <w:rPr>
          <w:color w:val="000000"/>
          <w:sz w:val="22"/>
          <w:szCs w:val="22"/>
          <w:lang w:val="da-DK"/>
        </w:rPr>
        <w:t>Pakninger indeholdende 1</w:t>
      </w:r>
      <w:r w:rsidRPr="004C2A59">
        <w:rPr>
          <w:color w:val="000000"/>
          <w:sz w:val="22"/>
          <w:szCs w:val="22"/>
          <w:lang w:val="da-DK"/>
        </w:rPr>
        <w:t xml:space="preserve">0, </w:t>
      </w:r>
      <w:r>
        <w:rPr>
          <w:color w:val="000000"/>
          <w:sz w:val="22"/>
          <w:szCs w:val="22"/>
          <w:lang w:val="da-DK"/>
        </w:rPr>
        <w:t>3</w:t>
      </w:r>
      <w:r w:rsidRPr="004C2A59">
        <w:rPr>
          <w:color w:val="000000"/>
          <w:sz w:val="22"/>
          <w:szCs w:val="22"/>
          <w:lang w:val="da-DK"/>
        </w:rPr>
        <w:t>0</w:t>
      </w:r>
      <w:r>
        <w:rPr>
          <w:color w:val="000000"/>
          <w:sz w:val="22"/>
          <w:szCs w:val="22"/>
          <w:lang w:val="da-DK"/>
        </w:rPr>
        <w:t xml:space="preserve"> </w:t>
      </w:r>
      <w:r w:rsidRPr="004C2A59">
        <w:rPr>
          <w:color w:val="000000"/>
          <w:sz w:val="22"/>
          <w:szCs w:val="22"/>
          <w:lang w:val="da-DK"/>
        </w:rPr>
        <w:t xml:space="preserve">eller </w:t>
      </w:r>
      <w:r>
        <w:rPr>
          <w:color w:val="000000"/>
          <w:sz w:val="22"/>
          <w:szCs w:val="22"/>
          <w:lang w:val="da-DK"/>
        </w:rPr>
        <w:t>9</w:t>
      </w:r>
      <w:r w:rsidRPr="004C2A59">
        <w:rPr>
          <w:color w:val="000000"/>
          <w:sz w:val="22"/>
          <w:szCs w:val="22"/>
          <w:lang w:val="da-DK"/>
        </w:rPr>
        <w:t>0 filmovertrukne tabletter.</w:t>
      </w:r>
    </w:p>
    <w:p w14:paraId="77BC613D" w14:textId="77777777" w:rsidR="00707ABF" w:rsidRPr="004C2A59" w:rsidRDefault="00707ABF" w:rsidP="00421681">
      <w:pPr>
        <w:widowControl w:val="0"/>
        <w:suppressAutoHyphens/>
        <w:rPr>
          <w:color w:val="000000"/>
          <w:sz w:val="22"/>
          <w:szCs w:val="22"/>
          <w:lang w:val="da-DK"/>
        </w:rPr>
      </w:pPr>
    </w:p>
    <w:p w14:paraId="10EB4771" w14:textId="77777777" w:rsidR="00C107A9" w:rsidRPr="004C2A59" w:rsidRDefault="00C107A9" w:rsidP="00421681">
      <w:pPr>
        <w:widowControl w:val="0"/>
        <w:suppressAutoHyphens/>
        <w:rPr>
          <w:color w:val="000000"/>
          <w:sz w:val="22"/>
          <w:szCs w:val="22"/>
          <w:lang w:val="da-DK"/>
        </w:rPr>
      </w:pPr>
      <w:r w:rsidRPr="004C2A59">
        <w:rPr>
          <w:color w:val="000000"/>
          <w:sz w:val="22"/>
          <w:szCs w:val="22"/>
          <w:lang w:val="da-DK"/>
        </w:rPr>
        <w:t xml:space="preserve">Ikke alle pakningsstørrelser </w:t>
      </w:r>
      <w:r w:rsidR="00F321EB" w:rsidRPr="004C2A59">
        <w:rPr>
          <w:color w:val="000000"/>
          <w:sz w:val="22"/>
          <w:szCs w:val="22"/>
          <w:lang w:val="da-DK"/>
        </w:rPr>
        <w:t xml:space="preserve">er nødvendigvis </w:t>
      </w:r>
      <w:r w:rsidRPr="004C2A59">
        <w:rPr>
          <w:color w:val="000000"/>
          <w:sz w:val="22"/>
          <w:szCs w:val="22"/>
          <w:lang w:val="da-DK"/>
        </w:rPr>
        <w:t>markedsfør</w:t>
      </w:r>
      <w:r w:rsidR="00F321EB" w:rsidRPr="004C2A59">
        <w:rPr>
          <w:color w:val="000000"/>
          <w:sz w:val="22"/>
          <w:szCs w:val="22"/>
          <w:lang w:val="da-DK"/>
        </w:rPr>
        <w:t>t</w:t>
      </w:r>
      <w:r w:rsidRPr="004C2A59">
        <w:rPr>
          <w:color w:val="000000"/>
          <w:sz w:val="22"/>
          <w:szCs w:val="22"/>
          <w:lang w:val="da-DK"/>
        </w:rPr>
        <w:t>.</w:t>
      </w:r>
    </w:p>
    <w:p w14:paraId="2D206B48" w14:textId="77777777" w:rsidR="00C107A9" w:rsidRPr="004C2A59" w:rsidRDefault="00C107A9" w:rsidP="00421681">
      <w:pPr>
        <w:widowControl w:val="0"/>
        <w:suppressAutoHyphens/>
        <w:ind w:left="567" w:hanging="567"/>
        <w:rPr>
          <w:color w:val="000000"/>
          <w:sz w:val="22"/>
          <w:szCs w:val="22"/>
          <w:lang w:val="da-DK"/>
        </w:rPr>
      </w:pPr>
    </w:p>
    <w:p w14:paraId="4FC06998" w14:textId="77777777" w:rsidR="00C107A9" w:rsidRPr="004C2A59" w:rsidRDefault="00C107A9" w:rsidP="00C422EE">
      <w:pPr>
        <w:keepNext/>
        <w:widowControl w:val="0"/>
        <w:suppressAutoHyphens/>
        <w:ind w:left="567" w:hanging="567"/>
        <w:rPr>
          <w:color w:val="000000"/>
          <w:sz w:val="22"/>
          <w:szCs w:val="22"/>
          <w:lang w:val="da-DK"/>
        </w:rPr>
      </w:pPr>
      <w:r w:rsidRPr="004C2A59">
        <w:rPr>
          <w:b/>
          <w:color w:val="000000"/>
          <w:sz w:val="22"/>
          <w:szCs w:val="22"/>
          <w:lang w:val="da-DK"/>
        </w:rPr>
        <w:t>6.6</w:t>
      </w:r>
      <w:r w:rsidRPr="004C2A59">
        <w:rPr>
          <w:b/>
          <w:color w:val="000000"/>
          <w:sz w:val="22"/>
          <w:szCs w:val="22"/>
          <w:lang w:val="da-DK"/>
        </w:rPr>
        <w:tab/>
      </w:r>
      <w:r w:rsidR="00DF1173" w:rsidRPr="004C2A59">
        <w:rPr>
          <w:b/>
          <w:color w:val="000000"/>
          <w:sz w:val="22"/>
          <w:szCs w:val="22"/>
          <w:lang w:val="da-DK"/>
        </w:rPr>
        <w:t xml:space="preserve">Regler for </w:t>
      </w:r>
      <w:r w:rsidR="001B377C" w:rsidRPr="004C2A59">
        <w:rPr>
          <w:b/>
          <w:color w:val="000000"/>
          <w:sz w:val="22"/>
          <w:szCs w:val="22"/>
          <w:lang w:val="da-DK"/>
        </w:rPr>
        <w:t>bortskaffelse</w:t>
      </w:r>
    </w:p>
    <w:p w14:paraId="239FCE27" w14:textId="77777777" w:rsidR="00C107A9" w:rsidRPr="004C2A59" w:rsidRDefault="00C107A9" w:rsidP="00C422EE">
      <w:pPr>
        <w:keepNext/>
        <w:widowControl w:val="0"/>
        <w:rPr>
          <w:color w:val="000000"/>
          <w:sz w:val="22"/>
          <w:szCs w:val="22"/>
          <w:lang w:val="da-DK"/>
        </w:rPr>
      </w:pPr>
    </w:p>
    <w:p w14:paraId="44B47127" w14:textId="77777777" w:rsidR="000C09AB" w:rsidRPr="004C2A59" w:rsidRDefault="000C09AB" w:rsidP="00421681">
      <w:pPr>
        <w:widowControl w:val="0"/>
        <w:rPr>
          <w:color w:val="000000"/>
          <w:sz w:val="22"/>
          <w:szCs w:val="22"/>
          <w:lang w:val="da-DK"/>
        </w:rPr>
      </w:pPr>
      <w:r w:rsidRPr="004C2A59">
        <w:rPr>
          <w:sz w:val="22"/>
          <w:szCs w:val="22"/>
          <w:lang w:val="da-DK"/>
        </w:rPr>
        <w:t>Ikke anvendt lægemiddel samt affald heraf skal bortskaffes i henhold til lokale retningslinjer.</w:t>
      </w:r>
    </w:p>
    <w:p w14:paraId="5965CDD7" w14:textId="77777777" w:rsidR="00C107A9" w:rsidRPr="004C2A59" w:rsidRDefault="00C107A9" w:rsidP="00421681">
      <w:pPr>
        <w:widowControl w:val="0"/>
        <w:rPr>
          <w:color w:val="000000"/>
          <w:sz w:val="22"/>
          <w:szCs w:val="22"/>
          <w:lang w:val="da-DK"/>
        </w:rPr>
      </w:pPr>
    </w:p>
    <w:p w14:paraId="3196A7CB" w14:textId="77777777" w:rsidR="00C107A9" w:rsidRPr="004C2A59" w:rsidRDefault="00C107A9" w:rsidP="00421681">
      <w:pPr>
        <w:widowControl w:val="0"/>
        <w:rPr>
          <w:color w:val="000000"/>
          <w:sz w:val="22"/>
          <w:szCs w:val="22"/>
          <w:lang w:val="da-DK"/>
        </w:rPr>
      </w:pPr>
    </w:p>
    <w:p w14:paraId="7BAFE5CB" w14:textId="77777777" w:rsidR="00C107A9" w:rsidRPr="004C2A59" w:rsidRDefault="00C107A9" w:rsidP="00C422EE">
      <w:pPr>
        <w:keepNext/>
        <w:widowControl w:val="0"/>
        <w:suppressAutoHyphens/>
        <w:ind w:left="567" w:hanging="567"/>
        <w:rPr>
          <w:color w:val="000000"/>
          <w:sz w:val="22"/>
          <w:szCs w:val="22"/>
          <w:lang w:val="da-DK"/>
        </w:rPr>
      </w:pPr>
      <w:r w:rsidRPr="004C2A59">
        <w:rPr>
          <w:b/>
          <w:color w:val="000000"/>
          <w:sz w:val="22"/>
          <w:szCs w:val="22"/>
          <w:lang w:val="da-DK"/>
        </w:rPr>
        <w:t>7.</w:t>
      </w:r>
      <w:r w:rsidRPr="004C2A59">
        <w:rPr>
          <w:b/>
          <w:color w:val="000000"/>
          <w:sz w:val="22"/>
          <w:szCs w:val="22"/>
          <w:lang w:val="da-DK"/>
        </w:rPr>
        <w:tab/>
        <w:t>INDEHAVER AF MARKEDSFØRINGSTILLADELSEN</w:t>
      </w:r>
    </w:p>
    <w:p w14:paraId="260F8ECA" w14:textId="77777777" w:rsidR="00C107A9" w:rsidRPr="004C2A59" w:rsidRDefault="00C107A9" w:rsidP="00C422EE">
      <w:pPr>
        <w:keepNext/>
        <w:widowControl w:val="0"/>
        <w:rPr>
          <w:color w:val="000000"/>
          <w:sz w:val="22"/>
          <w:szCs w:val="22"/>
          <w:lang w:val="da-DK"/>
        </w:rPr>
      </w:pPr>
    </w:p>
    <w:p w14:paraId="3DE5A08B" w14:textId="77777777" w:rsidR="00C107A9" w:rsidRPr="004C2A59" w:rsidRDefault="00C107A9" w:rsidP="00C422EE">
      <w:pPr>
        <w:keepNext/>
        <w:widowControl w:val="0"/>
        <w:rPr>
          <w:color w:val="000000"/>
          <w:sz w:val="22"/>
          <w:szCs w:val="22"/>
          <w:lang w:val="da-DK"/>
        </w:rPr>
      </w:pPr>
      <w:r w:rsidRPr="004C2A59">
        <w:rPr>
          <w:color w:val="000000"/>
          <w:sz w:val="22"/>
          <w:szCs w:val="22"/>
          <w:lang w:val="da-DK"/>
        </w:rPr>
        <w:t>Novartis Europharm Limited</w:t>
      </w:r>
    </w:p>
    <w:p w14:paraId="2D4CC113" w14:textId="77777777" w:rsidR="004F2E31" w:rsidRPr="004F2E31" w:rsidRDefault="004F2E31" w:rsidP="00421681">
      <w:pPr>
        <w:keepNext/>
        <w:widowControl w:val="0"/>
        <w:rPr>
          <w:color w:val="000000"/>
          <w:sz w:val="22"/>
          <w:szCs w:val="22"/>
        </w:rPr>
      </w:pPr>
      <w:r w:rsidRPr="004F2E31">
        <w:rPr>
          <w:color w:val="000000"/>
          <w:sz w:val="22"/>
          <w:szCs w:val="22"/>
        </w:rPr>
        <w:t>Vista Building</w:t>
      </w:r>
    </w:p>
    <w:p w14:paraId="7497C1CD" w14:textId="77777777" w:rsidR="004F2E31" w:rsidRPr="004F2E31" w:rsidRDefault="004F2E31" w:rsidP="00421681">
      <w:pPr>
        <w:keepNext/>
        <w:widowControl w:val="0"/>
        <w:rPr>
          <w:color w:val="000000"/>
          <w:sz w:val="22"/>
          <w:szCs w:val="22"/>
        </w:rPr>
      </w:pPr>
      <w:r w:rsidRPr="004F2E31">
        <w:rPr>
          <w:color w:val="000000"/>
          <w:sz w:val="22"/>
          <w:szCs w:val="22"/>
        </w:rPr>
        <w:t>Elm Park, Merrion Road</w:t>
      </w:r>
    </w:p>
    <w:p w14:paraId="7CF2D5BF" w14:textId="77777777" w:rsidR="004F2E31" w:rsidRPr="00F852D1" w:rsidRDefault="004F2E31" w:rsidP="00421681">
      <w:pPr>
        <w:keepNext/>
        <w:widowControl w:val="0"/>
        <w:rPr>
          <w:color w:val="000000"/>
          <w:sz w:val="22"/>
          <w:szCs w:val="22"/>
        </w:rPr>
      </w:pPr>
      <w:r w:rsidRPr="00F852D1">
        <w:rPr>
          <w:color w:val="000000"/>
          <w:sz w:val="22"/>
          <w:szCs w:val="22"/>
        </w:rPr>
        <w:t>Dublin 4</w:t>
      </w:r>
    </w:p>
    <w:p w14:paraId="0AFEFF65" w14:textId="77777777" w:rsidR="004F2E31" w:rsidRPr="00F852D1" w:rsidRDefault="004F2E31" w:rsidP="00421681">
      <w:pPr>
        <w:rPr>
          <w:color w:val="000000"/>
          <w:sz w:val="22"/>
          <w:szCs w:val="22"/>
        </w:rPr>
      </w:pPr>
      <w:r w:rsidRPr="00F852D1">
        <w:rPr>
          <w:color w:val="000000"/>
          <w:sz w:val="22"/>
          <w:szCs w:val="22"/>
        </w:rPr>
        <w:t>Irland</w:t>
      </w:r>
    </w:p>
    <w:p w14:paraId="739874AB" w14:textId="77777777" w:rsidR="00C107A9" w:rsidRPr="00F852D1" w:rsidRDefault="00C107A9" w:rsidP="00421681">
      <w:pPr>
        <w:widowControl w:val="0"/>
        <w:rPr>
          <w:color w:val="000000"/>
          <w:sz w:val="22"/>
          <w:szCs w:val="22"/>
        </w:rPr>
      </w:pPr>
    </w:p>
    <w:p w14:paraId="3AC0C00E" w14:textId="77777777" w:rsidR="00C107A9" w:rsidRPr="00F852D1" w:rsidRDefault="00C107A9" w:rsidP="00421681">
      <w:pPr>
        <w:widowControl w:val="0"/>
        <w:rPr>
          <w:color w:val="000000"/>
          <w:sz w:val="22"/>
          <w:szCs w:val="22"/>
        </w:rPr>
      </w:pPr>
    </w:p>
    <w:p w14:paraId="0F949D59" w14:textId="77777777" w:rsidR="00C107A9" w:rsidRPr="00F852D1" w:rsidRDefault="00C107A9" w:rsidP="00421681">
      <w:pPr>
        <w:keepNext/>
        <w:widowControl w:val="0"/>
        <w:suppressAutoHyphens/>
        <w:ind w:left="567" w:hanging="567"/>
        <w:rPr>
          <w:color w:val="000000"/>
          <w:sz w:val="22"/>
          <w:szCs w:val="22"/>
        </w:rPr>
      </w:pPr>
      <w:r w:rsidRPr="00F852D1">
        <w:rPr>
          <w:b/>
          <w:color w:val="000000"/>
          <w:sz w:val="22"/>
          <w:szCs w:val="22"/>
        </w:rPr>
        <w:t>8.</w:t>
      </w:r>
      <w:r w:rsidRPr="00F852D1">
        <w:rPr>
          <w:b/>
          <w:color w:val="000000"/>
          <w:sz w:val="22"/>
          <w:szCs w:val="22"/>
        </w:rPr>
        <w:tab/>
      </w:r>
      <w:r w:rsidR="009F0B4A" w:rsidRPr="00F852D1">
        <w:rPr>
          <w:b/>
          <w:color w:val="000000"/>
          <w:sz w:val="22"/>
          <w:szCs w:val="22"/>
        </w:rPr>
        <w:t>MARKEDSFØRINGSTILLADELSESNUMMER (</w:t>
      </w:r>
      <w:r w:rsidR="00126C77" w:rsidRPr="00F852D1">
        <w:rPr>
          <w:b/>
          <w:color w:val="000000"/>
          <w:sz w:val="22"/>
          <w:szCs w:val="22"/>
        </w:rPr>
        <w:t>-</w:t>
      </w:r>
      <w:r w:rsidR="009F0B4A" w:rsidRPr="00F852D1">
        <w:rPr>
          <w:b/>
          <w:color w:val="000000"/>
          <w:sz w:val="22"/>
          <w:szCs w:val="22"/>
        </w:rPr>
        <w:t>NUMRE)</w:t>
      </w:r>
    </w:p>
    <w:p w14:paraId="53652504" w14:textId="77777777" w:rsidR="00C107A9" w:rsidRPr="00F852D1" w:rsidRDefault="00C107A9" w:rsidP="00421681">
      <w:pPr>
        <w:keepNext/>
        <w:widowControl w:val="0"/>
        <w:rPr>
          <w:color w:val="000000"/>
          <w:sz w:val="22"/>
          <w:szCs w:val="22"/>
        </w:rPr>
      </w:pPr>
    </w:p>
    <w:p w14:paraId="6A49E171" w14:textId="77777777" w:rsidR="00707ABF" w:rsidRPr="00F852D1" w:rsidRDefault="00707ABF" w:rsidP="00421681">
      <w:pPr>
        <w:keepNext/>
        <w:widowControl w:val="0"/>
        <w:rPr>
          <w:color w:val="000000"/>
          <w:sz w:val="22"/>
          <w:szCs w:val="22"/>
          <w:u w:val="single"/>
        </w:rPr>
      </w:pPr>
      <w:r w:rsidRPr="00F852D1">
        <w:rPr>
          <w:color w:val="000000"/>
          <w:sz w:val="22"/>
          <w:szCs w:val="22"/>
          <w:u w:val="single"/>
        </w:rPr>
        <w:t>Glivec 100</w:t>
      </w:r>
      <w:r w:rsidR="00DA5D95" w:rsidRPr="00F852D1">
        <w:rPr>
          <w:color w:val="000000"/>
          <w:sz w:val="22"/>
          <w:szCs w:val="22"/>
          <w:u w:val="single"/>
        </w:rPr>
        <w:t> </w:t>
      </w:r>
      <w:r w:rsidRPr="00F852D1">
        <w:rPr>
          <w:color w:val="000000"/>
          <w:sz w:val="22"/>
          <w:szCs w:val="22"/>
          <w:u w:val="single"/>
        </w:rPr>
        <w:t>mg filmovertrukne tabletter</w:t>
      </w:r>
    </w:p>
    <w:p w14:paraId="2F5AA7D5" w14:textId="77777777" w:rsidR="00C107A9" w:rsidRPr="00F852D1" w:rsidRDefault="00C107A9" w:rsidP="00421681">
      <w:pPr>
        <w:keepNext/>
        <w:widowControl w:val="0"/>
        <w:rPr>
          <w:color w:val="000000"/>
          <w:sz w:val="22"/>
          <w:szCs w:val="22"/>
        </w:rPr>
      </w:pPr>
      <w:r w:rsidRPr="00F852D1">
        <w:rPr>
          <w:color w:val="000000"/>
          <w:sz w:val="22"/>
          <w:szCs w:val="22"/>
        </w:rPr>
        <w:t>EU/1/01/198/007</w:t>
      </w:r>
    </w:p>
    <w:p w14:paraId="43E572EA" w14:textId="77777777" w:rsidR="00C107A9" w:rsidRPr="00F852D1" w:rsidRDefault="00C107A9" w:rsidP="00421681">
      <w:pPr>
        <w:keepNext/>
        <w:widowControl w:val="0"/>
        <w:rPr>
          <w:color w:val="000000"/>
          <w:sz w:val="22"/>
          <w:szCs w:val="22"/>
        </w:rPr>
      </w:pPr>
      <w:r w:rsidRPr="00F852D1">
        <w:rPr>
          <w:color w:val="000000"/>
          <w:sz w:val="22"/>
          <w:szCs w:val="22"/>
        </w:rPr>
        <w:t>EU/1/01/198/008</w:t>
      </w:r>
    </w:p>
    <w:p w14:paraId="5476615C" w14:textId="77777777" w:rsidR="00C107A9" w:rsidRPr="00F852D1" w:rsidRDefault="00C107A9" w:rsidP="00421681">
      <w:pPr>
        <w:pStyle w:val="EndnoteText"/>
        <w:keepNext/>
        <w:tabs>
          <w:tab w:val="clear" w:pos="567"/>
        </w:tabs>
        <w:rPr>
          <w:color w:val="000000"/>
          <w:szCs w:val="22"/>
          <w:lang w:val="en-US"/>
        </w:rPr>
      </w:pPr>
      <w:r w:rsidRPr="00F852D1">
        <w:rPr>
          <w:color w:val="000000"/>
          <w:szCs w:val="22"/>
          <w:lang w:val="en-US"/>
        </w:rPr>
        <w:t>EU/1/01/198/</w:t>
      </w:r>
      <w:r w:rsidR="00DB0073" w:rsidRPr="00F852D1">
        <w:rPr>
          <w:color w:val="000000"/>
          <w:szCs w:val="22"/>
          <w:lang w:val="en-US"/>
        </w:rPr>
        <w:t>011</w:t>
      </w:r>
    </w:p>
    <w:p w14:paraId="5C81E4E8" w14:textId="77777777" w:rsidR="00C107A9" w:rsidRPr="00F852D1" w:rsidRDefault="00C107A9" w:rsidP="00421681">
      <w:pPr>
        <w:pStyle w:val="EndnoteText"/>
        <w:keepNext/>
        <w:tabs>
          <w:tab w:val="clear" w:pos="567"/>
        </w:tabs>
        <w:rPr>
          <w:color w:val="000000"/>
          <w:szCs w:val="22"/>
          <w:lang w:val="en-US"/>
        </w:rPr>
      </w:pPr>
      <w:r w:rsidRPr="00F852D1">
        <w:rPr>
          <w:color w:val="000000"/>
          <w:szCs w:val="22"/>
          <w:lang w:val="en-US"/>
        </w:rPr>
        <w:t>EU/1/01/198/</w:t>
      </w:r>
      <w:r w:rsidR="00DB0073" w:rsidRPr="00F852D1">
        <w:rPr>
          <w:color w:val="000000"/>
          <w:szCs w:val="22"/>
          <w:lang w:val="en-US"/>
        </w:rPr>
        <w:t>012</w:t>
      </w:r>
    </w:p>
    <w:p w14:paraId="7E3773FD" w14:textId="77777777" w:rsidR="00856A2E" w:rsidRPr="00F852D1" w:rsidRDefault="00856A2E" w:rsidP="00421681">
      <w:pPr>
        <w:pStyle w:val="EndnoteText"/>
        <w:keepNext/>
        <w:tabs>
          <w:tab w:val="clear" w:pos="567"/>
        </w:tabs>
        <w:rPr>
          <w:color w:val="000000"/>
          <w:szCs w:val="22"/>
          <w:lang w:val="en-US"/>
        </w:rPr>
      </w:pPr>
      <w:r w:rsidRPr="00F852D1">
        <w:rPr>
          <w:color w:val="000000"/>
          <w:szCs w:val="22"/>
          <w:lang w:val="en-US"/>
        </w:rPr>
        <w:t>EU/1/01/198/01</w:t>
      </w:r>
      <w:r w:rsidR="00F0012C" w:rsidRPr="00F852D1">
        <w:rPr>
          <w:color w:val="000000"/>
          <w:szCs w:val="22"/>
          <w:lang w:val="en-US"/>
        </w:rPr>
        <w:t>4</w:t>
      </w:r>
    </w:p>
    <w:p w14:paraId="3069BDB4" w14:textId="77777777" w:rsidR="00856A2E" w:rsidRPr="00F852D1" w:rsidRDefault="00856A2E" w:rsidP="00421681">
      <w:pPr>
        <w:pStyle w:val="EndnoteText"/>
        <w:keepNext/>
        <w:tabs>
          <w:tab w:val="clear" w:pos="567"/>
        </w:tabs>
        <w:rPr>
          <w:color w:val="000000"/>
          <w:szCs w:val="22"/>
          <w:lang w:val="en-US"/>
        </w:rPr>
      </w:pPr>
      <w:r w:rsidRPr="00F852D1">
        <w:rPr>
          <w:color w:val="000000"/>
          <w:szCs w:val="22"/>
          <w:lang w:val="en-US"/>
        </w:rPr>
        <w:t>EU/1/01/198/01</w:t>
      </w:r>
      <w:r w:rsidR="00F0012C" w:rsidRPr="00F852D1">
        <w:rPr>
          <w:color w:val="000000"/>
          <w:szCs w:val="22"/>
          <w:lang w:val="en-US"/>
        </w:rPr>
        <w:t>5</w:t>
      </w:r>
    </w:p>
    <w:p w14:paraId="639F618E" w14:textId="77777777" w:rsidR="00A14130" w:rsidRPr="00F852D1" w:rsidRDefault="00A14130" w:rsidP="00421681">
      <w:pPr>
        <w:pStyle w:val="EndnoteText"/>
        <w:tabs>
          <w:tab w:val="clear" w:pos="567"/>
        </w:tabs>
        <w:rPr>
          <w:color w:val="000000"/>
          <w:szCs w:val="22"/>
          <w:lang w:val="en-US"/>
        </w:rPr>
      </w:pPr>
      <w:r w:rsidRPr="00F852D1">
        <w:rPr>
          <w:color w:val="000000"/>
          <w:szCs w:val="22"/>
          <w:lang w:val="en-US"/>
        </w:rPr>
        <w:t>EU/1/01/198/01</w:t>
      </w:r>
      <w:r w:rsidR="00F0012C" w:rsidRPr="00F852D1">
        <w:rPr>
          <w:color w:val="000000"/>
          <w:szCs w:val="22"/>
          <w:lang w:val="en-US"/>
        </w:rPr>
        <w:t>6</w:t>
      </w:r>
    </w:p>
    <w:p w14:paraId="746E6324" w14:textId="77777777" w:rsidR="00707ABF" w:rsidRPr="00F852D1" w:rsidRDefault="00707ABF" w:rsidP="00421681">
      <w:pPr>
        <w:pStyle w:val="EndnoteText"/>
        <w:tabs>
          <w:tab w:val="clear" w:pos="567"/>
        </w:tabs>
        <w:rPr>
          <w:color w:val="000000"/>
          <w:szCs w:val="22"/>
          <w:lang w:val="en-US"/>
        </w:rPr>
      </w:pPr>
    </w:p>
    <w:p w14:paraId="49DE651F" w14:textId="77777777" w:rsidR="00707ABF" w:rsidRPr="00F852D1" w:rsidRDefault="00707ABF" w:rsidP="00421681">
      <w:pPr>
        <w:keepNext/>
        <w:widowControl w:val="0"/>
        <w:rPr>
          <w:color w:val="000000"/>
          <w:sz w:val="22"/>
          <w:szCs w:val="22"/>
          <w:u w:val="single"/>
        </w:rPr>
      </w:pPr>
      <w:r w:rsidRPr="00F852D1">
        <w:rPr>
          <w:color w:val="000000"/>
          <w:sz w:val="22"/>
          <w:szCs w:val="22"/>
          <w:u w:val="single"/>
        </w:rPr>
        <w:t xml:space="preserve">Glivec </w:t>
      </w:r>
      <w:r w:rsidR="00BA6F04" w:rsidRPr="00F852D1">
        <w:rPr>
          <w:color w:val="000000"/>
          <w:sz w:val="22"/>
          <w:szCs w:val="22"/>
          <w:u w:val="single"/>
        </w:rPr>
        <w:t>4</w:t>
      </w:r>
      <w:r w:rsidRPr="00F852D1">
        <w:rPr>
          <w:color w:val="000000"/>
          <w:sz w:val="22"/>
          <w:szCs w:val="22"/>
          <w:u w:val="single"/>
        </w:rPr>
        <w:t>00</w:t>
      </w:r>
      <w:r w:rsidR="00DA5D95" w:rsidRPr="00F852D1">
        <w:rPr>
          <w:color w:val="000000"/>
          <w:sz w:val="22"/>
          <w:szCs w:val="22"/>
          <w:u w:val="single"/>
        </w:rPr>
        <w:t> </w:t>
      </w:r>
      <w:r w:rsidRPr="00F852D1">
        <w:rPr>
          <w:color w:val="000000"/>
          <w:sz w:val="22"/>
          <w:szCs w:val="22"/>
          <w:u w:val="single"/>
        </w:rPr>
        <w:t>mg filmovertrukne tabletter</w:t>
      </w:r>
    </w:p>
    <w:p w14:paraId="73DA38A4" w14:textId="77777777" w:rsidR="00707ABF" w:rsidRPr="00F852D1" w:rsidRDefault="00707ABF" w:rsidP="00C422EE">
      <w:pPr>
        <w:keepNext/>
        <w:widowControl w:val="0"/>
        <w:rPr>
          <w:color w:val="000000"/>
          <w:sz w:val="22"/>
          <w:szCs w:val="22"/>
        </w:rPr>
      </w:pPr>
      <w:r w:rsidRPr="00F852D1">
        <w:rPr>
          <w:color w:val="000000"/>
          <w:sz w:val="22"/>
          <w:szCs w:val="22"/>
        </w:rPr>
        <w:t>EU/1/01/198/009</w:t>
      </w:r>
    </w:p>
    <w:p w14:paraId="15BBD860" w14:textId="77777777" w:rsidR="00707ABF" w:rsidRPr="004C2A59" w:rsidRDefault="00707ABF" w:rsidP="00C422EE">
      <w:pPr>
        <w:keepNext/>
        <w:widowControl w:val="0"/>
        <w:rPr>
          <w:color w:val="000000"/>
          <w:sz w:val="22"/>
          <w:szCs w:val="22"/>
          <w:lang w:val="da-DK"/>
        </w:rPr>
      </w:pPr>
      <w:r w:rsidRPr="004C2A59">
        <w:rPr>
          <w:color w:val="000000"/>
          <w:sz w:val="22"/>
          <w:szCs w:val="22"/>
          <w:lang w:val="da-DK"/>
        </w:rPr>
        <w:t>EU</w:t>
      </w:r>
      <w:r>
        <w:rPr>
          <w:color w:val="000000"/>
          <w:sz w:val="22"/>
          <w:szCs w:val="22"/>
          <w:lang w:val="da-DK"/>
        </w:rPr>
        <w:t>/1/01/198/010</w:t>
      </w:r>
    </w:p>
    <w:p w14:paraId="6268AAD2" w14:textId="77777777" w:rsidR="00707ABF" w:rsidRPr="004C2A59" w:rsidRDefault="00707ABF" w:rsidP="00421681">
      <w:pPr>
        <w:pStyle w:val="EndnoteText"/>
        <w:tabs>
          <w:tab w:val="clear" w:pos="567"/>
        </w:tabs>
        <w:rPr>
          <w:color w:val="000000"/>
          <w:szCs w:val="22"/>
        </w:rPr>
      </w:pPr>
      <w:r w:rsidRPr="004C2A59">
        <w:rPr>
          <w:color w:val="000000"/>
          <w:szCs w:val="22"/>
        </w:rPr>
        <w:t>EU/1/01/198/</w:t>
      </w:r>
      <w:r>
        <w:rPr>
          <w:color w:val="000000"/>
          <w:szCs w:val="22"/>
        </w:rPr>
        <w:t>013</w:t>
      </w:r>
    </w:p>
    <w:p w14:paraId="646E3339" w14:textId="77777777" w:rsidR="00C107A9" w:rsidRPr="004C2A59" w:rsidRDefault="00C107A9" w:rsidP="00421681">
      <w:pPr>
        <w:widowControl w:val="0"/>
        <w:rPr>
          <w:color w:val="000000"/>
          <w:sz w:val="22"/>
          <w:szCs w:val="22"/>
          <w:lang w:val="da-DK"/>
        </w:rPr>
      </w:pPr>
    </w:p>
    <w:p w14:paraId="72AFF1FD" w14:textId="77777777" w:rsidR="00C107A9" w:rsidRPr="004C2A59" w:rsidRDefault="00C107A9" w:rsidP="00421681">
      <w:pPr>
        <w:widowControl w:val="0"/>
        <w:rPr>
          <w:color w:val="000000"/>
          <w:sz w:val="22"/>
          <w:szCs w:val="22"/>
          <w:lang w:val="da-DK"/>
        </w:rPr>
      </w:pPr>
    </w:p>
    <w:p w14:paraId="62E36068" w14:textId="77777777" w:rsidR="00C107A9" w:rsidRPr="004C2A59" w:rsidRDefault="00C107A9" w:rsidP="00C422EE">
      <w:pPr>
        <w:keepNext/>
        <w:widowControl w:val="0"/>
        <w:suppressAutoHyphens/>
        <w:ind w:left="567" w:hanging="567"/>
        <w:rPr>
          <w:color w:val="000000"/>
          <w:sz w:val="22"/>
          <w:szCs w:val="22"/>
          <w:lang w:val="da-DK"/>
        </w:rPr>
      </w:pPr>
      <w:r w:rsidRPr="004C2A59">
        <w:rPr>
          <w:b/>
          <w:color w:val="000000"/>
          <w:sz w:val="22"/>
          <w:szCs w:val="22"/>
          <w:lang w:val="da-DK"/>
        </w:rPr>
        <w:t>9.</w:t>
      </w:r>
      <w:r w:rsidRPr="004C2A59">
        <w:rPr>
          <w:b/>
          <w:color w:val="000000"/>
          <w:sz w:val="22"/>
          <w:szCs w:val="22"/>
          <w:lang w:val="da-DK"/>
        </w:rPr>
        <w:tab/>
        <w:t xml:space="preserve">DATO FOR FØRSTE </w:t>
      </w:r>
      <w:r w:rsidR="00CC1D2C" w:rsidRPr="004C2A59">
        <w:rPr>
          <w:b/>
          <w:color w:val="000000"/>
          <w:sz w:val="22"/>
          <w:szCs w:val="22"/>
          <w:lang w:val="da-DK"/>
        </w:rPr>
        <w:t>MARKEDSFØRINGS</w:t>
      </w:r>
      <w:r w:rsidRPr="004C2A59">
        <w:rPr>
          <w:b/>
          <w:color w:val="000000"/>
          <w:sz w:val="22"/>
          <w:szCs w:val="22"/>
          <w:lang w:val="da-DK"/>
        </w:rPr>
        <w:t>TILLADELSE/FORNYELSE AF TILLADELSEN</w:t>
      </w:r>
    </w:p>
    <w:p w14:paraId="47F66C64" w14:textId="77777777" w:rsidR="00C107A9" w:rsidRPr="004C2A59" w:rsidRDefault="00C107A9" w:rsidP="00C422EE">
      <w:pPr>
        <w:keepNext/>
        <w:widowControl w:val="0"/>
        <w:rPr>
          <w:color w:val="000000"/>
          <w:sz w:val="22"/>
          <w:szCs w:val="22"/>
          <w:lang w:val="da-DK"/>
        </w:rPr>
      </w:pPr>
    </w:p>
    <w:p w14:paraId="53A926C6" w14:textId="77777777" w:rsidR="00C107A9" w:rsidRPr="004C2A59" w:rsidRDefault="00725627" w:rsidP="00C422EE">
      <w:pPr>
        <w:keepNext/>
        <w:widowControl w:val="0"/>
        <w:rPr>
          <w:color w:val="000000"/>
          <w:sz w:val="22"/>
          <w:szCs w:val="22"/>
          <w:lang w:val="da-DK"/>
        </w:rPr>
      </w:pPr>
      <w:r w:rsidRPr="004C2A59">
        <w:rPr>
          <w:color w:val="000000"/>
          <w:sz w:val="22"/>
          <w:szCs w:val="22"/>
          <w:lang w:val="da-DK"/>
        </w:rPr>
        <w:t xml:space="preserve">Dato for første </w:t>
      </w:r>
      <w:r w:rsidR="001B377C" w:rsidRPr="004C2A59">
        <w:rPr>
          <w:color w:val="000000"/>
          <w:sz w:val="22"/>
          <w:szCs w:val="22"/>
          <w:lang w:val="da-DK"/>
        </w:rPr>
        <w:t>markedsførings</w:t>
      </w:r>
      <w:r w:rsidRPr="004C2A59">
        <w:rPr>
          <w:color w:val="000000"/>
          <w:sz w:val="22"/>
          <w:szCs w:val="22"/>
          <w:lang w:val="da-DK"/>
        </w:rPr>
        <w:t xml:space="preserve">tilladelse: </w:t>
      </w:r>
      <w:r w:rsidR="00D85C8C" w:rsidRPr="004C2A59">
        <w:rPr>
          <w:color w:val="000000"/>
          <w:sz w:val="22"/>
          <w:szCs w:val="22"/>
          <w:lang w:val="da-DK"/>
        </w:rPr>
        <w:t>7</w:t>
      </w:r>
      <w:r w:rsidR="00C107A9" w:rsidRPr="004C2A59">
        <w:rPr>
          <w:color w:val="000000"/>
          <w:sz w:val="22"/>
          <w:szCs w:val="22"/>
          <w:lang w:val="da-DK"/>
        </w:rPr>
        <w:t>.</w:t>
      </w:r>
      <w:r w:rsidR="001B377C" w:rsidRPr="004C2A59">
        <w:rPr>
          <w:color w:val="000000"/>
          <w:sz w:val="22"/>
          <w:szCs w:val="22"/>
          <w:lang w:val="da-DK"/>
        </w:rPr>
        <w:t xml:space="preserve"> november </w:t>
      </w:r>
      <w:r w:rsidR="00C107A9" w:rsidRPr="004C2A59">
        <w:rPr>
          <w:color w:val="000000"/>
          <w:sz w:val="22"/>
          <w:szCs w:val="22"/>
          <w:lang w:val="da-DK"/>
        </w:rPr>
        <w:t>200</w:t>
      </w:r>
      <w:r w:rsidR="00D85C8C" w:rsidRPr="004C2A59">
        <w:rPr>
          <w:color w:val="000000"/>
          <w:sz w:val="22"/>
          <w:szCs w:val="22"/>
          <w:lang w:val="da-DK"/>
        </w:rPr>
        <w:t>1</w:t>
      </w:r>
    </w:p>
    <w:p w14:paraId="1B4149BB" w14:textId="77777777" w:rsidR="00C107A9" w:rsidRPr="004C2A59" w:rsidRDefault="00725627" w:rsidP="00421681">
      <w:pPr>
        <w:widowControl w:val="0"/>
        <w:rPr>
          <w:color w:val="000000"/>
          <w:sz w:val="22"/>
          <w:szCs w:val="22"/>
          <w:lang w:val="da-DK"/>
        </w:rPr>
      </w:pPr>
      <w:r w:rsidRPr="004C2A59">
        <w:rPr>
          <w:color w:val="000000"/>
          <w:sz w:val="22"/>
          <w:szCs w:val="22"/>
          <w:lang w:val="da-DK"/>
        </w:rPr>
        <w:t xml:space="preserve">Dato for </w:t>
      </w:r>
      <w:r w:rsidR="001B377C" w:rsidRPr="004C2A59">
        <w:rPr>
          <w:color w:val="000000"/>
          <w:sz w:val="22"/>
          <w:szCs w:val="22"/>
          <w:lang w:val="da-DK"/>
        </w:rPr>
        <w:t>seneste</w:t>
      </w:r>
      <w:r w:rsidRPr="004C2A59">
        <w:rPr>
          <w:color w:val="000000"/>
          <w:sz w:val="22"/>
          <w:szCs w:val="22"/>
          <w:lang w:val="da-DK"/>
        </w:rPr>
        <w:t xml:space="preserve"> fornyelse:</w:t>
      </w:r>
      <w:r w:rsidR="00AB0925" w:rsidRPr="004C2A59">
        <w:rPr>
          <w:color w:val="000000"/>
          <w:sz w:val="22"/>
          <w:szCs w:val="22"/>
          <w:lang w:val="da-DK"/>
        </w:rPr>
        <w:t xml:space="preserve"> 7.</w:t>
      </w:r>
      <w:r w:rsidR="001B377C" w:rsidRPr="004C2A59">
        <w:rPr>
          <w:color w:val="000000"/>
          <w:sz w:val="22"/>
          <w:szCs w:val="22"/>
          <w:lang w:val="da-DK"/>
        </w:rPr>
        <w:t xml:space="preserve"> november </w:t>
      </w:r>
      <w:r w:rsidR="00AB0925" w:rsidRPr="004C2A59">
        <w:rPr>
          <w:color w:val="000000"/>
          <w:sz w:val="22"/>
          <w:szCs w:val="22"/>
          <w:lang w:val="da-DK"/>
        </w:rPr>
        <w:t>2006</w:t>
      </w:r>
    </w:p>
    <w:p w14:paraId="32B64F92" w14:textId="77777777" w:rsidR="00C107A9" w:rsidRPr="004C2A59" w:rsidRDefault="00C107A9" w:rsidP="00421681">
      <w:pPr>
        <w:widowControl w:val="0"/>
        <w:rPr>
          <w:color w:val="000000"/>
          <w:sz w:val="22"/>
          <w:szCs w:val="22"/>
          <w:lang w:val="da-DK"/>
        </w:rPr>
      </w:pPr>
    </w:p>
    <w:p w14:paraId="17175634" w14:textId="77777777" w:rsidR="00C844BB" w:rsidRPr="004C2A59" w:rsidRDefault="00C844BB" w:rsidP="00421681">
      <w:pPr>
        <w:widowControl w:val="0"/>
        <w:rPr>
          <w:color w:val="000000"/>
          <w:sz w:val="22"/>
          <w:szCs w:val="22"/>
          <w:lang w:val="da-DK"/>
        </w:rPr>
      </w:pPr>
    </w:p>
    <w:p w14:paraId="7552CB46" w14:textId="77777777" w:rsidR="00C107A9" w:rsidRPr="004C2A59" w:rsidRDefault="00C107A9" w:rsidP="00C422EE">
      <w:pPr>
        <w:keepNext/>
        <w:widowControl w:val="0"/>
        <w:suppressAutoHyphens/>
        <w:ind w:left="567" w:hanging="567"/>
        <w:rPr>
          <w:color w:val="000000"/>
          <w:sz w:val="22"/>
          <w:szCs w:val="22"/>
          <w:lang w:val="da-DK"/>
        </w:rPr>
      </w:pPr>
      <w:r w:rsidRPr="004C2A59">
        <w:rPr>
          <w:b/>
          <w:color w:val="000000"/>
          <w:sz w:val="22"/>
          <w:szCs w:val="22"/>
          <w:lang w:val="da-DK"/>
        </w:rPr>
        <w:t>10.</w:t>
      </w:r>
      <w:r w:rsidRPr="004C2A59">
        <w:rPr>
          <w:b/>
          <w:color w:val="000000"/>
          <w:sz w:val="22"/>
          <w:szCs w:val="22"/>
          <w:lang w:val="da-DK"/>
        </w:rPr>
        <w:tab/>
        <w:t>DATO FOR ÆNDRING AF TEKSTEN</w:t>
      </w:r>
    </w:p>
    <w:p w14:paraId="044D3A17" w14:textId="77777777" w:rsidR="00A979B1" w:rsidRPr="004C2A59" w:rsidRDefault="00A979B1" w:rsidP="00C422EE">
      <w:pPr>
        <w:keepNext/>
        <w:widowControl w:val="0"/>
        <w:suppressAutoHyphens/>
        <w:ind w:left="567" w:hanging="567"/>
        <w:rPr>
          <w:color w:val="000000"/>
          <w:sz w:val="22"/>
          <w:szCs w:val="22"/>
          <w:lang w:val="da-DK"/>
        </w:rPr>
      </w:pPr>
    </w:p>
    <w:p w14:paraId="21BA28FF" w14:textId="77777777" w:rsidR="0044274C" w:rsidRPr="004C2A59" w:rsidRDefault="0044274C" w:rsidP="00C422EE">
      <w:pPr>
        <w:keepNext/>
        <w:widowControl w:val="0"/>
        <w:suppressAutoHyphens/>
        <w:ind w:left="567" w:hanging="567"/>
        <w:rPr>
          <w:color w:val="000000"/>
          <w:sz w:val="22"/>
          <w:szCs w:val="22"/>
          <w:lang w:val="da-DK"/>
        </w:rPr>
      </w:pPr>
    </w:p>
    <w:p w14:paraId="7DC391A7" w14:textId="77777777" w:rsidR="00A979B1" w:rsidRPr="004C2A59" w:rsidRDefault="00F23DFA" w:rsidP="00421681">
      <w:pPr>
        <w:rPr>
          <w:color w:val="000000"/>
          <w:sz w:val="22"/>
          <w:szCs w:val="22"/>
          <w:lang w:val="da-DK"/>
        </w:rPr>
      </w:pPr>
      <w:r w:rsidRPr="004C2A59">
        <w:rPr>
          <w:color w:val="000000"/>
          <w:sz w:val="22"/>
          <w:szCs w:val="22"/>
          <w:lang w:val="da-DK"/>
        </w:rPr>
        <w:t>Yderligere oplysninger om dette lægemiddel findes på Det Europæiske Lægemiddelagenturs hjemmeside http://www.ema.europa.eu</w:t>
      </w:r>
    </w:p>
    <w:p w14:paraId="52B7BDC3" w14:textId="77777777" w:rsidR="005E7A8A" w:rsidRPr="004C2A59" w:rsidRDefault="00C107A9" w:rsidP="00421681">
      <w:pPr>
        <w:widowControl w:val="0"/>
        <w:suppressAutoHyphens/>
        <w:rPr>
          <w:color w:val="000000"/>
          <w:sz w:val="22"/>
          <w:szCs w:val="22"/>
          <w:lang w:val="da-DK"/>
        </w:rPr>
      </w:pPr>
      <w:r w:rsidRPr="004C2A59">
        <w:rPr>
          <w:b/>
          <w:color w:val="000000"/>
          <w:sz w:val="22"/>
          <w:szCs w:val="22"/>
          <w:lang w:val="da-DK"/>
        </w:rPr>
        <w:br w:type="page"/>
      </w:r>
    </w:p>
    <w:p w14:paraId="6DF7B2AF" w14:textId="77777777" w:rsidR="005E7A8A" w:rsidRPr="004C2A59" w:rsidRDefault="005E7A8A" w:rsidP="00421681">
      <w:pPr>
        <w:ind w:right="14"/>
        <w:rPr>
          <w:color w:val="000000"/>
          <w:sz w:val="22"/>
          <w:szCs w:val="22"/>
          <w:lang w:val="da-DK"/>
        </w:rPr>
      </w:pPr>
    </w:p>
    <w:p w14:paraId="528EE367" w14:textId="77777777" w:rsidR="005E7A8A" w:rsidRPr="004C2A59" w:rsidRDefault="005E7A8A" w:rsidP="00421681">
      <w:pPr>
        <w:ind w:right="14"/>
        <w:rPr>
          <w:color w:val="000000"/>
          <w:sz w:val="22"/>
          <w:szCs w:val="22"/>
          <w:lang w:val="da-DK"/>
        </w:rPr>
      </w:pPr>
    </w:p>
    <w:p w14:paraId="4EB6BBC3" w14:textId="77777777" w:rsidR="005E7A8A" w:rsidRPr="004C2A59" w:rsidRDefault="005E7A8A" w:rsidP="00421681">
      <w:pPr>
        <w:ind w:right="14"/>
        <w:rPr>
          <w:color w:val="000000"/>
          <w:sz w:val="22"/>
          <w:szCs w:val="22"/>
          <w:lang w:val="da-DK"/>
        </w:rPr>
      </w:pPr>
    </w:p>
    <w:p w14:paraId="534DFD68" w14:textId="77777777" w:rsidR="005E7A8A" w:rsidRPr="004C2A59" w:rsidRDefault="005E7A8A" w:rsidP="00421681">
      <w:pPr>
        <w:ind w:right="14"/>
        <w:rPr>
          <w:color w:val="000000"/>
          <w:sz w:val="22"/>
          <w:szCs w:val="22"/>
          <w:lang w:val="da-DK"/>
        </w:rPr>
      </w:pPr>
    </w:p>
    <w:p w14:paraId="71FF6940" w14:textId="77777777" w:rsidR="005E7A8A" w:rsidRPr="004C2A59" w:rsidRDefault="005E7A8A" w:rsidP="00421681">
      <w:pPr>
        <w:ind w:right="14"/>
        <w:rPr>
          <w:color w:val="000000"/>
          <w:sz w:val="22"/>
          <w:szCs w:val="22"/>
          <w:lang w:val="da-DK"/>
        </w:rPr>
      </w:pPr>
    </w:p>
    <w:p w14:paraId="6E75C0B9" w14:textId="77777777" w:rsidR="005E7A8A" w:rsidRPr="004C2A59" w:rsidRDefault="005E7A8A" w:rsidP="00421681">
      <w:pPr>
        <w:ind w:right="14"/>
        <w:rPr>
          <w:color w:val="000000"/>
          <w:sz w:val="22"/>
          <w:szCs w:val="22"/>
          <w:lang w:val="da-DK"/>
        </w:rPr>
      </w:pPr>
    </w:p>
    <w:p w14:paraId="366F5871" w14:textId="77777777" w:rsidR="005E7A8A" w:rsidRPr="004C2A59" w:rsidRDefault="005E7A8A" w:rsidP="00421681">
      <w:pPr>
        <w:ind w:right="14"/>
        <w:rPr>
          <w:color w:val="000000"/>
          <w:sz w:val="22"/>
          <w:szCs w:val="22"/>
          <w:lang w:val="da-DK"/>
        </w:rPr>
      </w:pPr>
    </w:p>
    <w:p w14:paraId="68A0BBCB" w14:textId="77777777" w:rsidR="005E7A8A" w:rsidRPr="004C2A59" w:rsidRDefault="005E7A8A" w:rsidP="00421681">
      <w:pPr>
        <w:ind w:right="14"/>
        <w:rPr>
          <w:color w:val="000000"/>
          <w:sz w:val="22"/>
          <w:szCs w:val="22"/>
          <w:lang w:val="da-DK"/>
        </w:rPr>
      </w:pPr>
    </w:p>
    <w:p w14:paraId="7951454A" w14:textId="77777777" w:rsidR="005E7A8A" w:rsidRPr="004C2A59" w:rsidRDefault="005E7A8A" w:rsidP="00421681">
      <w:pPr>
        <w:ind w:right="14"/>
        <w:rPr>
          <w:color w:val="000000"/>
          <w:sz w:val="22"/>
          <w:szCs w:val="22"/>
          <w:lang w:val="da-DK"/>
        </w:rPr>
      </w:pPr>
    </w:p>
    <w:p w14:paraId="3DDC3353" w14:textId="77777777" w:rsidR="005E7A8A" w:rsidRPr="004C2A59" w:rsidRDefault="005E7A8A" w:rsidP="00421681">
      <w:pPr>
        <w:ind w:right="14"/>
        <w:rPr>
          <w:color w:val="000000"/>
          <w:sz w:val="22"/>
          <w:szCs w:val="22"/>
          <w:lang w:val="da-DK"/>
        </w:rPr>
      </w:pPr>
    </w:p>
    <w:p w14:paraId="43A9D257" w14:textId="77777777" w:rsidR="005E7A8A" w:rsidRPr="004C2A59" w:rsidRDefault="005E7A8A" w:rsidP="00421681">
      <w:pPr>
        <w:ind w:right="14"/>
        <w:rPr>
          <w:color w:val="000000"/>
          <w:sz w:val="22"/>
          <w:szCs w:val="22"/>
          <w:lang w:val="da-DK"/>
        </w:rPr>
      </w:pPr>
    </w:p>
    <w:p w14:paraId="64F72F9E" w14:textId="77777777" w:rsidR="005E7A8A" w:rsidRPr="004C2A59" w:rsidRDefault="005E7A8A" w:rsidP="00421681">
      <w:pPr>
        <w:ind w:right="14"/>
        <w:rPr>
          <w:color w:val="000000"/>
          <w:sz w:val="22"/>
          <w:szCs w:val="22"/>
          <w:lang w:val="da-DK"/>
        </w:rPr>
      </w:pPr>
    </w:p>
    <w:p w14:paraId="79EA9C55" w14:textId="77777777" w:rsidR="005E7A8A" w:rsidRPr="004C2A59" w:rsidRDefault="005E7A8A" w:rsidP="00421681">
      <w:pPr>
        <w:ind w:right="14"/>
        <w:rPr>
          <w:color w:val="000000"/>
          <w:sz w:val="22"/>
          <w:szCs w:val="22"/>
          <w:lang w:val="da-DK"/>
        </w:rPr>
      </w:pPr>
    </w:p>
    <w:p w14:paraId="387C6436" w14:textId="77777777" w:rsidR="005E7A8A" w:rsidRPr="004C2A59" w:rsidRDefault="005E7A8A" w:rsidP="00421681">
      <w:pPr>
        <w:ind w:right="14"/>
        <w:rPr>
          <w:color w:val="000000"/>
          <w:sz w:val="22"/>
          <w:szCs w:val="22"/>
          <w:lang w:val="da-DK"/>
        </w:rPr>
      </w:pPr>
    </w:p>
    <w:p w14:paraId="171D44DC" w14:textId="77777777" w:rsidR="005E7A8A" w:rsidRPr="004C2A59" w:rsidRDefault="005E7A8A" w:rsidP="00421681">
      <w:pPr>
        <w:ind w:right="14"/>
        <w:rPr>
          <w:color w:val="000000"/>
          <w:sz w:val="22"/>
          <w:szCs w:val="22"/>
          <w:lang w:val="da-DK"/>
        </w:rPr>
      </w:pPr>
    </w:p>
    <w:p w14:paraId="58E76C36" w14:textId="77777777" w:rsidR="005E7A8A" w:rsidRPr="004C2A59" w:rsidRDefault="005E7A8A" w:rsidP="00421681">
      <w:pPr>
        <w:ind w:right="14"/>
        <w:rPr>
          <w:color w:val="000000"/>
          <w:sz w:val="22"/>
          <w:szCs w:val="22"/>
          <w:lang w:val="da-DK"/>
        </w:rPr>
      </w:pPr>
    </w:p>
    <w:p w14:paraId="412F279D" w14:textId="77777777" w:rsidR="005E7A8A" w:rsidRPr="004C2A59" w:rsidRDefault="005E7A8A" w:rsidP="00421681">
      <w:pPr>
        <w:ind w:right="14"/>
        <w:rPr>
          <w:color w:val="000000"/>
          <w:sz w:val="22"/>
          <w:szCs w:val="22"/>
          <w:lang w:val="da-DK"/>
        </w:rPr>
      </w:pPr>
    </w:p>
    <w:p w14:paraId="490F7D43" w14:textId="77777777" w:rsidR="005E7A8A" w:rsidRPr="004C2A59" w:rsidRDefault="005E7A8A" w:rsidP="00421681">
      <w:pPr>
        <w:ind w:right="14"/>
        <w:rPr>
          <w:color w:val="000000"/>
          <w:sz w:val="22"/>
          <w:szCs w:val="22"/>
          <w:lang w:val="da-DK"/>
        </w:rPr>
      </w:pPr>
    </w:p>
    <w:p w14:paraId="72455B43" w14:textId="77777777" w:rsidR="005E7A8A" w:rsidRPr="004C2A59" w:rsidRDefault="005E7A8A" w:rsidP="00421681">
      <w:pPr>
        <w:ind w:right="14"/>
        <w:rPr>
          <w:color w:val="000000"/>
          <w:sz w:val="22"/>
          <w:szCs w:val="22"/>
          <w:lang w:val="da-DK"/>
        </w:rPr>
      </w:pPr>
    </w:p>
    <w:p w14:paraId="69CB1711" w14:textId="77777777" w:rsidR="005E7A8A" w:rsidRPr="004C2A59" w:rsidRDefault="005E7A8A" w:rsidP="00421681">
      <w:pPr>
        <w:ind w:right="14"/>
        <w:rPr>
          <w:color w:val="000000"/>
          <w:sz w:val="22"/>
          <w:szCs w:val="22"/>
          <w:lang w:val="da-DK"/>
        </w:rPr>
      </w:pPr>
    </w:p>
    <w:p w14:paraId="2F40DF96" w14:textId="77777777" w:rsidR="005E7A8A" w:rsidRPr="004C2A59" w:rsidRDefault="005E7A8A" w:rsidP="00421681">
      <w:pPr>
        <w:ind w:right="14"/>
        <w:rPr>
          <w:color w:val="000000"/>
          <w:sz w:val="22"/>
          <w:szCs w:val="22"/>
          <w:lang w:val="da-DK"/>
        </w:rPr>
      </w:pPr>
    </w:p>
    <w:p w14:paraId="66CE535C" w14:textId="77777777" w:rsidR="005E7A8A" w:rsidRDefault="005E7A8A" w:rsidP="00421681">
      <w:pPr>
        <w:rPr>
          <w:color w:val="000000"/>
          <w:sz w:val="22"/>
          <w:szCs w:val="22"/>
          <w:lang w:val="da-DK"/>
        </w:rPr>
      </w:pPr>
    </w:p>
    <w:p w14:paraId="1460D068" w14:textId="77777777" w:rsidR="001B7781" w:rsidRPr="004C2A59" w:rsidRDefault="001B7781" w:rsidP="00421681">
      <w:pPr>
        <w:rPr>
          <w:color w:val="000000"/>
          <w:sz w:val="22"/>
          <w:szCs w:val="22"/>
          <w:lang w:val="da-DK"/>
        </w:rPr>
      </w:pPr>
    </w:p>
    <w:p w14:paraId="6127F368" w14:textId="77777777" w:rsidR="006F7492" w:rsidRPr="004C2A59" w:rsidRDefault="006F7492" w:rsidP="00421681">
      <w:pPr>
        <w:tabs>
          <w:tab w:val="left" w:pos="-720"/>
        </w:tabs>
        <w:suppressAutoHyphens/>
        <w:jc w:val="center"/>
        <w:rPr>
          <w:color w:val="000000"/>
          <w:sz w:val="22"/>
          <w:szCs w:val="22"/>
          <w:lang w:val="da-DK"/>
        </w:rPr>
      </w:pPr>
      <w:r w:rsidRPr="004C2A59">
        <w:rPr>
          <w:b/>
          <w:color w:val="000000"/>
          <w:sz w:val="22"/>
          <w:szCs w:val="22"/>
          <w:lang w:val="da-DK"/>
        </w:rPr>
        <w:t>BILAG II</w:t>
      </w:r>
    </w:p>
    <w:p w14:paraId="54B1BD83" w14:textId="77777777" w:rsidR="006F7492" w:rsidRPr="004C2A59" w:rsidRDefault="006F7492" w:rsidP="00421681">
      <w:pPr>
        <w:rPr>
          <w:color w:val="000000"/>
          <w:sz w:val="22"/>
          <w:szCs w:val="22"/>
          <w:lang w:val="da-DK"/>
        </w:rPr>
      </w:pPr>
    </w:p>
    <w:p w14:paraId="41C03789" w14:textId="77777777" w:rsidR="006F7492" w:rsidRPr="004C2A59" w:rsidRDefault="006F7492" w:rsidP="00421681">
      <w:pPr>
        <w:tabs>
          <w:tab w:val="left" w:pos="-720"/>
          <w:tab w:val="left" w:pos="1701"/>
        </w:tabs>
        <w:suppressAutoHyphens/>
        <w:ind w:left="1701" w:right="1410" w:hanging="567"/>
        <w:rPr>
          <w:b/>
          <w:color w:val="000000"/>
          <w:sz w:val="22"/>
          <w:szCs w:val="22"/>
          <w:lang w:val="da-DK"/>
        </w:rPr>
      </w:pPr>
      <w:r w:rsidRPr="004C2A59">
        <w:rPr>
          <w:b/>
          <w:color w:val="000000"/>
          <w:sz w:val="22"/>
          <w:szCs w:val="22"/>
          <w:lang w:val="da-DK"/>
        </w:rPr>
        <w:t>A.</w:t>
      </w:r>
      <w:r w:rsidRPr="004C2A59">
        <w:rPr>
          <w:b/>
          <w:color w:val="000000"/>
          <w:sz w:val="22"/>
          <w:szCs w:val="22"/>
          <w:lang w:val="da-DK"/>
        </w:rPr>
        <w:tab/>
        <w:t>FREMSTILLER ANSVARLIG FOR BATCHFRIGIVELSE</w:t>
      </w:r>
    </w:p>
    <w:p w14:paraId="061F60A9" w14:textId="77777777" w:rsidR="006F7492" w:rsidRPr="004C2A59" w:rsidRDefault="006F7492" w:rsidP="00421681">
      <w:pPr>
        <w:tabs>
          <w:tab w:val="left" w:pos="-720"/>
        </w:tabs>
        <w:suppressAutoHyphens/>
        <w:ind w:right="1410"/>
        <w:rPr>
          <w:bCs/>
          <w:color w:val="000000"/>
          <w:sz w:val="22"/>
          <w:szCs w:val="22"/>
          <w:lang w:val="da-DK"/>
        </w:rPr>
      </w:pPr>
    </w:p>
    <w:p w14:paraId="7CCBD75B" w14:textId="77777777" w:rsidR="006F7492" w:rsidRPr="004C2A59" w:rsidRDefault="006F7492" w:rsidP="00421681">
      <w:pPr>
        <w:tabs>
          <w:tab w:val="left" w:pos="-720"/>
          <w:tab w:val="left" w:pos="1701"/>
        </w:tabs>
        <w:suppressAutoHyphens/>
        <w:ind w:left="1701" w:right="1410" w:hanging="567"/>
        <w:rPr>
          <w:b/>
          <w:color w:val="000000"/>
          <w:sz w:val="22"/>
          <w:szCs w:val="22"/>
          <w:lang w:val="da-DK"/>
        </w:rPr>
      </w:pPr>
      <w:r w:rsidRPr="004C2A59">
        <w:rPr>
          <w:b/>
          <w:color w:val="000000"/>
          <w:sz w:val="22"/>
          <w:szCs w:val="22"/>
          <w:lang w:val="da-DK"/>
        </w:rPr>
        <w:t>B.</w:t>
      </w:r>
      <w:r w:rsidRPr="004C2A59">
        <w:rPr>
          <w:b/>
          <w:color w:val="000000"/>
          <w:sz w:val="22"/>
          <w:szCs w:val="22"/>
          <w:lang w:val="da-DK"/>
        </w:rPr>
        <w:tab/>
        <w:t>BETINGELSER ELLER BEGRÆNSNINGER VEDRØRENDE UDLEVERING OG ANVENDELSE</w:t>
      </w:r>
    </w:p>
    <w:p w14:paraId="3311C575" w14:textId="77777777" w:rsidR="006F7492" w:rsidRPr="004C2A59" w:rsidRDefault="006F7492" w:rsidP="00421681">
      <w:pPr>
        <w:tabs>
          <w:tab w:val="left" w:pos="-720"/>
        </w:tabs>
        <w:suppressAutoHyphens/>
        <w:ind w:right="1410"/>
        <w:rPr>
          <w:color w:val="000000"/>
          <w:sz w:val="22"/>
          <w:szCs w:val="22"/>
          <w:lang w:val="da-DK"/>
        </w:rPr>
      </w:pPr>
    </w:p>
    <w:p w14:paraId="4BD0D5AC" w14:textId="77777777" w:rsidR="006F7492" w:rsidRPr="004C2A59" w:rsidRDefault="006F7492" w:rsidP="00421681">
      <w:pPr>
        <w:tabs>
          <w:tab w:val="left" w:pos="-720"/>
          <w:tab w:val="left" w:pos="1701"/>
        </w:tabs>
        <w:suppressAutoHyphens/>
        <w:ind w:left="1701" w:right="1410" w:hanging="567"/>
        <w:rPr>
          <w:b/>
          <w:color w:val="000000"/>
          <w:sz w:val="22"/>
          <w:szCs w:val="22"/>
          <w:lang w:val="da-DK"/>
        </w:rPr>
      </w:pPr>
      <w:r w:rsidRPr="004C2A59">
        <w:rPr>
          <w:b/>
          <w:color w:val="000000"/>
          <w:sz w:val="22"/>
          <w:szCs w:val="22"/>
          <w:lang w:val="da-DK"/>
        </w:rPr>
        <w:t>C.</w:t>
      </w:r>
      <w:r w:rsidRPr="004C2A59">
        <w:rPr>
          <w:b/>
          <w:color w:val="000000"/>
          <w:sz w:val="22"/>
          <w:szCs w:val="22"/>
          <w:lang w:val="da-DK"/>
        </w:rPr>
        <w:tab/>
        <w:t>ANDRE FORHOLD OG BETINGELSER FOR MARKEDSFØRINGSTILLADELSEN</w:t>
      </w:r>
    </w:p>
    <w:p w14:paraId="25A1FBDB" w14:textId="77777777" w:rsidR="006F7492" w:rsidRPr="004C2A59" w:rsidRDefault="006F7492" w:rsidP="00421681">
      <w:pPr>
        <w:suppressAutoHyphens/>
        <w:ind w:right="1410"/>
        <w:rPr>
          <w:color w:val="000000"/>
          <w:sz w:val="22"/>
          <w:szCs w:val="22"/>
          <w:lang w:val="da-DK"/>
        </w:rPr>
      </w:pPr>
    </w:p>
    <w:p w14:paraId="5247C844" w14:textId="77777777" w:rsidR="00845B3F" w:rsidRPr="004C2A59" w:rsidRDefault="00845B3F" w:rsidP="00421681">
      <w:pPr>
        <w:tabs>
          <w:tab w:val="left" w:pos="-720"/>
          <w:tab w:val="left" w:pos="1701"/>
        </w:tabs>
        <w:suppressAutoHyphens/>
        <w:ind w:left="1701" w:right="1418" w:hanging="567"/>
        <w:rPr>
          <w:b/>
          <w:sz w:val="22"/>
          <w:szCs w:val="22"/>
          <w:lang w:val="da-DK"/>
        </w:rPr>
      </w:pPr>
      <w:r w:rsidRPr="004C2A59">
        <w:rPr>
          <w:b/>
          <w:noProof/>
          <w:sz w:val="22"/>
          <w:szCs w:val="22"/>
          <w:lang w:val="da-DK"/>
        </w:rPr>
        <w:t>D.</w:t>
      </w:r>
      <w:r w:rsidRPr="004C2A59">
        <w:rPr>
          <w:b/>
          <w:sz w:val="22"/>
          <w:szCs w:val="22"/>
          <w:lang w:val="da-DK"/>
        </w:rPr>
        <w:tab/>
        <w:t>BETINGELSER ELLER BEGRÆNSNINGER MED HENSYN TIL SIKKER OG EFFEKTIV ANVENDELSE AF LÆGEMIDLET</w:t>
      </w:r>
    </w:p>
    <w:p w14:paraId="26DAAC06" w14:textId="77777777" w:rsidR="006F7492" w:rsidRPr="004C2A59" w:rsidRDefault="006F7492" w:rsidP="00421681">
      <w:pPr>
        <w:suppressAutoHyphens/>
        <w:ind w:left="567" w:hanging="567"/>
        <w:rPr>
          <w:color w:val="000000"/>
          <w:sz w:val="22"/>
          <w:szCs w:val="22"/>
          <w:lang w:val="da-DK"/>
        </w:rPr>
      </w:pPr>
      <w:r w:rsidRPr="004C2A59">
        <w:rPr>
          <w:color w:val="000000"/>
          <w:sz w:val="22"/>
          <w:szCs w:val="22"/>
          <w:lang w:val="da-DK"/>
        </w:rPr>
        <w:br w:type="page"/>
      </w:r>
      <w:r w:rsidRPr="004C2A59">
        <w:rPr>
          <w:b/>
          <w:color w:val="000000"/>
          <w:sz w:val="22"/>
          <w:szCs w:val="22"/>
          <w:lang w:val="da-DK"/>
        </w:rPr>
        <w:lastRenderedPageBreak/>
        <w:t>A.</w:t>
      </w:r>
      <w:r w:rsidRPr="004C2A59">
        <w:rPr>
          <w:b/>
          <w:color w:val="000000"/>
          <w:sz w:val="22"/>
          <w:szCs w:val="22"/>
          <w:lang w:val="da-DK"/>
        </w:rPr>
        <w:tab/>
        <w:t>FREMSTILLER ANSVARLIG FOR BATCHFRIGIVELSE</w:t>
      </w:r>
    </w:p>
    <w:p w14:paraId="2E063B6C" w14:textId="77777777" w:rsidR="006F7492" w:rsidRPr="004C2A59" w:rsidRDefault="006F7492" w:rsidP="00421681">
      <w:pPr>
        <w:rPr>
          <w:color w:val="000000"/>
          <w:sz w:val="22"/>
          <w:szCs w:val="22"/>
          <w:lang w:val="da-DK"/>
        </w:rPr>
      </w:pPr>
    </w:p>
    <w:p w14:paraId="40225E86" w14:textId="77777777" w:rsidR="006F7492" w:rsidRPr="004C2A59" w:rsidRDefault="006F7492" w:rsidP="00421681">
      <w:pPr>
        <w:tabs>
          <w:tab w:val="left" w:pos="-720"/>
        </w:tabs>
        <w:suppressAutoHyphens/>
        <w:rPr>
          <w:color w:val="000000"/>
          <w:sz w:val="22"/>
          <w:szCs w:val="22"/>
          <w:lang w:val="da-DK"/>
        </w:rPr>
      </w:pPr>
      <w:r w:rsidRPr="004C2A59">
        <w:rPr>
          <w:color w:val="000000"/>
          <w:sz w:val="22"/>
          <w:szCs w:val="22"/>
          <w:u w:val="single"/>
          <w:lang w:val="da-DK"/>
        </w:rPr>
        <w:t xml:space="preserve">Navn og adresse på </w:t>
      </w:r>
      <w:r w:rsidR="003C7164" w:rsidRPr="004C2A59">
        <w:rPr>
          <w:color w:val="000000"/>
          <w:sz w:val="22"/>
          <w:szCs w:val="22"/>
          <w:u w:val="single"/>
          <w:lang w:val="da-DK"/>
        </w:rPr>
        <w:t xml:space="preserve">den </w:t>
      </w:r>
      <w:r w:rsidRPr="004C2A59">
        <w:rPr>
          <w:color w:val="000000"/>
          <w:sz w:val="22"/>
          <w:szCs w:val="22"/>
          <w:u w:val="single"/>
          <w:lang w:val="da-DK"/>
        </w:rPr>
        <w:t>fremstiller</w:t>
      </w:r>
      <w:r w:rsidR="003C7164" w:rsidRPr="004C2A59">
        <w:rPr>
          <w:color w:val="000000"/>
          <w:sz w:val="22"/>
          <w:szCs w:val="22"/>
          <w:u w:val="single"/>
          <w:lang w:val="da-DK"/>
        </w:rPr>
        <w:t>, der er</w:t>
      </w:r>
      <w:r w:rsidRPr="004C2A59">
        <w:rPr>
          <w:color w:val="000000"/>
          <w:sz w:val="22"/>
          <w:szCs w:val="22"/>
          <w:u w:val="single"/>
          <w:lang w:val="da-DK"/>
        </w:rPr>
        <w:t xml:space="preserve"> ansvarlig for batchfrigivelse</w:t>
      </w:r>
    </w:p>
    <w:p w14:paraId="01910EAE" w14:textId="77777777" w:rsidR="006F7492" w:rsidRPr="004C2A59" w:rsidRDefault="006F7492" w:rsidP="00421681">
      <w:pPr>
        <w:tabs>
          <w:tab w:val="left" w:pos="-720"/>
        </w:tabs>
        <w:suppressAutoHyphens/>
        <w:rPr>
          <w:color w:val="000000"/>
          <w:sz w:val="22"/>
          <w:szCs w:val="22"/>
          <w:lang w:val="da-DK"/>
        </w:rPr>
      </w:pPr>
    </w:p>
    <w:p w14:paraId="34ECCE14" w14:textId="77777777" w:rsidR="00421681" w:rsidRPr="00F852D1" w:rsidRDefault="00421681" w:rsidP="00421681">
      <w:pPr>
        <w:tabs>
          <w:tab w:val="left" w:pos="-720"/>
        </w:tabs>
        <w:suppressAutoHyphens/>
        <w:rPr>
          <w:color w:val="000000"/>
          <w:sz w:val="22"/>
          <w:szCs w:val="22"/>
          <w:lang w:val="da-DK"/>
        </w:rPr>
      </w:pPr>
      <w:r w:rsidRPr="00F852D1">
        <w:rPr>
          <w:color w:val="000000"/>
          <w:sz w:val="22"/>
          <w:szCs w:val="22"/>
          <w:lang w:val="da-DK"/>
        </w:rPr>
        <w:t>Lek d.d, PE PROIZVODNJA LENDAVA</w:t>
      </w:r>
    </w:p>
    <w:p w14:paraId="7BAA96D3" w14:textId="77777777" w:rsidR="00421681" w:rsidRPr="00F852D1" w:rsidRDefault="00421681" w:rsidP="00421681">
      <w:pPr>
        <w:tabs>
          <w:tab w:val="left" w:pos="-720"/>
        </w:tabs>
        <w:suppressAutoHyphens/>
        <w:rPr>
          <w:color w:val="000000"/>
          <w:sz w:val="22"/>
          <w:szCs w:val="22"/>
          <w:lang w:val="it-IT"/>
        </w:rPr>
      </w:pPr>
      <w:r w:rsidRPr="00F852D1">
        <w:rPr>
          <w:color w:val="000000"/>
          <w:sz w:val="22"/>
          <w:szCs w:val="22"/>
          <w:lang w:val="it-IT"/>
        </w:rPr>
        <w:t>Trimlini 2D</w:t>
      </w:r>
    </w:p>
    <w:p w14:paraId="5A6925E2" w14:textId="77777777" w:rsidR="00421681" w:rsidRPr="00F852D1" w:rsidRDefault="00421681" w:rsidP="00421681">
      <w:pPr>
        <w:tabs>
          <w:tab w:val="left" w:pos="-720"/>
        </w:tabs>
        <w:suppressAutoHyphens/>
        <w:rPr>
          <w:color w:val="000000"/>
          <w:sz w:val="22"/>
          <w:szCs w:val="22"/>
          <w:lang w:val="it-IT"/>
        </w:rPr>
      </w:pPr>
      <w:r w:rsidRPr="00F852D1">
        <w:rPr>
          <w:color w:val="000000"/>
          <w:sz w:val="22"/>
          <w:szCs w:val="22"/>
          <w:lang w:val="it-IT"/>
        </w:rPr>
        <w:t>Lendava, 9220</w:t>
      </w:r>
    </w:p>
    <w:p w14:paraId="0EDF2FB0" w14:textId="77777777" w:rsidR="00421681" w:rsidRPr="00F852D1" w:rsidRDefault="00421681" w:rsidP="00421681">
      <w:pPr>
        <w:tabs>
          <w:tab w:val="left" w:pos="-720"/>
        </w:tabs>
        <w:suppressAutoHyphens/>
        <w:rPr>
          <w:color w:val="000000"/>
          <w:sz w:val="22"/>
          <w:szCs w:val="22"/>
          <w:lang w:val="it-IT"/>
        </w:rPr>
      </w:pPr>
      <w:r w:rsidRPr="00F852D1">
        <w:rPr>
          <w:color w:val="000000"/>
          <w:sz w:val="22"/>
          <w:szCs w:val="22"/>
          <w:lang w:val="it-IT"/>
        </w:rPr>
        <w:t>Slovenien</w:t>
      </w:r>
    </w:p>
    <w:p w14:paraId="23352B96" w14:textId="77777777" w:rsidR="00421681" w:rsidRPr="00F852D1" w:rsidRDefault="00421681" w:rsidP="00421681">
      <w:pPr>
        <w:tabs>
          <w:tab w:val="left" w:pos="-720"/>
        </w:tabs>
        <w:suppressAutoHyphens/>
        <w:rPr>
          <w:color w:val="000000"/>
          <w:sz w:val="22"/>
          <w:szCs w:val="22"/>
          <w:lang w:val="it-IT"/>
        </w:rPr>
      </w:pPr>
    </w:p>
    <w:p w14:paraId="49D5D942" w14:textId="77777777" w:rsidR="006F7492" w:rsidRPr="00F852D1" w:rsidRDefault="006F7492" w:rsidP="00421681">
      <w:pPr>
        <w:tabs>
          <w:tab w:val="left" w:pos="-720"/>
        </w:tabs>
        <w:suppressAutoHyphens/>
        <w:rPr>
          <w:color w:val="000000"/>
          <w:sz w:val="22"/>
          <w:szCs w:val="22"/>
          <w:lang w:val="it-IT"/>
        </w:rPr>
      </w:pPr>
      <w:r w:rsidRPr="00F852D1">
        <w:rPr>
          <w:color w:val="000000"/>
          <w:sz w:val="22"/>
          <w:szCs w:val="22"/>
          <w:lang w:val="it-IT"/>
        </w:rPr>
        <w:t>Novartis Pharma GmbH</w:t>
      </w:r>
    </w:p>
    <w:p w14:paraId="2BFC828F" w14:textId="77777777" w:rsidR="006F7492" w:rsidRPr="00F852D1" w:rsidRDefault="006F7492" w:rsidP="00421681">
      <w:pPr>
        <w:tabs>
          <w:tab w:val="left" w:pos="7513"/>
        </w:tabs>
        <w:rPr>
          <w:color w:val="000000"/>
          <w:sz w:val="22"/>
          <w:szCs w:val="22"/>
          <w:lang w:val="it-IT"/>
        </w:rPr>
      </w:pPr>
      <w:r w:rsidRPr="00F852D1">
        <w:rPr>
          <w:color w:val="000000"/>
          <w:sz w:val="22"/>
          <w:szCs w:val="22"/>
          <w:lang w:val="it-IT"/>
        </w:rPr>
        <w:t>Roonstra</w:t>
      </w:r>
      <w:r w:rsidRPr="00F852D1">
        <w:rPr>
          <w:snapToGrid w:val="0"/>
          <w:color w:val="000000"/>
          <w:sz w:val="22"/>
          <w:szCs w:val="22"/>
          <w:lang w:val="it-IT"/>
        </w:rPr>
        <w:t>ss</w:t>
      </w:r>
      <w:r w:rsidRPr="00F852D1">
        <w:rPr>
          <w:color w:val="000000"/>
          <w:sz w:val="22"/>
          <w:szCs w:val="22"/>
          <w:lang w:val="it-IT"/>
        </w:rPr>
        <w:t>e 25</w:t>
      </w:r>
    </w:p>
    <w:p w14:paraId="112969AA" w14:textId="77777777" w:rsidR="006F7492" w:rsidRPr="00F852D1" w:rsidRDefault="006F7492" w:rsidP="00421681">
      <w:pPr>
        <w:tabs>
          <w:tab w:val="left" w:pos="-720"/>
        </w:tabs>
        <w:suppressAutoHyphens/>
        <w:rPr>
          <w:color w:val="000000"/>
          <w:sz w:val="22"/>
          <w:szCs w:val="22"/>
          <w:lang w:val="it-IT"/>
        </w:rPr>
      </w:pPr>
      <w:r w:rsidRPr="00F852D1">
        <w:rPr>
          <w:color w:val="000000"/>
          <w:sz w:val="22"/>
          <w:szCs w:val="22"/>
          <w:lang w:val="it-IT"/>
        </w:rPr>
        <w:t>D-90429 Nürnberg</w:t>
      </w:r>
    </w:p>
    <w:p w14:paraId="7CC75DB2" w14:textId="77777777" w:rsidR="006F7492" w:rsidRPr="00F852D1" w:rsidRDefault="006F7492" w:rsidP="00421681">
      <w:pPr>
        <w:tabs>
          <w:tab w:val="left" w:pos="-720"/>
        </w:tabs>
        <w:suppressAutoHyphens/>
        <w:rPr>
          <w:color w:val="000000"/>
          <w:sz w:val="22"/>
          <w:szCs w:val="22"/>
          <w:lang w:val="it-IT"/>
        </w:rPr>
      </w:pPr>
      <w:r w:rsidRPr="00F852D1">
        <w:rPr>
          <w:color w:val="000000"/>
          <w:sz w:val="22"/>
          <w:szCs w:val="22"/>
          <w:lang w:val="it-IT"/>
        </w:rPr>
        <w:t>Tyskland</w:t>
      </w:r>
    </w:p>
    <w:p w14:paraId="076265B0" w14:textId="7DC828B7" w:rsidR="006F7492" w:rsidRPr="00F852D1" w:rsidRDefault="006F7492" w:rsidP="00421681">
      <w:pPr>
        <w:rPr>
          <w:color w:val="000000"/>
          <w:sz w:val="22"/>
          <w:szCs w:val="22"/>
          <w:lang w:val="it-IT"/>
        </w:rPr>
      </w:pPr>
    </w:p>
    <w:p w14:paraId="3B8ADA54" w14:textId="77777777" w:rsidR="0032577E" w:rsidRPr="00F852D1" w:rsidRDefault="0032577E" w:rsidP="0032577E">
      <w:pPr>
        <w:rPr>
          <w:color w:val="000000"/>
          <w:sz w:val="22"/>
          <w:szCs w:val="22"/>
          <w:lang w:val="it-IT"/>
        </w:rPr>
      </w:pPr>
      <w:r w:rsidRPr="00F852D1">
        <w:rPr>
          <w:color w:val="000000"/>
          <w:sz w:val="22"/>
          <w:szCs w:val="22"/>
          <w:lang w:val="it-IT"/>
        </w:rPr>
        <w:t>Sandoz S.R.L.</w:t>
      </w:r>
    </w:p>
    <w:p w14:paraId="58E689B4" w14:textId="77777777" w:rsidR="0032577E" w:rsidRPr="00F852D1" w:rsidRDefault="0032577E" w:rsidP="0032577E">
      <w:pPr>
        <w:rPr>
          <w:color w:val="000000"/>
          <w:sz w:val="22"/>
          <w:szCs w:val="22"/>
          <w:lang w:val="it-IT"/>
        </w:rPr>
      </w:pPr>
      <w:r w:rsidRPr="00F852D1">
        <w:rPr>
          <w:color w:val="000000"/>
          <w:sz w:val="22"/>
          <w:szCs w:val="22"/>
          <w:lang w:val="it-IT"/>
        </w:rPr>
        <w:t>Str. Livezeni nr. 7A</w:t>
      </w:r>
    </w:p>
    <w:p w14:paraId="1F3D9948" w14:textId="77777777" w:rsidR="0032577E" w:rsidRPr="00F852D1" w:rsidRDefault="0032577E" w:rsidP="0032577E">
      <w:pPr>
        <w:rPr>
          <w:color w:val="000000"/>
          <w:sz w:val="22"/>
          <w:szCs w:val="22"/>
          <w:lang w:val="da-DK"/>
        </w:rPr>
      </w:pPr>
      <w:r w:rsidRPr="00F852D1">
        <w:rPr>
          <w:color w:val="000000"/>
          <w:sz w:val="22"/>
          <w:szCs w:val="22"/>
          <w:lang w:val="da-DK"/>
        </w:rPr>
        <w:t>540472, Targu Mures</w:t>
      </w:r>
    </w:p>
    <w:p w14:paraId="4996719A" w14:textId="5BE395B4" w:rsidR="0032577E" w:rsidRDefault="0032577E" w:rsidP="0032577E">
      <w:pPr>
        <w:rPr>
          <w:color w:val="000000"/>
          <w:sz w:val="22"/>
          <w:szCs w:val="22"/>
          <w:lang w:val="da-DK"/>
        </w:rPr>
      </w:pPr>
      <w:r w:rsidRPr="0032577E">
        <w:rPr>
          <w:color w:val="000000"/>
          <w:sz w:val="22"/>
          <w:szCs w:val="22"/>
          <w:lang w:val="da-DK"/>
        </w:rPr>
        <w:t>Rumænien</w:t>
      </w:r>
    </w:p>
    <w:p w14:paraId="44F2FF52" w14:textId="77777777" w:rsidR="0032577E" w:rsidRDefault="0032577E" w:rsidP="0032577E">
      <w:pPr>
        <w:rPr>
          <w:color w:val="000000"/>
          <w:sz w:val="22"/>
          <w:szCs w:val="22"/>
          <w:lang w:val="da-DK"/>
        </w:rPr>
      </w:pPr>
    </w:p>
    <w:p w14:paraId="64E3B354" w14:textId="77777777" w:rsidR="00421681" w:rsidRDefault="00421681" w:rsidP="00421681">
      <w:pPr>
        <w:rPr>
          <w:color w:val="000000"/>
          <w:sz w:val="22"/>
          <w:szCs w:val="22"/>
          <w:lang w:val="da-DK"/>
        </w:rPr>
      </w:pPr>
      <w:r w:rsidRPr="00247981">
        <w:rPr>
          <w:color w:val="000000"/>
          <w:sz w:val="22"/>
          <w:szCs w:val="22"/>
          <w:lang w:val="da-DK"/>
        </w:rPr>
        <w:t>På lægemidlets trykte indlægsseddel skal der anføres navn og adresse på den fremstiller, som er ansvarlig for frigivelsen af den pågældende batch.</w:t>
      </w:r>
    </w:p>
    <w:p w14:paraId="0E6385AB" w14:textId="77777777" w:rsidR="00421681" w:rsidRPr="004C2A59" w:rsidRDefault="00421681" w:rsidP="00421681">
      <w:pPr>
        <w:rPr>
          <w:color w:val="000000"/>
          <w:sz w:val="22"/>
          <w:szCs w:val="22"/>
          <w:lang w:val="da-DK"/>
        </w:rPr>
      </w:pPr>
    </w:p>
    <w:p w14:paraId="1B0BB708" w14:textId="77777777" w:rsidR="006F7492" w:rsidRPr="004C2A59" w:rsidRDefault="006F7492" w:rsidP="00421681">
      <w:pPr>
        <w:suppressAutoHyphens/>
        <w:ind w:left="567" w:hanging="567"/>
        <w:rPr>
          <w:bCs/>
          <w:color w:val="000000"/>
          <w:sz w:val="22"/>
          <w:szCs w:val="22"/>
          <w:lang w:val="da-DK"/>
        </w:rPr>
      </w:pPr>
    </w:p>
    <w:p w14:paraId="2B797371" w14:textId="77777777" w:rsidR="006F7492" w:rsidRPr="004C2A59" w:rsidRDefault="006F7492" w:rsidP="001B7781">
      <w:pPr>
        <w:keepNext/>
        <w:suppressAutoHyphens/>
        <w:ind w:left="567" w:hanging="567"/>
        <w:rPr>
          <w:color w:val="000000"/>
          <w:sz w:val="22"/>
          <w:szCs w:val="22"/>
          <w:lang w:val="da-DK"/>
        </w:rPr>
      </w:pPr>
      <w:r w:rsidRPr="004C2A59">
        <w:rPr>
          <w:b/>
          <w:color w:val="000000"/>
          <w:sz w:val="22"/>
          <w:szCs w:val="22"/>
          <w:lang w:val="da-DK"/>
        </w:rPr>
        <w:t>B.</w:t>
      </w:r>
      <w:r w:rsidRPr="004C2A59">
        <w:rPr>
          <w:b/>
          <w:color w:val="000000"/>
          <w:sz w:val="22"/>
          <w:szCs w:val="22"/>
          <w:lang w:val="da-DK"/>
        </w:rPr>
        <w:tab/>
        <w:t>BETINGELSER ELLER BEGRÆNSNINGER VEDRØRENDE UDLEVERING OG ANVENDELSE</w:t>
      </w:r>
    </w:p>
    <w:p w14:paraId="6D4E7F1A" w14:textId="77777777" w:rsidR="006F7492" w:rsidRPr="004C2A59" w:rsidRDefault="006F7492" w:rsidP="001B7781">
      <w:pPr>
        <w:keepNext/>
        <w:rPr>
          <w:color w:val="000000"/>
          <w:sz w:val="22"/>
          <w:szCs w:val="22"/>
          <w:lang w:val="da-DK"/>
        </w:rPr>
      </w:pPr>
    </w:p>
    <w:p w14:paraId="776F0C77" w14:textId="77777777" w:rsidR="006F7492" w:rsidRPr="004C2A59" w:rsidRDefault="006F7492" w:rsidP="00421681">
      <w:pPr>
        <w:numPr>
          <w:ilvl w:val="12"/>
          <w:numId w:val="0"/>
        </w:numPr>
        <w:rPr>
          <w:color w:val="000000"/>
          <w:sz w:val="22"/>
          <w:szCs w:val="22"/>
          <w:lang w:val="da-DK"/>
        </w:rPr>
      </w:pPr>
      <w:r w:rsidRPr="004C2A59">
        <w:rPr>
          <w:color w:val="000000"/>
          <w:sz w:val="22"/>
          <w:szCs w:val="22"/>
          <w:lang w:val="da-DK"/>
        </w:rPr>
        <w:t>Lægemidlet må kun udleveres efter ordination på en recept udstedt af en begrænset lægegruppe (se bilag I: Produktresumé, pkt. 4.2).</w:t>
      </w:r>
    </w:p>
    <w:p w14:paraId="7A3E3387" w14:textId="77777777" w:rsidR="006F7492" w:rsidRPr="004C2A59" w:rsidRDefault="006F7492" w:rsidP="00421681">
      <w:pPr>
        <w:numPr>
          <w:ilvl w:val="12"/>
          <w:numId w:val="0"/>
        </w:numPr>
        <w:rPr>
          <w:color w:val="000000"/>
          <w:sz w:val="22"/>
          <w:szCs w:val="22"/>
          <w:lang w:val="da-DK"/>
        </w:rPr>
      </w:pPr>
    </w:p>
    <w:p w14:paraId="3F4BBD73" w14:textId="77777777" w:rsidR="006F7492" w:rsidRPr="004C2A59" w:rsidRDefault="006F7492" w:rsidP="00421681">
      <w:pPr>
        <w:numPr>
          <w:ilvl w:val="12"/>
          <w:numId w:val="0"/>
        </w:numPr>
        <w:rPr>
          <w:color w:val="000000"/>
          <w:sz w:val="22"/>
          <w:szCs w:val="22"/>
          <w:lang w:val="da-DK"/>
        </w:rPr>
      </w:pPr>
    </w:p>
    <w:p w14:paraId="57AFC4E9" w14:textId="77777777" w:rsidR="006F7492" w:rsidRPr="004C2A59" w:rsidRDefault="006F7492" w:rsidP="001B7781">
      <w:pPr>
        <w:keepNext/>
        <w:rPr>
          <w:b/>
          <w:color w:val="000000"/>
          <w:sz w:val="22"/>
          <w:szCs w:val="22"/>
          <w:lang w:val="da-DK"/>
        </w:rPr>
      </w:pPr>
      <w:r w:rsidRPr="004C2A59">
        <w:rPr>
          <w:b/>
          <w:color w:val="000000"/>
          <w:sz w:val="22"/>
          <w:szCs w:val="22"/>
          <w:lang w:val="da-DK"/>
        </w:rPr>
        <w:t>C.</w:t>
      </w:r>
      <w:r w:rsidRPr="004C2A59">
        <w:rPr>
          <w:b/>
          <w:color w:val="000000"/>
          <w:sz w:val="22"/>
          <w:szCs w:val="22"/>
          <w:lang w:val="da-DK"/>
        </w:rPr>
        <w:tab/>
        <w:t>ANDRE FORHOLD OG BETINGELSER FOR MARKEDSFØRINGSTILLADELSEN</w:t>
      </w:r>
    </w:p>
    <w:p w14:paraId="0D21FA36" w14:textId="77777777" w:rsidR="006F7492" w:rsidRPr="004C2A59" w:rsidRDefault="006F7492" w:rsidP="001B7781">
      <w:pPr>
        <w:keepNext/>
        <w:rPr>
          <w:color w:val="000000"/>
          <w:sz w:val="22"/>
          <w:szCs w:val="22"/>
          <w:lang w:val="da-DK"/>
        </w:rPr>
      </w:pPr>
    </w:p>
    <w:p w14:paraId="6B889BBE" w14:textId="77777777" w:rsidR="00845B3F" w:rsidRPr="004C2A59" w:rsidRDefault="00845B3F" w:rsidP="001B7781">
      <w:pPr>
        <w:keepNext/>
        <w:numPr>
          <w:ilvl w:val="0"/>
          <w:numId w:val="22"/>
        </w:numPr>
        <w:suppressLineNumbers/>
        <w:tabs>
          <w:tab w:val="left" w:pos="567"/>
        </w:tabs>
        <w:ind w:right="-1" w:hanging="720"/>
        <w:rPr>
          <w:b/>
          <w:sz w:val="22"/>
          <w:szCs w:val="22"/>
        </w:rPr>
      </w:pPr>
      <w:r w:rsidRPr="004C2A59">
        <w:rPr>
          <w:b/>
          <w:sz w:val="22"/>
          <w:szCs w:val="22"/>
        </w:rPr>
        <w:t>Periodiske, opdaterede sikkerhedsindberetninger (PSUR</w:t>
      </w:r>
      <w:r w:rsidR="003C7164" w:rsidRPr="004C2A59">
        <w:rPr>
          <w:b/>
          <w:sz w:val="22"/>
          <w:szCs w:val="22"/>
        </w:rPr>
        <w:t>’er</w:t>
      </w:r>
      <w:r w:rsidRPr="004C2A59">
        <w:rPr>
          <w:b/>
          <w:sz w:val="22"/>
          <w:szCs w:val="22"/>
        </w:rPr>
        <w:t>)</w:t>
      </w:r>
    </w:p>
    <w:p w14:paraId="72CBB5B7" w14:textId="77777777" w:rsidR="00845B3F" w:rsidRPr="004C2A59" w:rsidRDefault="00120AF2" w:rsidP="001B7781">
      <w:pPr>
        <w:tabs>
          <w:tab w:val="left" w:pos="0"/>
        </w:tabs>
        <w:ind w:right="-6"/>
        <w:rPr>
          <w:i/>
          <w:sz w:val="22"/>
          <w:szCs w:val="22"/>
          <w:lang w:val="da-DK"/>
        </w:rPr>
      </w:pPr>
      <w:r>
        <w:rPr>
          <w:sz w:val="22"/>
          <w:szCs w:val="22"/>
          <w:lang w:val="da-DK"/>
        </w:rPr>
        <w:t>Kravene for fremsendelse af periodiske, opdaterede sikkerhedsindberetninger</w:t>
      </w:r>
      <w:r w:rsidR="00845B3F" w:rsidRPr="004C2A59">
        <w:rPr>
          <w:sz w:val="22"/>
          <w:szCs w:val="22"/>
          <w:lang w:val="da-DK"/>
        </w:rPr>
        <w:t xml:space="preserve"> for dette lægemidd</w:t>
      </w:r>
      <w:r w:rsidR="00845B3F" w:rsidRPr="00BE3BD9">
        <w:rPr>
          <w:sz w:val="22"/>
          <w:szCs w:val="22"/>
          <w:lang w:val="da-DK"/>
        </w:rPr>
        <w:t>el</w:t>
      </w:r>
      <w:r w:rsidR="00C01FC1">
        <w:rPr>
          <w:sz w:val="22"/>
          <w:szCs w:val="22"/>
          <w:lang w:val="da-DK"/>
        </w:rPr>
        <w:t xml:space="preserve"> </w:t>
      </w:r>
      <w:r>
        <w:rPr>
          <w:sz w:val="22"/>
          <w:szCs w:val="22"/>
          <w:lang w:val="da-DK"/>
        </w:rPr>
        <w:t>fremgår af</w:t>
      </w:r>
      <w:r w:rsidR="00845B3F" w:rsidRPr="004C2A59">
        <w:rPr>
          <w:sz w:val="22"/>
          <w:szCs w:val="22"/>
          <w:lang w:val="da-DK"/>
        </w:rPr>
        <w:t xml:space="preserve"> listen over EU-referencedatoer (EURD list)</w:t>
      </w:r>
      <w:r w:rsidR="001F5AE6" w:rsidRPr="004C2A59">
        <w:rPr>
          <w:sz w:val="22"/>
          <w:szCs w:val="22"/>
          <w:lang w:val="da-DK"/>
        </w:rPr>
        <w:t>,</w:t>
      </w:r>
      <w:r w:rsidR="00845B3F" w:rsidRPr="004C2A59">
        <w:rPr>
          <w:sz w:val="22"/>
          <w:szCs w:val="22"/>
          <w:lang w:val="da-DK"/>
        </w:rPr>
        <w:t xml:space="preserve"> som fastsat i artikel 107c, stk. 7, i direktiv 2001/83/EF</w:t>
      </w:r>
      <w:r>
        <w:rPr>
          <w:sz w:val="22"/>
          <w:szCs w:val="22"/>
          <w:lang w:val="da-DK"/>
        </w:rPr>
        <w:t>,</w:t>
      </w:r>
      <w:r w:rsidR="00845B3F" w:rsidRPr="004C2A59">
        <w:rPr>
          <w:sz w:val="22"/>
          <w:szCs w:val="22"/>
          <w:lang w:val="da-DK"/>
        </w:rPr>
        <w:t xml:space="preserve"> og </w:t>
      </w:r>
      <w:r>
        <w:rPr>
          <w:sz w:val="22"/>
          <w:szCs w:val="22"/>
          <w:lang w:val="da-DK"/>
        </w:rPr>
        <w:t xml:space="preserve">alle efterfølgende opdateringer </w:t>
      </w:r>
      <w:r w:rsidR="00845B3F" w:rsidRPr="004C2A59">
        <w:rPr>
          <w:sz w:val="22"/>
          <w:szCs w:val="22"/>
          <w:lang w:val="da-DK"/>
        </w:rPr>
        <w:t>offentliggjort på den europæiske webportal for lægemidler.</w:t>
      </w:r>
    </w:p>
    <w:p w14:paraId="0C072AB0" w14:textId="77777777" w:rsidR="000C4931" w:rsidRPr="004C2A59" w:rsidRDefault="000C4931" w:rsidP="00421681">
      <w:pPr>
        <w:rPr>
          <w:color w:val="000000"/>
          <w:sz w:val="22"/>
          <w:szCs w:val="22"/>
          <w:u w:val="single"/>
          <w:lang w:val="da-DK"/>
        </w:rPr>
      </w:pPr>
    </w:p>
    <w:p w14:paraId="09FD697F" w14:textId="77777777" w:rsidR="006F7492" w:rsidRPr="004C2A59" w:rsidRDefault="006F7492" w:rsidP="00421681">
      <w:pPr>
        <w:rPr>
          <w:color w:val="000000"/>
          <w:sz w:val="22"/>
          <w:szCs w:val="22"/>
          <w:lang w:val="da-DK"/>
        </w:rPr>
      </w:pPr>
    </w:p>
    <w:p w14:paraId="59C4F285" w14:textId="77777777" w:rsidR="00FD788F" w:rsidRPr="004C2A59" w:rsidRDefault="00FD788F" w:rsidP="001B7781">
      <w:pPr>
        <w:keepNext/>
        <w:ind w:left="709" w:hanging="709"/>
        <w:rPr>
          <w:sz w:val="22"/>
          <w:szCs w:val="22"/>
          <w:lang w:val="da-DK"/>
        </w:rPr>
      </w:pPr>
      <w:r w:rsidRPr="004C2A59">
        <w:rPr>
          <w:b/>
          <w:noProof/>
          <w:sz w:val="22"/>
          <w:szCs w:val="22"/>
          <w:lang w:val="da-DK"/>
        </w:rPr>
        <w:t>D.</w:t>
      </w:r>
      <w:r w:rsidRPr="004C2A59">
        <w:rPr>
          <w:b/>
          <w:sz w:val="22"/>
          <w:szCs w:val="22"/>
          <w:lang w:val="da-DK"/>
        </w:rPr>
        <w:tab/>
        <w:t>BETINGELSER ELLER BEGRÆNSNINGER MED HENSYN TIL SIKKER OG EFFEKTIV ANVENDELSE AF LÆGEMIDLET</w:t>
      </w:r>
    </w:p>
    <w:p w14:paraId="7398B9CC" w14:textId="77777777" w:rsidR="00FD788F" w:rsidRPr="004C2A59" w:rsidRDefault="00FD788F" w:rsidP="001B7781">
      <w:pPr>
        <w:keepNext/>
        <w:rPr>
          <w:sz w:val="22"/>
          <w:szCs w:val="22"/>
          <w:lang w:val="da-DK"/>
        </w:rPr>
      </w:pPr>
    </w:p>
    <w:p w14:paraId="451CAD03" w14:textId="77777777" w:rsidR="00FD788F" w:rsidRPr="004C2A59" w:rsidRDefault="00FD788F" w:rsidP="001B7781">
      <w:pPr>
        <w:keepNext/>
        <w:numPr>
          <w:ilvl w:val="0"/>
          <w:numId w:val="24"/>
        </w:numPr>
        <w:ind w:left="709" w:hanging="709"/>
        <w:rPr>
          <w:b/>
          <w:sz w:val="22"/>
          <w:szCs w:val="22"/>
        </w:rPr>
      </w:pPr>
      <w:r w:rsidRPr="004C2A59">
        <w:rPr>
          <w:b/>
          <w:noProof/>
          <w:sz w:val="22"/>
          <w:szCs w:val="22"/>
        </w:rPr>
        <w:t>Risikostyringsplan (RMP)</w:t>
      </w:r>
    </w:p>
    <w:p w14:paraId="78262720" w14:textId="77777777" w:rsidR="00FD788F" w:rsidRPr="004C2A59" w:rsidRDefault="00FD788F" w:rsidP="00421681">
      <w:pPr>
        <w:rPr>
          <w:sz w:val="22"/>
          <w:szCs w:val="22"/>
          <w:lang w:val="da-DK"/>
        </w:rPr>
      </w:pPr>
      <w:r w:rsidRPr="004C2A59">
        <w:rPr>
          <w:noProof/>
          <w:sz w:val="22"/>
          <w:szCs w:val="22"/>
          <w:lang w:val="da-DK"/>
        </w:rPr>
        <w:t>Indehaveren af markedsføringstilladelsen skal udføre de påkrævede aktiviteter og foranstaltninger</w:t>
      </w:r>
      <w:r w:rsidR="001F5AE6" w:rsidRPr="004C2A59">
        <w:rPr>
          <w:noProof/>
          <w:sz w:val="22"/>
          <w:szCs w:val="22"/>
          <w:lang w:val="da-DK"/>
        </w:rPr>
        <w:t xml:space="preserve"> vedrørende lægemiddelovervågning</w:t>
      </w:r>
      <w:r w:rsidRPr="004C2A59">
        <w:rPr>
          <w:noProof/>
          <w:sz w:val="22"/>
          <w:szCs w:val="22"/>
          <w:lang w:val="da-DK"/>
        </w:rPr>
        <w:t>, som er beskrevet i den godkendte RMP, der fremgår af modul 1.8.2 i markedsføringstilladelsen, og enhver efterfølgende godkendt opdatering af RMP.</w:t>
      </w:r>
    </w:p>
    <w:p w14:paraId="6AB7EB10" w14:textId="77777777" w:rsidR="00FD788F" w:rsidRPr="004C2A59" w:rsidRDefault="00FD788F" w:rsidP="00421681">
      <w:pPr>
        <w:rPr>
          <w:sz w:val="22"/>
          <w:szCs w:val="22"/>
          <w:lang w:val="da-DK"/>
        </w:rPr>
      </w:pPr>
    </w:p>
    <w:p w14:paraId="2CC1A925" w14:textId="77777777" w:rsidR="00FD788F" w:rsidRPr="004C2A59" w:rsidRDefault="00FD788F" w:rsidP="001B7781">
      <w:pPr>
        <w:keepNext/>
        <w:rPr>
          <w:sz w:val="22"/>
          <w:szCs w:val="22"/>
          <w:lang w:val="da-DK"/>
        </w:rPr>
      </w:pPr>
      <w:r w:rsidRPr="004C2A59">
        <w:rPr>
          <w:noProof/>
          <w:sz w:val="22"/>
          <w:szCs w:val="22"/>
          <w:lang w:val="da-DK"/>
        </w:rPr>
        <w:t>En opdateret RMP skal fremsendes:</w:t>
      </w:r>
    </w:p>
    <w:p w14:paraId="1C82AC3D" w14:textId="77777777" w:rsidR="00FD788F" w:rsidRPr="004C2A59" w:rsidRDefault="00FD788F" w:rsidP="001B7781">
      <w:pPr>
        <w:keepNext/>
        <w:numPr>
          <w:ilvl w:val="0"/>
          <w:numId w:val="23"/>
        </w:numPr>
        <w:ind w:left="567" w:hanging="567"/>
        <w:rPr>
          <w:sz w:val="22"/>
          <w:szCs w:val="22"/>
          <w:lang w:val="da-DK"/>
        </w:rPr>
      </w:pPr>
      <w:r w:rsidRPr="004C2A59">
        <w:rPr>
          <w:noProof/>
          <w:sz w:val="22"/>
          <w:szCs w:val="22"/>
          <w:lang w:val="da-DK"/>
        </w:rPr>
        <w:t>på anmodning fra Det Europæiske Lægemiddelagentur</w:t>
      </w:r>
    </w:p>
    <w:p w14:paraId="5C1651B0" w14:textId="77777777" w:rsidR="00FD788F" w:rsidRPr="004C2A59" w:rsidRDefault="00FD788F" w:rsidP="00421681">
      <w:pPr>
        <w:numPr>
          <w:ilvl w:val="0"/>
          <w:numId w:val="23"/>
        </w:numPr>
        <w:ind w:left="567" w:hanging="567"/>
        <w:rPr>
          <w:sz w:val="22"/>
          <w:szCs w:val="22"/>
          <w:lang w:val="da-DK"/>
        </w:rPr>
      </w:pPr>
      <w:r w:rsidRPr="004C2A59">
        <w:rPr>
          <w:noProof/>
          <w:sz w:val="22"/>
          <w:szCs w:val="22"/>
          <w:lang w:val="da-DK"/>
        </w:rPr>
        <w:t>når risikostyringssystemet ændres, særlig som følge af</w:t>
      </w:r>
      <w:r w:rsidR="001F5AE6" w:rsidRPr="004C2A59">
        <w:rPr>
          <w:noProof/>
          <w:sz w:val="22"/>
          <w:szCs w:val="22"/>
          <w:lang w:val="da-DK"/>
        </w:rPr>
        <w:t>,</w:t>
      </w:r>
      <w:r w:rsidRPr="004C2A59">
        <w:rPr>
          <w:noProof/>
          <w:sz w:val="22"/>
          <w:szCs w:val="22"/>
          <w:lang w:val="da-DK"/>
        </w:rPr>
        <w:t xml:space="preserve"> at der er modtaget nye oplysninger, der kan medføre en væsentlig ændring i </w:t>
      </w:r>
      <w:r w:rsidR="00650A2C">
        <w:rPr>
          <w:noProof/>
          <w:sz w:val="22"/>
          <w:szCs w:val="22"/>
          <w:lang w:val="da-DK"/>
        </w:rPr>
        <w:t>benefit/</w:t>
      </w:r>
      <w:r w:rsidRPr="004C2A59">
        <w:rPr>
          <w:noProof/>
          <w:sz w:val="22"/>
          <w:szCs w:val="22"/>
          <w:lang w:val="da-DK"/>
        </w:rPr>
        <w:t>risk-forholdet, eller som følge af</w:t>
      </w:r>
      <w:r w:rsidR="001F5AE6" w:rsidRPr="004C2A59">
        <w:rPr>
          <w:noProof/>
          <w:sz w:val="22"/>
          <w:szCs w:val="22"/>
          <w:lang w:val="da-DK"/>
        </w:rPr>
        <w:t>,</w:t>
      </w:r>
      <w:r w:rsidRPr="004C2A59">
        <w:rPr>
          <w:noProof/>
          <w:sz w:val="22"/>
          <w:szCs w:val="22"/>
          <w:lang w:val="da-DK"/>
        </w:rPr>
        <w:t xml:space="preserve"> at en vigtig milepæl (lægemiddelovervågning eller risikominimering)</w:t>
      </w:r>
      <w:r w:rsidR="001F5AE6" w:rsidRPr="004C2A59">
        <w:rPr>
          <w:noProof/>
          <w:sz w:val="22"/>
          <w:szCs w:val="22"/>
          <w:lang w:val="da-DK"/>
        </w:rPr>
        <w:t xml:space="preserve"> er nået</w:t>
      </w:r>
      <w:r w:rsidRPr="004C2A59">
        <w:rPr>
          <w:noProof/>
          <w:sz w:val="22"/>
          <w:szCs w:val="22"/>
          <w:lang w:val="da-DK"/>
        </w:rPr>
        <w:t>.</w:t>
      </w:r>
    </w:p>
    <w:p w14:paraId="5F48A93F" w14:textId="77777777" w:rsidR="006F7492" w:rsidRPr="004C2A59" w:rsidRDefault="006F7492" w:rsidP="00421681">
      <w:pPr>
        <w:widowControl w:val="0"/>
        <w:suppressAutoHyphens/>
        <w:rPr>
          <w:color w:val="000000"/>
          <w:sz w:val="22"/>
          <w:szCs w:val="22"/>
          <w:lang w:val="da-DK"/>
        </w:rPr>
      </w:pPr>
    </w:p>
    <w:p w14:paraId="0191CDB4" w14:textId="77777777" w:rsidR="00912560" w:rsidRPr="004C2A59" w:rsidRDefault="00912560" w:rsidP="001B7781">
      <w:pPr>
        <w:keepNext/>
        <w:numPr>
          <w:ilvl w:val="0"/>
          <w:numId w:val="25"/>
        </w:numPr>
        <w:tabs>
          <w:tab w:val="clear" w:pos="720"/>
        </w:tabs>
        <w:ind w:left="567" w:right="-1" w:hanging="567"/>
        <w:rPr>
          <w:sz w:val="22"/>
          <w:szCs w:val="22"/>
          <w:lang w:val="da-DK"/>
        </w:rPr>
      </w:pPr>
      <w:r w:rsidRPr="004C2A59">
        <w:rPr>
          <w:b/>
          <w:sz w:val="22"/>
          <w:szCs w:val="22"/>
          <w:lang w:val="da-DK"/>
        </w:rPr>
        <w:lastRenderedPageBreak/>
        <w:t>Forpligtelse til at gennemføre foranstaltninger efter udstedelse af markedsføringstilladelse</w:t>
      </w:r>
    </w:p>
    <w:p w14:paraId="518D1083" w14:textId="77777777" w:rsidR="00912560" w:rsidRPr="004C2A59" w:rsidRDefault="00912560" w:rsidP="001B7781">
      <w:pPr>
        <w:keepNext/>
        <w:ind w:right="-1"/>
        <w:rPr>
          <w:sz w:val="22"/>
          <w:szCs w:val="22"/>
          <w:lang w:val="da-DK"/>
        </w:rPr>
      </w:pPr>
    </w:p>
    <w:p w14:paraId="2BBF4C2E" w14:textId="77777777" w:rsidR="00912560" w:rsidRPr="004C2A59" w:rsidRDefault="00912560" w:rsidP="001B7781">
      <w:pPr>
        <w:keepNext/>
        <w:tabs>
          <w:tab w:val="left" w:pos="0"/>
        </w:tabs>
        <w:ind w:right="-7"/>
        <w:rPr>
          <w:sz w:val="22"/>
          <w:szCs w:val="22"/>
          <w:lang w:val="da-DK"/>
        </w:rPr>
      </w:pPr>
      <w:r w:rsidRPr="004C2A59">
        <w:rPr>
          <w:sz w:val="22"/>
          <w:szCs w:val="22"/>
          <w:lang w:val="da-DK"/>
        </w:rPr>
        <w:t>Indehaveren af markedsføringstilladelsen skal inden for den fastsatte tidsramme gennemføre følgende foranstaltninger:</w:t>
      </w:r>
    </w:p>
    <w:p w14:paraId="64DA56CD" w14:textId="77777777" w:rsidR="00912560" w:rsidRPr="004C2A59" w:rsidRDefault="00912560" w:rsidP="001B7781">
      <w:pPr>
        <w:keepNext/>
        <w:ind w:right="-1"/>
        <w:rPr>
          <w:i/>
          <w:sz w:val="22"/>
          <w:szCs w:val="22"/>
          <w:lang w:val="da-DK"/>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20"/>
        <w:gridCol w:w="1454"/>
      </w:tblGrid>
      <w:tr w:rsidR="00912560" w:rsidRPr="004C2A59" w14:paraId="7E7E7E36" w14:textId="77777777" w:rsidTr="001B7781">
        <w:trPr>
          <w:cantSplit/>
        </w:trPr>
        <w:tc>
          <w:tcPr>
            <w:tcW w:w="4181" w:type="pct"/>
          </w:tcPr>
          <w:p w14:paraId="2740EB5D" w14:textId="77777777" w:rsidR="00912560" w:rsidRPr="004C2A59" w:rsidRDefault="00912560" w:rsidP="001B7781">
            <w:pPr>
              <w:keepNext/>
              <w:ind w:right="-1"/>
              <w:rPr>
                <w:sz w:val="22"/>
                <w:szCs w:val="22"/>
              </w:rPr>
            </w:pPr>
            <w:r w:rsidRPr="004C2A59">
              <w:rPr>
                <w:b/>
                <w:sz w:val="22"/>
                <w:szCs w:val="22"/>
              </w:rPr>
              <w:t>Beskrivelse</w:t>
            </w:r>
          </w:p>
        </w:tc>
        <w:tc>
          <w:tcPr>
            <w:tcW w:w="819" w:type="pct"/>
          </w:tcPr>
          <w:p w14:paraId="0092100D" w14:textId="77777777" w:rsidR="00912560" w:rsidRPr="004C2A59" w:rsidRDefault="00912560" w:rsidP="001B7781">
            <w:pPr>
              <w:keepNext/>
              <w:ind w:right="-1"/>
              <w:rPr>
                <w:rFonts w:ascii="SimSun" w:hAnsi="SimSun"/>
                <w:sz w:val="22"/>
                <w:szCs w:val="22"/>
              </w:rPr>
            </w:pPr>
            <w:r w:rsidRPr="004C2A59">
              <w:rPr>
                <w:b/>
                <w:sz w:val="22"/>
                <w:szCs w:val="22"/>
              </w:rPr>
              <w:t>Tidsfrist</w:t>
            </w:r>
          </w:p>
        </w:tc>
      </w:tr>
      <w:tr w:rsidR="00912560" w:rsidRPr="004C2A59" w14:paraId="4DA9743F" w14:textId="77777777" w:rsidTr="001B7781">
        <w:trPr>
          <w:cantSplit/>
        </w:trPr>
        <w:tc>
          <w:tcPr>
            <w:tcW w:w="4181" w:type="pct"/>
          </w:tcPr>
          <w:p w14:paraId="55BCE65D" w14:textId="77777777" w:rsidR="00912560" w:rsidRPr="004C2A59" w:rsidRDefault="00B20C0F" w:rsidP="001B7781">
            <w:pPr>
              <w:ind w:right="-1"/>
              <w:rPr>
                <w:sz w:val="22"/>
                <w:szCs w:val="22"/>
                <w:lang w:val="da-DK"/>
              </w:rPr>
            </w:pPr>
            <w:r w:rsidRPr="00F852D1">
              <w:rPr>
                <w:sz w:val="22"/>
                <w:szCs w:val="22"/>
              </w:rPr>
              <w:t>G</w:t>
            </w:r>
            <w:r w:rsidR="00912560" w:rsidRPr="00F852D1">
              <w:rPr>
                <w:sz w:val="22"/>
                <w:szCs w:val="22"/>
              </w:rPr>
              <w:t>ennemføre et observations-registerstudie med henblik på at indsamle sikkerheds- og virkningsdata hos nyligt diagnostiserede p</w:t>
            </w:r>
            <w:r w:rsidR="005F7D9E" w:rsidRPr="00F852D1">
              <w:rPr>
                <w:sz w:val="22"/>
                <w:szCs w:val="22"/>
              </w:rPr>
              <w:t xml:space="preserve">ædiatriske </w:t>
            </w:r>
            <w:r w:rsidRPr="00F852D1">
              <w:rPr>
                <w:sz w:val="22"/>
                <w:szCs w:val="22"/>
              </w:rPr>
              <w:t xml:space="preserve">patienter med </w:t>
            </w:r>
            <w:r w:rsidR="005F7D9E" w:rsidRPr="00F852D1">
              <w:rPr>
                <w:sz w:val="22"/>
                <w:szCs w:val="22"/>
              </w:rPr>
              <w:t>Ph+ akut l</w:t>
            </w:r>
            <w:r w:rsidR="00912560" w:rsidRPr="00F852D1">
              <w:rPr>
                <w:sz w:val="22"/>
                <w:szCs w:val="22"/>
              </w:rPr>
              <w:t>ymfoblast</w:t>
            </w:r>
            <w:r w:rsidR="005F7D9E" w:rsidRPr="00F852D1">
              <w:rPr>
                <w:sz w:val="22"/>
                <w:szCs w:val="22"/>
              </w:rPr>
              <w:t>ær</w:t>
            </w:r>
            <w:r w:rsidR="00912560" w:rsidRPr="00F852D1">
              <w:rPr>
                <w:sz w:val="22"/>
                <w:szCs w:val="22"/>
              </w:rPr>
              <w:t xml:space="preserve"> leukæmi (ALL) behandlet med kemoterapi</w:t>
            </w:r>
            <w:r w:rsidR="005F7D9E" w:rsidRPr="00F852D1">
              <w:rPr>
                <w:sz w:val="22"/>
                <w:szCs w:val="22"/>
              </w:rPr>
              <w:t xml:space="preserve"> </w:t>
            </w:r>
            <w:r w:rsidR="00912560" w:rsidRPr="00F852D1">
              <w:rPr>
                <w:sz w:val="22"/>
                <w:szCs w:val="22"/>
              </w:rPr>
              <w:t>+</w:t>
            </w:r>
            <w:r w:rsidR="005F7D9E" w:rsidRPr="00F852D1">
              <w:rPr>
                <w:sz w:val="22"/>
                <w:szCs w:val="22"/>
              </w:rPr>
              <w:t xml:space="preserve"> </w:t>
            </w:r>
            <w:r w:rsidR="00912560" w:rsidRPr="00F852D1">
              <w:rPr>
                <w:sz w:val="22"/>
                <w:szCs w:val="22"/>
              </w:rPr>
              <w:t xml:space="preserve">imatinib ± HSCT. </w:t>
            </w:r>
            <w:r w:rsidR="00912560" w:rsidRPr="004C2A59">
              <w:rPr>
                <w:sz w:val="22"/>
                <w:szCs w:val="22"/>
                <w:lang w:val="da-DK"/>
              </w:rPr>
              <w:t>Indsendelse af endelig studierapport.</w:t>
            </w:r>
          </w:p>
        </w:tc>
        <w:tc>
          <w:tcPr>
            <w:tcW w:w="819" w:type="pct"/>
          </w:tcPr>
          <w:p w14:paraId="4ADE4FD5" w14:textId="387D4624" w:rsidR="00912560" w:rsidRPr="005C2713" w:rsidRDefault="00405541" w:rsidP="00405541">
            <w:pPr>
              <w:ind w:right="-1"/>
              <w:rPr>
                <w:sz w:val="22"/>
                <w:szCs w:val="22"/>
                <w:lang w:val="da-DK"/>
              </w:rPr>
            </w:pPr>
            <w:r>
              <w:rPr>
                <w:sz w:val="22"/>
                <w:szCs w:val="22"/>
              </w:rPr>
              <w:t>2</w:t>
            </w:r>
            <w:r w:rsidR="00992B4D" w:rsidRPr="005C2713">
              <w:rPr>
                <w:sz w:val="22"/>
                <w:szCs w:val="22"/>
              </w:rPr>
              <w:t>3/06/202</w:t>
            </w:r>
            <w:r w:rsidR="002D10C2">
              <w:rPr>
                <w:sz w:val="22"/>
                <w:szCs w:val="22"/>
              </w:rPr>
              <w:t>3</w:t>
            </w:r>
          </w:p>
        </w:tc>
      </w:tr>
    </w:tbl>
    <w:p w14:paraId="78DD74DE"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br w:type="page"/>
      </w:r>
    </w:p>
    <w:p w14:paraId="62D95CA3" w14:textId="77777777" w:rsidR="006F7492" w:rsidRPr="004C2A59" w:rsidRDefault="006F7492" w:rsidP="00421681">
      <w:pPr>
        <w:widowControl w:val="0"/>
        <w:suppressAutoHyphens/>
        <w:rPr>
          <w:color w:val="000000"/>
          <w:sz w:val="22"/>
          <w:szCs w:val="22"/>
          <w:lang w:val="da-DK"/>
        </w:rPr>
      </w:pPr>
    </w:p>
    <w:p w14:paraId="47C3B9F2" w14:textId="77777777" w:rsidR="006F7492" w:rsidRPr="004C2A59" w:rsidRDefault="006F7492" w:rsidP="00421681">
      <w:pPr>
        <w:widowControl w:val="0"/>
        <w:suppressAutoHyphens/>
        <w:rPr>
          <w:color w:val="000000"/>
          <w:sz w:val="22"/>
          <w:szCs w:val="22"/>
          <w:lang w:val="da-DK"/>
        </w:rPr>
      </w:pPr>
    </w:p>
    <w:p w14:paraId="3AC165DC" w14:textId="77777777" w:rsidR="006F7492" w:rsidRPr="004C2A59" w:rsidRDefault="006F7492" w:rsidP="00421681">
      <w:pPr>
        <w:widowControl w:val="0"/>
        <w:suppressAutoHyphens/>
        <w:rPr>
          <w:color w:val="000000"/>
          <w:sz w:val="22"/>
          <w:szCs w:val="22"/>
          <w:lang w:val="da-DK"/>
        </w:rPr>
      </w:pPr>
    </w:p>
    <w:p w14:paraId="286D86CF" w14:textId="77777777" w:rsidR="006F7492" w:rsidRPr="004C2A59" w:rsidRDefault="006F7492" w:rsidP="00421681">
      <w:pPr>
        <w:widowControl w:val="0"/>
        <w:suppressAutoHyphens/>
        <w:rPr>
          <w:color w:val="000000"/>
          <w:sz w:val="22"/>
          <w:szCs w:val="22"/>
          <w:lang w:val="da-DK"/>
        </w:rPr>
      </w:pPr>
    </w:p>
    <w:p w14:paraId="0CD97D88" w14:textId="77777777" w:rsidR="006F7492" w:rsidRPr="004C2A59" w:rsidRDefault="006F7492" w:rsidP="00421681">
      <w:pPr>
        <w:widowControl w:val="0"/>
        <w:suppressAutoHyphens/>
        <w:rPr>
          <w:color w:val="000000"/>
          <w:sz w:val="22"/>
          <w:szCs w:val="22"/>
          <w:lang w:val="da-DK"/>
        </w:rPr>
      </w:pPr>
    </w:p>
    <w:p w14:paraId="0EB18514" w14:textId="77777777" w:rsidR="006F7492" w:rsidRPr="004C2A59" w:rsidRDefault="006F7492" w:rsidP="00421681">
      <w:pPr>
        <w:widowControl w:val="0"/>
        <w:suppressAutoHyphens/>
        <w:rPr>
          <w:color w:val="000000"/>
          <w:sz w:val="22"/>
          <w:szCs w:val="22"/>
          <w:lang w:val="da-DK"/>
        </w:rPr>
      </w:pPr>
    </w:p>
    <w:p w14:paraId="4B4B0C5C" w14:textId="77777777" w:rsidR="006F7492" w:rsidRPr="004C2A59" w:rsidRDefault="006F7492" w:rsidP="00421681">
      <w:pPr>
        <w:widowControl w:val="0"/>
        <w:suppressAutoHyphens/>
        <w:rPr>
          <w:color w:val="000000"/>
          <w:sz w:val="22"/>
          <w:szCs w:val="22"/>
          <w:lang w:val="da-DK"/>
        </w:rPr>
      </w:pPr>
    </w:p>
    <w:p w14:paraId="1925F2D3" w14:textId="77777777" w:rsidR="006F7492" w:rsidRPr="004C2A59" w:rsidRDefault="006F7492" w:rsidP="00421681">
      <w:pPr>
        <w:widowControl w:val="0"/>
        <w:suppressAutoHyphens/>
        <w:rPr>
          <w:color w:val="000000"/>
          <w:sz w:val="22"/>
          <w:szCs w:val="22"/>
          <w:lang w:val="da-DK"/>
        </w:rPr>
      </w:pPr>
    </w:p>
    <w:p w14:paraId="5FE1547A" w14:textId="77777777" w:rsidR="006F7492" w:rsidRPr="004C2A59" w:rsidRDefault="006F7492" w:rsidP="00421681">
      <w:pPr>
        <w:widowControl w:val="0"/>
        <w:suppressAutoHyphens/>
        <w:rPr>
          <w:color w:val="000000"/>
          <w:sz w:val="22"/>
          <w:szCs w:val="22"/>
          <w:lang w:val="da-DK"/>
        </w:rPr>
      </w:pPr>
    </w:p>
    <w:p w14:paraId="6272C5A1" w14:textId="77777777" w:rsidR="006F7492" w:rsidRPr="004C2A59" w:rsidRDefault="006F7492" w:rsidP="00421681">
      <w:pPr>
        <w:widowControl w:val="0"/>
        <w:suppressAutoHyphens/>
        <w:rPr>
          <w:color w:val="000000"/>
          <w:sz w:val="22"/>
          <w:szCs w:val="22"/>
          <w:lang w:val="da-DK"/>
        </w:rPr>
      </w:pPr>
    </w:p>
    <w:p w14:paraId="68148E3F" w14:textId="77777777" w:rsidR="006F7492" w:rsidRPr="004C2A59" w:rsidRDefault="006F7492" w:rsidP="00421681">
      <w:pPr>
        <w:widowControl w:val="0"/>
        <w:suppressAutoHyphens/>
        <w:rPr>
          <w:color w:val="000000"/>
          <w:sz w:val="22"/>
          <w:szCs w:val="22"/>
          <w:lang w:val="da-DK"/>
        </w:rPr>
      </w:pPr>
    </w:p>
    <w:p w14:paraId="77A20224" w14:textId="77777777" w:rsidR="006F7492" w:rsidRPr="004C2A59" w:rsidRDefault="006F7492" w:rsidP="00421681">
      <w:pPr>
        <w:widowControl w:val="0"/>
        <w:suppressAutoHyphens/>
        <w:rPr>
          <w:color w:val="000000"/>
          <w:sz w:val="22"/>
          <w:szCs w:val="22"/>
          <w:lang w:val="da-DK"/>
        </w:rPr>
      </w:pPr>
    </w:p>
    <w:p w14:paraId="1D391791" w14:textId="77777777" w:rsidR="006F7492" w:rsidRPr="004C2A59" w:rsidRDefault="006F7492" w:rsidP="00421681">
      <w:pPr>
        <w:widowControl w:val="0"/>
        <w:suppressAutoHyphens/>
        <w:rPr>
          <w:color w:val="000000"/>
          <w:sz w:val="22"/>
          <w:szCs w:val="22"/>
          <w:lang w:val="da-DK"/>
        </w:rPr>
      </w:pPr>
    </w:p>
    <w:p w14:paraId="3249CC26" w14:textId="77777777" w:rsidR="006F7492" w:rsidRPr="004C2A59" w:rsidRDefault="006F7492" w:rsidP="00421681">
      <w:pPr>
        <w:widowControl w:val="0"/>
        <w:suppressAutoHyphens/>
        <w:rPr>
          <w:color w:val="000000"/>
          <w:sz w:val="22"/>
          <w:szCs w:val="22"/>
          <w:lang w:val="da-DK"/>
        </w:rPr>
      </w:pPr>
    </w:p>
    <w:p w14:paraId="5429A9AA" w14:textId="77777777" w:rsidR="006F7492" w:rsidRPr="004C2A59" w:rsidRDefault="006F7492" w:rsidP="00421681">
      <w:pPr>
        <w:widowControl w:val="0"/>
        <w:suppressAutoHyphens/>
        <w:rPr>
          <w:color w:val="000000"/>
          <w:sz w:val="22"/>
          <w:szCs w:val="22"/>
          <w:lang w:val="da-DK"/>
        </w:rPr>
      </w:pPr>
    </w:p>
    <w:p w14:paraId="5D5ED31F" w14:textId="77777777" w:rsidR="006F7492" w:rsidRPr="004C2A59" w:rsidRDefault="006F7492" w:rsidP="00421681">
      <w:pPr>
        <w:widowControl w:val="0"/>
        <w:suppressAutoHyphens/>
        <w:rPr>
          <w:color w:val="000000"/>
          <w:sz w:val="22"/>
          <w:szCs w:val="22"/>
          <w:lang w:val="da-DK"/>
        </w:rPr>
      </w:pPr>
    </w:p>
    <w:p w14:paraId="19D6297A" w14:textId="77777777" w:rsidR="006F7492" w:rsidRPr="004C2A59" w:rsidRDefault="006F7492" w:rsidP="00421681">
      <w:pPr>
        <w:widowControl w:val="0"/>
        <w:suppressAutoHyphens/>
        <w:rPr>
          <w:color w:val="000000"/>
          <w:sz w:val="22"/>
          <w:szCs w:val="22"/>
          <w:lang w:val="da-DK"/>
        </w:rPr>
      </w:pPr>
    </w:p>
    <w:p w14:paraId="4801DF4C" w14:textId="77777777" w:rsidR="006F7492" w:rsidRPr="004C2A59" w:rsidRDefault="006F7492" w:rsidP="00421681">
      <w:pPr>
        <w:widowControl w:val="0"/>
        <w:suppressAutoHyphens/>
        <w:rPr>
          <w:color w:val="000000"/>
          <w:sz w:val="22"/>
          <w:szCs w:val="22"/>
          <w:lang w:val="da-DK"/>
        </w:rPr>
      </w:pPr>
    </w:p>
    <w:p w14:paraId="0AE0465F" w14:textId="77777777" w:rsidR="006F7492" w:rsidRPr="004C2A59" w:rsidRDefault="006F7492" w:rsidP="00421681">
      <w:pPr>
        <w:widowControl w:val="0"/>
        <w:suppressAutoHyphens/>
        <w:rPr>
          <w:color w:val="000000"/>
          <w:sz w:val="22"/>
          <w:szCs w:val="22"/>
          <w:lang w:val="da-DK"/>
        </w:rPr>
      </w:pPr>
    </w:p>
    <w:p w14:paraId="58F8633B" w14:textId="77777777" w:rsidR="006F7492" w:rsidRPr="004C2A59" w:rsidRDefault="006F7492" w:rsidP="00421681">
      <w:pPr>
        <w:widowControl w:val="0"/>
        <w:suppressAutoHyphens/>
        <w:rPr>
          <w:color w:val="000000"/>
          <w:sz w:val="22"/>
          <w:szCs w:val="22"/>
          <w:lang w:val="da-DK"/>
        </w:rPr>
      </w:pPr>
    </w:p>
    <w:p w14:paraId="4C03BB87" w14:textId="77777777" w:rsidR="006F7492" w:rsidRPr="004C2A59" w:rsidRDefault="006F7492" w:rsidP="00421681">
      <w:pPr>
        <w:widowControl w:val="0"/>
        <w:suppressAutoHyphens/>
        <w:rPr>
          <w:color w:val="000000"/>
          <w:sz w:val="22"/>
          <w:szCs w:val="22"/>
          <w:lang w:val="da-DK"/>
        </w:rPr>
      </w:pPr>
    </w:p>
    <w:p w14:paraId="463E15DD" w14:textId="77777777" w:rsidR="006F7492" w:rsidRDefault="006F7492" w:rsidP="00421681">
      <w:pPr>
        <w:widowControl w:val="0"/>
        <w:rPr>
          <w:color w:val="000000"/>
          <w:sz w:val="22"/>
          <w:szCs w:val="22"/>
          <w:lang w:val="da-DK"/>
        </w:rPr>
      </w:pPr>
    </w:p>
    <w:p w14:paraId="56D9A7BC" w14:textId="77777777" w:rsidR="001B7781" w:rsidRPr="004C2A59" w:rsidRDefault="001B7781" w:rsidP="00421681">
      <w:pPr>
        <w:widowControl w:val="0"/>
        <w:rPr>
          <w:color w:val="000000"/>
          <w:sz w:val="22"/>
          <w:szCs w:val="22"/>
          <w:lang w:val="da-DK"/>
        </w:rPr>
      </w:pPr>
    </w:p>
    <w:p w14:paraId="7704B913" w14:textId="77777777" w:rsidR="006F7492" w:rsidRPr="004C2A59" w:rsidRDefault="006F7492" w:rsidP="00421681">
      <w:pPr>
        <w:widowControl w:val="0"/>
        <w:suppressAutoHyphens/>
        <w:jc w:val="center"/>
        <w:rPr>
          <w:b/>
          <w:color w:val="000000"/>
          <w:sz w:val="22"/>
          <w:szCs w:val="22"/>
          <w:lang w:val="da-DK"/>
        </w:rPr>
      </w:pPr>
      <w:r w:rsidRPr="004C2A59">
        <w:rPr>
          <w:b/>
          <w:color w:val="000000"/>
          <w:sz w:val="22"/>
          <w:szCs w:val="22"/>
          <w:lang w:val="da-DK"/>
        </w:rPr>
        <w:t xml:space="preserve">BILAG </w:t>
      </w:r>
      <w:smartTag w:uri="urn:schemas-microsoft-com:office:smarttags" w:element="metricconverter">
        <w:r w:rsidRPr="004C2A59">
          <w:rPr>
            <w:b/>
            <w:color w:val="000000"/>
            <w:sz w:val="22"/>
            <w:szCs w:val="22"/>
            <w:lang w:val="da-DK"/>
          </w:rPr>
          <w:t>III</w:t>
        </w:r>
      </w:smartTag>
    </w:p>
    <w:p w14:paraId="0B3D0FAF" w14:textId="77777777" w:rsidR="006F7492" w:rsidRPr="004C2A59" w:rsidRDefault="006F7492" w:rsidP="00421681">
      <w:pPr>
        <w:widowControl w:val="0"/>
        <w:suppressAutoHyphens/>
        <w:jc w:val="center"/>
        <w:rPr>
          <w:color w:val="000000"/>
          <w:sz w:val="22"/>
          <w:szCs w:val="22"/>
          <w:lang w:val="da-DK"/>
        </w:rPr>
      </w:pPr>
    </w:p>
    <w:p w14:paraId="408F50C4" w14:textId="77777777" w:rsidR="006F7492" w:rsidRPr="004C2A59" w:rsidRDefault="006F7492" w:rsidP="00421681">
      <w:pPr>
        <w:widowControl w:val="0"/>
        <w:suppressAutoHyphens/>
        <w:jc w:val="center"/>
        <w:rPr>
          <w:b/>
          <w:color w:val="000000"/>
          <w:sz w:val="22"/>
          <w:szCs w:val="22"/>
          <w:lang w:val="da-DK"/>
        </w:rPr>
      </w:pPr>
      <w:r w:rsidRPr="004C2A59">
        <w:rPr>
          <w:b/>
          <w:color w:val="000000"/>
          <w:sz w:val="22"/>
          <w:szCs w:val="22"/>
          <w:lang w:val="da-DK"/>
        </w:rPr>
        <w:t>ETIKETTERING OG INDLÆGSSEDDEL</w:t>
      </w:r>
    </w:p>
    <w:p w14:paraId="551A3EC7" w14:textId="77777777" w:rsidR="006F7492" w:rsidRPr="004C2A59" w:rsidRDefault="006F7492" w:rsidP="00421681">
      <w:pPr>
        <w:widowControl w:val="0"/>
        <w:suppressAutoHyphens/>
        <w:jc w:val="center"/>
        <w:rPr>
          <w:color w:val="000000"/>
          <w:sz w:val="22"/>
          <w:szCs w:val="22"/>
          <w:lang w:val="da-DK"/>
        </w:rPr>
      </w:pPr>
    </w:p>
    <w:p w14:paraId="6AE72E62"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br w:type="page"/>
      </w:r>
    </w:p>
    <w:p w14:paraId="41EB5A7D" w14:textId="77777777" w:rsidR="006F7492" w:rsidRPr="004C2A59" w:rsidRDefault="006F7492" w:rsidP="00421681">
      <w:pPr>
        <w:widowControl w:val="0"/>
        <w:suppressAutoHyphens/>
        <w:rPr>
          <w:color w:val="000000"/>
          <w:sz w:val="22"/>
          <w:szCs w:val="22"/>
          <w:lang w:val="da-DK"/>
        </w:rPr>
      </w:pPr>
    </w:p>
    <w:p w14:paraId="7CFB5508" w14:textId="77777777" w:rsidR="006F7492" w:rsidRPr="004C2A59" w:rsidRDefault="006F7492" w:rsidP="00421681">
      <w:pPr>
        <w:widowControl w:val="0"/>
        <w:suppressAutoHyphens/>
        <w:rPr>
          <w:color w:val="000000"/>
          <w:sz w:val="22"/>
          <w:szCs w:val="22"/>
          <w:lang w:val="da-DK"/>
        </w:rPr>
      </w:pPr>
    </w:p>
    <w:p w14:paraId="50FA1C20" w14:textId="77777777" w:rsidR="006F7492" w:rsidRPr="004C2A59" w:rsidRDefault="006F7492" w:rsidP="00421681">
      <w:pPr>
        <w:widowControl w:val="0"/>
        <w:suppressAutoHyphens/>
        <w:rPr>
          <w:color w:val="000000"/>
          <w:sz w:val="22"/>
          <w:szCs w:val="22"/>
          <w:lang w:val="da-DK"/>
        </w:rPr>
      </w:pPr>
    </w:p>
    <w:p w14:paraId="2615DA28" w14:textId="77777777" w:rsidR="006F7492" w:rsidRPr="004C2A59" w:rsidRDefault="006F7492" w:rsidP="00421681">
      <w:pPr>
        <w:widowControl w:val="0"/>
        <w:suppressAutoHyphens/>
        <w:rPr>
          <w:color w:val="000000"/>
          <w:sz w:val="22"/>
          <w:szCs w:val="22"/>
          <w:lang w:val="da-DK"/>
        </w:rPr>
      </w:pPr>
    </w:p>
    <w:p w14:paraId="2F5F04E7" w14:textId="77777777" w:rsidR="006F7492" w:rsidRPr="004C2A59" w:rsidRDefault="006F7492" w:rsidP="00421681">
      <w:pPr>
        <w:widowControl w:val="0"/>
        <w:suppressAutoHyphens/>
        <w:rPr>
          <w:color w:val="000000"/>
          <w:sz w:val="22"/>
          <w:szCs w:val="22"/>
          <w:lang w:val="da-DK"/>
        </w:rPr>
      </w:pPr>
    </w:p>
    <w:p w14:paraId="6B4BD99F" w14:textId="77777777" w:rsidR="006F7492" w:rsidRPr="004C2A59" w:rsidRDefault="006F7492" w:rsidP="00421681">
      <w:pPr>
        <w:widowControl w:val="0"/>
        <w:suppressAutoHyphens/>
        <w:rPr>
          <w:color w:val="000000"/>
          <w:sz w:val="22"/>
          <w:szCs w:val="22"/>
          <w:lang w:val="da-DK"/>
        </w:rPr>
      </w:pPr>
    </w:p>
    <w:p w14:paraId="57E8A272" w14:textId="77777777" w:rsidR="006F7492" w:rsidRPr="004C2A59" w:rsidRDefault="006F7492" w:rsidP="00421681">
      <w:pPr>
        <w:widowControl w:val="0"/>
        <w:suppressAutoHyphens/>
        <w:rPr>
          <w:color w:val="000000"/>
          <w:sz w:val="22"/>
          <w:szCs w:val="22"/>
          <w:lang w:val="da-DK"/>
        </w:rPr>
      </w:pPr>
    </w:p>
    <w:p w14:paraId="12ACC8A8" w14:textId="77777777" w:rsidR="006F7492" w:rsidRPr="004C2A59" w:rsidRDefault="006F7492" w:rsidP="00421681">
      <w:pPr>
        <w:widowControl w:val="0"/>
        <w:suppressAutoHyphens/>
        <w:rPr>
          <w:color w:val="000000"/>
          <w:sz w:val="22"/>
          <w:szCs w:val="22"/>
          <w:lang w:val="da-DK"/>
        </w:rPr>
      </w:pPr>
    </w:p>
    <w:p w14:paraId="099A9553" w14:textId="77777777" w:rsidR="006F7492" w:rsidRPr="004C2A59" w:rsidRDefault="006F7492" w:rsidP="00421681">
      <w:pPr>
        <w:widowControl w:val="0"/>
        <w:suppressAutoHyphens/>
        <w:rPr>
          <w:color w:val="000000"/>
          <w:sz w:val="22"/>
          <w:szCs w:val="22"/>
          <w:lang w:val="da-DK"/>
        </w:rPr>
      </w:pPr>
    </w:p>
    <w:p w14:paraId="0A5F3ECA" w14:textId="77777777" w:rsidR="006F7492" w:rsidRPr="004C2A59" w:rsidRDefault="006F7492" w:rsidP="00421681">
      <w:pPr>
        <w:widowControl w:val="0"/>
        <w:suppressAutoHyphens/>
        <w:rPr>
          <w:color w:val="000000"/>
          <w:sz w:val="22"/>
          <w:szCs w:val="22"/>
          <w:lang w:val="da-DK"/>
        </w:rPr>
      </w:pPr>
    </w:p>
    <w:p w14:paraId="02F87040" w14:textId="77777777" w:rsidR="006F7492" w:rsidRPr="004C2A59" w:rsidRDefault="006F7492" w:rsidP="00421681">
      <w:pPr>
        <w:widowControl w:val="0"/>
        <w:suppressAutoHyphens/>
        <w:rPr>
          <w:color w:val="000000"/>
          <w:sz w:val="22"/>
          <w:szCs w:val="22"/>
          <w:lang w:val="da-DK"/>
        </w:rPr>
      </w:pPr>
    </w:p>
    <w:p w14:paraId="0FF708D1" w14:textId="77777777" w:rsidR="006F7492" w:rsidRPr="004C2A59" w:rsidRDefault="006F7492" w:rsidP="00421681">
      <w:pPr>
        <w:widowControl w:val="0"/>
        <w:suppressAutoHyphens/>
        <w:rPr>
          <w:color w:val="000000"/>
          <w:sz w:val="22"/>
          <w:szCs w:val="22"/>
          <w:lang w:val="da-DK"/>
        </w:rPr>
      </w:pPr>
    </w:p>
    <w:p w14:paraId="1319EAEF" w14:textId="77777777" w:rsidR="006F7492" w:rsidRPr="004C2A59" w:rsidRDefault="006F7492" w:rsidP="00421681">
      <w:pPr>
        <w:widowControl w:val="0"/>
        <w:suppressAutoHyphens/>
        <w:rPr>
          <w:color w:val="000000"/>
          <w:sz w:val="22"/>
          <w:szCs w:val="22"/>
          <w:lang w:val="da-DK"/>
        </w:rPr>
      </w:pPr>
    </w:p>
    <w:p w14:paraId="6456955C" w14:textId="77777777" w:rsidR="006F7492" w:rsidRPr="004C2A59" w:rsidRDefault="006F7492" w:rsidP="00421681">
      <w:pPr>
        <w:widowControl w:val="0"/>
        <w:suppressAutoHyphens/>
        <w:rPr>
          <w:color w:val="000000"/>
          <w:sz w:val="22"/>
          <w:szCs w:val="22"/>
          <w:lang w:val="da-DK"/>
        </w:rPr>
      </w:pPr>
    </w:p>
    <w:p w14:paraId="68ACCFA6" w14:textId="77777777" w:rsidR="006F7492" w:rsidRPr="004C2A59" w:rsidRDefault="006F7492" w:rsidP="00421681">
      <w:pPr>
        <w:widowControl w:val="0"/>
        <w:suppressAutoHyphens/>
        <w:rPr>
          <w:color w:val="000000"/>
          <w:sz w:val="22"/>
          <w:szCs w:val="22"/>
          <w:lang w:val="da-DK"/>
        </w:rPr>
      </w:pPr>
    </w:p>
    <w:p w14:paraId="48A6FC5B" w14:textId="77777777" w:rsidR="006F7492" w:rsidRPr="004C2A59" w:rsidRDefault="006F7492" w:rsidP="00421681">
      <w:pPr>
        <w:widowControl w:val="0"/>
        <w:suppressAutoHyphens/>
        <w:rPr>
          <w:color w:val="000000"/>
          <w:sz w:val="22"/>
          <w:szCs w:val="22"/>
          <w:lang w:val="da-DK"/>
        </w:rPr>
      </w:pPr>
    </w:p>
    <w:p w14:paraId="492BFBDC" w14:textId="77777777" w:rsidR="006F7492" w:rsidRPr="004C2A59" w:rsidRDefault="006F7492" w:rsidP="00421681">
      <w:pPr>
        <w:widowControl w:val="0"/>
        <w:suppressAutoHyphens/>
        <w:rPr>
          <w:color w:val="000000"/>
          <w:sz w:val="22"/>
          <w:szCs w:val="22"/>
          <w:lang w:val="da-DK"/>
        </w:rPr>
      </w:pPr>
    </w:p>
    <w:p w14:paraId="376A07BB" w14:textId="77777777" w:rsidR="006F7492" w:rsidRPr="004C2A59" w:rsidRDefault="006F7492" w:rsidP="00421681">
      <w:pPr>
        <w:widowControl w:val="0"/>
        <w:suppressAutoHyphens/>
        <w:rPr>
          <w:color w:val="000000"/>
          <w:sz w:val="22"/>
          <w:szCs w:val="22"/>
          <w:lang w:val="da-DK"/>
        </w:rPr>
      </w:pPr>
    </w:p>
    <w:p w14:paraId="79B75E7B" w14:textId="77777777" w:rsidR="006F7492" w:rsidRPr="004C2A59" w:rsidRDefault="006F7492" w:rsidP="00421681">
      <w:pPr>
        <w:widowControl w:val="0"/>
        <w:suppressAutoHyphens/>
        <w:rPr>
          <w:color w:val="000000"/>
          <w:sz w:val="22"/>
          <w:szCs w:val="22"/>
          <w:lang w:val="da-DK"/>
        </w:rPr>
      </w:pPr>
    </w:p>
    <w:p w14:paraId="0AB094D1" w14:textId="77777777" w:rsidR="006F7492" w:rsidRPr="004C2A59" w:rsidRDefault="006F7492" w:rsidP="00421681">
      <w:pPr>
        <w:widowControl w:val="0"/>
        <w:suppressAutoHyphens/>
        <w:rPr>
          <w:color w:val="000000"/>
          <w:sz w:val="22"/>
          <w:szCs w:val="22"/>
          <w:lang w:val="da-DK"/>
        </w:rPr>
      </w:pPr>
    </w:p>
    <w:p w14:paraId="3349BA6B" w14:textId="77777777" w:rsidR="006F7492" w:rsidRPr="004C2A59" w:rsidRDefault="006F7492" w:rsidP="00421681">
      <w:pPr>
        <w:widowControl w:val="0"/>
        <w:suppressAutoHyphens/>
        <w:rPr>
          <w:color w:val="000000"/>
          <w:sz w:val="22"/>
          <w:szCs w:val="22"/>
          <w:lang w:val="da-DK"/>
        </w:rPr>
      </w:pPr>
    </w:p>
    <w:p w14:paraId="2E815FF5" w14:textId="77777777" w:rsidR="006F7492" w:rsidRDefault="006F7492" w:rsidP="00421681">
      <w:pPr>
        <w:widowControl w:val="0"/>
        <w:suppressAutoHyphens/>
        <w:rPr>
          <w:color w:val="000000"/>
          <w:sz w:val="22"/>
          <w:szCs w:val="22"/>
          <w:lang w:val="da-DK"/>
        </w:rPr>
      </w:pPr>
    </w:p>
    <w:p w14:paraId="344AFF9D" w14:textId="77777777" w:rsidR="001B7781" w:rsidRPr="004C2A59" w:rsidRDefault="001B7781" w:rsidP="00421681">
      <w:pPr>
        <w:widowControl w:val="0"/>
        <w:suppressAutoHyphens/>
        <w:rPr>
          <w:color w:val="000000"/>
          <w:sz w:val="22"/>
          <w:szCs w:val="22"/>
          <w:lang w:val="da-DK"/>
        </w:rPr>
      </w:pPr>
    </w:p>
    <w:p w14:paraId="3C3CFA0F" w14:textId="77777777" w:rsidR="006F7492" w:rsidRPr="004C2A59" w:rsidRDefault="006F7492" w:rsidP="00421681">
      <w:pPr>
        <w:pStyle w:val="Heading5"/>
        <w:keepNext w:val="0"/>
        <w:widowControl w:val="0"/>
        <w:numPr>
          <w:ilvl w:val="0"/>
          <w:numId w:val="0"/>
        </w:numPr>
        <w:tabs>
          <w:tab w:val="clear" w:pos="-720"/>
        </w:tabs>
        <w:rPr>
          <w:b w:val="0"/>
          <w:color w:val="000000"/>
          <w:szCs w:val="22"/>
        </w:rPr>
      </w:pPr>
      <w:r w:rsidRPr="004C2A59">
        <w:rPr>
          <w:color w:val="000000"/>
          <w:szCs w:val="22"/>
        </w:rPr>
        <w:t>A. ETIKETTERING</w:t>
      </w:r>
    </w:p>
    <w:p w14:paraId="0A51EAFE" w14:textId="77777777" w:rsidR="006F7492" w:rsidRPr="004C2A59" w:rsidRDefault="006F7492" w:rsidP="00421681">
      <w:pPr>
        <w:suppressAutoHyphens/>
        <w:rPr>
          <w:color w:val="000000"/>
          <w:sz w:val="22"/>
          <w:szCs w:val="22"/>
          <w:lang w:val="da-DK"/>
        </w:rPr>
      </w:pPr>
      <w:r w:rsidRPr="004C2A59">
        <w:rPr>
          <w:color w:val="000000"/>
          <w:sz w:val="22"/>
          <w:szCs w:val="22"/>
          <w:lang w:val="da-DK"/>
        </w:rPr>
        <w:br w:type="page"/>
      </w:r>
    </w:p>
    <w:p w14:paraId="5CB216A2" w14:textId="77777777" w:rsidR="001B7781" w:rsidRPr="001B7781" w:rsidRDefault="001B7781" w:rsidP="001B7781">
      <w:pPr>
        <w:rPr>
          <w:color w:val="000000"/>
          <w:sz w:val="22"/>
          <w:szCs w:val="22"/>
          <w:lang w:val="da-DK"/>
        </w:rPr>
      </w:pPr>
    </w:p>
    <w:p w14:paraId="371B2369" w14:textId="77777777" w:rsidR="006F7492" w:rsidRPr="004C2A59" w:rsidRDefault="006F7492" w:rsidP="00421681">
      <w:pPr>
        <w:pBdr>
          <w:top w:val="single" w:sz="4" w:space="1" w:color="auto"/>
          <w:left w:val="single" w:sz="4" w:space="4" w:color="auto"/>
          <w:bottom w:val="single" w:sz="4" w:space="1" w:color="auto"/>
          <w:right w:val="single" w:sz="4" w:space="4" w:color="auto"/>
        </w:pBdr>
        <w:rPr>
          <w:color w:val="000000"/>
          <w:sz w:val="22"/>
          <w:szCs w:val="22"/>
          <w:lang w:val="da-DK"/>
        </w:rPr>
      </w:pPr>
      <w:r w:rsidRPr="004C2A59">
        <w:rPr>
          <w:b/>
          <w:color w:val="000000"/>
          <w:sz w:val="22"/>
          <w:szCs w:val="22"/>
          <w:lang w:val="da-DK"/>
        </w:rPr>
        <w:t xml:space="preserve">MÆRKNING, </w:t>
      </w:r>
      <w:smartTag w:uri="urn:schemas-microsoft-com:office:smarttags" w:element="metricconverter">
        <w:r w:rsidRPr="004C2A59">
          <w:rPr>
            <w:b/>
            <w:color w:val="000000"/>
            <w:sz w:val="22"/>
            <w:szCs w:val="22"/>
            <w:lang w:val="da-DK"/>
          </w:rPr>
          <w:t>DER</w:t>
        </w:r>
      </w:smartTag>
      <w:r w:rsidRPr="004C2A59">
        <w:rPr>
          <w:b/>
          <w:color w:val="000000"/>
          <w:sz w:val="22"/>
          <w:szCs w:val="22"/>
          <w:lang w:val="da-DK"/>
        </w:rPr>
        <w:t xml:space="preserve"> SKAL ANFØRES PÅ DEN YDRE EMBALLAGE</w:t>
      </w:r>
    </w:p>
    <w:p w14:paraId="272A55D4" w14:textId="77777777" w:rsidR="006F7492" w:rsidRPr="004C2A59" w:rsidRDefault="006F7492" w:rsidP="00421681">
      <w:pPr>
        <w:pBdr>
          <w:top w:val="single" w:sz="4" w:space="1" w:color="auto"/>
          <w:left w:val="single" w:sz="4" w:space="4" w:color="auto"/>
          <w:bottom w:val="single" w:sz="4" w:space="1" w:color="auto"/>
          <w:right w:val="single" w:sz="4" w:space="4" w:color="auto"/>
        </w:pBdr>
        <w:rPr>
          <w:color w:val="000000"/>
          <w:sz w:val="22"/>
          <w:szCs w:val="22"/>
          <w:lang w:val="da-DK"/>
        </w:rPr>
      </w:pPr>
    </w:p>
    <w:p w14:paraId="1E2B61F6" w14:textId="77777777" w:rsidR="006F7492" w:rsidRPr="004C2A59" w:rsidRDefault="006F7492" w:rsidP="00421681">
      <w:pPr>
        <w:pBdr>
          <w:top w:val="single" w:sz="4" w:space="1" w:color="auto"/>
          <w:left w:val="single" w:sz="4" w:space="4" w:color="auto"/>
          <w:bottom w:val="single" w:sz="4" w:space="1" w:color="auto"/>
          <w:right w:val="single" w:sz="4" w:space="4" w:color="auto"/>
        </w:pBdr>
        <w:rPr>
          <w:color w:val="000000"/>
          <w:sz w:val="22"/>
          <w:szCs w:val="22"/>
          <w:lang w:val="da-DK"/>
        </w:rPr>
      </w:pPr>
      <w:r w:rsidRPr="004C2A59">
        <w:rPr>
          <w:b/>
          <w:color w:val="000000"/>
          <w:sz w:val="22"/>
          <w:szCs w:val="22"/>
          <w:lang w:val="da-DK"/>
        </w:rPr>
        <w:t>KARTON</w:t>
      </w:r>
    </w:p>
    <w:p w14:paraId="0159D9D6" w14:textId="77777777" w:rsidR="006F7492" w:rsidRPr="004C2A59" w:rsidRDefault="006F7492" w:rsidP="00421681">
      <w:pPr>
        <w:rPr>
          <w:color w:val="000000"/>
          <w:sz w:val="22"/>
          <w:szCs w:val="22"/>
          <w:lang w:val="da-DK"/>
        </w:rPr>
      </w:pPr>
    </w:p>
    <w:p w14:paraId="6F069472" w14:textId="77777777" w:rsidR="006F7492" w:rsidRPr="004C2A59" w:rsidRDefault="006F7492" w:rsidP="00421681">
      <w:pPr>
        <w:suppressAutoHyphens/>
        <w:rPr>
          <w:color w:val="000000"/>
          <w:sz w:val="22"/>
          <w:szCs w:val="22"/>
          <w:lang w:val="da-DK"/>
        </w:rPr>
      </w:pPr>
    </w:p>
    <w:p w14:paraId="6A79D1F9"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1.</w:t>
      </w:r>
      <w:r w:rsidRPr="004C2A59">
        <w:rPr>
          <w:b/>
          <w:color w:val="000000"/>
          <w:sz w:val="22"/>
          <w:szCs w:val="22"/>
          <w:lang w:val="da-DK"/>
        </w:rPr>
        <w:tab/>
        <w:t>LÆGEMIDLETS NAVN</w:t>
      </w:r>
    </w:p>
    <w:p w14:paraId="5E792CE0" w14:textId="77777777" w:rsidR="006F7492" w:rsidRPr="004C2A59" w:rsidRDefault="006F7492" w:rsidP="00421681">
      <w:pPr>
        <w:suppressAutoHyphens/>
        <w:rPr>
          <w:color w:val="000000"/>
          <w:sz w:val="22"/>
          <w:szCs w:val="22"/>
          <w:lang w:val="da-DK"/>
        </w:rPr>
      </w:pPr>
    </w:p>
    <w:p w14:paraId="69BB6B08"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Glivec 100 mg hårde kapsler</w:t>
      </w:r>
    </w:p>
    <w:p w14:paraId="5606140E" w14:textId="77777777" w:rsidR="006F7492" w:rsidRPr="004C2A59" w:rsidRDefault="005A13E6" w:rsidP="00421681">
      <w:pPr>
        <w:widowControl w:val="0"/>
        <w:suppressAutoHyphens/>
        <w:rPr>
          <w:color w:val="000000"/>
          <w:sz w:val="22"/>
          <w:szCs w:val="22"/>
          <w:lang w:val="da-DK"/>
        </w:rPr>
      </w:pPr>
      <w:r>
        <w:rPr>
          <w:color w:val="000000"/>
          <w:sz w:val="22"/>
          <w:szCs w:val="22"/>
          <w:lang w:val="da-DK"/>
        </w:rPr>
        <w:t>i</w:t>
      </w:r>
      <w:r w:rsidR="006F7492" w:rsidRPr="004C2A59">
        <w:rPr>
          <w:color w:val="000000"/>
          <w:sz w:val="22"/>
          <w:szCs w:val="22"/>
          <w:lang w:val="da-DK"/>
        </w:rPr>
        <w:t>matinib</w:t>
      </w:r>
    </w:p>
    <w:p w14:paraId="423C4A7B" w14:textId="77777777" w:rsidR="006F7492" w:rsidRPr="004C2A59" w:rsidRDefault="006F7492" w:rsidP="00421681">
      <w:pPr>
        <w:suppressAutoHyphens/>
        <w:rPr>
          <w:color w:val="000000"/>
          <w:sz w:val="22"/>
          <w:szCs w:val="22"/>
          <w:lang w:val="da-DK"/>
        </w:rPr>
      </w:pPr>
    </w:p>
    <w:p w14:paraId="1E023205" w14:textId="77777777" w:rsidR="006F7492" w:rsidRPr="004C2A59" w:rsidRDefault="006F7492" w:rsidP="00421681">
      <w:pPr>
        <w:suppressAutoHyphens/>
        <w:rPr>
          <w:color w:val="000000"/>
          <w:sz w:val="22"/>
          <w:szCs w:val="22"/>
          <w:lang w:val="da-DK"/>
        </w:rPr>
      </w:pPr>
    </w:p>
    <w:p w14:paraId="55459B6B"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2.</w:t>
      </w:r>
      <w:r w:rsidRPr="004C2A59">
        <w:rPr>
          <w:b/>
          <w:color w:val="000000"/>
          <w:sz w:val="22"/>
          <w:szCs w:val="22"/>
          <w:lang w:val="da-DK"/>
        </w:rPr>
        <w:tab/>
        <w:t>ANGIVELSE AF AKTIVT STOF/AKTIVE STOFFER</w:t>
      </w:r>
    </w:p>
    <w:p w14:paraId="6A683B26" w14:textId="77777777" w:rsidR="006F7492" w:rsidRPr="004C2A59" w:rsidRDefault="006F7492" w:rsidP="00421681">
      <w:pPr>
        <w:suppressAutoHyphens/>
        <w:rPr>
          <w:color w:val="000000"/>
          <w:sz w:val="22"/>
          <w:szCs w:val="22"/>
          <w:lang w:val="da-DK"/>
        </w:rPr>
      </w:pPr>
    </w:p>
    <w:p w14:paraId="3BB2147F"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Hver kapsel indeholder 100 mg imatinib (som mesilat).</w:t>
      </w:r>
    </w:p>
    <w:p w14:paraId="39C910FF" w14:textId="77777777" w:rsidR="006F7492" w:rsidRPr="004C2A59" w:rsidRDefault="006F7492" w:rsidP="00421681">
      <w:pPr>
        <w:suppressAutoHyphens/>
        <w:rPr>
          <w:color w:val="000000"/>
          <w:sz w:val="22"/>
          <w:szCs w:val="22"/>
          <w:lang w:val="da-DK"/>
        </w:rPr>
      </w:pPr>
    </w:p>
    <w:p w14:paraId="719DDDB3" w14:textId="77777777" w:rsidR="006F7492" w:rsidRPr="004C2A59" w:rsidRDefault="006F7492" w:rsidP="00421681">
      <w:pPr>
        <w:suppressAutoHyphens/>
        <w:rPr>
          <w:color w:val="000000"/>
          <w:sz w:val="22"/>
          <w:szCs w:val="22"/>
          <w:lang w:val="da-DK"/>
        </w:rPr>
      </w:pPr>
    </w:p>
    <w:p w14:paraId="504F1EC7"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3.</w:t>
      </w:r>
      <w:r w:rsidRPr="004C2A59">
        <w:rPr>
          <w:b/>
          <w:color w:val="000000"/>
          <w:sz w:val="22"/>
          <w:szCs w:val="22"/>
          <w:lang w:val="da-DK"/>
        </w:rPr>
        <w:tab/>
        <w:t>LISTE OVER HJÆLPESTOFFER</w:t>
      </w:r>
    </w:p>
    <w:p w14:paraId="065C90CA" w14:textId="77777777" w:rsidR="006F7492" w:rsidRPr="004C2A59" w:rsidRDefault="006F7492" w:rsidP="00421681">
      <w:pPr>
        <w:suppressAutoHyphens/>
        <w:rPr>
          <w:color w:val="000000"/>
          <w:sz w:val="22"/>
          <w:szCs w:val="22"/>
          <w:lang w:val="da-DK"/>
        </w:rPr>
      </w:pPr>
    </w:p>
    <w:p w14:paraId="282B365A" w14:textId="77777777" w:rsidR="006F7492" w:rsidRPr="004C2A59" w:rsidRDefault="006F7492" w:rsidP="00421681">
      <w:pPr>
        <w:suppressAutoHyphens/>
        <w:rPr>
          <w:color w:val="000000"/>
          <w:sz w:val="22"/>
          <w:szCs w:val="22"/>
          <w:lang w:val="da-DK"/>
        </w:rPr>
      </w:pPr>
    </w:p>
    <w:p w14:paraId="1CD0F18A"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4.</w:t>
      </w:r>
      <w:r w:rsidRPr="004C2A59">
        <w:rPr>
          <w:b/>
          <w:color w:val="000000"/>
          <w:sz w:val="22"/>
          <w:szCs w:val="22"/>
          <w:lang w:val="da-DK"/>
        </w:rPr>
        <w:tab/>
        <w:t xml:space="preserve">LÆGEMIDDELFORM OG </w:t>
      </w:r>
      <w:r w:rsidR="003206C2" w:rsidRPr="004C2A59">
        <w:rPr>
          <w:b/>
          <w:color w:val="000000"/>
          <w:sz w:val="22"/>
          <w:szCs w:val="22"/>
          <w:lang w:val="da-DK"/>
        </w:rPr>
        <w:t xml:space="preserve">INDHOLD </w:t>
      </w:r>
      <w:r w:rsidRPr="004C2A59">
        <w:rPr>
          <w:b/>
          <w:color w:val="000000"/>
          <w:sz w:val="22"/>
          <w:szCs w:val="22"/>
          <w:lang w:val="da-DK"/>
        </w:rPr>
        <w:t>(PAKNINGSSTØRRELSE)</w:t>
      </w:r>
    </w:p>
    <w:p w14:paraId="16CF029E" w14:textId="77777777" w:rsidR="006F7492" w:rsidRPr="004C2A59" w:rsidRDefault="006F7492" w:rsidP="00421681">
      <w:pPr>
        <w:suppressAutoHyphens/>
        <w:rPr>
          <w:color w:val="000000"/>
          <w:sz w:val="22"/>
          <w:szCs w:val="22"/>
          <w:lang w:val="da-DK"/>
        </w:rPr>
      </w:pPr>
    </w:p>
    <w:p w14:paraId="1EA425D1"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24 hårde kapsler</w:t>
      </w:r>
    </w:p>
    <w:p w14:paraId="1A4B822B" w14:textId="77777777" w:rsidR="006F7492" w:rsidRPr="004C2A59" w:rsidRDefault="006F7492" w:rsidP="00421681">
      <w:pPr>
        <w:suppressAutoHyphens/>
        <w:rPr>
          <w:color w:val="000000"/>
          <w:sz w:val="22"/>
          <w:szCs w:val="22"/>
          <w:shd w:val="clear" w:color="auto" w:fill="D9D9D9"/>
          <w:lang w:val="da-DK"/>
        </w:rPr>
      </w:pPr>
      <w:r w:rsidRPr="004C2A59">
        <w:rPr>
          <w:color w:val="000000"/>
          <w:sz w:val="22"/>
          <w:szCs w:val="22"/>
          <w:shd w:val="clear" w:color="auto" w:fill="D9D9D9"/>
          <w:lang w:val="da-DK"/>
        </w:rPr>
        <w:t>48 hårde kapsler</w:t>
      </w:r>
    </w:p>
    <w:p w14:paraId="5DCD6AC9" w14:textId="77777777" w:rsidR="006F7492" w:rsidRPr="004C2A59" w:rsidRDefault="006F7492" w:rsidP="00421681">
      <w:pPr>
        <w:suppressAutoHyphens/>
        <w:rPr>
          <w:color w:val="000000"/>
          <w:sz w:val="22"/>
          <w:szCs w:val="22"/>
          <w:shd w:val="clear" w:color="auto" w:fill="D9D9D9"/>
          <w:lang w:val="da-DK"/>
        </w:rPr>
      </w:pPr>
      <w:r w:rsidRPr="004C2A59">
        <w:rPr>
          <w:color w:val="000000"/>
          <w:sz w:val="22"/>
          <w:szCs w:val="22"/>
          <w:shd w:val="clear" w:color="auto" w:fill="D9D9D9"/>
          <w:lang w:val="da-DK"/>
        </w:rPr>
        <w:t>96 hårde kapsler</w:t>
      </w:r>
    </w:p>
    <w:p w14:paraId="2C867F95" w14:textId="77777777" w:rsidR="006F7492" w:rsidRPr="004C2A59" w:rsidRDefault="006F7492" w:rsidP="00421681">
      <w:pPr>
        <w:suppressAutoHyphens/>
        <w:rPr>
          <w:color w:val="000000"/>
          <w:sz w:val="22"/>
          <w:szCs w:val="22"/>
          <w:shd w:val="clear" w:color="auto" w:fill="D9D9D9"/>
          <w:lang w:val="da-DK"/>
        </w:rPr>
      </w:pPr>
      <w:r w:rsidRPr="004C2A59">
        <w:rPr>
          <w:color w:val="000000"/>
          <w:sz w:val="22"/>
          <w:szCs w:val="22"/>
          <w:shd w:val="clear" w:color="auto" w:fill="D9D9D9"/>
          <w:lang w:val="da-DK"/>
        </w:rPr>
        <w:t>120 hårde kapsler</w:t>
      </w:r>
    </w:p>
    <w:p w14:paraId="3ED93372" w14:textId="77777777" w:rsidR="006F7492" w:rsidRPr="004C2A59" w:rsidRDefault="006F7492" w:rsidP="00421681">
      <w:pPr>
        <w:suppressAutoHyphens/>
        <w:rPr>
          <w:color w:val="000000"/>
          <w:sz w:val="22"/>
          <w:szCs w:val="22"/>
          <w:shd w:val="clear" w:color="auto" w:fill="D9D9D9"/>
          <w:lang w:val="da-DK"/>
        </w:rPr>
      </w:pPr>
      <w:r w:rsidRPr="004C2A59">
        <w:rPr>
          <w:color w:val="000000"/>
          <w:sz w:val="22"/>
          <w:szCs w:val="22"/>
          <w:shd w:val="clear" w:color="auto" w:fill="D9D9D9"/>
          <w:lang w:val="da-DK"/>
        </w:rPr>
        <w:t>180 hårde kapsler</w:t>
      </w:r>
    </w:p>
    <w:p w14:paraId="2D977EB9" w14:textId="77777777" w:rsidR="006F7492" w:rsidRPr="004C2A59" w:rsidRDefault="006F7492" w:rsidP="00421681">
      <w:pPr>
        <w:suppressAutoHyphens/>
        <w:rPr>
          <w:color w:val="000000"/>
          <w:sz w:val="22"/>
          <w:szCs w:val="22"/>
          <w:lang w:val="da-DK"/>
        </w:rPr>
      </w:pPr>
    </w:p>
    <w:p w14:paraId="27E53EAC" w14:textId="77777777" w:rsidR="006F7492" w:rsidRPr="004C2A59" w:rsidRDefault="006F7492" w:rsidP="00421681">
      <w:pPr>
        <w:suppressAutoHyphens/>
        <w:rPr>
          <w:color w:val="000000"/>
          <w:sz w:val="22"/>
          <w:szCs w:val="22"/>
          <w:lang w:val="da-DK"/>
        </w:rPr>
      </w:pPr>
    </w:p>
    <w:p w14:paraId="20A2208E"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rPr>
          <w:b/>
          <w:color w:val="000000"/>
          <w:sz w:val="22"/>
          <w:szCs w:val="22"/>
          <w:lang w:val="da-DK"/>
        </w:rPr>
      </w:pPr>
      <w:r w:rsidRPr="004C2A59">
        <w:rPr>
          <w:b/>
          <w:color w:val="000000"/>
          <w:sz w:val="22"/>
          <w:szCs w:val="22"/>
          <w:lang w:val="da-DK"/>
        </w:rPr>
        <w:t>5.</w:t>
      </w:r>
      <w:r w:rsidRPr="004C2A59">
        <w:rPr>
          <w:b/>
          <w:color w:val="000000"/>
          <w:sz w:val="22"/>
          <w:szCs w:val="22"/>
          <w:lang w:val="da-DK"/>
        </w:rPr>
        <w:tab/>
        <w:t>ANVENDELSESMÅDE OG ADMINISTRATIONSVEJ(E)</w:t>
      </w:r>
    </w:p>
    <w:p w14:paraId="06C7B9C9" w14:textId="77777777" w:rsidR="006F7492" w:rsidRPr="004C2A59" w:rsidRDefault="006F7492" w:rsidP="00421681">
      <w:pPr>
        <w:suppressAutoHyphens/>
        <w:rPr>
          <w:color w:val="000000"/>
          <w:sz w:val="22"/>
          <w:szCs w:val="22"/>
          <w:lang w:val="da-DK"/>
        </w:rPr>
      </w:pPr>
    </w:p>
    <w:p w14:paraId="372F1176"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Oral anvendelse. Læs indlægssedlen inden brug.</w:t>
      </w:r>
    </w:p>
    <w:p w14:paraId="23BDB39C" w14:textId="77777777" w:rsidR="006F7492" w:rsidRPr="004C2A59" w:rsidRDefault="006F7492" w:rsidP="00421681">
      <w:pPr>
        <w:suppressAutoHyphens/>
        <w:rPr>
          <w:color w:val="000000"/>
          <w:sz w:val="22"/>
          <w:szCs w:val="22"/>
          <w:lang w:val="da-DK"/>
        </w:rPr>
      </w:pPr>
    </w:p>
    <w:p w14:paraId="3FA0360C" w14:textId="77777777" w:rsidR="006F7492" w:rsidRPr="004C2A59" w:rsidRDefault="006F7492" w:rsidP="00421681">
      <w:pPr>
        <w:suppressAutoHyphens/>
        <w:rPr>
          <w:color w:val="000000"/>
          <w:sz w:val="22"/>
          <w:szCs w:val="22"/>
          <w:lang w:val="da-DK"/>
        </w:rPr>
      </w:pPr>
    </w:p>
    <w:p w14:paraId="0046440E"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6.</w:t>
      </w:r>
      <w:r w:rsidRPr="004C2A59">
        <w:rPr>
          <w:b/>
          <w:color w:val="000000"/>
          <w:sz w:val="22"/>
          <w:szCs w:val="22"/>
          <w:lang w:val="da-DK"/>
        </w:rPr>
        <w:tab/>
      </w:r>
      <w:r w:rsidR="00C51956" w:rsidRPr="004C2A59">
        <w:rPr>
          <w:b/>
          <w:color w:val="000000"/>
          <w:sz w:val="22"/>
          <w:szCs w:val="22"/>
          <w:lang w:val="da-DK"/>
        </w:rPr>
        <w:t xml:space="preserve">SÆRLIG </w:t>
      </w:r>
      <w:r w:rsidRPr="004C2A59">
        <w:rPr>
          <w:b/>
          <w:color w:val="000000"/>
          <w:sz w:val="22"/>
          <w:szCs w:val="22"/>
          <w:lang w:val="da-DK"/>
        </w:rPr>
        <w:t>ADVARSEL OM, AT LÆGEMIDLET SKAL OPBEVARES UTILGÆNGELIGT FOR BØRN</w:t>
      </w:r>
    </w:p>
    <w:p w14:paraId="22AD6A76" w14:textId="77777777" w:rsidR="006F7492" w:rsidRPr="004C2A59" w:rsidRDefault="006F7492" w:rsidP="00421681">
      <w:pPr>
        <w:suppressAutoHyphens/>
        <w:rPr>
          <w:color w:val="000000"/>
          <w:sz w:val="22"/>
          <w:szCs w:val="22"/>
          <w:lang w:val="da-DK"/>
        </w:rPr>
      </w:pPr>
    </w:p>
    <w:p w14:paraId="71D9EC22"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Opbevares utilgængeligt for børn.</w:t>
      </w:r>
    </w:p>
    <w:p w14:paraId="5044D694" w14:textId="77777777" w:rsidR="006F7492" w:rsidRPr="004C2A59" w:rsidRDefault="006F7492" w:rsidP="00421681">
      <w:pPr>
        <w:suppressAutoHyphens/>
        <w:rPr>
          <w:color w:val="000000"/>
          <w:sz w:val="22"/>
          <w:szCs w:val="22"/>
          <w:lang w:val="da-DK"/>
        </w:rPr>
      </w:pPr>
    </w:p>
    <w:p w14:paraId="7BE8B9EA" w14:textId="77777777" w:rsidR="006F7492" w:rsidRPr="004C2A59" w:rsidRDefault="006F7492" w:rsidP="00421681">
      <w:pPr>
        <w:suppressAutoHyphens/>
        <w:rPr>
          <w:color w:val="000000"/>
          <w:sz w:val="22"/>
          <w:szCs w:val="22"/>
          <w:lang w:val="da-DK"/>
        </w:rPr>
      </w:pPr>
    </w:p>
    <w:p w14:paraId="2A313128"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7.</w:t>
      </w:r>
      <w:r w:rsidRPr="004C2A59">
        <w:rPr>
          <w:b/>
          <w:color w:val="000000"/>
          <w:sz w:val="22"/>
          <w:szCs w:val="22"/>
          <w:lang w:val="da-DK"/>
        </w:rPr>
        <w:tab/>
        <w:t>EVENTUELLE ANDRE SÆRLIGE ADVARSLER</w:t>
      </w:r>
    </w:p>
    <w:p w14:paraId="3C379BC8" w14:textId="77777777" w:rsidR="006F7492" w:rsidRPr="004C2A59" w:rsidRDefault="006F7492" w:rsidP="00421681">
      <w:pPr>
        <w:suppressAutoHyphens/>
        <w:rPr>
          <w:color w:val="000000"/>
          <w:sz w:val="22"/>
          <w:szCs w:val="22"/>
          <w:lang w:val="da-DK"/>
        </w:rPr>
      </w:pPr>
    </w:p>
    <w:p w14:paraId="3C600FBD"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Anvendes som foreskrevet af lægen.</w:t>
      </w:r>
    </w:p>
    <w:p w14:paraId="4C489575" w14:textId="77777777" w:rsidR="006F7492" w:rsidRPr="004C2A59" w:rsidRDefault="006F7492" w:rsidP="00421681">
      <w:pPr>
        <w:suppressAutoHyphens/>
        <w:rPr>
          <w:color w:val="000000"/>
          <w:sz w:val="22"/>
          <w:szCs w:val="22"/>
          <w:lang w:val="da-DK"/>
        </w:rPr>
      </w:pPr>
    </w:p>
    <w:p w14:paraId="179A9481" w14:textId="77777777" w:rsidR="006F7492" w:rsidRPr="004C2A59" w:rsidRDefault="006F7492" w:rsidP="00421681">
      <w:pPr>
        <w:suppressAutoHyphens/>
        <w:rPr>
          <w:color w:val="000000"/>
          <w:sz w:val="22"/>
          <w:szCs w:val="22"/>
          <w:lang w:val="da-DK"/>
        </w:rPr>
      </w:pPr>
    </w:p>
    <w:p w14:paraId="203FDB07"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8.</w:t>
      </w:r>
      <w:r w:rsidRPr="004C2A59">
        <w:rPr>
          <w:b/>
          <w:color w:val="000000"/>
          <w:sz w:val="22"/>
          <w:szCs w:val="22"/>
          <w:lang w:val="da-DK"/>
        </w:rPr>
        <w:tab/>
        <w:t>UDLØBSDATO</w:t>
      </w:r>
    </w:p>
    <w:p w14:paraId="4CC25DEE" w14:textId="77777777" w:rsidR="006F7492" w:rsidRPr="004C2A59" w:rsidRDefault="006F7492" w:rsidP="00421681">
      <w:pPr>
        <w:suppressAutoHyphens/>
        <w:ind w:left="567" w:hanging="567"/>
        <w:rPr>
          <w:color w:val="000000"/>
          <w:sz w:val="22"/>
          <w:szCs w:val="22"/>
          <w:lang w:val="da-DK"/>
        </w:rPr>
      </w:pPr>
    </w:p>
    <w:p w14:paraId="579A4AC0" w14:textId="0DDE49EA" w:rsidR="006F7492" w:rsidRPr="004C2A59" w:rsidRDefault="00A95899" w:rsidP="00421681">
      <w:pPr>
        <w:widowControl w:val="0"/>
        <w:suppressAutoHyphens/>
        <w:rPr>
          <w:color w:val="000000"/>
          <w:sz w:val="22"/>
          <w:szCs w:val="22"/>
          <w:lang w:val="da-DK"/>
        </w:rPr>
      </w:pPr>
      <w:r>
        <w:rPr>
          <w:color w:val="000000"/>
          <w:sz w:val="22"/>
          <w:szCs w:val="22"/>
          <w:lang w:val="da-DK"/>
        </w:rPr>
        <w:t>EXP</w:t>
      </w:r>
    </w:p>
    <w:p w14:paraId="5532990A" w14:textId="77777777" w:rsidR="006F7492" w:rsidRPr="004C2A59" w:rsidRDefault="006F7492" w:rsidP="00421681">
      <w:pPr>
        <w:tabs>
          <w:tab w:val="left" w:pos="2552"/>
        </w:tabs>
        <w:rPr>
          <w:color w:val="000000"/>
          <w:sz w:val="22"/>
          <w:szCs w:val="22"/>
          <w:lang w:val="da-DK"/>
        </w:rPr>
      </w:pPr>
    </w:p>
    <w:p w14:paraId="1126070D" w14:textId="77777777" w:rsidR="006F7492" w:rsidRPr="004C2A59" w:rsidRDefault="006F7492" w:rsidP="00421681">
      <w:pPr>
        <w:tabs>
          <w:tab w:val="left" w:pos="2552"/>
        </w:tabs>
        <w:rPr>
          <w:color w:val="000000"/>
          <w:sz w:val="22"/>
          <w:szCs w:val="22"/>
          <w:lang w:val="da-DK"/>
        </w:rPr>
      </w:pPr>
    </w:p>
    <w:p w14:paraId="7AE93F35"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 w:val="left" w:pos="2552"/>
        </w:tabs>
        <w:ind w:left="567" w:hanging="567"/>
        <w:rPr>
          <w:b/>
          <w:color w:val="000000"/>
          <w:sz w:val="22"/>
          <w:szCs w:val="22"/>
          <w:lang w:val="da-DK"/>
        </w:rPr>
      </w:pPr>
      <w:r w:rsidRPr="004C2A59">
        <w:rPr>
          <w:b/>
          <w:color w:val="000000"/>
          <w:sz w:val="22"/>
          <w:szCs w:val="22"/>
          <w:lang w:val="da-DK"/>
        </w:rPr>
        <w:t>9.</w:t>
      </w:r>
      <w:r w:rsidRPr="004C2A59">
        <w:rPr>
          <w:b/>
          <w:color w:val="000000"/>
          <w:sz w:val="22"/>
          <w:szCs w:val="22"/>
          <w:lang w:val="da-DK"/>
        </w:rPr>
        <w:tab/>
        <w:t>SÆRLIGE OPBEVARINGSBETINGELSER</w:t>
      </w:r>
    </w:p>
    <w:p w14:paraId="612ACB03" w14:textId="77777777" w:rsidR="006F7492" w:rsidRPr="004C2A59" w:rsidRDefault="006F7492" w:rsidP="00421681">
      <w:pPr>
        <w:tabs>
          <w:tab w:val="left" w:pos="2552"/>
        </w:tabs>
        <w:suppressAutoHyphens/>
        <w:rPr>
          <w:color w:val="000000"/>
          <w:sz w:val="22"/>
          <w:szCs w:val="22"/>
          <w:lang w:val="da-DK"/>
        </w:rPr>
      </w:pPr>
    </w:p>
    <w:p w14:paraId="41BB2E8C"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Må ikke opbevares ved temperaturer over 30°C. Opbevares i den originale yderpakning for at beskytte mod fugt.</w:t>
      </w:r>
    </w:p>
    <w:p w14:paraId="44F57F62" w14:textId="77777777" w:rsidR="006F7492" w:rsidRPr="004C2A59" w:rsidRDefault="006F7492" w:rsidP="00421681">
      <w:pPr>
        <w:suppressAutoHyphens/>
        <w:rPr>
          <w:color w:val="000000"/>
          <w:sz w:val="22"/>
          <w:szCs w:val="22"/>
          <w:lang w:val="da-DK"/>
        </w:rPr>
      </w:pPr>
    </w:p>
    <w:p w14:paraId="1924BA3B" w14:textId="77777777" w:rsidR="006F7492" w:rsidRPr="004C2A59" w:rsidRDefault="006F7492" w:rsidP="00421681">
      <w:pPr>
        <w:suppressAutoHyphens/>
        <w:rPr>
          <w:color w:val="000000"/>
          <w:sz w:val="22"/>
          <w:szCs w:val="22"/>
          <w:lang w:val="da-DK"/>
        </w:rPr>
      </w:pPr>
    </w:p>
    <w:p w14:paraId="310924EE"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10.</w:t>
      </w:r>
      <w:r w:rsidRPr="004C2A59">
        <w:rPr>
          <w:b/>
          <w:color w:val="000000"/>
          <w:sz w:val="22"/>
          <w:szCs w:val="22"/>
          <w:lang w:val="da-DK"/>
        </w:rPr>
        <w:tab/>
      </w:r>
      <w:r w:rsidR="003206C2" w:rsidRPr="004C2A59">
        <w:rPr>
          <w:b/>
          <w:color w:val="000000"/>
          <w:sz w:val="22"/>
          <w:szCs w:val="22"/>
          <w:lang w:val="da-DK"/>
        </w:rPr>
        <w:t>EVENTUELLE SÆRLIGE FORHOLDSREGLER VED BORTSKAFFELSE AF IKKE ANVENDT LÆGEMIDDEL SAMT AFFALD HERAF</w:t>
      </w:r>
    </w:p>
    <w:p w14:paraId="46DA7A7A" w14:textId="77777777" w:rsidR="006F7492" w:rsidRPr="004C2A59" w:rsidRDefault="006F7492" w:rsidP="00421681">
      <w:pPr>
        <w:suppressAutoHyphens/>
        <w:rPr>
          <w:color w:val="000000"/>
          <w:sz w:val="22"/>
          <w:szCs w:val="22"/>
          <w:lang w:val="da-DK"/>
        </w:rPr>
      </w:pPr>
    </w:p>
    <w:p w14:paraId="4699871E" w14:textId="77777777" w:rsidR="006F7492" w:rsidRPr="004C2A59" w:rsidRDefault="006F7492" w:rsidP="00421681">
      <w:pPr>
        <w:suppressAutoHyphens/>
        <w:rPr>
          <w:color w:val="000000"/>
          <w:sz w:val="22"/>
          <w:szCs w:val="22"/>
          <w:lang w:val="da-DK"/>
        </w:rPr>
      </w:pPr>
    </w:p>
    <w:p w14:paraId="0AE159DA"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11.</w:t>
      </w:r>
      <w:r w:rsidRPr="004C2A59">
        <w:rPr>
          <w:b/>
          <w:color w:val="000000"/>
          <w:sz w:val="22"/>
          <w:szCs w:val="22"/>
          <w:lang w:val="da-DK"/>
        </w:rPr>
        <w:tab/>
        <w:t>NAVN OG ADRESSE PÅ INDEHAVEREN AF MARKEDSFØRINGSTILLADELSEN</w:t>
      </w:r>
    </w:p>
    <w:p w14:paraId="0240AC68" w14:textId="77777777" w:rsidR="006F7492" w:rsidRPr="004C2A59" w:rsidRDefault="006F7492" w:rsidP="00421681">
      <w:pPr>
        <w:suppressAutoHyphens/>
        <w:rPr>
          <w:color w:val="000000"/>
          <w:sz w:val="22"/>
          <w:szCs w:val="22"/>
          <w:lang w:val="da-DK"/>
        </w:rPr>
      </w:pPr>
    </w:p>
    <w:p w14:paraId="0622CBB4" w14:textId="77777777" w:rsidR="006F7492" w:rsidRPr="005C0041" w:rsidRDefault="006F7492" w:rsidP="00421681">
      <w:pPr>
        <w:widowControl w:val="0"/>
        <w:suppressAutoHyphens/>
        <w:rPr>
          <w:color w:val="000000"/>
          <w:sz w:val="22"/>
          <w:szCs w:val="22"/>
        </w:rPr>
      </w:pPr>
      <w:r w:rsidRPr="005C0041">
        <w:rPr>
          <w:color w:val="000000"/>
          <w:sz w:val="22"/>
          <w:szCs w:val="22"/>
        </w:rPr>
        <w:t>Novartis Europharm Limited</w:t>
      </w:r>
    </w:p>
    <w:p w14:paraId="7FED7B86" w14:textId="77777777" w:rsidR="004F2E31" w:rsidRPr="004F2E31" w:rsidRDefault="004F2E31" w:rsidP="00421681">
      <w:pPr>
        <w:keepNext/>
        <w:widowControl w:val="0"/>
        <w:rPr>
          <w:color w:val="000000"/>
          <w:sz w:val="22"/>
          <w:szCs w:val="22"/>
        </w:rPr>
      </w:pPr>
      <w:r w:rsidRPr="004F2E31">
        <w:rPr>
          <w:color w:val="000000"/>
          <w:sz w:val="22"/>
          <w:szCs w:val="22"/>
        </w:rPr>
        <w:t>Vista Building</w:t>
      </w:r>
    </w:p>
    <w:p w14:paraId="54A8D149" w14:textId="77777777" w:rsidR="004F2E31" w:rsidRPr="004F2E31" w:rsidRDefault="004F2E31" w:rsidP="00421681">
      <w:pPr>
        <w:keepNext/>
        <w:widowControl w:val="0"/>
        <w:rPr>
          <w:color w:val="000000"/>
          <w:sz w:val="22"/>
          <w:szCs w:val="22"/>
        </w:rPr>
      </w:pPr>
      <w:r w:rsidRPr="004F2E31">
        <w:rPr>
          <w:color w:val="000000"/>
          <w:sz w:val="22"/>
          <w:szCs w:val="22"/>
        </w:rPr>
        <w:t>Elm Park, Merrion Road</w:t>
      </w:r>
    </w:p>
    <w:p w14:paraId="6B71B3C2" w14:textId="77777777" w:rsidR="004F2E31" w:rsidRPr="00F852D1" w:rsidRDefault="004F2E31" w:rsidP="00421681">
      <w:pPr>
        <w:keepNext/>
        <w:widowControl w:val="0"/>
        <w:rPr>
          <w:color w:val="000000"/>
          <w:sz w:val="22"/>
          <w:szCs w:val="22"/>
        </w:rPr>
      </w:pPr>
      <w:r w:rsidRPr="00F852D1">
        <w:rPr>
          <w:color w:val="000000"/>
          <w:sz w:val="22"/>
          <w:szCs w:val="22"/>
        </w:rPr>
        <w:t>Dublin 4</w:t>
      </w:r>
    </w:p>
    <w:p w14:paraId="040A1C4E" w14:textId="77777777" w:rsidR="004F2E31" w:rsidRPr="00F852D1" w:rsidRDefault="004F2E31" w:rsidP="00421681">
      <w:pPr>
        <w:rPr>
          <w:color w:val="000000"/>
          <w:sz w:val="22"/>
          <w:szCs w:val="22"/>
        </w:rPr>
      </w:pPr>
      <w:r w:rsidRPr="00F852D1">
        <w:rPr>
          <w:color w:val="000000"/>
          <w:sz w:val="22"/>
          <w:szCs w:val="22"/>
        </w:rPr>
        <w:t>Irland</w:t>
      </w:r>
    </w:p>
    <w:p w14:paraId="12EC9582" w14:textId="77777777" w:rsidR="006F7492" w:rsidRPr="00F852D1" w:rsidRDefault="006F7492" w:rsidP="00421681">
      <w:pPr>
        <w:suppressAutoHyphens/>
        <w:rPr>
          <w:color w:val="000000"/>
          <w:sz w:val="22"/>
          <w:szCs w:val="22"/>
        </w:rPr>
      </w:pPr>
    </w:p>
    <w:p w14:paraId="19306669" w14:textId="77777777" w:rsidR="006F7492" w:rsidRPr="00F852D1" w:rsidRDefault="006F7492" w:rsidP="00421681">
      <w:pPr>
        <w:suppressAutoHyphens/>
        <w:rPr>
          <w:color w:val="000000"/>
          <w:sz w:val="22"/>
          <w:szCs w:val="22"/>
        </w:rPr>
      </w:pPr>
    </w:p>
    <w:p w14:paraId="70D576E0" w14:textId="77777777" w:rsidR="006F7492" w:rsidRPr="00F852D1"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rPr>
      </w:pPr>
      <w:r w:rsidRPr="00F852D1">
        <w:rPr>
          <w:b/>
          <w:color w:val="000000"/>
          <w:sz w:val="22"/>
          <w:szCs w:val="22"/>
        </w:rPr>
        <w:t>12.</w:t>
      </w:r>
      <w:r w:rsidRPr="00F852D1">
        <w:rPr>
          <w:b/>
          <w:color w:val="000000"/>
          <w:sz w:val="22"/>
          <w:szCs w:val="22"/>
        </w:rPr>
        <w:tab/>
        <w:t>MARKEDSFØRINGSTILLADELSESNUMMER (</w:t>
      </w:r>
      <w:r w:rsidR="00685A97" w:rsidRPr="00F852D1">
        <w:rPr>
          <w:b/>
          <w:color w:val="000000"/>
          <w:sz w:val="22"/>
          <w:szCs w:val="22"/>
        </w:rPr>
        <w:t>-</w:t>
      </w:r>
      <w:r w:rsidRPr="00F852D1">
        <w:rPr>
          <w:b/>
          <w:color w:val="000000"/>
          <w:sz w:val="22"/>
          <w:szCs w:val="22"/>
        </w:rPr>
        <w:t>NUMRE)</w:t>
      </w:r>
    </w:p>
    <w:p w14:paraId="483E5A13" w14:textId="77777777" w:rsidR="006F7492" w:rsidRPr="00F852D1" w:rsidRDefault="006F7492" w:rsidP="00421681">
      <w:pPr>
        <w:suppressAutoHyphens/>
        <w:rPr>
          <w:color w:val="000000"/>
          <w:sz w:val="22"/>
          <w:szCs w:val="22"/>
        </w:rPr>
      </w:pPr>
    </w:p>
    <w:p w14:paraId="1B12578E" w14:textId="77777777" w:rsidR="006F7492" w:rsidRPr="00F852D1" w:rsidRDefault="006F7492" w:rsidP="00421681">
      <w:pPr>
        <w:widowControl w:val="0"/>
        <w:tabs>
          <w:tab w:val="left" w:pos="2268"/>
        </w:tabs>
        <w:suppressAutoHyphens/>
        <w:rPr>
          <w:color w:val="000000"/>
          <w:sz w:val="22"/>
          <w:szCs w:val="22"/>
          <w:shd w:val="clear" w:color="auto" w:fill="D9D9D9"/>
        </w:rPr>
      </w:pPr>
      <w:r w:rsidRPr="00F852D1">
        <w:rPr>
          <w:color w:val="000000"/>
          <w:sz w:val="22"/>
          <w:szCs w:val="22"/>
        </w:rPr>
        <w:t>EU/1/01/198/002</w:t>
      </w:r>
      <w:r w:rsidRPr="00F852D1">
        <w:rPr>
          <w:color w:val="000000"/>
          <w:sz w:val="22"/>
          <w:szCs w:val="22"/>
        </w:rPr>
        <w:tab/>
      </w:r>
      <w:r w:rsidRPr="00F852D1">
        <w:rPr>
          <w:color w:val="000000"/>
          <w:sz w:val="22"/>
          <w:szCs w:val="22"/>
          <w:shd w:val="clear" w:color="auto" w:fill="D9D9D9"/>
        </w:rPr>
        <w:t>24 kapsler</w:t>
      </w:r>
    </w:p>
    <w:p w14:paraId="29B5B575" w14:textId="77777777" w:rsidR="006F7492" w:rsidRPr="00F852D1" w:rsidRDefault="006F7492" w:rsidP="00421681">
      <w:pPr>
        <w:tabs>
          <w:tab w:val="left" w:pos="2268"/>
        </w:tabs>
        <w:suppressAutoHyphens/>
        <w:rPr>
          <w:color w:val="000000"/>
          <w:sz w:val="22"/>
          <w:szCs w:val="22"/>
          <w:shd w:val="clear" w:color="auto" w:fill="D9D9D9"/>
        </w:rPr>
      </w:pPr>
      <w:r w:rsidRPr="00F852D1">
        <w:rPr>
          <w:color w:val="000000"/>
          <w:sz w:val="22"/>
          <w:szCs w:val="22"/>
          <w:shd w:val="clear" w:color="auto" w:fill="D9D9D9"/>
        </w:rPr>
        <w:t>EU/1/01/198/003</w:t>
      </w:r>
      <w:r w:rsidRPr="00F852D1">
        <w:rPr>
          <w:color w:val="000000"/>
          <w:sz w:val="22"/>
          <w:szCs w:val="22"/>
          <w:shd w:val="clear" w:color="auto" w:fill="D9D9D9"/>
        </w:rPr>
        <w:tab/>
        <w:t>48 kapsler</w:t>
      </w:r>
    </w:p>
    <w:p w14:paraId="3AFF1F4C" w14:textId="77777777" w:rsidR="006F7492" w:rsidRPr="00F852D1" w:rsidRDefault="006F7492" w:rsidP="00421681">
      <w:pPr>
        <w:tabs>
          <w:tab w:val="left" w:pos="2268"/>
        </w:tabs>
        <w:suppressAutoHyphens/>
        <w:rPr>
          <w:color w:val="000000"/>
          <w:sz w:val="22"/>
          <w:szCs w:val="22"/>
          <w:shd w:val="clear" w:color="auto" w:fill="D9D9D9"/>
        </w:rPr>
      </w:pPr>
      <w:r w:rsidRPr="00F852D1">
        <w:rPr>
          <w:color w:val="000000"/>
          <w:sz w:val="22"/>
          <w:szCs w:val="22"/>
          <w:shd w:val="clear" w:color="auto" w:fill="D9D9D9"/>
        </w:rPr>
        <w:t>EU/1/01/198/004</w:t>
      </w:r>
      <w:r w:rsidRPr="00F852D1">
        <w:rPr>
          <w:color w:val="000000"/>
          <w:sz w:val="22"/>
          <w:szCs w:val="22"/>
          <w:shd w:val="clear" w:color="auto" w:fill="D9D9D9"/>
        </w:rPr>
        <w:tab/>
        <w:t>96 kapsler</w:t>
      </w:r>
    </w:p>
    <w:p w14:paraId="68607F9F" w14:textId="77777777" w:rsidR="006F7492" w:rsidRPr="00F852D1" w:rsidRDefault="006F7492" w:rsidP="00421681">
      <w:pPr>
        <w:tabs>
          <w:tab w:val="left" w:pos="2268"/>
        </w:tabs>
        <w:suppressAutoHyphens/>
        <w:rPr>
          <w:color w:val="000000"/>
          <w:sz w:val="22"/>
          <w:szCs w:val="22"/>
          <w:shd w:val="clear" w:color="auto" w:fill="D9D9D9"/>
        </w:rPr>
      </w:pPr>
      <w:r w:rsidRPr="00F852D1">
        <w:rPr>
          <w:color w:val="000000"/>
          <w:sz w:val="22"/>
          <w:szCs w:val="22"/>
          <w:shd w:val="clear" w:color="auto" w:fill="D9D9D9"/>
        </w:rPr>
        <w:t>EU/1/01/198/005</w:t>
      </w:r>
      <w:r w:rsidRPr="00F852D1">
        <w:rPr>
          <w:color w:val="000000"/>
          <w:sz w:val="22"/>
          <w:szCs w:val="22"/>
          <w:shd w:val="clear" w:color="auto" w:fill="D9D9D9"/>
        </w:rPr>
        <w:tab/>
        <w:t>120 kapsler</w:t>
      </w:r>
    </w:p>
    <w:p w14:paraId="590CEEDF" w14:textId="77777777" w:rsidR="006F7492" w:rsidRPr="00F852D1" w:rsidRDefault="006F7492" w:rsidP="00421681">
      <w:pPr>
        <w:widowControl w:val="0"/>
        <w:tabs>
          <w:tab w:val="left" w:pos="2268"/>
        </w:tabs>
        <w:suppressAutoHyphens/>
        <w:rPr>
          <w:color w:val="000000"/>
          <w:sz w:val="22"/>
          <w:szCs w:val="22"/>
          <w:shd w:val="clear" w:color="auto" w:fill="D9D9D9"/>
        </w:rPr>
      </w:pPr>
      <w:r w:rsidRPr="00F852D1">
        <w:rPr>
          <w:color w:val="000000"/>
          <w:sz w:val="22"/>
          <w:szCs w:val="22"/>
          <w:shd w:val="clear" w:color="auto" w:fill="D9D9D9"/>
        </w:rPr>
        <w:t>EU/1/01/198/006</w:t>
      </w:r>
      <w:r w:rsidRPr="00F852D1">
        <w:rPr>
          <w:color w:val="000000"/>
          <w:sz w:val="22"/>
          <w:szCs w:val="22"/>
          <w:shd w:val="clear" w:color="auto" w:fill="D9D9D9"/>
        </w:rPr>
        <w:tab/>
        <w:t>180 kapsler</w:t>
      </w:r>
    </w:p>
    <w:p w14:paraId="6034C15E" w14:textId="77777777" w:rsidR="006F7492" w:rsidRPr="00F852D1" w:rsidRDefault="006F7492" w:rsidP="00421681">
      <w:pPr>
        <w:rPr>
          <w:color w:val="000000"/>
          <w:sz w:val="22"/>
          <w:szCs w:val="22"/>
        </w:rPr>
      </w:pPr>
    </w:p>
    <w:p w14:paraId="62EB239D" w14:textId="77777777" w:rsidR="006F7492" w:rsidRPr="00F852D1" w:rsidRDefault="006F7492" w:rsidP="00421681">
      <w:pPr>
        <w:rPr>
          <w:color w:val="000000"/>
          <w:sz w:val="22"/>
          <w:szCs w:val="22"/>
        </w:rPr>
      </w:pPr>
    </w:p>
    <w:p w14:paraId="71C23086" w14:textId="77777777" w:rsidR="006F7492" w:rsidRPr="00F852D1"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rPr>
      </w:pPr>
      <w:r w:rsidRPr="00F852D1">
        <w:rPr>
          <w:b/>
          <w:color w:val="000000"/>
          <w:sz w:val="22"/>
          <w:szCs w:val="22"/>
        </w:rPr>
        <w:t>13.</w:t>
      </w:r>
      <w:r w:rsidRPr="00F852D1">
        <w:rPr>
          <w:b/>
          <w:color w:val="000000"/>
          <w:sz w:val="22"/>
          <w:szCs w:val="22"/>
        </w:rPr>
        <w:tab/>
        <w:t>FREMSTILLERENS BATCHNUMMER</w:t>
      </w:r>
    </w:p>
    <w:p w14:paraId="41CC7380" w14:textId="77777777" w:rsidR="006F7492" w:rsidRPr="00F852D1" w:rsidRDefault="006F7492" w:rsidP="00421681">
      <w:pPr>
        <w:rPr>
          <w:color w:val="000000"/>
          <w:sz w:val="22"/>
          <w:szCs w:val="22"/>
        </w:rPr>
      </w:pPr>
    </w:p>
    <w:p w14:paraId="5B77C1DA" w14:textId="77777777" w:rsidR="006F7492" w:rsidRPr="00F852D1" w:rsidRDefault="006F7492" w:rsidP="00421681">
      <w:pPr>
        <w:widowControl w:val="0"/>
        <w:rPr>
          <w:color w:val="000000"/>
          <w:sz w:val="22"/>
          <w:szCs w:val="22"/>
        </w:rPr>
      </w:pPr>
      <w:r w:rsidRPr="00F852D1">
        <w:rPr>
          <w:color w:val="000000"/>
          <w:sz w:val="22"/>
          <w:szCs w:val="22"/>
        </w:rPr>
        <w:t>Batch</w:t>
      </w:r>
    </w:p>
    <w:p w14:paraId="1C54A58F" w14:textId="77777777" w:rsidR="006F7492" w:rsidRPr="00F852D1" w:rsidRDefault="006F7492" w:rsidP="00421681">
      <w:pPr>
        <w:rPr>
          <w:color w:val="000000"/>
          <w:sz w:val="22"/>
          <w:szCs w:val="22"/>
        </w:rPr>
      </w:pPr>
    </w:p>
    <w:p w14:paraId="76601EDC" w14:textId="77777777" w:rsidR="006F7492" w:rsidRPr="00F852D1" w:rsidRDefault="006F7492" w:rsidP="00421681">
      <w:pPr>
        <w:rPr>
          <w:color w:val="000000"/>
          <w:sz w:val="22"/>
          <w:szCs w:val="22"/>
        </w:rPr>
      </w:pPr>
    </w:p>
    <w:p w14:paraId="608CDBCD" w14:textId="77777777" w:rsidR="006F7492" w:rsidRPr="00F852D1"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rPr>
      </w:pPr>
      <w:r w:rsidRPr="00F852D1">
        <w:rPr>
          <w:b/>
          <w:color w:val="000000"/>
          <w:sz w:val="22"/>
          <w:szCs w:val="22"/>
        </w:rPr>
        <w:t>14.</w:t>
      </w:r>
      <w:r w:rsidRPr="00F852D1">
        <w:rPr>
          <w:b/>
          <w:color w:val="000000"/>
          <w:sz w:val="22"/>
          <w:szCs w:val="22"/>
        </w:rPr>
        <w:tab/>
        <w:t xml:space="preserve">GENEREL KLASSIFIKATION FOR UDLEVERING </w:t>
      </w:r>
    </w:p>
    <w:p w14:paraId="16D9274F" w14:textId="77777777" w:rsidR="006F7492" w:rsidRPr="00F852D1" w:rsidRDefault="006F7492" w:rsidP="00421681">
      <w:pPr>
        <w:suppressAutoHyphens/>
        <w:ind w:left="720" w:hanging="720"/>
        <w:rPr>
          <w:color w:val="000000"/>
          <w:sz w:val="22"/>
          <w:szCs w:val="22"/>
        </w:rPr>
      </w:pPr>
    </w:p>
    <w:p w14:paraId="23C5C164" w14:textId="77777777" w:rsidR="006F7492" w:rsidRPr="00F852D1" w:rsidRDefault="006F7492" w:rsidP="00421681">
      <w:pPr>
        <w:suppressAutoHyphens/>
        <w:ind w:left="720" w:hanging="720"/>
        <w:rPr>
          <w:color w:val="000000"/>
          <w:sz w:val="22"/>
          <w:szCs w:val="22"/>
        </w:rPr>
      </w:pPr>
    </w:p>
    <w:p w14:paraId="7498DBF0"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15.</w:t>
      </w:r>
      <w:r w:rsidRPr="004C2A59">
        <w:rPr>
          <w:b/>
          <w:color w:val="000000"/>
          <w:sz w:val="22"/>
          <w:szCs w:val="22"/>
          <w:lang w:val="da-DK"/>
        </w:rPr>
        <w:tab/>
        <w:t>INSTRUKTIONER VEDRØRENDE ANVENDELSEN</w:t>
      </w:r>
    </w:p>
    <w:p w14:paraId="273A7263" w14:textId="77777777" w:rsidR="006F7492" w:rsidRPr="004C2A59" w:rsidRDefault="006F7492" w:rsidP="00421681">
      <w:pPr>
        <w:suppressAutoHyphens/>
        <w:rPr>
          <w:color w:val="000000"/>
          <w:sz w:val="22"/>
          <w:szCs w:val="22"/>
          <w:lang w:val="da-DK"/>
        </w:rPr>
      </w:pPr>
    </w:p>
    <w:p w14:paraId="0842FE89" w14:textId="77777777" w:rsidR="006F7492" w:rsidRPr="004C2A59" w:rsidRDefault="006F7492" w:rsidP="00421681">
      <w:pPr>
        <w:suppressAutoHyphens/>
        <w:rPr>
          <w:color w:val="000000"/>
          <w:sz w:val="22"/>
          <w:szCs w:val="22"/>
          <w:lang w:val="da-DK"/>
        </w:rPr>
      </w:pPr>
    </w:p>
    <w:p w14:paraId="0D2B7496"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suppressAutoHyphens/>
        <w:jc w:val="both"/>
        <w:rPr>
          <w:color w:val="000000"/>
          <w:sz w:val="22"/>
          <w:szCs w:val="22"/>
          <w:lang w:val="da-DK"/>
        </w:rPr>
      </w:pPr>
      <w:r w:rsidRPr="004C2A59">
        <w:rPr>
          <w:b/>
          <w:color w:val="000000"/>
          <w:sz w:val="22"/>
          <w:szCs w:val="22"/>
          <w:lang w:val="da-DK"/>
        </w:rPr>
        <w:t>16.</w:t>
      </w:r>
      <w:r w:rsidRPr="004C2A59">
        <w:rPr>
          <w:b/>
          <w:color w:val="000000"/>
          <w:sz w:val="22"/>
          <w:szCs w:val="22"/>
          <w:lang w:val="da-DK"/>
        </w:rPr>
        <w:tab/>
        <w:t>INFORMATION I BRAILLESKRIFT</w:t>
      </w:r>
    </w:p>
    <w:p w14:paraId="5724556A" w14:textId="77777777" w:rsidR="006F7492" w:rsidRPr="004C2A59" w:rsidRDefault="006F7492" w:rsidP="00421681">
      <w:pPr>
        <w:suppressAutoHyphens/>
        <w:jc w:val="both"/>
        <w:rPr>
          <w:color w:val="000000"/>
          <w:sz w:val="22"/>
          <w:szCs w:val="22"/>
          <w:lang w:val="da-DK"/>
        </w:rPr>
      </w:pPr>
    </w:p>
    <w:p w14:paraId="27EDA2D2" w14:textId="77777777" w:rsidR="006F7492" w:rsidRDefault="006F7492" w:rsidP="00421681">
      <w:pPr>
        <w:suppressAutoHyphens/>
        <w:rPr>
          <w:color w:val="000000"/>
          <w:sz w:val="22"/>
          <w:szCs w:val="22"/>
          <w:lang w:val="da-DK"/>
        </w:rPr>
      </w:pPr>
      <w:r w:rsidRPr="004C2A59">
        <w:rPr>
          <w:color w:val="000000"/>
          <w:sz w:val="22"/>
          <w:szCs w:val="22"/>
          <w:lang w:val="da-DK"/>
        </w:rPr>
        <w:t>Glivec 100 mg</w:t>
      </w:r>
    </w:p>
    <w:p w14:paraId="628C0790" w14:textId="77777777" w:rsidR="007A694A" w:rsidRDefault="007A694A" w:rsidP="00421681">
      <w:pPr>
        <w:suppressAutoHyphens/>
        <w:rPr>
          <w:color w:val="000000"/>
          <w:sz w:val="22"/>
          <w:szCs w:val="22"/>
          <w:lang w:val="da-DK"/>
        </w:rPr>
      </w:pPr>
    </w:p>
    <w:p w14:paraId="310AFEC6" w14:textId="77777777" w:rsidR="007A694A" w:rsidRPr="003C5BD8" w:rsidRDefault="007A694A" w:rsidP="00421681">
      <w:pPr>
        <w:widowControl w:val="0"/>
        <w:ind w:left="567" w:hanging="567"/>
        <w:rPr>
          <w:noProof/>
          <w:sz w:val="22"/>
          <w:szCs w:val="22"/>
          <w:lang w:val="da-DK"/>
        </w:rPr>
      </w:pPr>
    </w:p>
    <w:p w14:paraId="0DDCB525" w14:textId="77777777" w:rsidR="007A694A" w:rsidRPr="007A694A" w:rsidRDefault="007A694A" w:rsidP="00421681">
      <w:pPr>
        <w:widowControl w:val="0"/>
        <w:pBdr>
          <w:top w:val="single" w:sz="4" w:space="1" w:color="auto"/>
          <w:left w:val="single" w:sz="4" w:space="4" w:color="auto"/>
          <w:bottom w:val="single" w:sz="4" w:space="1" w:color="auto"/>
          <w:right w:val="single" w:sz="4" w:space="4" w:color="auto"/>
        </w:pBdr>
        <w:outlineLvl w:val="0"/>
        <w:rPr>
          <w:i/>
          <w:noProof/>
          <w:sz w:val="22"/>
          <w:szCs w:val="22"/>
          <w:lang w:val="da-DK"/>
        </w:rPr>
      </w:pPr>
      <w:r w:rsidRPr="007A694A">
        <w:rPr>
          <w:b/>
          <w:noProof/>
          <w:sz w:val="22"/>
          <w:szCs w:val="22"/>
          <w:lang w:val="da-DK"/>
        </w:rPr>
        <w:t>17</w:t>
      </w:r>
      <w:r w:rsidRPr="007A694A">
        <w:rPr>
          <w:b/>
          <w:noProof/>
          <w:sz w:val="22"/>
          <w:szCs w:val="22"/>
          <w:lang w:val="da-DK"/>
        </w:rPr>
        <w:tab/>
        <w:t>ENTYDIG IDENTIFIKATOR – 2D-STREGKODE</w:t>
      </w:r>
    </w:p>
    <w:p w14:paraId="671DFD4B" w14:textId="77777777" w:rsidR="007A694A" w:rsidRPr="007A694A" w:rsidRDefault="007A694A" w:rsidP="00421681">
      <w:pPr>
        <w:widowControl w:val="0"/>
        <w:rPr>
          <w:noProof/>
          <w:sz w:val="22"/>
          <w:szCs w:val="22"/>
          <w:lang w:val="da-DK"/>
        </w:rPr>
      </w:pPr>
    </w:p>
    <w:p w14:paraId="048B1093" w14:textId="77777777" w:rsidR="007A694A" w:rsidRPr="008242A8" w:rsidRDefault="007A694A" w:rsidP="00421681">
      <w:pPr>
        <w:widowControl w:val="0"/>
        <w:rPr>
          <w:noProof/>
          <w:sz w:val="22"/>
          <w:szCs w:val="22"/>
          <w:lang w:val="da-DK"/>
        </w:rPr>
      </w:pPr>
      <w:r w:rsidRPr="007A694A">
        <w:rPr>
          <w:noProof/>
          <w:sz w:val="22"/>
          <w:szCs w:val="22"/>
          <w:shd w:val="pct15" w:color="auto" w:fill="auto"/>
          <w:lang w:val="da-DK"/>
        </w:rPr>
        <w:t>Der er anført en 2D-stregkode, som indeholder en entydig identifikator.</w:t>
      </w:r>
    </w:p>
    <w:p w14:paraId="66078136" w14:textId="77777777" w:rsidR="007A694A" w:rsidRPr="007A694A" w:rsidRDefault="007A694A" w:rsidP="00421681">
      <w:pPr>
        <w:widowControl w:val="0"/>
        <w:rPr>
          <w:noProof/>
          <w:sz w:val="22"/>
          <w:szCs w:val="22"/>
          <w:lang w:val="da-DK"/>
        </w:rPr>
      </w:pPr>
    </w:p>
    <w:p w14:paraId="48F4DC18" w14:textId="77777777" w:rsidR="007A694A" w:rsidRPr="007A694A" w:rsidRDefault="007A694A" w:rsidP="00421681">
      <w:pPr>
        <w:widowControl w:val="0"/>
        <w:rPr>
          <w:noProof/>
          <w:sz w:val="22"/>
          <w:szCs w:val="22"/>
          <w:lang w:val="da-DK"/>
        </w:rPr>
      </w:pPr>
    </w:p>
    <w:p w14:paraId="74AC58A3" w14:textId="77777777" w:rsidR="007A694A" w:rsidRPr="007A694A" w:rsidRDefault="007A694A" w:rsidP="00421681">
      <w:pPr>
        <w:widowControl w:val="0"/>
        <w:pBdr>
          <w:top w:val="single" w:sz="4" w:space="1" w:color="auto"/>
          <w:left w:val="single" w:sz="4" w:space="4" w:color="auto"/>
          <w:bottom w:val="single" w:sz="4" w:space="1" w:color="auto"/>
          <w:right w:val="single" w:sz="4" w:space="4" w:color="auto"/>
        </w:pBdr>
        <w:outlineLvl w:val="0"/>
        <w:rPr>
          <w:i/>
          <w:noProof/>
          <w:sz w:val="22"/>
          <w:szCs w:val="22"/>
          <w:lang w:val="da-DK"/>
        </w:rPr>
      </w:pPr>
      <w:r w:rsidRPr="007A694A">
        <w:rPr>
          <w:b/>
          <w:noProof/>
          <w:sz w:val="22"/>
          <w:szCs w:val="22"/>
          <w:lang w:val="da-DK"/>
        </w:rPr>
        <w:t>18.</w:t>
      </w:r>
      <w:r w:rsidRPr="007A694A">
        <w:rPr>
          <w:b/>
          <w:noProof/>
          <w:sz w:val="22"/>
          <w:szCs w:val="22"/>
          <w:lang w:val="da-DK"/>
        </w:rPr>
        <w:tab/>
        <w:t>ENTYDIG IDENTIFIKATOR - MENNESKELIGT LÆSBARE DATA</w:t>
      </w:r>
    </w:p>
    <w:p w14:paraId="12D14FD7" w14:textId="77777777" w:rsidR="007A694A" w:rsidRPr="007A694A" w:rsidRDefault="007A694A" w:rsidP="00421681">
      <w:pPr>
        <w:widowControl w:val="0"/>
        <w:rPr>
          <w:noProof/>
          <w:sz w:val="22"/>
          <w:szCs w:val="22"/>
          <w:lang w:val="da-DK"/>
        </w:rPr>
      </w:pPr>
    </w:p>
    <w:p w14:paraId="02F0B0DE" w14:textId="77777777" w:rsidR="007A694A" w:rsidRPr="007A694A" w:rsidRDefault="007A694A" w:rsidP="00421681">
      <w:pPr>
        <w:widowControl w:val="0"/>
        <w:rPr>
          <w:sz w:val="22"/>
          <w:szCs w:val="22"/>
          <w:lang w:val="da-DK"/>
        </w:rPr>
      </w:pPr>
      <w:r w:rsidRPr="007A694A">
        <w:rPr>
          <w:sz w:val="22"/>
          <w:szCs w:val="22"/>
          <w:lang w:val="da-DK"/>
        </w:rPr>
        <w:t>PC:</w:t>
      </w:r>
    </w:p>
    <w:p w14:paraId="66BDEC3E" w14:textId="77777777" w:rsidR="007A694A" w:rsidRPr="007A694A" w:rsidRDefault="007A694A" w:rsidP="00421681">
      <w:pPr>
        <w:widowControl w:val="0"/>
        <w:rPr>
          <w:sz w:val="22"/>
          <w:szCs w:val="22"/>
          <w:lang w:val="da-DK"/>
        </w:rPr>
      </w:pPr>
      <w:r w:rsidRPr="007A694A">
        <w:rPr>
          <w:sz w:val="22"/>
          <w:szCs w:val="22"/>
          <w:lang w:val="da-DK"/>
        </w:rPr>
        <w:t>SN:</w:t>
      </w:r>
    </w:p>
    <w:p w14:paraId="1F1CFE30" w14:textId="77777777" w:rsidR="007A694A" w:rsidRPr="00F93637" w:rsidRDefault="007A694A" w:rsidP="00421681">
      <w:pPr>
        <w:widowControl w:val="0"/>
        <w:rPr>
          <w:noProof/>
          <w:sz w:val="22"/>
          <w:szCs w:val="22"/>
          <w:lang w:val="da-DK"/>
        </w:rPr>
      </w:pPr>
      <w:r w:rsidRPr="007A694A">
        <w:rPr>
          <w:sz w:val="22"/>
          <w:szCs w:val="22"/>
          <w:lang w:val="da-DK"/>
        </w:rPr>
        <w:t>NN:</w:t>
      </w:r>
    </w:p>
    <w:p w14:paraId="365044FD" w14:textId="77777777" w:rsidR="007A694A" w:rsidRPr="008242A8" w:rsidRDefault="007A694A" w:rsidP="00421681">
      <w:pPr>
        <w:widowControl w:val="0"/>
        <w:rPr>
          <w:noProof/>
          <w:sz w:val="22"/>
          <w:szCs w:val="22"/>
          <w:lang w:val="da-DK"/>
        </w:rPr>
      </w:pPr>
    </w:p>
    <w:p w14:paraId="407377AD" w14:textId="77777777" w:rsidR="006F7492" w:rsidRPr="004C2A59" w:rsidRDefault="007A694A" w:rsidP="00421681">
      <w:pPr>
        <w:suppressAutoHyphens/>
        <w:rPr>
          <w:color w:val="000000"/>
          <w:sz w:val="22"/>
          <w:szCs w:val="22"/>
          <w:lang w:val="da-DK"/>
        </w:rPr>
      </w:pPr>
      <w:r w:rsidRPr="00247981">
        <w:rPr>
          <w:b/>
          <w:sz w:val="22"/>
          <w:szCs w:val="22"/>
          <w:lang w:val="da-DK"/>
        </w:rPr>
        <w:br w:type="page"/>
      </w:r>
    </w:p>
    <w:p w14:paraId="28C2F28E" w14:textId="77777777" w:rsidR="001B7781" w:rsidRPr="001B7781" w:rsidRDefault="001B7781" w:rsidP="001B7781">
      <w:pPr>
        <w:rPr>
          <w:color w:val="000000"/>
          <w:sz w:val="22"/>
          <w:szCs w:val="22"/>
          <w:lang w:val="da-DK"/>
        </w:rPr>
      </w:pPr>
    </w:p>
    <w:p w14:paraId="59DFE8BB" w14:textId="77777777" w:rsidR="006F7492" w:rsidRPr="004C2A59" w:rsidRDefault="006F7492" w:rsidP="00421681">
      <w:pPr>
        <w:pBdr>
          <w:top w:val="single" w:sz="4" w:space="1" w:color="auto"/>
          <w:left w:val="single" w:sz="4" w:space="4" w:color="auto"/>
          <w:bottom w:val="single" w:sz="4" w:space="1" w:color="auto"/>
          <w:right w:val="single" w:sz="4" w:space="4" w:color="auto"/>
        </w:pBdr>
        <w:rPr>
          <w:b/>
          <w:color w:val="000000"/>
          <w:sz w:val="22"/>
          <w:szCs w:val="22"/>
          <w:lang w:val="da-DK"/>
        </w:rPr>
      </w:pPr>
      <w:r w:rsidRPr="004C2A59">
        <w:rPr>
          <w:b/>
          <w:color w:val="000000"/>
          <w:sz w:val="22"/>
          <w:szCs w:val="22"/>
          <w:lang w:val="da-DK"/>
        </w:rPr>
        <w:t>MINDSTEKRAV TIL MÆRKNING PÅ BLISTER ELLER STRIP</w:t>
      </w:r>
    </w:p>
    <w:p w14:paraId="7DF04225" w14:textId="77777777" w:rsidR="006F7492" w:rsidRPr="004C2A59" w:rsidRDefault="006F7492" w:rsidP="00421681">
      <w:pPr>
        <w:pBdr>
          <w:top w:val="single" w:sz="4" w:space="1" w:color="auto"/>
          <w:left w:val="single" w:sz="4" w:space="4" w:color="auto"/>
          <w:bottom w:val="single" w:sz="4" w:space="1" w:color="auto"/>
          <w:right w:val="single" w:sz="4" w:space="4" w:color="auto"/>
        </w:pBdr>
        <w:rPr>
          <w:color w:val="000000"/>
          <w:sz w:val="22"/>
          <w:szCs w:val="22"/>
          <w:lang w:val="da-DK"/>
        </w:rPr>
      </w:pPr>
    </w:p>
    <w:p w14:paraId="05267B15" w14:textId="77777777" w:rsidR="006F7492" w:rsidRPr="004C2A59" w:rsidRDefault="006F7492" w:rsidP="00421681">
      <w:pPr>
        <w:pBdr>
          <w:top w:val="single" w:sz="4" w:space="1" w:color="auto"/>
          <w:left w:val="single" w:sz="4" w:space="4" w:color="auto"/>
          <w:bottom w:val="single" w:sz="4" w:space="1" w:color="auto"/>
          <w:right w:val="single" w:sz="4" w:space="4" w:color="auto"/>
        </w:pBdr>
        <w:rPr>
          <w:b/>
          <w:color w:val="000000"/>
          <w:sz w:val="22"/>
          <w:szCs w:val="22"/>
          <w:lang w:val="da-DK"/>
        </w:rPr>
      </w:pPr>
      <w:r w:rsidRPr="004C2A59">
        <w:rPr>
          <w:b/>
          <w:color w:val="000000"/>
          <w:sz w:val="22"/>
          <w:szCs w:val="22"/>
          <w:lang w:val="da-DK"/>
        </w:rPr>
        <w:t>BLISTER</w:t>
      </w:r>
    </w:p>
    <w:p w14:paraId="304C8F00" w14:textId="77777777" w:rsidR="006F7492" w:rsidRPr="004C2A59" w:rsidRDefault="006F7492" w:rsidP="00421681">
      <w:pPr>
        <w:rPr>
          <w:color w:val="000000"/>
          <w:sz w:val="22"/>
          <w:szCs w:val="22"/>
          <w:lang w:val="da-DK"/>
        </w:rPr>
      </w:pPr>
    </w:p>
    <w:p w14:paraId="0416B996" w14:textId="77777777" w:rsidR="006F7492" w:rsidRPr="004C2A59" w:rsidRDefault="006F7492" w:rsidP="00421681">
      <w:pPr>
        <w:rPr>
          <w:color w:val="000000"/>
          <w:sz w:val="22"/>
          <w:szCs w:val="22"/>
          <w:lang w:val="da-DK"/>
        </w:rPr>
      </w:pPr>
    </w:p>
    <w:p w14:paraId="76DA6703"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1.</w:t>
      </w:r>
      <w:r w:rsidRPr="004C2A59">
        <w:rPr>
          <w:b/>
          <w:color w:val="000000"/>
          <w:sz w:val="22"/>
          <w:szCs w:val="22"/>
          <w:lang w:val="da-DK"/>
        </w:rPr>
        <w:tab/>
        <w:t>LÆGEMIDLETS NAVN</w:t>
      </w:r>
    </w:p>
    <w:p w14:paraId="33AECEC8" w14:textId="77777777" w:rsidR="006F7492" w:rsidRPr="004C2A59" w:rsidRDefault="006F7492" w:rsidP="00421681">
      <w:pPr>
        <w:suppressAutoHyphens/>
        <w:rPr>
          <w:color w:val="000000"/>
          <w:sz w:val="22"/>
          <w:szCs w:val="22"/>
          <w:lang w:val="da-DK"/>
        </w:rPr>
      </w:pPr>
    </w:p>
    <w:p w14:paraId="543FAFB0"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Glivec 100 mg kapsler</w:t>
      </w:r>
    </w:p>
    <w:p w14:paraId="2A43D565" w14:textId="77777777" w:rsidR="006F7492" w:rsidRPr="004C2A59" w:rsidRDefault="005A13E6" w:rsidP="00421681">
      <w:pPr>
        <w:widowControl w:val="0"/>
        <w:suppressAutoHyphens/>
        <w:rPr>
          <w:color w:val="000000"/>
          <w:sz w:val="22"/>
          <w:szCs w:val="22"/>
          <w:lang w:val="da-DK"/>
        </w:rPr>
      </w:pPr>
      <w:r>
        <w:rPr>
          <w:color w:val="000000"/>
          <w:sz w:val="22"/>
          <w:szCs w:val="22"/>
          <w:lang w:val="da-DK"/>
        </w:rPr>
        <w:t>i</w:t>
      </w:r>
      <w:r w:rsidR="006F7492" w:rsidRPr="004C2A59">
        <w:rPr>
          <w:color w:val="000000"/>
          <w:sz w:val="22"/>
          <w:szCs w:val="22"/>
          <w:lang w:val="da-DK"/>
        </w:rPr>
        <w:t>matinib</w:t>
      </w:r>
    </w:p>
    <w:p w14:paraId="075E5119" w14:textId="77777777" w:rsidR="006F7492" w:rsidRPr="004C2A59" w:rsidRDefault="006F7492" w:rsidP="00421681">
      <w:pPr>
        <w:suppressAutoHyphens/>
        <w:rPr>
          <w:color w:val="000000"/>
          <w:sz w:val="22"/>
          <w:szCs w:val="22"/>
          <w:lang w:val="da-DK"/>
        </w:rPr>
      </w:pPr>
    </w:p>
    <w:p w14:paraId="4859D18C" w14:textId="77777777" w:rsidR="006F7492" w:rsidRPr="004C2A59" w:rsidRDefault="006F7492" w:rsidP="00421681">
      <w:pPr>
        <w:suppressAutoHyphens/>
        <w:rPr>
          <w:color w:val="000000"/>
          <w:sz w:val="22"/>
          <w:szCs w:val="22"/>
          <w:lang w:val="da-DK"/>
        </w:rPr>
      </w:pPr>
    </w:p>
    <w:p w14:paraId="38C8BACE"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2.</w:t>
      </w:r>
      <w:r w:rsidRPr="004C2A59">
        <w:rPr>
          <w:b/>
          <w:color w:val="000000"/>
          <w:sz w:val="22"/>
          <w:szCs w:val="22"/>
          <w:lang w:val="da-DK"/>
        </w:rPr>
        <w:tab/>
        <w:t>NAVN PÅ INDEHAVEREN AF MARKEDSFØRINGSTILLADELSEN</w:t>
      </w:r>
    </w:p>
    <w:p w14:paraId="07B34D9A" w14:textId="77777777" w:rsidR="006F7492" w:rsidRPr="004C2A59" w:rsidRDefault="006F7492" w:rsidP="00421681">
      <w:pPr>
        <w:suppressAutoHyphens/>
        <w:rPr>
          <w:color w:val="000000"/>
          <w:sz w:val="22"/>
          <w:szCs w:val="22"/>
          <w:lang w:val="da-DK"/>
        </w:rPr>
      </w:pPr>
    </w:p>
    <w:p w14:paraId="04B4BB7B" w14:textId="77777777" w:rsidR="006F7492" w:rsidRPr="00CC68CC" w:rsidRDefault="006F7492" w:rsidP="00421681">
      <w:pPr>
        <w:widowControl w:val="0"/>
        <w:suppressAutoHyphens/>
        <w:rPr>
          <w:color w:val="000000"/>
          <w:sz w:val="22"/>
          <w:szCs w:val="22"/>
        </w:rPr>
      </w:pPr>
      <w:r w:rsidRPr="00CC68CC">
        <w:rPr>
          <w:color w:val="000000"/>
          <w:sz w:val="22"/>
          <w:szCs w:val="22"/>
        </w:rPr>
        <w:t>Novartis Europharm Limited</w:t>
      </w:r>
    </w:p>
    <w:p w14:paraId="24890972" w14:textId="77777777" w:rsidR="006F7492" w:rsidRPr="00CC68CC" w:rsidRDefault="006F7492" w:rsidP="00421681">
      <w:pPr>
        <w:suppressAutoHyphens/>
        <w:rPr>
          <w:color w:val="000000"/>
          <w:sz w:val="22"/>
          <w:szCs w:val="22"/>
        </w:rPr>
      </w:pPr>
    </w:p>
    <w:p w14:paraId="383C10E3" w14:textId="77777777" w:rsidR="006F7492" w:rsidRPr="00CC68CC" w:rsidRDefault="006F7492" w:rsidP="00421681">
      <w:pPr>
        <w:suppressAutoHyphens/>
        <w:rPr>
          <w:color w:val="000000"/>
          <w:sz w:val="22"/>
          <w:szCs w:val="22"/>
        </w:rPr>
      </w:pPr>
    </w:p>
    <w:p w14:paraId="7360B053" w14:textId="77777777" w:rsidR="006F7492" w:rsidRPr="00CC68CC"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rPr>
      </w:pPr>
      <w:r w:rsidRPr="00CC68CC">
        <w:rPr>
          <w:b/>
          <w:color w:val="000000"/>
          <w:sz w:val="22"/>
          <w:szCs w:val="22"/>
        </w:rPr>
        <w:t>3.</w:t>
      </w:r>
      <w:r w:rsidRPr="00CC68CC">
        <w:rPr>
          <w:b/>
          <w:color w:val="000000"/>
          <w:sz w:val="22"/>
          <w:szCs w:val="22"/>
        </w:rPr>
        <w:tab/>
        <w:t>UDLØBSDATO</w:t>
      </w:r>
    </w:p>
    <w:p w14:paraId="5F595484" w14:textId="77777777" w:rsidR="006F7492" w:rsidRPr="00CC68CC" w:rsidRDefault="006F7492" w:rsidP="00421681">
      <w:pPr>
        <w:suppressAutoHyphens/>
        <w:jc w:val="both"/>
        <w:rPr>
          <w:color w:val="000000"/>
          <w:sz w:val="22"/>
          <w:szCs w:val="22"/>
        </w:rPr>
      </w:pPr>
    </w:p>
    <w:p w14:paraId="010C293E" w14:textId="77777777" w:rsidR="006F7492" w:rsidRPr="00CC68CC" w:rsidRDefault="006F7492" w:rsidP="00421681">
      <w:pPr>
        <w:widowControl w:val="0"/>
        <w:suppressAutoHyphens/>
        <w:jc w:val="both"/>
        <w:rPr>
          <w:color w:val="000000"/>
          <w:sz w:val="22"/>
          <w:szCs w:val="22"/>
        </w:rPr>
      </w:pPr>
      <w:r w:rsidRPr="00CC68CC">
        <w:rPr>
          <w:color w:val="000000"/>
          <w:sz w:val="22"/>
          <w:szCs w:val="22"/>
        </w:rPr>
        <w:t>EXP</w:t>
      </w:r>
    </w:p>
    <w:p w14:paraId="4A96E878" w14:textId="77777777" w:rsidR="006F7492" w:rsidRPr="00CC68CC" w:rsidRDefault="006F7492" w:rsidP="00421681">
      <w:pPr>
        <w:suppressAutoHyphens/>
        <w:jc w:val="both"/>
        <w:rPr>
          <w:color w:val="000000"/>
          <w:sz w:val="22"/>
          <w:szCs w:val="22"/>
        </w:rPr>
      </w:pPr>
    </w:p>
    <w:p w14:paraId="1A611F3C" w14:textId="77777777" w:rsidR="006F7492" w:rsidRPr="00CC68CC" w:rsidRDefault="006F7492" w:rsidP="00421681">
      <w:pPr>
        <w:suppressAutoHyphens/>
        <w:jc w:val="both"/>
        <w:rPr>
          <w:color w:val="000000"/>
          <w:sz w:val="22"/>
          <w:szCs w:val="22"/>
        </w:rPr>
      </w:pPr>
    </w:p>
    <w:p w14:paraId="1AF8055C" w14:textId="77777777" w:rsidR="006F7492" w:rsidRPr="00CC68CC"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rPr>
      </w:pPr>
      <w:r w:rsidRPr="00CC68CC">
        <w:rPr>
          <w:b/>
          <w:color w:val="000000"/>
          <w:sz w:val="22"/>
          <w:szCs w:val="22"/>
        </w:rPr>
        <w:t>4.</w:t>
      </w:r>
      <w:r w:rsidRPr="00CC68CC">
        <w:rPr>
          <w:b/>
          <w:color w:val="000000"/>
          <w:sz w:val="22"/>
          <w:szCs w:val="22"/>
        </w:rPr>
        <w:tab/>
        <w:t>BATCHNUMMER</w:t>
      </w:r>
    </w:p>
    <w:p w14:paraId="37F2559E" w14:textId="77777777" w:rsidR="006F7492" w:rsidRPr="00CC68CC" w:rsidRDefault="006F7492" w:rsidP="00421681">
      <w:pPr>
        <w:suppressAutoHyphens/>
        <w:jc w:val="both"/>
        <w:rPr>
          <w:color w:val="000000"/>
          <w:sz w:val="22"/>
          <w:szCs w:val="22"/>
        </w:rPr>
      </w:pPr>
    </w:p>
    <w:p w14:paraId="66CB54E7" w14:textId="77777777" w:rsidR="006F7492" w:rsidRPr="004C2A59" w:rsidRDefault="006F7492" w:rsidP="00421681">
      <w:pPr>
        <w:widowControl w:val="0"/>
        <w:suppressAutoHyphens/>
        <w:jc w:val="both"/>
        <w:rPr>
          <w:color w:val="000000"/>
          <w:sz w:val="22"/>
          <w:szCs w:val="22"/>
          <w:lang w:val="da-DK"/>
        </w:rPr>
      </w:pPr>
      <w:r w:rsidRPr="004C2A59">
        <w:rPr>
          <w:color w:val="000000"/>
          <w:sz w:val="22"/>
          <w:szCs w:val="22"/>
          <w:lang w:val="da-DK"/>
        </w:rPr>
        <w:t>Lot</w:t>
      </w:r>
    </w:p>
    <w:p w14:paraId="21851F33" w14:textId="77777777" w:rsidR="006F7492" w:rsidRPr="004C2A59" w:rsidRDefault="006F7492" w:rsidP="00421681">
      <w:pPr>
        <w:widowControl w:val="0"/>
        <w:rPr>
          <w:color w:val="000000"/>
          <w:sz w:val="22"/>
          <w:szCs w:val="22"/>
          <w:lang w:val="da-DK"/>
        </w:rPr>
      </w:pPr>
    </w:p>
    <w:p w14:paraId="0B0AB5FB" w14:textId="77777777" w:rsidR="006F7492" w:rsidRPr="004C2A59" w:rsidRDefault="006F7492" w:rsidP="00421681">
      <w:pPr>
        <w:widowControl w:val="0"/>
        <w:rPr>
          <w:color w:val="000000"/>
          <w:sz w:val="22"/>
          <w:szCs w:val="22"/>
          <w:lang w:val="da-DK"/>
        </w:rPr>
      </w:pPr>
    </w:p>
    <w:p w14:paraId="34F4187B"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142"/>
        </w:tabs>
        <w:ind w:left="567" w:hanging="567"/>
        <w:rPr>
          <w:b/>
          <w:noProof/>
          <w:sz w:val="22"/>
          <w:szCs w:val="22"/>
          <w:lang w:val="da-DK"/>
        </w:rPr>
      </w:pPr>
      <w:r w:rsidRPr="004C2A59">
        <w:rPr>
          <w:b/>
          <w:noProof/>
          <w:sz w:val="22"/>
          <w:szCs w:val="22"/>
          <w:lang w:val="da-DK"/>
        </w:rPr>
        <w:t>5.</w:t>
      </w:r>
      <w:r w:rsidRPr="004C2A59">
        <w:rPr>
          <w:b/>
          <w:noProof/>
          <w:sz w:val="22"/>
          <w:szCs w:val="22"/>
          <w:lang w:val="da-DK"/>
        </w:rPr>
        <w:tab/>
        <w:t>ANDET</w:t>
      </w:r>
    </w:p>
    <w:p w14:paraId="135BE64D" w14:textId="77777777" w:rsidR="006F7492" w:rsidRPr="004C2A59" w:rsidRDefault="006F7492" w:rsidP="00421681">
      <w:pPr>
        <w:suppressAutoHyphens/>
        <w:rPr>
          <w:color w:val="000000"/>
          <w:sz w:val="22"/>
          <w:szCs w:val="22"/>
          <w:lang w:val="da-DK"/>
        </w:rPr>
      </w:pPr>
      <w:r w:rsidRPr="004C2A59">
        <w:rPr>
          <w:color w:val="000000"/>
          <w:sz w:val="22"/>
          <w:szCs w:val="22"/>
          <w:lang w:val="da-DK"/>
        </w:rPr>
        <w:br w:type="page"/>
      </w:r>
    </w:p>
    <w:p w14:paraId="479ED39E" w14:textId="77777777" w:rsidR="001B7781" w:rsidRPr="001B7781" w:rsidRDefault="001B7781" w:rsidP="001B7781">
      <w:pPr>
        <w:rPr>
          <w:color w:val="000000"/>
          <w:sz w:val="22"/>
          <w:szCs w:val="22"/>
          <w:lang w:val="da-DK"/>
        </w:rPr>
      </w:pPr>
    </w:p>
    <w:p w14:paraId="33291E5B" w14:textId="77777777" w:rsidR="006F7492" w:rsidRPr="004C2A59" w:rsidRDefault="006F7492" w:rsidP="00421681">
      <w:pPr>
        <w:pBdr>
          <w:top w:val="single" w:sz="4" w:space="1" w:color="auto"/>
          <w:left w:val="single" w:sz="4" w:space="4" w:color="auto"/>
          <w:bottom w:val="single" w:sz="4" w:space="1" w:color="auto"/>
          <w:right w:val="single" w:sz="4" w:space="4" w:color="auto"/>
        </w:pBdr>
        <w:rPr>
          <w:color w:val="000000"/>
          <w:sz w:val="22"/>
          <w:szCs w:val="22"/>
          <w:lang w:val="da-DK"/>
        </w:rPr>
      </w:pPr>
      <w:r w:rsidRPr="004C2A59">
        <w:rPr>
          <w:b/>
          <w:color w:val="000000"/>
          <w:sz w:val="22"/>
          <w:szCs w:val="22"/>
          <w:lang w:val="da-DK"/>
        </w:rPr>
        <w:t xml:space="preserve">MÆRKNING, </w:t>
      </w:r>
      <w:smartTag w:uri="urn:schemas-microsoft-com:office:smarttags" w:element="metricconverter">
        <w:r w:rsidRPr="004C2A59">
          <w:rPr>
            <w:b/>
            <w:color w:val="000000"/>
            <w:sz w:val="22"/>
            <w:szCs w:val="22"/>
            <w:lang w:val="da-DK"/>
          </w:rPr>
          <w:t>DER</w:t>
        </w:r>
      </w:smartTag>
      <w:r w:rsidRPr="004C2A59">
        <w:rPr>
          <w:b/>
          <w:color w:val="000000"/>
          <w:sz w:val="22"/>
          <w:szCs w:val="22"/>
          <w:lang w:val="da-DK"/>
        </w:rPr>
        <w:t xml:space="preserve"> SKAL ANFØRES PÅ DEN YDRE EMBALLAGE</w:t>
      </w:r>
    </w:p>
    <w:p w14:paraId="4B7E4740" w14:textId="77777777" w:rsidR="006F7492" w:rsidRPr="004C2A59" w:rsidRDefault="006F7492" w:rsidP="00421681">
      <w:pPr>
        <w:pBdr>
          <w:top w:val="single" w:sz="4" w:space="1" w:color="auto"/>
          <w:left w:val="single" w:sz="4" w:space="4" w:color="auto"/>
          <w:bottom w:val="single" w:sz="4" w:space="1" w:color="auto"/>
          <w:right w:val="single" w:sz="4" w:space="4" w:color="auto"/>
        </w:pBdr>
        <w:rPr>
          <w:color w:val="000000"/>
          <w:sz w:val="22"/>
          <w:szCs w:val="22"/>
          <w:lang w:val="da-DK"/>
        </w:rPr>
      </w:pPr>
    </w:p>
    <w:p w14:paraId="468032F3" w14:textId="77777777" w:rsidR="006F7492" w:rsidRPr="004C2A59" w:rsidRDefault="006F7492" w:rsidP="00421681">
      <w:pPr>
        <w:pBdr>
          <w:top w:val="single" w:sz="4" w:space="1" w:color="auto"/>
          <w:left w:val="single" w:sz="4" w:space="4" w:color="auto"/>
          <w:bottom w:val="single" w:sz="4" w:space="1" w:color="auto"/>
          <w:right w:val="single" w:sz="4" w:space="4" w:color="auto"/>
        </w:pBdr>
        <w:rPr>
          <w:color w:val="000000"/>
          <w:sz w:val="22"/>
          <w:szCs w:val="22"/>
          <w:lang w:val="da-DK"/>
        </w:rPr>
      </w:pPr>
      <w:r w:rsidRPr="004C2A59">
        <w:rPr>
          <w:b/>
          <w:color w:val="000000"/>
          <w:sz w:val="22"/>
          <w:szCs w:val="22"/>
          <w:lang w:val="da-DK"/>
        </w:rPr>
        <w:t>KARTON</w:t>
      </w:r>
    </w:p>
    <w:p w14:paraId="3F2F5FCE" w14:textId="77777777" w:rsidR="006F7492" w:rsidRPr="004C2A59" w:rsidRDefault="006F7492" w:rsidP="00421681">
      <w:pPr>
        <w:rPr>
          <w:color w:val="000000"/>
          <w:sz w:val="22"/>
          <w:szCs w:val="22"/>
          <w:lang w:val="da-DK"/>
        </w:rPr>
      </w:pPr>
    </w:p>
    <w:p w14:paraId="177B3F46" w14:textId="77777777" w:rsidR="006F7492" w:rsidRPr="004C2A59" w:rsidRDefault="006F7492" w:rsidP="00421681">
      <w:pPr>
        <w:suppressAutoHyphens/>
        <w:rPr>
          <w:color w:val="000000"/>
          <w:sz w:val="22"/>
          <w:szCs w:val="22"/>
          <w:lang w:val="da-DK"/>
        </w:rPr>
      </w:pPr>
    </w:p>
    <w:p w14:paraId="6E37274F"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1.</w:t>
      </w:r>
      <w:r w:rsidRPr="004C2A59">
        <w:rPr>
          <w:b/>
          <w:color w:val="000000"/>
          <w:sz w:val="22"/>
          <w:szCs w:val="22"/>
          <w:lang w:val="da-DK"/>
        </w:rPr>
        <w:tab/>
        <w:t>LÆGEMIDLETS NAVN</w:t>
      </w:r>
    </w:p>
    <w:p w14:paraId="54EBFB75" w14:textId="77777777" w:rsidR="006F7492" w:rsidRPr="004C2A59" w:rsidRDefault="006F7492" w:rsidP="00421681">
      <w:pPr>
        <w:suppressAutoHyphens/>
        <w:rPr>
          <w:color w:val="000000"/>
          <w:sz w:val="22"/>
          <w:szCs w:val="22"/>
          <w:lang w:val="da-DK"/>
        </w:rPr>
      </w:pPr>
    </w:p>
    <w:p w14:paraId="7C1A97C9"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Glivec 100 mg filmovertrukne tabletter</w:t>
      </w:r>
    </w:p>
    <w:p w14:paraId="233DE385" w14:textId="77777777" w:rsidR="006F7492" w:rsidRPr="004C2A59" w:rsidRDefault="005A13E6" w:rsidP="00421681">
      <w:pPr>
        <w:widowControl w:val="0"/>
        <w:suppressAutoHyphens/>
        <w:rPr>
          <w:color w:val="000000"/>
          <w:sz w:val="22"/>
          <w:szCs w:val="22"/>
          <w:lang w:val="da-DK"/>
        </w:rPr>
      </w:pPr>
      <w:r>
        <w:rPr>
          <w:color w:val="000000"/>
          <w:sz w:val="22"/>
          <w:szCs w:val="22"/>
          <w:lang w:val="da-DK"/>
        </w:rPr>
        <w:t>i</w:t>
      </w:r>
      <w:r w:rsidR="006F7492" w:rsidRPr="004C2A59">
        <w:rPr>
          <w:color w:val="000000"/>
          <w:sz w:val="22"/>
          <w:szCs w:val="22"/>
          <w:lang w:val="da-DK"/>
        </w:rPr>
        <w:t>matinib</w:t>
      </w:r>
    </w:p>
    <w:p w14:paraId="184E3591" w14:textId="77777777" w:rsidR="006F7492" w:rsidRPr="004C2A59" w:rsidRDefault="006F7492" w:rsidP="00421681">
      <w:pPr>
        <w:suppressAutoHyphens/>
        <w:rPr>
          <w:color w:val="000000"/>
          <w:sz w:val="22"/>
          <w:szCs w:val="22"/>
          <w:lang w:val="da-DK"/>
        </w:rPr>
      </w:pPr>
    </w:p>
    <w:p w14:paraId="0B69C3C3" w14:textId="77777777" w:rsidR="006F7492" w:rsidRPr="004C2A59" w:rsidRDefault="006F7492" w:rsidP="00421681">
      <w:pPr>
        <w:suppressAutoHyphens/>
        <w:rPr>
          <w:color w:val="000000"/>
          <w:sz w:val="22"/>
          <w:szCs w:val="22"/>
          <w:lang w:val="da-DK"/>
        </w:rPr>
      </w:pPr>
    </w:p>
    <w:p w14:paraId="7387B946"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2.</w:t>
      </w:r>
      <w:r w:rsidRPr="004C2A59">
        <w:rPr>
          <w:b/>
          <w:color w:val="000000"/>
          <w:sz w:val="22"/>
          <w:szCs w:val="22"/>
          <w:lang w:val="da-DK"/>
        </w:rPr>
        <w:tab/>
        <w:t>ANGIVELSE AF AKTIVT STOF/AKTIVE STOFFER</w:t>
      </w:r>
    </w:p>
    <w:p w14:paraId="38DB9D6E" w14:textId="77777777" w:rsidR="006F7492" w:rsidRPr="004C2A59" w:rsidRDefault="006F7492" w:rsidP="00421681">
      <w:pPr>
        <w:suppressAutoHyphens/>
        <w:rPr>
          <w:color w:val="000000"/>
          <w:sz w:val="22"/>
          <w:szCs w:val="22"/>
          <w:lang w:val="da-DK"/>
        </w:rPr>
      </w:pPr>
    </w:p>
    <w:p w14:paraId="5C33471F"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Hver filmovertrukken tablet indeholder 100 mg imatinib (som mesilat).</w:t>
      </w:r>
    </w:p>
    <w:p w14:paraId="363C5903" w14:textId="77777777" w:rsidR="006F7492" w:rsidRPr="004C2A59" w:rsidRDefault="006F7492" w:rsidP="00421681">
      <w:pPr>
        <w:suppressAutoHyphens/>
        <w:rPr>
          <w:color w:val="000000"/>
          <w:sz w:val="22"/>
          <w:szCs w:val="22"/>
          <w:lang w:val="da-DK"/>
        </w:rPr>
      </w:pPr>
    </w:p>
    <w:p w14:paraId="442F9F62" w14:textId="77777777" w:rsidR="006F7492" w:rsidRPr="004C2A59" w:rsidRDefault="006F7492" w:rsidP="00421681">
      <w:pPr>
        <w:suppressAutoHyphens/>
        <w:rPr>
          <w:color w:val="000000"/>
          <w:sz w:val="22"/>
          <w:szCs w:val="22"/>
          <w:lang w:val="da-DK"/>
        </w:rPr>
      </w:pPr>
    </w:p>
    <w:p w14:paraId="72023D87"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3.</w:t>
      </w:r>
      <w:r w:rsidRPr="004C2A59">
        <w:rPr>
          <w:b/>
          <w:color w:val="000000"/>
          <w:sz w:val="22"/>
          <w:szCs w:val="22"/>
          <w:lang w:val="da-DK"/>
        </w:rPr>
        <w:tab/>
        <w:t>LISTE OVER HJÆLPESTOFFER</w:t>
      </w:r>
    </w:p>
    <w:p w14:paraId="5AFF5675" w14:textId="77777777" w:rsidR="006F7492" w:rsidRPr="004C2A59" w:rsidRDefault="006F7492" w:rsidP="00421681">
      <w:pPr>
        <w:suppressAutoHyphens/>
        <w:rPr>
          <w:color w:val="000000"/>
          <w:sz w:val="22"/>
          <w:szCs w:val="22"/>
          <w:lang w:val="da-DK"/>
        </w:rPr>
      </w:pPr>
    </w:p>
    <w:p w14:paraId="10A4AE6F" w14:textId="77777777" w:rsidR="006F7492" w:rsidRPr="004C2A59" w:rsidRDefault="006F7492" w:rsidP="00421681">
      <w:pPr>
        <w:suppressAutoHyphens/>
        <w:rPr>
          <w:color w:val="000000"/>
          <w:sz w:val="22"/>
          <w:szCs w:val="22"/>
          <w:lang w:val="da-DK"/>
        </w:rPr>
      </w:pPr>
    </w:p>
    <w:p w14:paraId="18C48954"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4.</w:t>
      </w:r>
      <w:r w:rsidRPr="004C2A59">
        <w:rPr>
          <w:b/>
          <w:color w:val="000000"/>
          <w:sz w:val="22"/>
          <w:szCs w:val="22"/>
          <w:lang w:val="da-DK"/>
        </w:rPr>
        <w:tab/>
        <w:t xml:space="preserve">LÆGEMIDDELFORM OG </w:t>
      </w:r>
      <w:r w:rsidR="001B418F" w:rsidRPr="004C2A59">
        <w:rPr>
          <w:b/>
          <w:color w:val="000000"/>
          <w:sz w:val="22"/>
          <w:szCs w:val="22"/>
          <w:lang w:val="da-DK"/>
        </w:rPr>
        <w:t xml:space="preserve">INDHOLD </w:t>
      </w:r>
      <w:r w:rsidRPr="004C2A59">
        <w:rPr>
          <w:b/>
          <w:color w:val="000000"/>
          <w:sz w:val="22"/>
          <w:szCs w:val="22"/>
          <w:lang w:val="da-DK"/>
        </w:rPr>
        <w:t>(PAKNINGSSTØRRELSE)</w:t>
      </w:r>
    </w:p>
    <w:p w14:paraId="46D52D6A" w14:textId="77777777" w:rsidR="006F7492" w:rsidRPr="004C2A59" w:rsidRDefault="006F7492" w:rsidP="00421681">
      <w:pPr>
        <w:suppressAutoHyphens/>
        <w:rPr>
          <w:color w:val="000000"/>
          <w:sz w:val="22"/>
          <w:szCs w:val="22"/>
          <w:lang w:val="da-DK"/>
        </w:rPr>
      </w:pPr>
    </w:p>
    <w:p w14:paraId="7B3C0370" w14:textId="77777777" w:rsidR="006F7492" w:rsidRPr="004C2A59" w:rsidRDefault="006F7492" w:rsidP="00421681">
      <w:pPr>
        <w:widowControl w:val="0"/>
        <w:suppressAutoHyphens/>
        <w:rPr>
          <w:color w:val="000000"/>
          <w:sz w:val="22"/>
          <w:szCs w:val="22"/>
          <w:lang w:val="da-DK"/>
        </w:rPr>
      </w:pPr>
      <w:r w:rsidRPr="00A14130">
        <w:rPr>
          <w:color w:val="000000"/>
          <w:sz w:val="22"/>
          <w:szCs w:val="22"/>
          <w:lang w:val="da-DK"/>
        </w:rPr>
        <w:t>20 filmovertrukne tabletter</w:t>
      </w:r>
    </w:p>
    <w:p w14:paraId="485CC7EA" w14:textId="77777777" w:rsidR="006F7492" w:rsidRPr="004C2A59" w:rsidRDefault="006F7492" w:rsidP="00421681">
      <w:pPr>
        <w:pStyle w:val="EndnoteText"/>
        <w:widowControl/>
        <w:tabs>
          <w:tab w:val="clear" w:pos="567"/>
        </w:tabs>
        <w:suppressAutoHyphens/>
        <w:rPr>
          <w:color w:val="000000"/>
          <w:szCs w:val="22"/>
          <w:shd w:val="clear" w:color="auto" w:fill="D9D9D9"/>
        </w:rPr>
      </w:pPr>
      <w:r w:rsidRPr="004C2A59">
        <w:rPr>
          <w:color w:val="000000"/>
          <w:szCs w:val="22"/>
          <w:shd w:val="clear" w:color="auto" w:fill="D9D9D9"/>
        </w:rPr>
        <w:t>60 filmovertrukne tabletter</w:t>
      </w:r>
    </w:p>
    <w:p w14:paraId="2A6E28F6" w14:textId="77777777" w:rsidR="006F7492" w:rsidRPr="004C2A59" w:rsidRDefault="006F7492" w:rsidP="00421681">
      <w:pPr>
        <w:pStyle w:val="EndnoteText"/>
        <w:widowControl/>
        <w:tabs>
          <w:tab w:val="clear" w:pos="567"/>
        </w:tabs>
        <w:suppressAutoHyphens/>
        <w:rPr>
          <w:color w:val="000000"/>
          <w:szCs w:val="22"/>
          <w:shd w:val="clear" w:color="auto" w:fill="D9D9D9"/>
        </w:rPr>
      </w:pPr>
      <w:r w:rsidRPr="004C2A59">
        <w:rPr>
          <w:color w:val="000000"/>
          <w:szCs w:val="22"/>
          <w:shd w:val="clear" w:color="auto" w:fill="D9D9D9"/>
        </w:rPr>
        <w:t>120 filmovertrukne tabletter</w:t>
      </w:r>
    </w:p>
    <w:p w14:paraId="5F262DBF" w14:textId="77777777" w:rsidR="006F7492" w:rsidRPr="004C2A59" w:rsidRDefault="006F7492" w:rsidP="00421681">
      <w:pPr>
        <w:pStyle w:val="EndnoteText"/>
        <w:widowControl/>
        <w:tabs>
          <w:tab w:val="clear" w:pos="567"/>
        </w:tabs>
        <w:suppressAutoHyphens/>
        <w:rPr>
          <w:color w:val="000000"/>
          <w:szCs w:val="22"/>
          <w:shd w:val="clear" w:color="auto" w:fill="D9D9D9"/>
        </w:rPr>
      </w:pPr>
      <w:r w:rsidRPr="004C2A59">
        <w:rPr>
          <w:color w:val="000000"/>
          <w:szCs w:val="22"/>
          <w:shd w:val="clear" w:color="auto" w:fill="D9D9D9"/>
        </w:rPr>
        <w:t>180 filmovertrukne tabletter</w:t>
      </w:r>
    </w:p>
    <w:p w14:paraId="56B5E40F" w14:textId="77777777" w:rsidR="006F7492" w:rsidRPr="004C2A59" w:rsidRDefault="006F7492" w:rsidP="00421681">
      <w:pPr>
        <w:pStyle w:val="EndnoteText"/>
        <w:widowControl/>
        <w:tabs>
          <w:tab w:val="clear" w:pos="567"/>
        </w:tabs>
        <w:suppressAutoHyphens/>
        <w:rPr>
          <w:color w:val="000000"/>
          <w:szCs w:val="22"/>
        </w:rPr>
      </w:pPr>
    </w:p>
    <w:p w14:paraId="1AFAEDF7" w14:textId="77777777" w:rsidR="006F7492" w:rsidRPr="004C2A59" w:rsidRDefault="006F7492" w:rsidP="00421681">
      <w:pPr>
        <w:pStyle w:val="EndnoteText"/>
        <w:widowControl/>
        <w:tabs>
          <w:tab w:val="clear" w:pos="567"/>
        </w:tabs>
        <w:suppressAutoHyphens/>
        <w:rPr>
          <w:color w:val="000000"/>
          <w:szCs w:val="22"/>
        </w:rPr>
      </w:pPr>
    </w:p>
    <w:p w14:paraId="2787E064"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rPr>
          <w:b/>
          <w:color w:val="000000"/>
          <w:sz w:val="22"/>
          <w:szCs w:val="22"/>
          <w:lang w:val="da-DK"/>
        </w:rPr>
      </w:pPr>
      <w:r w:rsidRPr="004C2A59">
        <w:rPr>
          <w:b/>
          <w:color w:val="000000"/>
          <w:sz w:val="22"/>
          <w:szCs w:val="22"/>
          <w:lang w:val="da-DK"/>
        </w:rPr>
        <w:t>5.</w:t>
      </w:r>
      <w:r w:rsidRPr="004C2A59">
        <w:rPr>
          <w:b/>
          <w:color w:val="000000"/>
          <w:sz w:val="22"/>
          <w:szCs w:val="22"/>
          <w:lang w:val="da-DK"/>
        </w:rPr>
        <w:tab/>
        <w:t>ANVENDELSESMÅDE OG ADMINISTRATIONSVEJ(E)</w:t>
      </w:r>
    </w:p>
    <w:p w14:paraId="22B836FE" w14:textId="77777777" w:rsidR="006F7492" w:rsidRPr="004C2A59" w:rsidRDefault="006F7492" w:rsidP="00421681">
      <w:pPr>
        <w:suppressAutoHyphens/>
        <w:rPr>
          <w:color w:val="000000"/>
          <w:sz w:val="22"/>
          <w:szCs w:val="22"/>
          <w:lang w:val="da-DK"/>
        </w:rPr>
      </w:pPr>
    </w:p>
    <w:p w14:paraId="10227FE0"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Oral anvendelse. Læs indlægssedlen inden brug.</w:t>
      </w:r>
    </w:p>
    <w:p w14:paraId="16906070" w14:textId="77777777" w:rsidR="006F7492" w:rsidRPr="004C2A59" w:rsidRDefault="006F7492" w:rsidP="00421681">
      <w:pPr>
        <w:suppressAutoHyphens/>
        <w:rPr>
          <w:color w:val="000000"/>
          <w:sz w:val="22"/>
          <w:szCs w:val="22"/>
          <w:lang w:val="da-DK"/>
        </w:rPr>
      </w:pPr>
    </w:p>
    <w:p w14:paraId="3BD054AC" w14:textId="77777777" w:rsidR="006F7492" w:rsidRPr="004C2A59" w:rsidRDefault="006F7492" w:rsidP="00421681">
      <w:pPr>
        <w:suppressAutoHyphens/>
        <w:rPr>
          <w:color w:val="000000"/>
          <w:sz w:val="22"/>
          <w:szCs w:val="22"/>
          <w:lang w:val="da-DK"/>
        </w:rPr>
      </w:pPr>
    </w:p>
    <w:p w14:paraId="424D15DD"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6.</w:t>
      </w:r>
      <w:r w:rsidRPr="004C2A59">
        <w:rPr>
          <w:b/>
          <w:color w:val="000000"/>
          <w:sz w:val="22"/>
          <w:szCs w:val="22"/>
          <w:lang w:val="da-DK"/>
        </w:rPr>
        <w:tab/>
      </w:r>
      <w:r w:rsidR="0083065B" w:rsidRPr="004C2A59">
        <w:rPr>
          <w:b/>
          <w:color w:val="000000"/>
          <w:sz w:val="22"/>
          <w:szCs w:val="22"/>
          <w:lang w:val="da-DK"/>
        </w:rPr>
        <w:t xml:space="preserve">SÆRLIG </w:t>
      </w:r>
      <w:r w:rsidRPr="004C2A59">
        <w:rPr>
          <w:b/>
          <w:color w:val="000000"/>
          <w:sz w:val="22"/>
          <w:szCs w:val="22"/>
          <w:lang w:val="da-DK"/>
        </w:rPr>
        <w:t>ADVARSEL OM, AT LÆGEMIDLET SKAL OPBEVARES UTILGÆNGELIGT FOR BØRN</w:t>
      </w:r>
    </w:p>
    <w:p w14:paraId="224C8EC9" w14:textId="77777777" w:rsidR="006F7492" w:rsidRPr="004C2A59" w:rsidRDefault="006F7492" w:rsidP="00421681">
      <w:pPr>
        <w:suppressAutoHyphens/>
        <w:rPr>
          <w:color w:val="000000"/>
          <w:sz w:val="22"/>
          <w:szCs w:val="22"/>
          <w:lang w:val="da-DK"/>
        </w:rPr>
      </w:pPr>
    </w:p>
    <w:p w14:paraId="6E0E8424"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Opbevares utilgængeligt for børn.</w:t>
      </w:r>
    </w:p>
    <w:p w14:paraId="3DF05216" w14:textId="77777777" w:rsidR="006F7492" w:rsidRPr="004C2A59" w:rsidRDefault="006F7492" w:rsidP="00421681">
      <w:pPr>
        <w:suppressAutoHyphens/>
        <w:rPr>
          <w:color w:val="000000"/>
          <w:sz w:val="22"/>
          <w:szCs w:val="22"/>
          <w:lang w:val="da-DK"/>
        </w:rPr>
      </w:pPr>
    </w:p>
    <w:p w14:paraId="4789FD51" w14:textId="77777777" w:rsidR="006F7492" w:rsidRPr="004C2A59" w:rsidRDefault="006F7492" w:rsidP="00421681">
      <w:pPr>
        <w:suppressAutoHyphens/>
        <w:rPr>
          <w:color w:val="000000"/>
          <w:sz w:val="22"/>
          <w:szCs w:val="22"/>
          <w:lang w:val="da-DK"/>
        </w:rPr>
      </w:pPr>
    </w:p>
    <w:p w14:paraId="13C7F8C6"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7.</w:t>
      </w:r>
      <w:r w:rsidRPr="004C2A59">
        <w:rPr>
          <w:b/>
          <w:color w:val="000000"/>
          <w:sz w:val="22"/>
          <w:szCs w:val="22"/>
          <w:lang w:val="da-DK"/>
        </w:rPr>
        <w:tab/>
        <w:t>EVENTUELLE ANDRE SÆRLIGE ADVARSLER</w:t>
      </w:r>
    </w:p>
    <w:p w14:paraId="799F906E" w14:textId="77777777" w:rsidR="006F7492" w:rsidRPr="004C2A59" w:rsidRDefault="006F7492" w:rsidP="00421681">
      <w:pPr>
        <w:suppressAutoHyphens/>
        <w:rPr>
          <w:color w:val="000000"/>
          <w:sz w:val="22"/>
          <w:szCs w:val="22"/>
          <w:lang w:val="da-DK"/>
        </w:rPr>
      </w:pPr>
    </w:p>
    <w:p w14:paraId="7974B741"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Anvendes som foreskrevet af lægen.</w:t>
      </w:r>
    </w:p>
    <w:p w14:paraId="0DA73D04" w14:textId="77777777" w:rsidR="006F7492" w:rsidRPr="004C2A59" w:rsidRDefault="006F7492" w:rsidP="00421681">
      <w:pPr>
        <w:suppressAutoHyphens/>
        <w:rPr>
          <w:color w:val="000000"/>
          <w:sz w:val="22"/>
          <w:szCs w:val="22"/>
          <w:lang w:val="da-DK"/>
        </w:rPr>
      </w:pPr>
    </w:p>
    <w:p w14:paraId="63DC746E" w14:textId="77777777" w:rsidR="006F7492" w:rsidRPr="004C2A59" w:rsidRDefault="006F7492" w:rsidP="00421681">
      <w:pPr>
        <w:suppressAutoHyphens/>
        <w:rPr>
          <w:color w:val="000000"/>
          <w:sz w:val="22"/>
          <w:szCs w:val="22"/>
          <w:lang w:val="da-DK"/>
        </w:rPr>
      </w:pPr>
    </w:p>
    <w:p w14:paraId="1B6B7FB9"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8.</w:t>
      </w:r>
      <w:r w:rsidRPr="004C2A59">
        <w:rPr>
          <w:b/>
          <w:color w:val="000000"/>
          <w:sz w:val="22"/>
          <w:szCs w:val="22"/>
          <w:lang w:val="da-DK"/>
        </w:rPr>
        <w:tab/>
        <w:t>UDLØBSDATO</w:t>
      </w:r>
    </w:p>
    <w:p w14:paraId="060F94EE" w14:textId="77777777" w:rsidR="006F7492" w:rsidRPr="004C2A59" w:rsidRDefault="006F7492" w:rsidP="00421681">
      <w:pPr>
        <w:suppressAutoHyphens/>
        <w:ind w:left="567" w:hanging="567"/>
        <w:rPr>
          <w:color w:val="000000"/>
          <w:sz w:val="22"/>
          <w:szCs w:val="22"/>
          <w:lang w:val="da-DK"/>
        </w:rPr>
      </w:pPr>
    </w:p>
    <w:p w14:paraId="1ED13532" w14:textId="23C65ADE" w:rsidR="006F7492" w:rsidRPr="004C2A59" w:rsidRDefault="00A95899" w:rsidP="00421681">
      <w:pPr>
        <w:widowControl w:val="0"/>
        <w:suppressAutoHyphens/>
        <w:rPr>
          <w:color w:val="000000"/>
          <w:sz w:val="22"/>
          <w:szCs w:val="22"/>
          <w:lang w:val="da-DK"/>
        </w:rPr>
      </w:pPr>
      <w:r>
        <w:rPr>
          <w:color w:val="000000"/>
          <w:sz w:val="22"/>
          <w:szCs w:val="22"/>
          <w:lang w:val="da-DK"/>
        </w:rPr>
        <w:t>EXP</w:t>
      </w:r>
    </w:p>
    <w:p w14:paraId="5AF2849F" w14:textId="77777777" w:rsidR="006F7492" w:rsidRPr="004C2A59" w:rsidRDefault="006F7492" w:rsidP="00421681">
      <w:pPr>
        <w:rPr>
          <w:color w:val="000000"/>
          <w:sz w:val="22"/>
          <w:szCs w:val="22"/>
          <w:lang w:val="da-DK"/>
        </w:rPr>
      </w:pPr>
    </w:p>
    <w:p w14:paraId="24D6B037" w14:textId="77777777" w:rsidR="006F7492" w:rsidRPr="004C2A59" w:rsidRDefault="006F7492" w:rsidP="00421681">
      <w:pPr>
        <w:rPr>
          <w:color w:val="000000"/>
          <w:sz w:val="22"/>
          <w:szCs w:val="22"/>
          <w:lang w:val="da-DK"/>
        </w:rPr>
      </w:pPr>
    </w:p>
    <w:p w14:paraId="5B32E966"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9.</w:t>
      </w:r>
      <w:r w:rsidRPr="004C2A59">
        <w:rPr>
          <w:b/>
          <w:color w:val="000000"/>
          <w:sz w:val="22"/>
          <w:szCs w:val="22"/>
          <w:lang w:val="da-DK"/>
        </w:rPr>
        <w:tab/>
        <w:t>SÆRLIGE OPBEVARINGSBETINGELSER</w:t>
      </w:r>
    </w:p>
    <w:p w14:paraId="4B30C978" w14:textId="77777777" w:rsidR="006F7492" w:rsidRPr="004C2A59" w:rsidRDefault="006F7492" w:rsidP="00421681">
      <w:pPr>
        <w:suppressAutoHyphens/>
        <w:rPr>
          <w:color w:val="000000"/>
          <w:sz w:val="22"/>
          <w:szCs w:val="22"/>
          <w:lang w:val="da-DK"/>
        </w:rPr>
      </w:pPr>
    </w:p>
    <w:p w14:paraId="29ADCB26"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Må ikke opbevares ved temperaturer over 30°C. Opbevares i den originale yderpakning for at beskytte mod fugt.</w:t>
      </w:r>
    </w:p>
    <w:p w14:paraId="0B574062" w14:textId="77777777" w:rsidR="006F7492" w:rsidRPr="004C2A59" w:rsidRDefault="006F7492" w:rsidP="00421681">
      <w:pPr>
        <w:suppressAutoHyphens/>
        <w:rPr>
          <w:color w:val="000000"/>
          <w:sz w:val="22"/>
          <w:szCs w:val="22"/>
          <w:lang w:val="da-DK"/>
        </w:rPr>
      </w:pPr>
    </w:p>
    <w:p w14:paraId="2D4D9F55" w14:textId="77777777" w:rsidR="006F7492" w:rsidRPr="004C2A59" w:rsidRDefault="006F7492" w:rsidP="00421681">
      <w:pPr>
        <w:suppressAutoHyphens/>
        <w:rPr>
          <w:color w:val="000000"/>
          <w:sz w:val="22"/>
          <w:szCs w:val="22"/>
          <w:lang w:val="da-DK"/>
        </w:rPr>
      </w:pPr>
    </w:p>
    <w:p w14:paraId="15E64E68"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color w:val="000000"/>
          <w:sz w:val="22"/>
          <w:szCs w:val="22"/>
          <w:lang w:val="da-DK"/>
        </w:rPr>
      </w:pPr>
      <w:r w:rsidRPr="004C2A59">
        <w:rPr>
          <w:b/>
          <w:color w:val="000000"/>
          <w:sz w:val="22"/>
          <w:szCs w:val="22"/>
          <w:lang w:val="da-DK"/>
        </w:rPr>
        <w:lastRenderedPageBreak/>
        <w:t>10.</w:t>
      </w:r>
      <w:r w:rsidRPr="004C2A59">
        <w:rPr>
          <w:b/>
          <w:color w:val="000000"/>
          <w:sz w:val="22"/>
          <w:szCs w:val="22"/>
          <w:lang w:val="da-DK"/>
        </w:rPr>
        <w:tab/>
      </w:r>
      <w:r w:rsidR="001B418F" w:rsidRPr="004C2A59">
        <w:rPr>
          <w:b/>
          <w:color w:val="000000"/>
          <w:sz w:val="22"/>
          <w:szCs w:val="22"/>
          <w:lang w:val="da-DK"/>
        </w:rPr>
        <w:t>EVENTUELLE SÆRLIGE FORHOLDSREGLER VED BORTSKAFFELSE AF IKKE ANVENDT LÆGEMIDDEL SAMT AFFALD HERAF</w:t>
      </w:r>
    </w:p>
    <w:p w14:paraId="3F5AAD0B" w14:textId="77777777" w:rsidR="006F7492" w:rsidRPr="004C2A59" w:rsidRDefault="006F7492" w:rsidP="00421681">
      <w:pPr>
        <w:suppressAutoHyphens/>
        <w:rPr>
          <w:color w:val="000000"/>
          <w:sz w:val="22"/>
          <w:szCs w:val="22"/>
          <w:lang w:val="da-DK"/>
        </w:rPr>
      </w:pPr>
    </w:p>
    <w:p w14:paraId="14AD60DB" w14:textId="77777777" w:rsidR="001B418F" w:rsidRPr="004C2A59" w:rsidRDefault="001B418F" w:rsidP="00421681">
      <w:pPr>
        <w:suppressAutoHyphens/>
        <w:rPr>
          <w:color w:val="000000"/>
          <w:sz w:val="22"/>
          <w:szCs w:val="22"/>
          <w:lang w:val="da-DK"/>
        </w:rPr>
      </w:pPr>
    </w:p>
    <w:p w14:paraId="5A696D93"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11.</w:t>
      </w:r>
      <w:r w:rsidRPr="004C2A59">
        <w:rPr>
          <w:b/>
          <w:color w:val="000000"/>
          <w:sz w:val="22"/>
          <w:szCs w:val="22"/>
          <w:lang w:val="da-DK"/>
        </w:rPr>
        <w:tab/>
        <w:t>NAVN OG ADRESSE PÅ INDEHAVEREN AF MARKEDSFØRINGSTILLADELSEN</w:t>
      </w:r>
    </w:p>
    <w:p w14:paraId="199D8D33" w14:textId="77777777" w:rsidR="006F7492" w:rsidRPr="004C2A59" w:rsidRDefault="006F7492" w:rsidP="00421681">
      <w:pPr>
        <w:suppressAutoHyphens/>
        <w:rPr>
          <w:color w:val="000000"/>
          <w:sz w:val="22"/>
          <w:szCs w:val="22"/>
          <w:lang w:val="da-DK"/>
        </w:rPr>
      </w:pPr>
    </w:p>
    <w:p w14:paraId="4C3EAD7A" w14:textId="77777777" w:rsidR="006F7492" w:rsidRPr="005C0041" w:rsidRDefault="006F7492" w:rsidP="00421681">
      <w:pPr>
        <w:widowControl w:val="0"/>
        <w:suppressAutoHyphens/>
        <w:rPr>
          <w:color w:val="000000"/>
          <w:sz w:val="22"/>
          <w:szCs w:val="22"/>
        </w:rPr>
      </w:pPr>
      <w:r w:rsidRPr="005C0041">
        <w:rPr>
          <w:color w:val="000000"/>
          <w:sz w:val="22"/>
          <w:szCs w:val="22"/>
        </w:rPr>
        <w:t>Novartis Europharm Limited</w:t>
      </w:r>
    </w:p>
    <w:p w14:paraId="1B91F3E5" w14:textId="77777777" w:rsidR="004F2E31" w:rsidRPr="004F2E31" w:rsidRDefault="004F2E31" w:rsidP="00421681">
      <w:pPr>
        <w:keepNext/>
        <w:widowControl w:val="0"/>
        <w:rPr>
          <w:color w:val="000000"/>
          <w:sz w:val="22"/>
          <w:szCs w:val="22"/>
        </w:rPr>
      </w:pPr>
      <w:r w:rsidRPr="004F2E31">
        <w:rPr>
          <w:color w:val="000000"/>
          <w:sz w:val="22"/>
          <w:szCs w:val="22"/>
        </w:rPr>
        <w:t>Vista Building</w:t>
      </w:r>
    </w:p>
    <w:p w14:paraId="4946521C" w14:textId="77777777" w:rsidR="004F2E31" w:rsidRPr="004F2E31" w:rsidRDefault="004F2E31" w:rsidP="00421681">
      <w:pPr>
        <w:keepNext/>
        <w:widowControl w:val="0"/>
        <w:rPr>
          <w:color w:val="000000"/>
          <w:sz w:val="22"/>
          <w:szCs w:val="22"/>
        </w:rPr>
      </w:pPr>
      <w:r w:rsidRPr="004F2E31">
        <w:rPr>
          <w:color w:val="000000"/>
          <w:sz w:val="22"/>
          <w:szCs w:val="22"/>
        </w:rPr>
        <w:t>Elm Park, Merrion Road</w:t>
      </w:r>
    </w:p>
    <w:p w14:paraId="29C8E5AC" w14:textId="77777777" w:rsidR="004F2E31" w:rsidRPr="00F852D1" w:rsidRDefault="004F2E31" w:rsidP="00421681">
      <w:pPr>
        <w:keepNext/>
        <w:widowControl w:val="0"/>
        <w:rPr>
          <w:color w:val="000000"/>
          <w:sz w:val="22"/>
          <w:szCs w:val="22"/>
        </w:rPr>
      </w:pPr>
      <w:r w:rsidRPr="00F852D1">
        <w:rPr>
          <w:color w:val="000000"/>
          <w:sz w:val="22"/>
          <w:szCs w:val="22"/>
        </w:rPr>
        <w:t>Dublin 4</w:t>
      </w:r>
    </w:p>
    <w:p w14:paraId="1B1FC7BC" w14:textId="77777777" w:rsidR="004F2E31" w:rsidRPr="00F852D1" w:rsidRDefault="004F2E31" w:rsidP="00421681">
      <w:pPr>
        <w:rPr>
          <w:color w:val="000000"/>
          <w:sz w:val="22"/>
          <w:szCs w:val="22"/>
        </w:rPr>
      </w:pPr>
      <w:r w:rsidRPr="00F852D1">
        <w:rPr>
          <w:color w:val="000000"/>
          <w:sz w:val="22"/>
          <w:szCs w:val="22"/>
        </w:rPr>
        <w:t>Irland</w:t>
      </w:r>
    </w:p>
    <w:p w14:paraId="2D3E3F61" w14:textId="77777777" w:rsidR="006F7492" w:rsidRPr="00F852D1" w:rsidRDefault="006F7492" w:rsidP="00421681">
      <w:pPr>
        <w:suppressAutoHyphens/>
        <w:rPr>
          <w:color w:val="000000"/>
          <w:sz w:val="22"/>
          <w:szCs w:val="22"/>
        </w:rPr>
      </w:pPr>
    </w:p>
    <w:p w14:paraId="48123C09" w14:textId="77777777" w:rsidR="006F7492" w:rsidRPr="00F852D1" w:rsidRDefault="006F7492" w:rsidP="00421681">
      <w:pPr>
        <w:suppressAutoHyphens/>
        <w:rPr>
          <w:color w:val="000000"/>
          <w:sz w:val="22"/>
          <w:szCs w:val="22"/>
        </w:rPr>
      </w:pPr>
    </w:p>
    <w:p w14:paraId="7E961043" w14:textId="77777777" w:rsidR="006F7492" w:rsidRPr="00F852D1"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rPr>
      </w:pPr>
      <w:r w:rsidRPr="00F852D1">
        <w:rPr>
          <w:b/>
          <w:color w:val="000000"/>
          <w:sz w:val="22"/>
          <w:szCs w:val="22"/>
        </w:rPr>
        <w:t>12.</w:t>
      </w:r>
      <w:r w:rsidRPr="00F852D1">
        <w:rPr>
          <w:b/>
          <w:color w:val="000000"/>
          <w:sz w:val="22"/>
          <w:szCs w:val="22"/>
        </w:rPr>
        <w:tab/>
        <w:t>MARKEDSFØRINGSTILLADELSESNUMMER (</w:t>
      </w:r>
      <w:r w:rsidR="00C51956" w:rsidRPr="00F852D1">
        <w:rPr>
          <w:b/>
          <w:color w:val="000000"/>
          <w:sz w:val="22"/>
          <w:szCs w:val="22"/>
        </w:rPr>
        <w:t>-</w:t>
      </w:r>
      <w:r w:rsidRPr="00F852D1">
        <w:rPr>
          <w:b/>
          <w:color w:val="000000"/>
          <w:sz w:val="22"/>
          <w:szCs w:val="22"/>
        </w:rPr>
        <w:t>NUMRE)</w:t>
      </w:r>
    </w:p>
    <w:p w14:paraId="5DFAE93A" w14:textId="77777777" w:rsidR="006F7492" w:rsidRPr="00F852D1" w:rsidRDefault="006F7492" w:rsidP="00421681">
      <w:pPr>
        <w:suppressAutoHyphens/>
        <w:rPr>
          <w:color w:val="000000"/>
          <w:sz w:val="22"/>
          <w:szCs w:val="22"/>
        </w:rPr>
      </w:pPr>
    </w:p>
    <w:p w14:paraId="7DD23EE4" w14:textId="77777777" w:rsidR="006F7492" w:rsidRPr="00F852D1" w:rsidRDefault="006F7492" w:rsidP="00421681">
      <w:pPr>
        <w:widowControl w:val="0"/>
        <w:tabs>
          <w:tab w:val="left" w:pos="2268"/>
        </w:tabs>
        <w:suppressAutoHyphens/>
        <w:rPr>
          <w:color w:val="000000"/>
          <w:sz w:val="22"/>
          <w:szCs w:val="22"/>
          <w:shd w:val="clear" w:color="auto" w:fill="D9D9D9"/>
        </w:rPr>
      </w:pPr>
      <w:r w:rsidRPr="00F852D1">
        <w:rPr>
          <w:color w:val="000000"/>
          <w:sz w:val="22"/>
          <w:szCs w:val="22"/>
        </w:rPr>
        <w:t>EU/1/01/198/007</w:t>
      </w:r>
      <w:r w:rsidRPr="00F852D1">
        <w:rPr>
          <w:color w:val="000000"/>
          <w:sz w:val="22"/>
          <w:szCs w:val="22"/>
        </w:rPr>
        <w:tab/>
      </w:r>
      <w:r w:rsidRPr="00F852D1">
        <w:rPr>
          <w:color w:val="000000"/>
          <w:sz w:val="22"/>
          <w:szCs w:val="22"/>
          <w:shd w:val="clear" w:color="auto" w:fill="D9D9D9"/>
        </w:rPr>
        <w:t>20 tabletter</w:t>
      </w:r>
      <w:r w:rsidR="00856A2E" w:rsidRPr="00F852D1">
        <w:rPr>
          <w:color w:val="000000"/>
          <w:sz w:val="22"/>
          <w:szCs w:val="22"/>
          <w:shd w:val="pct15" w:color="auto" w:fill="auto"/>
        </w:rPr>
        <w:t xml:space="preserve"> (PVC/alu blister)</w:t>
      </w:r>
    </w:p>
    <w:p w14:paraId="05C3B575" w14:textId="77777777" w:rsidR="006F7492" w:rsidRPr="00F852D1" w:rsidRDefault="006F7492" w:rsidP="00421681">
      <w:pPr>
        <w:pStyle w:val="EndnoteText"/>
        <w:widowControl/>
        <w:tabs>
          <w:tab w:val="clear" w:pos="567"/>
          <w:tab w:val="left" w:pos="2268"/>
        </w:tabs>
        <w:suppressAutoHyphens/>
        <w:rPr>
          <w:color w:val="000000"/>
          <w:szCs w:val="22"/>
          <w:shd w:val="clear" w:color="auto" w:fill="D9D9D9"/>
          <w:lang w:val="en-US"/>
        </w:rPr>
      </w:pPr>
      <w:r w:rsidRPr="00F852D1">
        <w:rPr>
          <w:color w:val="000000"/>
          <w:szCs w:val="22"/>
          <w:shd w:val="clear" w:color="auto" w:fill="D9D9D9"/>
          <w:lang w:val="en-US"/>
        </w:rPr>
        <w:t>EU/1/01/198/008</w:t>
      </w:r>
      <w:r w:rsidRPr="00F852D1">
        <w:rPr>
          <w:color w:val="000000"/>
          <w:szCs w:val="22"/>
          <w:shd w:val="clear" w:color="auto" w:fill="D9D9D9"/>
          <w:lang w:val="en-US"/>
        </w:rPr>
        <w:tab/>
        <w:t>60 tabletter</w:t>
      </w:r>
      <w:r w:rsidR="00856A2E" w:rsidRPr="00F852D1">
        <w:rPr>
          <w:color w:val="000000"/>
          <w:szCs w:val="22"/>
          <w:shd w:val="pct15" w:color="auto" w:fill="auto"/>
          <w:lang w:val="en-US"/>
        </w:rPr>
        <w:t xml:space="preserve"> (PVC/alu blister)</w:t>
      </w:r>
    </w:p>
    <w:p w14:paraId="4014EA19" w14:textId="77777777" w:rsidR="006F7492" w:rsidRPr="00F852D1" w:rsidRDefault="006F7492" w:rsidP="00421681">
      <w:pPr>
        <w:pStyle w:val="EndnoteText"/>
        <w:widowControl/>
        <w:tabs>
          <w:tab w:val="clear" w:pos="567"/>
          <w:tab w:val="left" w:pos="2268"/>
        </w:tabs>
        <w:suppressAutoHyphens/>
        <w:rPr>
          <w:color w:val="000000"/>
          <w:szCs w:val="22"/>
          <w:shd w:val="clear" w:color="auto" w:fill="D9D9D9"/>
          <w:lang w:val="en-US"/>
        </w:rPr>
      </w:pPr>
      <w:r w:rsidRPr="00F852D1">
        <w:rPr>
          <w:color w:val="000000"/>
          <w:szCs w:val="22"/>
          <w:shd w:val="clear" w:color="auto" w:fill="D9D9D9"/>
          <w:lang w:val="en-US"/>
        </w:rPr>
        <w:t>EU/1/01/198/011</w:t>
      </w:r>
      <w:r w:rsidRPr="00F852D1">
        <w:rPr>
          <w:color w:val="000000"/>
          <w:szCs w:val="22"/>
          <w:shd w:val="clear" w:color="auto" w:fill="D9D9D9"/>
          <w:lang w:val="en-US"/>
        </w:rPr>
        <w:tab/>
        <w:t>120 tabletter</w:t>
      </w:r>
      <w:r w:rsidR="00856A2E" w:rsidRPr="00F852D1">
        <w:rPr>
          <w:color w:val="000000"/>
          <w:szCs w:val="22"/>
          <w:shd w:val="pct15" w:color="auto" w:fill="auto"/>
          <w:lang w:val="en-US"/>
        </w:rPr>
        <w:t xml:space="preserve"> (PVC/alu blister)</w:t>
      </w:r>
    </w:p>
    <w:p w14:paraId="7D659B71" w14:textId="77777777" w:rsidR="006F7492" w:rsidRPr="00F852D1" w:rsidRDefault="006F7492" w:rsidP="00421681">
      <w:pPr>
        <w:pStyle w:val="EndnoteText"/>
        <w:widowControl/>
        <w:tabs>
          <w:tab w:val="clear" w:pos="567"/>
          <w:tab w:val="left" w:pos="2268"/>
        </w:tabs>
        <w:suppressAutoHyphens/>
        <w:rPr>
          <w:color w:val="000000"/>
          <w:szCs w:val="22"/>
          <w:shd w:val="clear" w:color="auto" w:fill="D9D9D9"/>
          <w:lang w:val="en-US"/>
        </w:rPr>
      </w:pPr>
      <w:r w:rsidRPr="00F852D1">
        <w:rPr>
          <w:color w:val="000000"/>
          <w:szCs w:val="22"/>
          <w:shd w:val="clear" w:color="auto" w:fill="D9D9D9"/>
          <w:lang w:val="en-US"/>
        </w:rPr>
        <w:t>EU/1/01/198/012</w:t>
      </w:r>
      <w:r w:rsidRPr="00F852D1">
        <w:rPr>
          <w:color w:val="000000"/>
          <w:szCs w:val="22"/>
          <w:shd w:val="clear" w:color="auto" w:fill="D9D9D9"/>
          <w:lang w:val="en-US"/>
        </w:rPr>
        <w:tab/>
        <w:t>180 tabletter</w:t>
      </w:r>
      <w:r w:rsidR="00856A2E" w:rsidRPr="00F852D1">
        <w:rPr>
          <w:color w:val="000000"/>
          <w:szCs w:val="22"/>
          <w:shd w:val="pct15" w:color="auto" w:fill="auto"/>
          <w:lang w:val="en-US"/>
        </w:rPr>
        <w:t xml:space="preserve"> (PVC/alu blister)</w:t>
      </w:r>
    </w:p>
    <w:p w14:paraId="3E094080" w14:textId="77777777" w:rsidR="00856A2E" w:rsidRPr="00F852D1" w:rsidRDefault="00856A2E" w:rsidP="00421681">
      <w:pPr>
        <w:widowControl w:val="0"/>
        <w:suppressAutoHyphens/>
        <w:ind w:left="2268" w:hanging="2268"/>
        <w:rPr>
          <w:color w:val="000000"/>
          <w:sz w:val="22"/>
          <w:szCs w:val="22"/>
          <w:shd w:val="pct15" w:color="auto" w:fill="auto"/>
          <w:lang w:val="nb-NO"/>
        </w:rPr>
      </w:pPr>
      <w:r w:rsidRPr="00F852D1">
        <w:rPr>
          <w:color w:val="000000"/>
          <w:sz w:val="22"/>
          <w:szCs w:val="22"/>
          <w:shd w:val="pct15" w:color="auto" w:fill="auto"/>
          <w:lang w:val="nb-NO"/>
        </w:rPr>
        <w:t>EU/1/01/198/01</w:t>
      </w:r>
      <w:r w:rsidR="00F0012C" w:rsidRPr="00F852D1">
        <w:rPr>
          <w:color w:val="000000"/>
          <w:sz w:val="22"/>
          <w:szCs w:val="22"/>
          <w:shd w:val="pct15" w:color="auto" w:fill="auto"/>
          <w:lang w:val="nb-NO"/>
        </w:rPr>
        <w:t>4</w:t>
      </w:r>
      <w:r w:rsidRPr="00F852D1">
        <w:rPr>
          <w:color w:val="000000"/>
          <w:sz w:val="22"/>
          <w:szCs w:val="22"/>
          <w:shd w:val="pct15" w:color="auto" w:fill="auto"/>
          <w:lang w:val="nb-NO"/>
        </w:rPr>
        <w:tab/>
      </w:r>
      <w:r w:rsidR="00F0012C" w:rsidRPr="00F852D1">
        <w:rPr>
          <w:color w:val="000000"/>
          <w:sz w:val="22"/>
          <w:szCs w:val="22"/>
          <w:shd w:val="pct15" w:color="auto" w:fill="auto"/>
          <w:lang w:val="nb-NO"/>
        </w:rPr>
        <w:t>6</w:t>
      </w:r>
      <w:r w:rsidRPr="00F852D1">
        <w:rPr>
          <w:color w:val="000000"/>
          <w:sz w:val="22"/>
          <w:szCs w:val="22"/>
          <w:shd w:val="pct15" w:color="auto" w:fill="auto"/>
          <w:lang w:val="nb-NO"/>
        </w:rPr>
        <w:t>0 tabletter (PVDC/alu blister)</w:t>
      </w:r>
    </w:p>
    <w:p w14:paraId="03FC517C" w14:textId="77777777" w:rsidR="00856A2E" w:rsidRPr="00F852D1" w:rsidRDefault="00856A2E" w:rsidP="00421681">
      <w:pPr>
        <w:widowControl w:val="0"/>
        <w:suppressAutoHyphens/>
        <w:ind w:left="2268" w:hanging="2268"/>
        <w:rPr>
          <w:color w:val="000000"/>
          <w:sz w:val="22"/>
          <w:szCs w:val="22"/>
          <w:lang w:val="nb-NO"/>
        </w:rPr>
      </w:pPr>
      <w:r w:rsidRPr="00F852D1">
        <w:rPr>
          <w:color w:val="000000"/>
          <w:sz w:val="22"/>
          <w:szCs w:val="22"/>
          <w:shd w:val="pct15" w:color="auto" w:fill="auto"/>
          <w:lang w:val="nb-NO"/>
        </w:rPr>
        <w:t>EU/1/01/198/01</w:t>
      </w:r>
      <w:r w:rsidR="00F0012C" w:rsidRPr="00F852D1">
        <w:rPr>
          <w:color w:val="000000"/>
          <w:sz w:val="22"/>
          <w:szCs w:val="22"/>
          <w:shd w:val="pct15" w:color="auto" w:fill="auto"/>
          <w:lang w:val="nb-NO"/>
        </w:rPr>
        <w:t>5</w:t>
      </w:r>
      <w:r w:rsidRPr="00F852D1">
        <w:rPr>
          <w:color w:val="000000"/>
          <w:sz w:val="22"/>
          <w:szCs w:val="22"/>
          <w:shd w:val="pct15" w:color="auto" w:fill="auto"/>
          <w:lang w:val="nb-NO"/>
        </w:rPr>
        <w:tab/>
        <w:t>1</w:t>
      </w:r>
      <w:r w:rsidR="00F0012C" w:rsidRPr="00F852D1">
        <w:rPr>
          <w:color w:val="000000"/>
          <w:sz w:val="22"/>
          <w:szCs w:val="22"/>
          <w:shd w:val="pct15" w:color="auto" w:fill="auto"/>
          <w:lang w:val="nb-NO"/>
        </w:rPr>
        <w:t>2</w:t>
      </w:r>
      <w:r w:rsidRPr="00F852D1">
        <w:rPr>
          <w:color w:val="000000"/>
          <w:sz w:val="22"/>
          <w:szCs w:val="22"/>
          <w:shd w:val="pct15" w:color="auto" w:fill="auto"/>
          <w:lang w:val="nb-NO"/>
        </w:rPr>
        <w:t>0 tabletter (PVDC/alu blister)</w:t>
      </w:r>
    </w:p>
    <w:p w14:paraId="01CEB381" w14:textId="77777777" w:rsidR="00A14130" w:rsidRPr="00F852D1" w:rsidRDefault="00A14130" w:rsidP="00421681">
      <w:pPr>
        <w:pStyle w:val="EndnoteText"/>
        <w:widowControl/>
        <w:tabs>
          <w:tab w:val="clear" w:pos="567"/>
          <w:tab w:val="left" w:pos="2268"/>
        </w:tabs>
        <w:suppressAutoHyphens/>
        <w:rPr>
          <w:color w:val="000000"/>
          <w:szCs w:val="22"/>
          <w:shd w:val="clear" w:color="auto" w:fill="D9D9D9"/>
          <w:lang w:val="nb-NO"/>
        </w:rPr>
      </w:pPr>
      <w:r w:rsidRPr="00F852D1">
        <w:rPr>
          <w:color w:val="000000"/>
          <w:szCs w:val="22"/>
          <w:shd w:val="clear" w:color="auto" w:fill="D9D9D9"/>
          <w:lang w:val="nb-NO"/>
        </w:rPr>
        <w:t>EU/1/01/198/01</w:t>
      </w:r>
      <w:r w:rsidR="00F0012C" w:rsidRPr="00F852D1">
        <w:rPr>
          <w:color w:val="000000"/>
          <w:szCs w:val="22"/>
          <w:shd w:val="clear" w:color="auto" w:fill="D9D9D9"/>
          <w:lang w:val="nb-NO"/>
        </w:rPr>
        <w:t>6</w:t>
      </w:r>
      <w:r w:rsidRPr="00F852D1">
        <w:rPr>
          <w:color w:val="000000"/>
          <w:szCs w:val="22"/>
          <w:shd w:val="clear" w:color="auto" w:fill="D9D9D9"/>
          <w:lang w:val="nb-NO"/>
        </w:rPr>
        <w:tab/>
      </w:r>
      <w:r w:rsidR="00F0012C" w:rsidRPr="00F852D1">
        <w:rPr>
          <w:color w:val="000000"/>
          <w:szCs w:val="22"/>
          <w:shd w:val="clear" w:color="auto" w:fill="D9D9D9"/>
          <w:lang w:val="nb-NO"/>
        </w:rPr>
        <w:t>18</w:t>
      </w:r>
      <w:r w:rsidRPr="00F852D1">
        <w:rPr>
          <w:color w:val="000000"/>
          <w:szCs w:val="22"/>
          <w:shd w:val="clear" w:color="auto" w:fill="D9D9D9"/>
          <w:lang w:val="nb-NO"/>
        </w:rPr>
        <w:t>0 tabletter</w:t>
      </w:r>
      <w:r w:rsidRPr="00F852D1">
        <w:rPr>
          <w:color w:val="000000"/>
          <w:szCs w:val="22"/>
          <w:shd w:val="pct15" w:color="auto" w:fill="auto"/>
          <w:lang w:val="nb-NO"/>
        </w:rPr>
        <w:t xml:space="preserve"> (PVDC/alu blister)</w:t>
      </w:r>
    </w:p>
    <w:p w14:paraId="71C90AD7" w14:textId="77777777" w:rsidR="006F7492" w:rsidRPr="00F852D1" w:rsidRDefault="006F7492" w:rsidP="00421681">
      <w:pPr>
        <w:widowControl w:val="0"/>
        <w:suppressAutoHyphens/>
        <w:ind w:left="426" w:hanging="426"/>
        <w:rPr>
          <w:color w:val="000000"/>
          <w:sz w:val="22"/>
          <w:szCs w:val="22"/>
          <w:lang w:val="nb-NO"/>
        </w:rPr>
      </w:pPr>
    </w:p>
    <w:p w14:paraId="48B1D60A" w14:textId="77777777" w:rsidR="006F7492" w:rsidRPr="00F852D1" w:rsidRDefault="006F7492" w:rsidP="00421681">
      <w:pPr>
        <w:rPr>
          <w:color w:val="000000"/>
          <w:sz w:val="22"/>
          <w:szCs w:val="22"/>
          <w:lang w:val="nb-NO"/>
        </w:rPr>
      </w:pPr>
    </w:p>
    <w:p w14:paraId="696D18D1" w14:textId="77777777" w:rsidR="006F7492" w:rsidRPr="00F852D1"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nb-NO"/>
        </w:rPr>
      </w:pPr>
      <w:r w:rsidRPr="00F852D1">
        <w:rPr>
          <w:b/>
          <w:color w:val="000000"/>
          <w:sz w:val="22"/>
          <w:szCs w:val="22"/>
          <w:lang w:val="nb-NO"/>
        </w:rPr>
        <w:t>13.</w:t>
      </w:r>
      <w:r w:rsidRPr="00F852D1">
        <w:rPr>
          <w:b/>
          <w:color w:val="000000"/>
          <w:sz w:val="22"/>
          <w:szCs w:val="22"/>
          <w:lang w:val="nb-NO"/>
        </w:rPr>
        <w:tab/>
        <w:t>FREMSTILLERENS BATCHNUMMER</w:t>
      </w:r>
    </w:p>
    <w:p w14:paraId="195E0C4E" w14:textId="77777777" w:rsidR="006F7492" w:rsidRPr="00F852D1" w:rsidRDefault="006F7492" w:rsidP="00421681">
      <w:pPr>
        <w:rPr>
          <w:color w:val="000000"/>
          <w:sz w:val="22"/>
          <w:szCs w:val="22"/>
          <w:lang w:val="nb-NO"/>
        </w:rPr>
      </w:pPr>
    </w:p>
    <w:p w14:paraId="480AC1E9" w14:textId="0B98CDB8" w:rsidR="006F7492" w:rsidRPr="00F852D1" w:rsidRDefault="00773F38" w:rsidP="00421681">
      <w:pPr>
        <w:widowControl w:val="0"/>
        <w:rPr>
          <w:color w:val="000000"/>
          <w:sz w:val="22"/>
          <w:szCs w:val="22"/>
          <w:lang w:val="nb-NO"/>
        </w:rPr>
      </w:pPr>
      <w:r w:rsidRPr="00F852D1">
        <w:rPr>
          <w:color w:val="000000"/>
          <w:sz w:val="22"/>
          <w:szCs w:val="22"/>
          <w:lang w:val="nb-NO"/>
        </w:rPr>
        <w:t>Lot</w:t>
      </w:r>
    </w:p>
    <w:p w14:paraId="5FBDDC9D" w14:textId="77777777" w:rsidR="006F7492" w:rsidRPr="00F852D1" w:rsidRDefault="006F7492" w:rsidP="00421681">
      <w:pPr>
        <w:rPr>
          <w:color w:val="000000"/>
          <w:sz w:val="22"/>
          <w:szCs w:val="22"/>
          <w:lang w:val="nb-NO"/>
        </w:rPr>
      </w:pPr>
    </w:p>
    <w:p w14:paraId="11C54C21" w14:textId="77777777" w:rsidR="006F7492" w:rsidRPr="00F852D1" w:rsidRDefault="006F7492" w:rsidP="00421681">
      <w:pPr>
        <w:rPr>
          <w:color w:val="000000"/>
          <w:sz w:val="22"/>
          <w:szCs w:val="22"/>
          <w:lang w:val="nb-NO"/>
        </w:rPr>
      </w:pPr>
    </w:p>
    <w:p w14:paraId="59064057" w14:textId="77777777" w:rsidR="006F7492" w:rsidRPr="00F852D1"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nb-NO"/>
        </w:rPr>
      </w:pPr>
      <w:r w:rsidRPr="00F852D1">
        <w:rPr>
          <w:b/>
          <w:color w:val="000000"/>
          <w:sz w:val="22"/>
          <w:szCs w:val="22"/>
          <w:lang w:val="nb-NO"/>
        </w:rPr>
        <w:t>14.</w:t>
      </w:r>
      <w:r w:rsidRPr="00F852D1">
        <w:rPr>
          <w:b/>
          <w:color w:val="000000"/>
          <w:sz w:val="22"/>
          <w:szCs w:val="22"/>
          <w:lang w:val="nb-NO"/>
        </w:rPr>
        <w:tab/>
        <w:t xml:space="preserve">GENEREL KLASSIFIKATION FOR UDLEVERING </w:t>
      </w:r>
    </w:p>
    <w:p w14:paraId="5FDF25D7" w14:textId="77777777" w:rsidR="006F7492" w:rsidRPr="00F852D1" w:rsidRDefault="006F7492" w:rsidP="00421681">
      <w:pPr>
        <w:suppressAutoHyphens/>
        <w:ind w:left="720" w:hanging="720"/>
        <w:rPr>
          <w:color w:val="000000"/>
          <w:sz w:val="22"/>
          <w:szCs w:val="22"/>
          <w:lang w:val="nb-NO"/>
        </w:rPr>
      </w:pPr>
    </w:p>
    <w:p w14:paraId="0EBB99F3" w14:textId="77777777" w:rsidR="006F7492" w:rsidRPr="00F852D1" w:rsidRDefault="006F7492" w:rsidP="00421681">
      <w:pPr>
        <w:suppressAutoHyphens/>
        <w:ind w:left="720" w:hanging="720"/>
        <w:rPr>
          <w:color w:val="000000"/>
          <w:sz w:val="22"/>
          <w:szCs w:val="22"/>
          <w:lang w:val="nb-NO"/>
        </w:rPr>
      </w:pPr>
    </w:p>
    <w:p w14:paraId="4E0DC7E2" w14:textId="77777777" w:rsidR="006F7492" w:rsidRPr="00F852D1"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nb-NO"/>
        </w:rPr>
      </w:pPr>
      <w:r w:rsidRPr="00F852D1">
        <w:rPr>
          <w:b/>
          <w:color w:val="000000"/>
          <w:sz w:val="22"/>
          <w:szCs w:val="22"/>
          <w:lang w:val="nb-NO"/>
        </w:rPr>
        <w:t>15.</w:t>
      </w:r>
      <w:r w:rsidRPr="00F852D1">
        <w:rPr>
          <w:b/>
          <w:color w:val="000000"/>
          <w:sz w:val="22"/>
          <w:szCs w:val="22"/>
          <w:lang w:val="nb-NO"/>
        </w:rPr>
        <w:tab/>
        <w:t>INSTRUKTIONER VEDRØRENDE ANVENDELSEN</w:t>
      </w:r>
    </w:p>
    <w:p w14:paraId="01BA0352" w14:textId="77777777" w:rsidR="006F7492" w:rsidRPr="00F852D1" w:rsidRDefault="006F7492" w:rsidP="00421681">
      <w:pPr>
        <w:suppressAutoHyphens/>
        <w:rPr>
          <w:color w:val="000000"/>
          <w:sz w:val="22"/>
          <w:szCs w:val="22"/>
          <w:lang w:val="nb-NO"/>
        </w:rPr>
      </w:pPr>
    </w:p>
    <w:p w14:paraId="581E0893" w14:textId="77777777" w:rsidR="006F7492" w:rsidRPr="00F852D1" w:rsidRDefault="006F7492" w:rsidP="00421681">
      <w:pPr>
        <w:suppressAutoHyphens/>
        <w:rPr>
          <w:color w:val="000000"/>
          <w:sz w:val="22"/>
          <w:szCs w:val="22"/>
          <w:lang w:val="nb-NO"/>
        </w:rPr>
      </w:pPr>
    </w:p>
    <w:p w14:paraId="133BDA8E" w14:textId="77777777" w:rsidR="006F7492" w:rsidRPr="00F852D1" w:rsidRDefault="006F7492" w:rsidP="00421681">
      <w:pPr>
        <w:pBdr>
          <w:top w:val="single" w:sz="4" w:space="1" w:color="auto"/>
          <w:left w:val="single" w:sz="4" w:space="4" w:color="auto"/>
          <w:bottom w:val="single" w:sz="4" w:space="1" w:color="auto"/>
          <w:right w:val="single" w:sz="4" w:space="4" w:color="auto"/>
        </w:pBdr>
        <w:tabs>
          <w:tab w:val="left" w:pos="567"/>
        </w:tabs>
        <w:suppressAutoHyphens/>
        <w:jc w:val="both"/>
        <w:rPr>
          <w:color w:val="000000"/>
          <w:sz w:val="22"/>
          <w:szCs w:val="22"/>
          <w:lang w:val="nb-NO"/>
        </w:rPr>
      </w:pPr>
      <w:r w:rsidRPr="00F852D1">
        <w:rPr>
          <w:b/>
          <w:color w:val="000000"/>
          <w:sz w:val="22"/>
          <w:szCs w:val="22"/>
          <w:lang w:val="nb-NO"/>
        </w:rPr>
        <w:t>16.</w:t>
      </w:r>
      <w:r w:rsidRPr="00F852D1">
        <w:rPr>
          <w:b/>
          <w:color w:val="000000"/>
          <w:sz w:val="22"/>
          <w:szCs w:val="22"/>
          <w:lang w:val="nb-NO"/>
        </w:rPr>
        <w:tab/>
        <w:t>INFORMATION I BRAILLESKRIFT</w:t>
      </w:r>
    </w:p>
    <w:p w14:paraId="7A3C3A52" w14:textId="77777777" w:rsidR="006F7492" w:rsidRPr="00F852D1" w:rsidRDefault="006F7492" w:rsidP="00421681">
      <w:pPr>
        <w:suppressAutoHyphens/>
        <w:jc w:val="both"/>
        <w:rPr>
          <w:color w:val="000000"/>
          <w:sz w:val="22"/>
          <w:szCs w:val="22"/>
          <w:lang w:val="nb-NO"/>
        </w:rPr>
      </w:pPr>
    </w:p>
    <w:p w14:paraId="73965997" w14:textId="77777777" w:rsidR="006F7492" w:rsidRPr="00F852D1" w:rsidRDefault="006F7492" w:rsidP="00421681">
      <w:pPr>
        <w:suppressAutoHyphens/>
        <w:rPr>
          <w:color w:val="000000"/>
          <w:sz w:val="22"/>
          <w:szCs w:val="22"/>
          <w:lang w:val="nb-NO"/>
        </w:rPr>
      </w:pPr>
      <w:r w:rsidRPr="00F852D1">
        <w:rPr>
          <w:color w:val="000000"/>
          <w:sz w:val="22"/>
          <w:szCs w:val="22"/>
          <w:lang w:val="nb-NO"/>
        </w:rPr>
        <w:t>Glivec 100 mg</w:t>
      </w:r>
    </w:p>
    <w:p w14:paraId="69F7F528" w14:textId="77777777" w:rsidR="002E4D60" w:rsidRPr="00F852D1" w:rsidRDefault="002E4D60" w:rsidP="00421681">
      <w:pPr>
        <w:suppressAutoHyphens/>
        <w:rPr>
          <w:color w:val="000000"/>
          <w:sz w:val="22"/>
          <w:szCs w:val="22"/>
          <w:lang w:val="nb-NO"/>
        </w:rPr>
      </w:pPr>
    </w:p>
    <w:p w14:paraId="6884F0BF" w14:textId="77777777" w:rsidR="005A13E6" w:rsidRPr="00F852D1" w:rsidRDefault="005A13E6" w:rsidP="00421681">
      <w:pPr>
        <w:suppressAutoHyphens/>
        <w:rPr>
          <w:color w:val="000000"/>
          <w:sz w:val="22"/>
          <w:szCs w:val="22"/>
          <w:lang w:val="nb-NO"/>
        </w:rPr>
      </w:pPr>
    </w:p>
    <w:p w14:paraId="4F14BAD5" w14:textId="77777777" w:rsidR="002E4D60" w:rsidRPr="00F852D1" w:rsidRDefault="002E4D60" w:rsidP="00421681">
      <w:pPr>
        <w:widowControl w:val="0"/>
        <w:pBdr>
          <w:top w:val="single" w:sz="4" w:space="1" w:color="auto"/>
          <w:left w:val="single" w:sz="4" w:space="4" w:color="auto"/>
          <w:bottom w:val="single" w:sz="4" w:space="1" w:color="auto"/>
          <w:right w:val="single" w:sz="4" w:space="4" w:color="auto"/>
        </w:pBdr>
        <w:outlineLvl w:val="0"/>
        <w:rPr>
          <w:i/>
          <w:noProof/>
          <w:sz w:val="22"/>
          <w:szCs w:val="22"/>
          <w:lang w:val="nb-NO"/>
        </w:rPr>
      </w:pPr>
      <w:r w:rsidRPr="00F852D1">
        <w:rPr>
          <w:b/>
          <w:noProof/>
          <w:sz w:val="22"/>
          <w:szCs w:val="22"/>
          <w:lang w:val="nb-NO"/>
        </w:rPr>
        <w:t>17</w:t>
      </w:r>
      <w:r w:rsidRPr="00F852D1">
        <w:rPr>
          <w:b/>
          <w:noProof/>
          <w:sz w:val="22"/>
          <w:szCs w:val="22"/>
          <w:lang w:val="nb-NO"/>
        </w:rPr>
        <w:tab/>
        <w:t>ENTYDIG IDENTIFIKATOR – 2D-STREGKODE</w:t>
      </w:r>
    </w:p>
    <w:p w14:paraId="69506959" w14:textId="77777777" w:rsidR="002E4D60" w:rsidRPr="00F852D1" w:rsidRDefault="002E4D60" w:rsidP="00421681">
      <w:pPr>
        <w:widowControl w:val="0"/>
        <w:rPr>
          <w:noProof/>
          <w:sz w:val="22"/>
          <w:szCs w:val="22"/>
          <w:lang w:val="nb-NO"/>
        </w:rPr>
      </w:pPr>
    </w:p>
    <w:p w14:paraId="4CE671B8" w14:textId="77777777" w:rsidR="002E4D60" w:rsidRPr="00F852D1" w:rsidRDefault="002E4D60" w:rsidP="00421681">
      <w:pPr>
        <w:widowControl w:val="0"/>
        <w:rPr>
          <w:noProof/>
          <w:sz w:val="22"/>
          <w:szCs w:val="22"/>
          <w:shd w:val="clear" w:color="auto" w:fill="CCCCCC"/>
          <w:lang w:val="nb-NO"/>
        </w:rPr>
      </w:pPr>
      <w:r w:rsidRPr="00F852D1">
        <w:rPr>
          <w:noProof/>
          <w:sz w:val="22"/>
          <w:szCs w:val="22"/>
          <w:shd w:val="pct15" w:color="auto" w:fill="auto"/>
          <w:lang w:val="nb-NO"/>
        </w:rPr>
        <w:t>Der er anført en 2D-stregkode, som indeholder en entydig identifikator.</w:t>
      </w:r>
    </w:p>
    <w:p w14:paraId="3FA57962" w14:textId="77777777" w:rsidR="002E4D60" w:rsidRPr="00F852D1" w:rsidRDefault="002E4D60" w:rsidP="00421681">
      <w:pPr>
        <w:widowControl w:val="0"/>
        <w:rPr>
          <w:noProof/>
          <w:sz w:val="22"/>
          <w:szCs w:val="22"/>
          <w:lang w:val="nb-NO"/>
        </w:rPr>
      </w:pPr>
    </w:p>
    <w:p w14:paraId="4A2E80C3" w14:textId="77777777" w:rsidR="002E4D60" w:rsidRPr="00F852D1" w:rsidRDefault="002E4D60" w:rsidP="00421681">
      <w:pPr>
        <w:widowControl w:val="0"/>
        <w:rPr>
          <w:noProof/>
          <w:sz w:val="22"/>
          <w:szCs w:val="22"/>
          <w:lang w:val="nb-NO"/>
        </w:rPr>
      </w:pPr>
    </w:p>
    <w:p w14:paraId="750EA2B6" w14:textId="77777777" w:rsidR="002E4D60" w:rsidRPr="002E4D60" w:rsidRDefault="002E4D60" w:rsidP="00421681">
      <w:pPr>
        <w:widowControl w:val="0"/>
        <w:pBdr>
          <w:top w:val="single" w:sz="4" w:space="1" w:color="auto"/>
          <w:left w:val="single" w:sz="4" w:space="4" w:color="auto"/>
          <w:bottom w:val="single" w:sz="4" w:space="1" w:color="auto"/>
          <w:right w:val="single" w:sz="4" w:space="4" w:color="auto"/>
        </w:pBdr>
        <w:outlineLvl w:val="0"/>
        <w:rPr>
          <w:i/>
          <w:noProof/>
          <w:sz w:val="22"/>
          <w:szCs w:val="22"/>
          <w:lang w:val="da-DK"/>
        </w:rPr>
      </w:pPr>
      <w:r w:rsidRPr="002E4D60">
        <w:rPr>
          <w:b/>
          <w:noProof/>
          <w:sz w:val="22"/>
          <w:szCs w:val="22"/>
          <w:lang w:val="da-DK"/>
        </w:rPr>
        <w:t>18.</w:t>
      </w:r>
      <w:r w:rsidRPr="002E4D60">
        <w:rPr>
          <w:b/>
          <w:noProof/>
          <w:sz w:val="22"/>
          <w:szCs w:val="22"/>
          <w:lang w:val="da-DK"/>
        </w:rPr>
        <w:tab/>
        <w:t>ENTYDIG IDENTIFIKATOR - MENNESKELIGT LÆSBARE DATA</w:t>
      </w:r>
    </w:p>
    <w:p w14:paraId="4D851335" w14:textId="77777777" w:rsidR="002E4D60" w:rsidRPr="002E4D60" w:rsidRDefault="002E4D60" w:rsidP="00421681">
      <w:pPr>
        <w:widowControl w:val="0"/>
        <w:rPr>
          <w:noProof/>
          <w:sz w:val="22"/>
          <w:szCs w:val="22"/>
          <w:lang w:val="da-DK"/>
        </w:rPr>
      </w:pPr>
    </w:p>
    <w:p w14:paraId="053EB219" w14:textId="77777777" w:rsidR="002E4D60" w:rsidRPr="002E4D60" w:rsidRDefault="002E4D60" w:rsidP="00421681">
      <w:pPr>
        <w:widowControl w:val="0"/>
        <w:rPr>
          <w:sz w:val="22"/>
          <w:szCs w:val="22"/>
          <w:lang w:val="da-DK"/>
        </w:rPr>
      </w:pPr>
      <w:r w:rsidRPr="002E4D60">
        <w:rPr>
          <w:sz w:val="22"/>
          <w:szCs w:val="22"/>
          <w:lang w:val="da-DK"/>
        </w:rPr>
        <w:t>PC:</w:t>
      </w:r>
    </w:p>
    <w:p w14:paraId="51431464" w14:textId="77777777" w:rsidR="002E4D60" w:rsidRPr="002E4D60" w:rsidRDefault="002E4D60" w:rsidP="00421681">
      <w:pPr>
        <w:widowControl w:val="0"/>
        <w:rPr>
          <w:sz w:val="22"/>
          <w:szCs w:val="22"/>
          <w:lang w:val="da-DK"/>
        </w:rPr>
      </w:pPr>
      <w:r w:rsidRPr="002E4D60">
        <w:rPr>
          <w:sz w:val="22"/>
          <w:szCs w:val="22"/>
          <w:lang w:val="da-DK"/>
        </w:rPr>
        <w:t>SN:</w:t>
      </w:r>
    </w:p>
    <w:p w14:paraId="157219B8" w14:textId="77777777" w:rsidR="002E4D60" w:rsidRPr="002E4D60" w:rsidRDefault="002E4D60" w:rsidP="00421681">
      <w:pPr>
        <w:widowControl w:val="0"/>
        <w:rPr>
          <w:sz w:val="22"/>
          <w:szCs w:val="22"/>
          <w:lang w:val="da-DK"/>
        </w:rPr>
      </w:pPr>
      <w:r w:rsidRPr="002E4D60">
        <w:rPr>
          <w:sz w:val="22"/>
          <w:szCs w:val="22"/>
          <w:lang w:val="da-DK"/>
        </w:rPr>
        <w:t>NN:</w:t>
      </w:r>
    </w:p>
    <w:p w14:paraId="55517611" w14:textId="77777777" w:rsidR="002E4D60" w:rsidRPr="004C2A59" w:rsidRDefault="002E4D60" w:rsidP="00421681">
      <w:pPr>
        <w:suppressAutoHyphens/>
        <w:rPr>
          <w:color w:val="000000"/>
          <w:sz w:val="22"/>
          <w:szCs w:val="22"/>
          <w:lang w:val="da-DK"/>
        </w:rPr>
      </w:pPr>
    </w:p>
    <w:p w14:paraId="312B5C4B" w14:textId="77777777" w:rsidR="006F7492" w:rsidRPr="004C2A59" w:rsidRDefault="006F7492" w:rsidP="00421681">
      <w:pPr>
        <w:suppressAutoHyphens/>
        <w:jc w:val="both"/>
        <w:rPr>
          <w:color w:val="000000"/>
          <w:sz w:val="22"/>
          <w:szCs w:val="22"/>
          <w:lang w:val="da-DK"/>
        </w:rPr>
      </w:pPr>
      <w:r w:rsidRPr="004C2A59">
        <w:rPr>
          <w:color w:val="000000"/>
          <w:sz w:val="22"/>
          <w:szCs w:val="22"/>
          <w:lang w:val="da-DK"/>
        </w:rPr>
        <w:br w:type="page"/>
      </w:r>
    </w:p>
    <w:p w14:paraId="67807539" w14:textId="77777777" w:rsidR="001B7781" w:rsidRPr="001B7781" w:rsidRDefault="001B7781" w:rsidP="001B7781">
      <w:pPr>
        <w:rPr>
          <w:color w:val="000000"/>
          <w:sz w:val="22"/>
          <w:szCs w:val="22"/>
          <w:lang w:val="da-DK"/>
        </w:rPr>
      </w:pPr>
    </w:p>
    <w:p w14:paraId="461DEC97" w14:textId="77777777" w:rsidR="006F7492" w:rsidRPr="004C2A59" w:rsidRDefault="006F7492" w:rsidP="00421681">
      <w:pPr>
        <w:pBdr>
          <w:top w:val="single" w:sz="4" w:space="1" w:color="auto"/>
          <w:left w:val="single" w:sz="4" w:space="4" w:color="auto"/>
          <w:bottom w:val="single" w:sz="4" w:space="1" w:color="auto"/>
          <w:right w:val="single" w:sz="4" w:space="4" w:color="auto"/>
        </w:pBdr>
        <w:rPr>
          <w:b/>
          <w:color w:val="000000"/>
          <w:sz w:val="22"/>
          <w:szCs w:val="22"/>
          <w:lang w:val="da-DK"/>
        </w:rPr>
      </w:pPr>
      <w:r w:rsidRPr="004C2A59">
        <w:rPr>
          <w:b/>
          <w:color w:val="000000"/>
          <w:sz w:val="22"/>
          <w:szCs w:val="22"/>
          <w:lang w:val="da-DK"/>
        </w:rPr>
        <w:t>MINDSTEKRAV TIL MÆRKNING PÅ BLISTER ELLER STRIP</w:t>
      </w:r>
    </w:p>
    <w:p w14:paraId="050A3161" w14:textId="77777777" w:rsidR="006F7492" w:rsidRPr="004C2A59" w:rsidRDefault="006F7492" w:rsidP="00421681">
      <w:pPr>
        <w:pBdr>
          <w:top w:val="single" w:sz="4" w:space="1" w:color="auto"/>
          <w:left w:val="single" w:sz="4" w:space="4" w:color="auto"/>
          <w:bottom w:val="single" w:sz="4" w:space="1" w:color="auto"/>
          <w:right w:val="single" w:sz="4" w:space="4" w:color="auto"/>
        </w:pBdr>
        <w:rPr>
          <w:color w:val="000000"/>
          <w:sz w:val="22"/>
          <w:szCs w:val="22"/>
          <w:lang w:val="da-DK"/>
        </w:rPr>
      </w:pPr>
    </w:p>
    <w:p w14:paraId="73150584" w14:textId="77777777" w:rsidR="006F7492" w:rsidRPr="004C2A59" w:rsidRDefault="006F7492" w:rsidP="00421681">
      <w:pPr>
        <w:pBdr>
          <w:top w:val="single" w:sz="4" w:space="1" w:color="auto"/>
          <w:left w:val="single" w:sz="4" w:space="4" w:color="auto"/>
          <w:bottom w:val="single" w:sz="4" w:space="1" w:color="auto"/>
          <w:right w:val="single" w:sz="4" w:space="4" w:color="auto"/>
        </w:pBdr>
        <w:rPr>
          <w:b/>
          <w:color w:val="000000"/>
          <w:sz w:val="22"/>
          <w:szCs w:val="22"/>
          <w:lang w:val="da-DK"/>
        </w:rPr>
      </w:pPr>
      <w:r w:rsidRPr="004C2A59">
        <w:rPr>
          <w:b/>
          <w:color w:val="000000"/>
          <w:sz w:val="22"/>
          <w:szCs w:val="22"/>
          <w:lang w:val="da-DK"/>
        </w:rPr>
        <w:t>BLISTER</w:t>
      </w:r>
    </w:p>
    <w:p w14:paraId="08818A66" w14:textId="77777777" w:rsidR="006F7492" w:rsidRPr="004C2A59" w:rsidRDefault="006F7492" w:rsidP="00421681">
      <w:pPr>
        <w:rPr>
          <w:color w:val="000000"/>
          <w:sz w:val="22"/>
          <w:szCs w:val="22"/>
          <w:lang w:val="da-DK"/>
        </w:rPr>
      </w:pPr>
    </w:p>
    <w:p w14:paraId="6CA71ED4" w14:textId="77777777" w:rsidR="006F7492" w:rsidRPr="004C2A59" w:rsidRDefault="006F7492" w:rsidP="00421681">
      <w:pPr>
        <w:rPr>
          <w:color w:val="000000"/>
          <w:sz w:val="22"/>
          <w:szCs w:val="22"/>
          <w:lang w:val="da-DK"/>
        </w:rPr>
      </w:pPr>
    </w:p>
    <w:p w14:paraId="6256988F"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1.</w:t>
      </w:r>
      <w:r w:rsidRPr="004C2A59">
        <w:rPr>
          <w:b/>
          <w:color w:val="000000"/>
          <w:sz w:val="22"/>
          <w:szCs w:val="22"/>
          <w:lang w:val="da-DK"/>
        </w:rPr>
        <w:tab/>
        <w:t>LÆGEMIDLETS NAVN</w:t>
      </w:r>
    </w:p>
    <w:p w14:paraId="2F27955E" w14:textId="77777777" w:rsidR="006F7492" w:rsidRPr="004C2A59" w:rsidRDefault="006F7492" w:rsidP="00421681">
      <w:pPr>
        <w:suppressAutoHyphens/>
        <w:rPr>
          <w:color w:val="000000"/>
          <w:sz w:val="22"/>
          <w:szCs w:val="22"/>
          <w:lang w:val="da-DK"/>
        </w:rPr>
      </w:pPr>
    </w:p>
    <w:p w14:paraId="1C9A14D0"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Glivec 100 mg tabletter</w:t>
      </w:r>
    </w:p>
    <w:p w14:paraId="5E1D24FC" w14:textId="77777777" w:rsidR="006F7492" w:rsidRPr="004C2A59" w:rsidRDefault="005A13E6" w:rsidP="00421681">
      <w:pPr>
        <w:widowControl w:val="0"/>
        <w:suppressAutoHyphens/>
        <w:rPr>
          <w:color w:val="000000"/>
          <w:sz w:val="22"/>
          <w:szCs w:val="22"/>
          <w:lang w:val="da-DK"/>
        </w:rPr>
      </w:pPr>
      <w:r>
        <w:rPr>
          <w:color w:val="000000"/>
          <w:sz w:val="22"/>
          <w:szCs w:val="22"/>
          <w:lang w:val="da-DK"/>
        </w:rPr>
        <w:t>i</w:t>
      </w:r>
      <w:r w:rsidR="006F7492" w:rsidRPr="004C2A59">
        <w:rPr>
          <w:color w:val="000000"/>
          <w:sz w:val="22"/>
          <w:szCs w:val="22"/>
          <w:lang w:val="da-DK"/>
        </w:rPr>
        <w:t>matinib</w:t>
      </w:r>
    </w:p>
    <w:p w14:paraId="1F20C4F2" w14:textId="77777777" w:rsidR="006F7492" w:rsidRPr="004C2A59" w:rsidRDefault="006F7492" w:rsidP="00421681">
      <w:pPr>
        <w:widowControl w:val="0"/>
        <w:suppressAutoHyphens/>
        <w:rPr>
          <w:color w:val="000000"/>
          <w:sz w:val="22"/>
          <w:szCs w:val="22"/>
          <w:lang w:val="da-DK"/>
        </w:rPr>
      </w:pPr>
    </w:p>
    <w:p w14:paraId="473032E2" w14:textId="77777777" w:rsidR="006F7492" w:rsidRPr="004C2A59" w:rsidRDefault="006F7492" w:rsidP="00421681">
      <w:pPr>
        <w:suppressAutoHyphens/>
        <w:rPr>
          <w:color w:val="000000"/>
          <w:sz w:val="22"/>
          <w:szCs w:val="22"/>
          <w:lang w:val="da-DK"/>
        </w:rPr>
      </w:pPr>
    </w:p>
    <w:p w14:paraId="1F1CE012"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2.</w:t>
      </w:r>
      <w:r w:rsidRPr="004C2A59">
        <w:rPr>
          <w:b/>
          <w:color w:val="000000"/>
          <w:sz w:val="22"/>
          <w:szCs w:val="22"/>
          <w:lang w:val="da-DK"/>
        </w:rPr>
        <w:tab/>
        <w:t>NAVN PÅ INDEHAVEREN AF MARKEDSFØRINGSTILLADELSEN</w:t>
      </w:r>
    </w:p>
    <w:p w14:paraId="31CCCF75" w14:textId="77777777" w:rsidR="006F7492" w:rsidRPr="004C2A59" w:rsidRDefault="006F7492" w:rsidP="00421681">
      <w:pPr>
        <w:suppressAutoHyphens/>
        <w:rPr>
          <w:color w:val="000000"/>
          <w:sz w:val="22"/>
          <w:szCs w:val="22"/>
          <w:lang w:val="da-DK"/>
        </w:rPr>
      </w:pPr>
    </w:p>
    <w:p w14:paraId="193F88D5" w14:textId="77777777" w:rsidR="006F7492" w:rsidRPr="00F93637" w:rsidRDefault="006F7492" w:rsidP="00421681">
      <w:pPr>
        <w:widowControl w:val="0"/>
        <w:suppressAutoHyphens/>
        <w:rPr>
          <w:color w:val="000000"/>
          <w:sz w:val="22"/>
          <w:szCs w:val="22"/>
        </w:rPr>
      </w:pPr>
      <w:r w:rsidRPr="00F93637">
        <w:rPr>
          <w:color w:val="000000"/>
          <w:sz w:val="22"/>
          <w:szCs w:val="22"/>
        </w:rPr>
        <w:t>Novartis Europharm Limited</w:t>
      </w:r>
    </w:p>
    <w:p w14:paraId="3571183D" w14:textId="77777777" w:rsidR="006F7492" w:rsidRPr="00F93637" w:rsidRDefault="006F7492" w:rsidP="00421681">
      <w:pPr>
        <w:suppressAutoHyphens/>
        <w:rPr>
          <w:color w:val="000000"/>
          <w:sz w:val="22"/>
          <w:szCs w:val="22"/>
        </w:rPr>
      </w:pPr>
    </w:p>
    <w:p w14:paraId="4EBBB33A" w14:textId="77777777" w:rsidR="006F7492" w:rsidRPr="00F93637" w:rsidRDefault="006F7492" w:rsidP="00421681">
      <w:pPr>
        <w:suppressAutoHyphens/>
        <w:rPr>
          <w:color w:val="000000"/>
          <w:sz w:val="22"/>
          <w:szCs w:val="22"/>
        </w:rPr>
      </w:pPr>
    </w:p>
    <w:p w14:paraId="11D79476" w14:textId="77777777" w:rsidR="006F7492" w:rsidRPr="00F93637"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rPr>
      </w:pPr>
      <w:r w:rsidRPr="00F93637">
        <w:rPr>
          <w:b/>
          <w:color w:val="000000"/>
          <w:sz w:val="22"/>
          <w:szCs w:val="22"/>
        </w:rPr>
        <w:t>3.</w:t>
      </w:r>
      <w:r w:rsidRPr="00F93637">
        <w:rPr>
          <w:b/>
          <w:color w:val="000000"/>
          <w:sz w:val="22"/>
          <w:szCs w:val="22"/>
        </w:rPr>
        <w:tab/>
        <w:t>UDLØBSDATO</w:t>
      </w:r>
    </w:p>
    <w:p w14:paraId="166724EC" w14:textId="77777777" w:rsidR="006F7492" w:rsidRPr="00F93637" w:rsidRDefault="006F7492" w:rsidP="00421681">
      <w:pPr>
        <w:suppressAutoHyphens/>
        <w:jc w:val="both"/>
        <w:rPr>
          <w:color w:val="000000"/>
          <w:sz w:val="22"/>
          <w:szCs w:val="22"/>
        </w:rPr>
      </w:pPr>
    </w:p>
    <w:p w14:paraId="0E00321A" w14:textId="77777777" w:rsidR="006F7492" w:rsidRPr="00F93637" w:rsidRDefault="006F7492" w:rsidP="00421681">
      <w:pPr>
        <w:widowControl w:val="0"/>
        <w:suppressAutoHyphens/>
        <w:jc w:val="both"/>
        <w:rPr>
          <w:color w:val="000000"/>
          <w:sz w:val="22"/>
          <w:szCs w:val="22"/>
        </w:rPr>
      </w:pPr>
      <w:r w:rsidRPr="00F93637">
        <w:rPr>
          <w:color w:val="000000"/>
          <w:sz w:val="22"/>
          <w:szCs w:val="22"/>
        </w:rPr>
        <w:t>EXP</w:t>
      </w:r>
    </w:p>
    <w:p w14:paraId="388EC40C" w14:textId="77777777" w:rsidR="006F7492" w:rsidRPr="00F93637" w:rsidRDefault="006F7492" w:rsidP="00421681">
      <w:pPr>
        <w:widowControl w:val="0"/>
        <w:suppressAutoHyphens/>
        <w:jc w:val="both"/>
        <w:rPr>
          <w:color w:val="000000"/>
          <w:sz w:val="22"/>
          <w:szCs w:val="22"/>
        </w:rPr>
      </w:pPr>
    </w:p>
    <w:p w14:paraId="5803C777" w14:textId="77777777" w:rsidR="006F7492" w:rsidRPr="00F93637" w:rsidRDefault="006F7492" w:rsidP="00421681">
      <w:pPr>
        <w:suppressAutoHyphens/>
        <w:jc w:val="both"/>
        <w:rPr>
          <w:color w:val="000000"/>
          <w:sz w:val="22"/>
          <w:szCs w:val="22"/>
        </w:rPr>
      </w:pPr>
    </w:p>
    <w:p w14:paraId="24080888" w14:textId="77777777" w:rsidR="006F7492" w:rsidRPr="00F93637"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rPr>
      </w:pPr>
      <w:r w:rsidRPr="00F93637">
        <w:rPr>
          <w:b/>
          <w:color w:val="000000"/>
          <w:sz w:val="22"/>
          <w:szCs w:val="22"/>
        </w:rPr>
        <w:t>4.</w:t>
      </w:r>
      <w:r w:rsidRPr="00F93637">
        <w:rPr>
          <w:b/>
          <w:color w:val="000000"/>
          <w:sz w:val="22"/>
          <w:szCs w:val="22"/>
        </w:rPr>
        <w:tab/>
        <w:t>BATCHNUMMER</w:t>
      </w:r>
    </w:p>
    <w:p w14:paraId="633C1D40" w14:textId="77777777" w:rsidR="006F7492" w:rsidRPr="00F93637" w:rsidRDefault="006F7492" w:rsidP="00421681">
      <w:pPr>
        <w:suppressAutoHyphens/>
        <w:jc w:val="both"/>
        <w:rPr>
          <w:color w:val="000000"/>
          <w:sz w:val="22"/>
          <w:szCs w:val="22"/>
        </w:rPr>
      </w:pPr>
    </w:p>
    <w:p w14:paraId="143B03E8" w14:textId="77777777" w:rsidR="006F7492" w:rsidRPr="004C2A59" w:rsidRDefault="006F7492" w:rsidP="00421681">
      <w:pPr>
        <w:widowControl w:val="0"/>
        <w:suppressAutoHyphens/>
        <w:jc w:val="both"/>
        <w:rPr>
          <w:color w:val="000000"/>
          <w:sz w:val="22"/>
          <w:szCs w:val="22"/>
          <w:lang w:val="da-DK"/>
        </w:rPr>
      </w:pPr>
      <w:r w:rsidRPr="004C2A59">
        <w:rPr>
          <w:color w:val="000000"/>
          <w:sz w:val="22"/>
          <w:szCs w:val="22"/>
          <w:lang w:val="da-DK"/>
        </w:rPr>
        <w:t>Lot</w:t>
      </w:r>
    </w:p>
    <w:p w14:paraId="3711A516" w14:textId="77777777" w:rsidR="006F7492" w:rsidRPr="004C2A59" w:rsidRDefault="006F7492" w:rsidP="00421681">
      <w:pPr>
        <w:suppressAutoHyphens/>
        <w:rPr>
          <w:color w:val="000000"/>
          <w:sz w:val="22"/>
          <w:szCs w:val="22"/>
          <w:lang w:val="da-DK"/>
        </w:rPr>
      </w:pPr>
    </w:p>
    <w:p w14:paraId="3AF7139C" w14:textId="77777777" w:rsidR="006F7492" w:rsidRPr="004C2A59" w:rsidRDefault="006F7492" w:rsidP="00421681">
      <w:pPr>
        <w:widowControl w:val="0"/>
        <w:rPr>
          <w:color w:val="000000"/>
          <w:sz w:val="22"/>
          <w:szCs w:val="22"/>
          <w:lang w:val="da-DK"/>
        </w:rPr>
      </w:pPr>
    </w:p>
    <w:p w14:paraId="33B8209D"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142"/>
        </w:tabs>
        <w:ind w:left="567" w:hanging="567"/>
        <w:rPr>
          <w:b/>
          <w:noProof/>
          <w:sz w:val="22"/>
          <w:szCs w:val="22"/>
          <w:lang w:val="da-DK"/>
        </w:rPr>
      </w:pPr>
      <w:r w:rsidRPr="004C2A59">
        <w:rPr>
          <w:b/>
          <w:noProof/>
          <w:sz w:val="22"/>
          <w:szCs w:val="22"/>
          <w:lang w:val="da-DK"/>
        </w:rPr>
        <w:t>5.</w:t>
      </w:r>
      <w:r w:rsidRPr="004C2A59">
        <w:rPr>
          <w:b/>
          <w:noProof/>
          <w:sz w:val="22"/>
          <w:szCs w:val="22"/>
          <w:lang w:val="da-DK"/>
        </w:rPr>
        <w:tab/>
        <w:t>ANDET</w:t>
      </w:r>
    </w:p>
    <w:p w14:paraId="39C7F1D0" w14:textId="77777777" w:rsidR="006F7492" w:rsidRPr="004C2A59" w:rsidRDefault="006F7492" w:rsidP="00421681">
      <w:pPr>
        <w:widowControl w:val="0"/>
        <w:rPr>
          <w:color w:val="000000"/>
          <w:sz w:val="22"/>
          <w:szCs w:val="22"/>
          <w:lang w:val="da-DK"/>
        </w:rPr>
      </w:pPr>
    </w:p>
    <w:p w14:paraId="46949D0B" w14:textId="77777777" w:rsidR="006F7492" w:rsidRPr="004C2A59" w:rsidRDefault="006F7492" w:rsidP="00421681">
      <w:pPr>
        <w:suppressAutoHyphens/>
        <w:rPr>
          <w:color w:val="000000"/>
          <w:sz w:val="22"/>
          <w:szCs w:val="22"/>
          <w:lang w:val="da-DK"/>
        </w:rPr>
      </w:pPr>
      <w:r w:rsidRPr="004C2A59">
        <w:rPr>
          <w:color w:val="000000"/>
          <w:sz w:val="22"/>
          <w:szCs w:val="22"/>
          <w:lang w:val="da-DK"/>
        </w:rPr>
        <w:br w:type="page"/>
      </w:r>
    </w:p>
    <w:p w14:paraId="4E5978BA" w14:textId="77777777" w:rsidR="001B7781" w:rsidRPr="001B7781" w:rsidRDefault="001B7781" w:rsidP="001B7781">
      <w:pPr>
        <w:rPr>
          <w:color w:val="000000"/>
          <w:sz w:val="22"/>
          <w:szCs w:val="22"/>
          <w:lang w:val="da-DK"/>
        </w:rPr>
      </w:pPr>
    </w:p>
    <w:p w14:paraId="59794738" w14:textId="77777777" w:rsidR="006F7492" w:rsidRPr="004C2A59" w:rsidRDefault="006F7492" w:rsidP="00421681">
      <w:pPr>
        <w:pBdr>
          <w:top w:val="single" w:sz="4" w:space="1" w:color="auto"/>
          <w:left w:val="single" w:sz="4" w:space="4" w:color="auto"/>
          <w:bottom w:val="single" w:sz="4" w:space="1" w:color="auto"/>
          <w:right w:val="single" w:sz="4" w:space="4" w:color="auto"/>
        </w:pBdr>
        <w:rPr>
          <w:color w:val="000000"/>
          <w:sz w:val="22"/>
          <w:szCs w:val="22"/>
          <w:lang w:val="da-DK"/>
        </w:rPr>
      </w:pPr>
      <w:r w:rsidRPr="004C2A59">
        <w:rPr>
          <w:b/>
          <w:color w:val="000000"/>
          <w:sz w:val="22"/>
          <w:szCs w:val="22"/>
          <w:lang w:val="da-DK"/>
        </w:rPr>
        <w:t xml:space="preserve">MÆRKNING, </w:t>
      </w:r>
      <w:smartTag w:uri="urn:schemas-microsoft-com:office:smarttags" w:element="metricconverter">
        <w:r w:rsidRPr="004C2A59">
          <w:rPr>
            <w:b/>
            <w:color w:val="000000"/>
            <w:sz w:val="22"/>
            <w:szCs w:val="22"/>
            <w:lang w:val="da-DK"/>
          </w:rPr>
          <w:t>DER</w:t>
        </w:r>
      </w:smartTag>
      <w:r w:rsidRPr="004C2A59">
        <w:rPr>
          <w:b/>
          <w:color w:val="000000"/>
          <w:sz w:val="22"/>
          <w:szCs w:val="22"/>
          <w:lang w:val="da-DK"/>
        </w:rPr>
        <w:t xml:space="preserve"> SKAL ANFØRES PÅ DEN YDRE EMBALLAGE</w:t>
      </w:r>
    </w:p>
    <w:p w14:paraId="1CAE0C68" w14:textId="77777777" w:rsidR="006F7492" w:rsidRPr="004C2A59" w:rsidRDefault="006F7492" w:rsidP="00421681">
      <w:pPr>
        <w:pBdr>
          <w:top w:val="single" w:sz="4" w:space="1" w:color="auto"/>
          <w:left w:val="single" w:sz="4" w:space="4" w:color="auto"/>
          <w:bottom w:val="single" w:sz="4" w:space="1" w:color="auto"/>
          <w:right w:val="single" w:sz="4" w:space="4" w:color="auto"/>
        </w:pBdr>
        <w:rPr>
          <w:color w:val="000000"/>
          <w:sz w:val="22"/>
          <w:szCs w:val="22"/>
          <w:lang w:val="da-DK"/>
        </w:rPr>
      </w:pPr>
    </w:p>
    <w:p w14:paraId="5C1EBC2F" w14:textId="77777777" w:rsidR="006F7492" w:rsidRPr="004C2A59" w:rsidRDefault="006F7492" w:rsidP="00421681">
      <w:pPr>
        <w:pBdr>
          <w:top w:val="single" w:sz="4" w:space="1" w:color="auto"/>
          <w:left w:val="single" w:sz="4" w:space="4" w:color="auto"/>
          <w:bottom w:val="single" w:sz="4" w:space="1" w:color="auto"/>
          <w:right w:val="single" w:sz="4" w:space="4" w:color="auto"/>
        </w:pBdr>
        <w:rPr>
          <w:color w:val="000000"/>
          <w:sz w:val="22"/>
          <w:szCs w:val="22"/>
          <w:lang w:val="da-DK"/>
        </w:rPr>
      </w:pPr>
      <w:r w:rsidRPr="004C2A59">
        <w:rPr>
          <w:b/>
          <w:color w:val="000000"/>
          <w:sz w:val="22"/>
          <w:szCs w:val="22"/>
          <w:lang w:val="da-DK"/>
        </w:rPr>
        <w:t>KARTON</w:t>
      </w:r>
    </w:p>
    <w:p w14:paraId="22263F14" w14:textId="77777777" w:rsidR="006F7492" w:rsidRPr="004C2A59" w:rsidRDefault="006F7492" w:rsidP="00421681">
      <w:pPr>
        <w:rPr>
          <w:color w:val="000000"/>
          <w:sz w:val="22"/>
          <w:szCs w:val="22"/>
          <w:lang w:val="da-DK"/>
        </w:rPr>
      </w:pPr>
    </w:p>
    <w:p w14:paraId="304E9A3D" w14:textId="77777777" w:rsidR="006F7492" w:rsidRPr="004C2A59" w:rsidRDefault="006F7492" w:rsidP="00421681">
      <w:pPr>
        <w:suppressAutoHyphens/>
        <w:rPr>
          <w:color w:val="000000"/>
          <w:sz w:val="22"/>
          <w:szCs w:val="22"/>
          <w:lang w:val="da-DK"/>
        </w:rPr>
      </w:pPr>
    </w:p>
    <w:p w14:paraId="527FE3EF"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1.</w:t>
      </w:r>
      <w:r w:rsidRPr="004C2A59">
        <w:rPr>
          <w:b/>
          <w:color w:val="000000"/>
          <w:sz w:val="22"/>
          <w:szCs w:val="22"/>
          <w:lang w:val="da-DK"/>
        </w:rPr>
        <w:tab/>
        <w:t>LÆGEMIDLETS NAVN</w:t>
      </w:r>
    </w:p>
    <w:p w14:paraId="0F58367F" w14:textId="77777777" w:rsidR="006F7492" w:rsidRPr="004C2A59" w:rsidRDefault="006F7492" w:rsidP="00421681">
      <w:pPr>
        <w:suppressAutoHyphens/>
        <w:rPr>
          <w:color w:val="000000"/>
          <w:sz w:val="22"/>
          <w:szCs w:val="22"/>
          <w:lang w:val="da-DK"/>
        </w:rPr>
      </w:pPr>
    </w:p>
    <w:p w14:paraId="462F647A"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Glivec 400 mg filmovertrukne tabletter</w:t>
      </w:r>
    </w:p>
    <w:p w14:paraId="232E7AF5" w14:textId="77777777" w:rsidR="006F7492" w:rsidRPr="004C2A59" w:rsidRDefault="005A13E6" w:rsidP="00421681">
      <w:pPr>
        <w:widowControl w:val="0"/>
        <w:suppressAutoHyphens/>
        <w:rPr>
          <w:color w:val="000000"/>
          <w:sz w:val="22"/>
          <w:szCs w:val="22"/>
          <w:lang w:val="da-DK"/>
        </w:rPr>
      </w:pPr>
      <w:r>
        <w:rPr>
          <w:color w:val="000000"/>
          <w:sz w:val="22"/>
          <w:szCs w:val="22"/>
          <w:lang w:val="da-DK"/>
        </w:rPr>
        <w:t>i</w:t>
      </w:r>
      <w:r w:rsidR="006F7492" w:rsidRPr="004C2A59">
        <w:rPr>
          <w:color w:val="000000"/>
          <w:sz w:val="22"/>
          <w:szCs w:val="22"/>
          <w:lang w:val="da-DK"/>
        </w:rPr>
        <w:t>matinib</w:t>
      </w:r>
    </w:p>
    <w:p w14:paraId="492FCC4A" w14:textId="77777777" w:rsidR="006F7492" w:rsidRPr="004C2A59" w:rsidRDefault="006F7492" w:rsidP="00421681">
      <w:pPr>
        <w:suppressAutoHyphens/>
        <w:rPr>
          <w:color w:val="000000"/>
          <w:sz w:val="22"/>
          <w:szCs w:val="22"/>
          <w:lang w:val="da-DK"/>
        </w:rPr>
      </w:pPr>
    </w:p>
    <w:p w14:paraId="49BD1111" w14:textId="77777777" w:rsidR="006F7492" w:rsidRPr="004C2A59" w:rsidRDefault="006F7492" w:rsidP="00421681">
      <w:pPr>
        <w:suppressAutoHyphens/>
        <w:rPr>
          <w:color w:val="000000"/>
          <w:sz w:val="22"/>
          <w:szCs w:val="22"/>
          <w:lang w:val="da-DK"/>
        </w:rPr>
      </w:pPr>
    </w:p>
    <w:p w14:paraId="75449F60"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2.</w:t>
      </w:r>
      <w:r w:rsidRPr="004C2A59">
        <w:rPr>
          <w:b/>
          <w:color w:val="000000"/>
          <w:sz w:val="22"/>
          <w:szCs w:val="22"/>
          <w:lang w:val="da-DK"/>
        </w:rPr>
        <w:tab/>
        <w:t>ANGIVELSE AF AKTIVT STOF/AKTIVE STOFFER</w:t>
      </w:r>
    </w:p>
    <w:p w14:paraId="64A31CC9" w14:textId="77777777" w:rsidR="006F7492" w:rsidRPr="004C2A59" w:rsidRDefault="006F7492" w:rsidP="00421681">
      <w:pPr>
        <w:suppressAutoHyphens/>
        <w:rPr>
          <w:color w:val="000000"/>
          <w:sz w:val="22"/>
          <w:szCs w:val="22"/>
          <w:lang w:val="da-DK"/>
        </w:rPr>
      </w:pPr>
    </w:p>
    <w:p w14:paraId="60942F0C"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Hver filmovertrukken tablet indeholder 400 mg imatinib (som mesilat).</w:t>
      </w:r>
    </w:p>
    <w:p w14:paraId="2FDDCC02" w14:textId="77777777" w:rsidR="006F7492" w:rsidRPr="004C2A59" w:rsidRDefault="006F7492" w:rsidP="00421681">
      <w:pPr>
        <w:suppressAutoHyphens/>
        <w:rPr>
          <w:color w:val="000000"/>
          <w:sz w:val="22"/>
          <w:szCs w:val="22"/>
          <w:lang w:val="da-DK"/>
        </w:rPr>
      </w:pPr>
    </w:p>
    <w:p w14:paraId="6AE82ABC" w14:textId="77777777" w:rsidR="006F7492" w:rsidRPr="004C2A59" w:rsidRDefault="006F7492" w:rsidP="00421681">
      <w:pPr>
        <w:suppressAutoHyphens/>
        <w:rPr>
          <w:color w:val="000000"/>
          <w:sz w:val="22"/>
          <w:szCs w:val="22"/>
          <w:lang w:val="da-DK"/>
        </w:rPr>
      </w:pPr>
    </w:p>
    <w:p w14:paraId="67BC6F79"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3.</w:t>
      </w:r>
      <w:r w:rsidRPr="004C2A59">
        <w:rPr>
          <w:b/>
          <w:color w:val="000000"/>
          <w:sz w:val="22"/>
          <w:szCs w:val="22"/>
          <w:lang w:val="da-DK"/>
        </w:rPr>
        <w:tab/>
        <w:t>LISTE OVER HJÆLPESTOFFER</w:t>
      </w:r>
    </w:p>
    <w:p w14:paraId="430D547E" w14:textId="77777777" w:rsidR="006F7492" w:rsidRPr="004C2A59" w:rsidRDefault="006F7492" w:rsidP="00421681">
      <w:pPr>
        <w:suppressAutoHyphens/>
        <w:rPr>
          <w:color w:val="000000"/>
          <w:sz w:val="22"/>
          <w:szCs w:val="22"/>
          <w:lang w:val="da-DK"/>
        </w:rPr>
      </w:pPr>
    </w:p>
    <w:p w14:paraId="716F2FF3" w14:textId="77777777" w:rsidR="006F7492" w:rsidRPr="004C2A59" w:rsidRDefault="006F7492" w:rsidP="00421681">
      <w:pPr>
        <w:suppressAutoHyphens/>
        <w:rPr>
          <w:color w:val="000000"/>
          <w:sz w:val="22"/>
          <w:szCs w:val="22"/>
          <w:lang w:val="da-DK"/>
        </w:rPr>
      </w:pPr>
    </w:p>
    <w:p w14:paraId="518F76BC"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4.</w:t>
      </w:r>
      <w:r w:rsidRPr="004C2A59">
        <w:rPr>
          <w:b/>
          <w:color w:val="000000"/>
          <w:sz w:val="22"/>
          <w:szCs w:val="22"/>
          <w:lang w:val="da-DK"/>
        </w:rPr>
        <w:tab/>
        <w:t xml:space="preserve">LÆGEMIDDELFORM OG </w:t>
      </w:r>
      <w:r w:rsidR="001B418F" w:rsidRPr="004C2A59">
        <w:rPr>
          <w:b/>
          <w:color w:val="000000"/>
          <w:sz w:val="22"/>
          <w:szCs w:val="22"/>
          <w:lang w:val="da-DK"/>
        </w:rPr>
        <w:t xml:space="preserve">INDHOLD </w:t>
      </w:r>
      <w:r w:rsidRPr="004C2A59">
        <w:rPr>
          <w:b/>
          <w:color w:val="000000"/>
          <w:sz w:val="22"/>
          <w:szCs w:val="22"/>
          <w:lang w:val="da-DK"/>
        </w:rPr>
        <w:t>(PAKNINGSSTØRRELSE)</w:t>
      </w:r>
    </w:p>
    <w:p w14:paraId="07CAF513" w14:textId="77777777" w:rsidR="006F7492" w:rsidRPr="004C2A59" w:rsidRDefault="006F7492" w:rsidP="00421681">
      <w:pPr>
        <w:suppressAutoHyphens/>
        <w:rPr>
          <w:color w:val="000000"/>
          <w:sz w:val="22"/>
          <w:szCs w:val="22"/>
          <w:lang w:val="da-DK"/>
        </w:rPr>
      </w:pPr>
    </w:p>
    <w:p w14:paraId="1028872A"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10 filmovertrukne tabletter</w:t>
      </w:r>
    </w:p>
    <w:p w14:paraId="7DD5FEA4" w14:textId="77777777" w:rsidR="006F7492" w:rsidRPr="004C2A59" w:rsidRDefault="006F7492" w:rsidP="00421681">
      <w:pPr>
        <w:suppressAutoHyphens/>
        <w:rPr>
          <w:color w:val="000000"/>
          <w:sz w:val="22"/>
          <w:szCs w:val="22"/>
          <w:shd w:val="clear" w:color="auto" w:fill="D9D9D9"/>
          <w:lang w:val="da-DK"/>
        </w:rPr>
      </w:pPr>
      <w:r w:rsidRPr="004C2A59">
        <w:rPr>
          <w:color w:val="000000"/>
          <w:sz w:val="22"/>
          <w:szCs w:val="22"/>
          <w:shd w:val="clear" w:color="auto" w:fill="D9D9D9"/>
          <w:lang w:val="da-DK"/>
        </w:rPr>
        <w:t>30 filmovertrukne tabletter</w:t>
      </w:r>
    </w:p>
    <w:p w14:paraId="1596D61D" w14:textId="77777777" w:rsidR="006F7492" w:rsidRPr="004C2A59" w:rsidRDefault="006F7492" w:rsidP="00421681">
      <w:pPr>
        <w:suppressAutoHyphens/>
        <w:rPr>
          <w:color w:val="000000"/>
          <w:sz w:val="22"/>
          <w:szCs w:val="22"/>
          <w:shd w:val="clear" w:color="auto" w:fill="D9D9D9"/>
          <w:lang w:val="da-DK"/>
        </w:rPr>
      </w:pPr>
      <w:r w:rsidRPr="004C2A59">
        <w:rPr>
          <w:color w:val="000000"/>
          <w:sz w:val="22"/>
          <w:szCs w:val="22"/>
          <w:shd w:val="clear" w:color="auto" w:fill="D9D9D9"/>
          <w:lang w:val="da-DK"/>
        </w:rPr>
        <w:t>90 filmovertrukne tabletter</w:t>
      </w:r>
    </w:p>
    <w:p w14:paraId="56A0C5D0" w14:textId="77777777" w:rsidR="006F7492" w:rsidRPr="004C2A59" w:rsidRDefault="006F7492" w:rsidP="00421681">
      <w:pPr>
        <w:suppressAutoHyphens/>
        <w:rPr>
          <w:color w:val="000000"/>
          <w:sz w:val="22"/>
          <w:szCs w:val="22"/>
          <w:lang w:val="da-DK"/>
        </w:rPr>
      </w:pPr>
    </w:p>
    <w:p w14:paraId="70D1AE00" w14:textId="77777777" w:rsidR="006F7492" w:rsidRPr="004C2A59" w:rsidRDefault="006F7492" w:rsidP="00421681">
      <w:pPr>
        <w:suppressAutoHyphens/>
        <w:rPr>
          <w:color w:val="000000"/>
          <w:sz w:val="22"/>
          <w:szCs w:val="22"/>
          <w:lang w:val="da-DK"/>
        </w:rPr>
      </w:pPr>
    </w:p>
    <w:p w14:paraId="370D365A"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rPr>
          <w:b/>
          <w:color w:val="000000"/>
          <w:sz w:val="22"/>
          <w:szCs w:val="22"/>
          <w:lang w:val="da-DK"/>
        </w:rPr>
      </w:pPr>
      <w:r w:rsidRPr="004C2A59">
        <w:rPr>
          <w:b/>
          <w:color w:val="000000"/>
          <w:sz w:val="22"/>
          <w:szCs w:val="22"/>
          <w:lang w:val="da-DK"/>
        </w:rPr>
        <w:t>5.</w:t>
      </w:r>
      <w:r w:rsidRPr="004C2A59">
        <w:rPr>
          <w:b/>
          <w:color w:val="000000"/>
          <w:sz w:val="22"/>
          <w:szCs w:val="22"/>
          <w:lang w:val="da-DK"/>
        </w:rPr>
        <w:tab/>
        <w:t>ANVENDELSESMÅDE OG ADMINISTRATIONSVEJ(E)</w:t>
      </w:r>
    </w:p>
    <w:p w14:paraId="10EAFA62" w14:textId="77777777" w:rsidR="006F7492" w:rsidRPr="004C2A59" w:rsidRDefault="006F7492" w:rsidP="00421681">
      <w:pPr>
        <w:suppressAutoHyphens/>
        <w:rPr>
          <w:color w:val="000000"/>
          <w:sz w:val="22"/>
          <w:szCs w:val="22"/>
          <w:lang w:val="da-DK"/>
        </w:rPr>
      </w:pPr>
    </w:p>
    <w:p w14:paraId="2194335B"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Oral anvendelse. Læs indlægssedlen inden brug.</w:t>
      </w:r>
    </w:p>
    <w:p w14:paraId="4D82F4E9" w14:textId="77777777" w:rsidR="006F7492" w:rsidRPr="004C2A59" w:rsidRDefault="006F7492" w:rsidP="00421681">
      <w:pPr>
        <w:suppressAutoHyphens/>
        <w:rPr>
          <w:color w:val="000000"/>
          <w:sz w:val="22"/>
          <w:szCs w:val="22"/>
          <w:lang w:val="da-DK"/>
        </w:rPr>
      </w:pPr>
    </w:p>
    <w:p w14:paraId="33FA7A18" w14:textId="77777777" w:rsidR="006F7492" w:rsidRPr="004C2A59" w:rsidRDefault="006F7492" w:rsidP="00421681">
      <w:pPr>
        <w:suppressAutoHyphens/>
        <w:rPr>
          <w:color w:val="000000"/>
          <w:sz w:val="22"/>
          <w:szCs w:val="22"/>
          <w:lang w:val="da-DK"/>
        </w:rPr>
      </w:pPr>
    </w:p>
    <w:p w14:paraId="2B2AB054"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6.</w:t>
      </w:r>
      <w:r w:rsidRPr="004C2A59">
        <w:rPr>
          <w:b/>
          <w:color w:val="000000"/>
          <w:sz w:val="22"/>
          <w:szCs w:val="22"/>
          <w:lang w:val="da-DK"/>
        </w:rPr>
        <w:tab/>
      </w:r>
      <w:r w:rsidR="006D7BCB" w:rsidRPr="004C2A59">
        <w:rPr>
          <w:b/>
          <w:color w:val="000000"/>
          <w:sz w:val="22"/>
          <w:szCs w:val="22"/>
          <w:lang w:val="da-DK"/>
        </w:rPr>
        <w:t xml:space="preserve">SÆRLIG </w:t>
      </w:r>
      <w:r w:rsidRPr="004C2A59">
        <w:rPr>
          <w:b/>
          <w:color w:val="000000"/>
          <w:sz w:val="22"/>
          <w:szCs w:val="22"/>
          <w:lang w:val="da-DK"/>
        </w:rPr>
        <w:t>ADVARSEL OM, AT LÆGEMIDLET SKAL OPBEVARES UTILGÆNGELIGT FOR BØRN</w:t>
      </w:r>
    </w:p>
    <w:p w14:paraId="1FBB568B" w14:textId="77777777" w:rsidR="006F7492" w:rsidRPr="004C2A59" w:rsidRDefault="006F7492" w:rsidP="00421681">
      <w:pPr>
        <w:suppressAutoHyphens/>
        <w:rPr>
          <w:color w:val="000000"/>
          <w:sz w:val="22"/>
          <w:szCs w:val="22"/>
          <w:lang w:val="da-DK"/>
        </w:rPr>
      </w:pPr>
    </w:p>
    <w:p w14:paraId="70F3C5AB"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Opbevares utilgængeligt for børn.</w:t>
      </w:r>
    </w:p>
    <w:p w14:paraId="52F333A5" w14:textId="77777777" w:rsidR="006F7492" w:rsidRPr="004C2A59" w:rsidRDefault="006F7492" w:rsidP="00421681">
      <w:pPr>
        <w:suppressAutoHyphens/>
        <w:rPr>
          <w:color w:val="000000"/>
          <w:sz w:val="22"/>
          <w:szCs w:val="22"/>
          <w:lang w:val="da-DK"/>
        </w:rPr>
      </w:pPr>
    </w:p>
    <w:p w14:paraId="57112AF7" w14:textId="77777777" w:rsidR="006F7492" w:rsidRPr="004C2A59" w:rsidRDefault="006F7492" w:rsidP="00421681">
      <w:pPr>
        <w:suppressAutoHyphens/>
        <w:rPr>
          <w:color w:val="000000"/>
          <w:sz w:val="22"/>
          <w:szCs w:val="22"/>
          <w:lang w:val="da-DK"/>
        </w:rPr>
      </w:pPr>
    </w:p>
    <w:p w14:paraId="48AA2065"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7.</w:t>
      </w:r>
      <w:r w:rsidRPr="004C2A59">
        <w:rPr>
          <w:b/>
          <w:color w:val="000000"/>
          <w:sz w:val="22"/>
          <w:szCs w:val="22"/>
          <w:lang w:val="da-DK"/>
        </w:rPr>
        <w:tab/>
        <w:t>EVENTUELLE ANDRE SÆRLIGE ADVARSLER</w:t>
      </w:r>
    </w:p>
    <w:p w14:paraId="41A9944A" w14:textId="77777777" w:rsidR="006F7492" w:rsidRPr="004C2A59" w:rsidRDefault="006F7492" w:rsidP="00421681">
      <w:pPr>
        <w:suppressAutoHyphens/>
        <w:rPr>
          <w:color w:val="000000"/>
          <w:sz w:val="22"/>
          <w:szCs w:val="22"/>
          <w:lang w:val="da-DK"/>
        </w:rPr>
      </w:pPr>
    </w:p>
    <w:p w14:paraId="21AAAD4E"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Anvendes som foreskrevet af lægen.</w:t>
      </w:r>
    </w:p>
    <w:p w14:paraId="2BC75BAF" w14:textId="77777777" w:rsidR="006F7492" w:rsidRPr="004C2A59" w:rsidRDefault="006F7492" w:rsidP="00421681">
      <w:pPr>
        <w:suppressAutoHyphens/>
        <w:rPr>
          <w:color w:val="000000"/>
          <w:sz w:val="22"/>
          <w:szCs w:val="22"/>
          <w:lang w:val="da-DK"/>
        </w:rPr>
      </w:pPr>
    </w:p>
    <w:p w14:paraId="1A1513F4" w14:textId="77777777" w:rsidR="006F7492" w:rsidRPr="004C2A59" w:rsidRDefault="006F7492" w:rsidP="00421681">
      <w:pPr>
        <w:suppressAutoHyphens/>
        <w:rPr>
          <w:color w:val="000000"/>
          <w:sz w:val="22"/>
          <w:szCs w:val="22"/>
          <w:lang w:val="da-DK"/>
        </w:rPr>
      </w:pPr>
    </w:p>
    <w:p w14:paraId="35AB4724"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8.</w:t>
      </w:r>
      <w:r w:rsidRPr="004C2A59">
        <w:rPr>
          <w:b/>
          <w:color w:val="000000"/>
          <w:sz w:val="22"/>
          <w:szCs w:val="22"/>
          <w:lang w:val="da-DK"/>
        </w:rPr>
        <w:tab/>
        <w:t>UDLØBSDATO</w:t>
      </w:r>
    </w:p>
    <w:p w14:paraId="06D4FF35" w14:textId="77777777" w:rsidR="006F7492" w:rsidRPr="004C2A59" w:rsidRDefault="006F7492" w:rsidP="00421681">
      <w:pPr>
        <w:suppressAutoHyphens/>
        <w:ind w:left="567" w:hanging="567"/>
        <w:rPr>
          <w:color w:val="000000"/>
          <w:sz w:val="22"/>
          <w:szCs w:val="22"/>
          <w:lang w:val="da-DK"/>
        </w:rPr>
      </w:pPr>
    </w:p>
    <w:p w14:paraId="344F408A" w14:textId="0018C1DF" w:rsidR="006F7492" w:rsidRPr="004C2A59" w:rsidRDefault="00A95899" w:rsidP="00421681">
      <w:pPr>
        <w:widowControl w:val="0"/>
        <w:suppressAutoHyphens/>
        <w:rPr>
          <w:color w:val="000000"/>
          <w:sz w:val="22"/>
          <w:szCs w:val="22"/>
          <w:lang w:val="da-DK"/>
        </w:rPr>
      </w:pPr>
      <w:r>
        <w:rPr>
          <w:color w:val="000000"/>
          <w:sz w:val="22"/>
          <w:szCs w:val="22"/>
          <w:lang w:val="da-DK"/>
        </w:rPr>
        <w:t>EXP</w:t>
      </w:r>
    </w:p>
    <w:p w14:paraId="5F6BAF05" w14:textId="77777777" w:rsidR="006F7492" w:rsidRPr="004C2A59" w:rsidRDefault="006F7492" w:rsidP="00421681">
      <w:pPr>
        <w:tabs>
          <w:tab w:val="left" w:pos="2552"/>
        </w:tabs>
        <w:rPr>
          <w:color w:val="000000"/>
          <w:sz w:val="22"/>
          <w:szCs w:val="22"/>
          <w:lang w:val="da-DK"/>
        </w:rPr>
      </w:pPr>
    </w:p>
    <w:p w14:paraId="41263832" w14:textId="77777777" w:rsidR="006F7492" w:rsidRPr="004C2A59" w:rsidRDefault="006F7492" w:rsidP="00421681">
      <w:pPr>
        <w:tabs>
          <w:tab w:val="left" w:pos="2552"/>
        </w:tabs>
        <w:rPr>
          <w:color w:val="000000"/>
          <w:sz w:val="22"/>
          <w:szCs w:val="22"/>
          <w:lang w:val="da-DK"/>
        </w:rPr>
      </w:pPr>
    </w:p>
    <w:p w14:paraId="7246A6C9"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 w:val="left" w:pos="2552"/>
        </w:tabs>
        <w:ind w:left="567" w:hanging="567"/>
        <w:rPr>
          <w:b/>
          <w:color w:val="000000"/>
          <w:sz w:val="22"/>
          <w:szCs w:val="22"/>
          <w:lang w:val="da-DK"/>
        </w:rPr>
      </w:pPr>
      <w:r w:rsidRPr="004C2A59">
        <w:rPr>
          <w:b/>
          <w:color w:val="000000"/>
          <w:sz w:val="22"/>
          <w:szCs w:val="22"/>
          <w:lang w:val="da-DK"/>
        </w:rPr>
        <w:t>9.</w:t>
      </w:r>
      <w:r w:rsidRPr="004C2A59">
        <w:rPr>
          <w:b/>
          <w:color w:val="000000"/>
          <w:sz w:val="22"/>
          <w:szCs w:val="22"/>
          <w:lang w:val="da-DK"/>
        </w:rPr>
        <w:tab/>
        <w:t>SÆRLIGE OPBEVARINGSBETINGELSER</w:t>
      </w:r>
    </w:p>
    <w:p w14:paraId="1B7957F2" w14:textId="77777777" w:rsidR="006F7492" w:rsidRPr="004C2A59" w:rsidRDefault="006F7492" w:rsidP="00421681">
      <w:pPr>
        <w:tabs>
          <w:tab w:val="left" w:pos="2552"/>
        </w:tabs>
        <w:suppressAutoHyphens/>
        <w:rPr>
          <w:color w:val="000000"/>
          <w:sz w:val="22"/>
          <w:szCs w:val="22"/>
          <w:lang w:val="da-DK"/>
        </w:rPr>
      </w:pPr>
    </w:p>
    <w:p w14:paraId="192F9A2F"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Må ikke opbevares ved temperaturer over 30°C. Opbevares i den originale yderpakning for at beskytte mod fugt.</w:t>
      </w:r>
    </w:p>
    <w:p w14:paraId="523ACA8D" w14:textId="77777777" w:rsidR="006F7492" w:rsidRPr="004C2A59" w:rsidRDefault="006F7492" w:rsidP="00421681">
      <w:pPr>
        <w:suppressAutoHyphens/>
        <w:rPr>
          <w:color w:val="000000"/>
          <w:sz w:val="22"/>
          <w:szCs w:val="22"/>
          <w:lang w:val="da-DK"/>
        </w:rPr>
      </w:pPr>
    </w:p>
    <w:p w14:paraId="34795605" w14:textId="77777777" w:rsidR="006F7492" w:rsidRPr="004C2A59" w:rsidRDefault="006F7492" w:rsidP="00421681">
      <w:pPr>
        <w:suppressAutoHyphens/>
        <w:rPr>
          <w:color w:val="000000"/>
          <w:sz w:val="22"/>
          <w:szCs w:val="22"/>
          <w:lang w:val="da-DK"/>
        </w:rPr>
      </w:pPr>
    </w:p>
    <w:p w14:paraId="2DE5CCA4"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lastRenderedPageBreak/>
        <w:t>10.</w:t>
      </w:r>
      <w:r w:rsidRPr="004C2A59">
        <w:rPr>
          <w:b/>
          <w:color w:val="000000"/>
          <w:sz w:val="22"/>
          <w:szCs w:val="22"/>
          <w:lang w:val="da-DK"/>
        </w:rPr>
        <w:tab/>
      </w:r>
      <w:r w:rsidR="001B418F" w:rsidRPr="004C2A59">
        <w:rPr>
          <w:b/>
          <w:color w:val="000000"/>
          <w:sz w:val="22"/>
          <w:szCs w:val="22"/>
          <w:lang w:val="da-DK"/>
        </w:rPr>
        <w:t>EVENTUELLE SÆRLIGE FORHOLDSREGLER VED BORTSKAFFELSE AF IKKE ANVENDT LÆGEMIDDEL SAMT AFFALD HERAF</w:t>
      </w:r>
    </w:p>
    <w:p w14:paraId="63E88CB6" w14:textId="77777777" w:rsidR="006F7492" w:rsidRPr="004C2A59" w:rsidRDefault="006F7492" w:rsidP="00421681">
      <w:pPr>
        <w:suppressAutoHyphens/>
        <w:rPr>
          <w:color w:val="000000"/>
          <w:sz w:val="22"/>
          <w:szCs w:val="22"/>
          <w:lang w:val="da-DK"/>
        </w:rPr>
      </w:pPr>
    </w:p>
    <w:p w14:paraId="6B6B19DA" w14:textId="77777777" w:rsidR="006F7492" w:rsidRPr="004C2A59" w:rsidRDefault="006F7492" w:rsidP="00421681">
      <w:pPr>
        <w:suppressAutoHyphens/>
        <w:rPr>
          <w:color w:val="000000"/>
          <w:sz w:val="22"/>
          <w:szCs w:val="22"/>
          <w:lang w:val="da-DK"/>
        </w:rPr>
      </w:pPr>
    </w:p>
    <w:p w14:paraId="06CBA414"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11.</w:t>
      </w:r>
      <w:r w:rsidRPr="004C2A59">
        <w:rPr>
          <w:b/>
          <w:color w:val="000000"/>
          <w:sz w:val="22"/>
          <w:szCs w:val="22"/>
          <w:lang w:val="da-DK"/>
        </w:rPr>
        <w:tab/>
        <w:t>NAVN OG ADRESSE PÅ INDEHAVEREN AF MARKEDSFØRINGSTILLADELSEN</w:t>
      </w:r>
    </w:p>
    <w:p w14:paraId="4D624BB0" w14:textId="77777777" w:rsidR="006F7492" w:rsidRPr="004C2A59" w:rsidRDefault="006F7492" w:rsidP="00421681">
      <w:pPr>
        <w:suppressAutoHyphens/>
        <w:rPr>
          <w:color w:val="000000"/>
          <w:sz w:val="22"/>
          <w:szCs w:val="22"/>
          <w:lang w:val="da-DK"/>
        </w:rPr>
      </w:pPr>
    </w:p>
    <w:p w14:paraId="4EFE7029" w14:textId="77777777" w:rsidR="006F7492" w:rsidRPr="005C0041" w:rsidRDefault="006F7492" w:rsidP="00421681">
      <w:pPr>
        <w:widowControl w:val="0"/>
        <w:suppressAutoHyphens/>
        <w:rPr>
          <w:color w:val="000000"/>
          <w:sz w:val="22"/>
          <w:szCs w:val="22"/>
        </w:rPr>
      </w:pPr>
      <w:r w:rsidRPr="005C0041">
        <w:rPr>
          <w:color w:val="000000"/>
          <w:sz w:val="22"/>
          <w:szCs w:val="22"/>
        </w:rPr>
        <w:t>Novartis Europharm Limited</w:t>
      </w:r>
    </w:p>
    <w:p w14:paraId="1221AAD7" w14:textId="77777777" w:rsidR="004F2E31" w:rsidRPr="004F2E31" w:rsidRDefault="004F2E31" w:rsidP="00421681">
      <w:pPr>
        <w:keepNext/>
        <w:widowControl w:val="0"/>
        <w:rPr>
          <w:color w:val="000000"/>
          <w:sz w:val="22"/>
          <w:szCs w:val="22"/>
        </w:rPr>
      </w:pPr>
      <w:r w:rsidRPr="004F2E31">
        <w:rPr>
          <w:color w:val="000000"/>
          <w:sz w:val="22"/>
          <w:szCs w:val="22"/>
        </w:rPr>
        <w:t>Vista Building</w:t>
      </w:r>
    </w:p>
    <w:p w14:paraId="30A3BAB2" w14:textId="77777777" w:rsidR="004F2E31" w:rsidRPr="004F2E31" w:rsidRDefault="004F2E31" w:rsidP="00421681">
      <w:pPr>
        <w:keepNext/>
        <w:widowControl w:val="0"/>
        <w:rPr>
          <w:color w:val="000000"/>
          <w:sz w:val="22"/>
          <w:szCs w:val="22"/>
        </w:rPr>
      </w:pPr>
      <w:r w:rsidRPr="004F2E31">
        <w:rPr>
          <w:color w:val="000000"/>
          <w:sz w:val="22"/>
          <w:szCs w:val="22"/>
        </w:rPr>
        <w:t>Elm Park, Merrion Road</w:t>
      </w:r>
    </w:p>
    <w:p w14:paraId="143E082C" w14:textId="77777777" w:rsidR="004F2E31" w:rsidRPr="00F852D1" w:rsidRDefault="004F2E31" w:rsidP="00421681">
      <w:pPr>
        <w:keepNext/>
        <w:widowControl w:val="0"/>
        <w:rPr>
          <w:color w:val="000000"/>
          <w:sz w:val="22"/>
          <w:szCs w:val="22"/>
        </w:rPr>
      </w:pPr>
      <w:r w:rsidRPr="00F852D1">
        <w:rPr>
          <w:color w:val="000000"/>
          <w:sz w:val="22"/>
          <w:szCs w:val="22"/>
        </w:rPr>
        <w:t>Dublin 4</w:t>
      </w:r>
    </w:p>
    <w:p w14:paraId="2ACC3ABB" w14:textId="77777777" w:rsidR="004F2E31" w:rsidRPr="00F852D1" w:rsidRDefault="004F2E31" w:rsidP="00421681">
      <w:pPr>
        <w:rPr>
          <w:color w:val="000000"/>
          <w:sz w:val="22"/>
          <w:szCs w:val="22"/>
        </w:rPr>
      </w:pPr>
      <w:r w:rsidRPr="00F852D1">
        <w:rPr>
          <w:color w:val="000000"/>
          <w:sz w:val="22"/>
          <w:szCs w:val="22"/>
        </w:rPr>
        <w:t>Irland</w:t>
      </w:r>
    </w:p>
    <w:p w14:paraId="77F5DAFE" w14:textId="77777777" w:rsidR="006F7492" w:rsidRPr="00F852D1" w:rsidRDefault="006F7492" w:rsidP="00421681">
      <w:pPr>
        <w:suppressAutoHyphens/>
        <w:rPr>
          <w:color w:val="000000"/>
          <w:sz w:val="22"/>
          <w:szCs w:val="22"/>
        </w:rPr>
      </w:pPr>
    </w:p>
    <w:p w14:paraId="2DDF31EB" w14:textId="77777777" w:rsidR="006F7492" w:rsidRPr="00F852D1" w:rsidRDefault="006F7492" w:rsidP="00421681">
      <w:pPr>
        <w:suppressAutoHyphens/>
        <w:rPr>
          <w:color w:val="000000"/>
          <w:sz w:val="22"/>
          <w:szCs w:val="22"/>
        </w:rPr>
      </w:pPr>
    </w:p>
    <w:p w14:paraId="668AD0B9" w14:textId="77777777" w:rsidR="006F7492" w:rsidRPr="00F852D1"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rPr>
      </w:pPr>
      <w:r w:rsidRPr="00F852D1">
        <w:rPr>
          <w:b/>
          <w:color w:val="000000"/>
          <w:sz w:val="22"/>
          <w:szCs w:val="22"/>
        </w:rPr>
        <w:t>12.</w:t>
      </w:r>
      <w:r w:rsidRPr="00F852D1">
        <w:rPr>
          <w:b/>
          <w:color w:val="000000"/>
          <w:sz w:val="22"/>
          <w:szCs w:val="22"/>
        </w:rPr>
        <w:tab/>
        <w:t>MARKEDSFØRINGSTILLADELSESNUMMER (</w:t>
      </w:r>
      <w:r w:rsidR="00C51956" w:rsidRPr="00F852D1">
        <w:rPr>
          <w:b/>
          <w:color w:val="000000"/>
          <w:sz w:val="22"/>
          <w:szCs w:val="22"/>
        </w:rPr>
        <w:t>-</w:t>
      </w:r>
      <w:r w:rsidRPr="00F852D1">
        <w:rPr>
          <w:b/>
          <w:color w:val="000000"/>
          <w:sz w:val="22"/>
          <w:szCs w:val="22"/>
        </w:rPr>
        <w:t>NUMRE)</w:t>
      </w:r>
    </w:p>
    <w:p w14:paraId="76762691" w14:textId="77777777" w:rsidR="006F7492" w:rsidRPr="00F852D1" w:rsidRDefault="006F7492" w:rsidP="00421681">
      <w:pPr>
        <w:suppressAutoHyphens/>
        <w:rPr>
          <w:color w:val="000000"/>
          <w:sz w:val="22"/>
          <w:szCs w:val="22"/>
        </w:rPr>
      </w:pPr>
    </w:p>
    <w:p w14:paraId="2DB26EF4" w14:textId="77777777" w:rsidR="006F7492" w:rsidRPr="00F852D1" w:rsidRDefault="006F7492" w:rsidP="00421681">
      <w:pPr>
        <w:widowControl w:val="0"/>
        <w:tabs>
          <w:tab w:val="left" w:pos="2268"/>
        </w:tabs>
        <w:suppressAutoHyphens/>
        <w:rPr>
          <w:color w:val="000000"/>
          <w:sz w:val="22"/>
          <w:szCs w:val="22"/>
          <w:shd w:val="clear" w:color="auto" w:fill="D9D9D9"/>
        </w:rPr>
      </w:pPr>
      <w:r w:rsidRPr="00F852D1">
        <w:rPr>
          <w:color w:val="000000"/>
          <w:sz w:val="22"/>
          <w:szCs w:val="22"/>
        </w:rPr>
        <w:t>EU/1/01/198/009</w:t>
      </w:r>
      <w:r w:rsidRPr="00F852D1">
        <w:rPr>
          <w:color w:val="000000"/>
          <w:sz w:val="22"/>
          <w:szCs w:val="22"/>
        </w:rPr>
        <w:tab/>
      </w:r>
      <w:r w:rsidRPr="00F852D1">
        <w:rPr>
          <w:color w:val="000000"/>
          <w:sz w:val="22"/>
          <w:szCs w:val="22"/>
          <w:shd w:val="clear" w:color="auto" w:fill="D9D9D9"/>
        </w:rPr>
        <w:t>10 tabletter</w:t>
      </w:r>
    </w:p>
    <w:p w14:paraId="31575E3C" w14:textId="77777777" w:rsidR="006F7492" w:rsidRPr="00F852D1" w:rsidRDefault="006F7492" w:rsidP="00421681">
      <w:pPr>
        <w:tabs>
          <w:tab w:val="left" w:pos="2268"/>
        </w:tabs>
        <w:suppressAutoHyphens/>
        <w:rPr>
          <w:color w:val="000000"/>
          <w:sz w:val="22"/>
          <w:szCs w:val="22"/>
          <w:shd w:val="clear" w:color="auto" w:fill="D9D9D9"/>
        </w:rPr>
      </w:pPr>
      <w:r w:rsidRPr="00F852D1">
        <w:rPr>
          <w:color w:val="000000"/>
          <w:sz w:val="22"/>
          <w:szCs w:val="22"/>
          <w:shd w:val="clear" w:color="auto" w:fill="D9D9D9"/>
        </w:rPr>
        <w:t>EU/1/01/198/010</w:t>
      </w:r>
      <w:r w:rsidRPr="00F852D1">
        <w:rPr>
          <w:color w:val="000000"/>
          <w:sz w:val="22"/>
          <w:szCs w:val="22"/>
          <w:shd w:val="clear" w:color="auto" w:fill="D9D9D9"/>
        </w:rPr>
        <w:tab/>
        <w:t>30 tabletter</w:t>
      </w:r>
    </w:p>
    <w:p w14:paraId="7FC6E43B" w14:textId="77777777" w:rsidR="006F7492" w:rsidRPr="00F852D1" w:rsidRDefault="006F7492" w:rsidP="00421681">
      <w:pPr>
        <w:tabs>
          <w:tab w:val="left" w:pos="2268"/>
        </w:tabs>
        <w:suppressAutoHyphens/>
        <w:rPr>
          <w:color w:val="000000"/>
          <w:sz w:val="22"/>
          <w:szCs w:val="22"/>
          <w:shd w:val="clear" w:color="auto" w:fill="D9D9D9"/>
        </w:rPr>
      </w:pPr>
      <w:r w:rsidRPr="00F852D1">
        <w:rPr>
          <w:color w:val="000000"/>
          <w:sz w:val="22"/>
          <w:szCs w:val="22"/>
          <w:shd w:val="clear" w:color="auto" w:fill="D9D9D9"/>
        </w:rPr>
        <w:t>EU/1/01/198/013</w:t>
      </w:r>
      <w:r w:rsidRPr="00F852D1">
        <w:rPr>
          <w:color w:val="000000"/>
          <w:sz w:val="22"/>
          <w:szCs w:val="22"/>
          <w:shd w:val="clear" w:color="auto" w:fill="D9D9D9"/>
        </w:rPr>
        <w:tab/>
        <w:t>90 tabletter</w:t>
      </w:r>
    </w:p>
    <w:p w14:paraId="0C2EB3BB" w14:textId="77777777" w:rsidR="006F7492" w:rsidRPr="00F852D1" w:rsidRDefault="006F7492" w:rsidP="00421681">
      <w:pPr>
        <w:widowControl w:val="0"/>
        <w:suppressAutoHyphens/>
        <w:ind w:left="426" w:hanging="426"/>
        <w:rPr>
          <w:color w:val="000000"/>
          <w:sz w:val="22"/>
          <w:szCs w:val="22"/>
        </w:rPr>
      </w:pPr>
    </w:p>
    <w:p w14:paraId="76B1CFFE" w14:textId="77777777" w:rsidR="006F7492" w:rsidRPr="00F852D1" w:rsidRDefault="006F7492" w:rsidP="00421681">
      <w:pPr>
        <w:rPr>
          <w:color w:val="000000"/>
          <w:sz w:val="22"/>
          <w:szCs w:val="22"/>
        </w:rPr>
      </w:pPr>
    </w:p>
    <w:p w14:paraId="1E8532EB" w14:textId="77777777" w:rsidR="006F7492" w:rsidRPr="00F852D1"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rPr>
      </w:pPr>
      <w:r w:rsidRPr="00F852D1">
        <w:rPr>
          <w:b/>
          <w:color w:val="000000"/>
          <w:sz w:val="22"/>
          <w:szCs w:val="22"/>
        </w:rPr>
        <w:t>13.</w:t>
      </w:r>
      <w:r w:rsidRPr="00F852D1">
        <w:rPr>
          <w:b/>
          <w:color w:val="000000"/>
          <w:sz w:val="22"/>
          <w:szCs w:val="22"/>
        </w:rPr>
        <w:tab/>
        <w:t>FREMSTILLERENS BATCHNUMMER</w:t>
      </w:r>
    </w:p>
    <w:p w14:paraId="76FF2DB8" w14:textId="77777777" w:rsidR="006F7492" w:rsidRPr="00F852D1" w:rsidRDefault="006F7492" w:rsidP="00421681">
      <w:pPr>
        <w:rPr>
          <w:color w:val="000000"/>
          <w:sz w:val="22"/>
          <w:szCs w:val="22"/>
        </w:rPr>
      </w:pPr>
    </w:p>
    <w:p w14:paraId="3689EF92" w14:textId="50D23A10" w:rsidR="006F7492" w:rsidRPr="00F852D1" w:rsidRDefault="00A12B37" w:rsidP="00421681">
      <w:pPr>
        <w:widowControl w:val="0"/>
        <w:rPr>
          <w:color w:val="000000"/>
          <w:sz w:val="22"/>
          <w:szCs w:val="22"/>
        </w:rPr>
      </w:pPr>
      <w:r w:rsidRPr="00F852D1">
        <w:rPr>
          <w:color w:val="000000"/>
          <w:sz w:val="22"/>
          <w:szCs w:val="22"/>
        </w:rPr>
        <w:t>Lot</w:t>
      </w:r>
    </w:p>
    <w:p w14:paraId="64B8741A" w14:textId="77777777" w:rsidR="006F7492" w:rsidRPr="00F852D1" w:rsidRDefault="006F7492" w:rsidP="00421681">
      <w:pPr>
        <w:rPr>
          <w:color w:val="000000"/>
          <w:sz w:val="22"/>
          <w:szCs w:val="22"/>
        </w:rPr>
      </w:pPr>
    </w:p>
    <w:p w14:paraId="134AEEE7" w14:textId="77777777" w:rsidR="006F7492" w:rsidRPr="00F852D1" w:rsidRDefault="006F7492" w:rsidP="00421681">
      <w:pPr>
        <w:rPr>
          <w:color w:val="000000"/>
          <w:sz w:val="22"/>
          <w:szCs w:val="22"/>
        </w:rPr>
      </w:pPr>
    </w:p>
    <w:p w14:paraId="3CBBC525" w14:textId="77777777" w:rsidR="006F7492" w:rsidRPr="00F852D1"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rPr>
      </w:pPr>
      <w:r w:rsidRPr="00F852D1">
        <w:rPr>
          <w:b/>
          <w:color w:val="000000"/>
          <w:sz w:val="22"/>
          <w:szCs w:val="22"/>
        </w:rPr>
        <w:t>14.</w:t>
      </w:r>
      <w:r w:rsidRPr="00F852D1">
        <w:rPr>
          <w:b/>
          <w:color w:val="000000"/>
          <w:sz w:val="22"/>
          <w:szCs w:val="22"/>
        </w:rPr>
        <w:tab/>
        <w:t>GENEREL KLASSIFIKATION FOR UDLEVERING</w:t>
      </w:r>
    </w:p>
    <w:p w14:paraId="0A87033F" w14:textId="77777777" w:rsidR="006F7492" w:rsidRPr="00F852D1" w:rsidRDefault="006F7492" w:rsidP="00421681">
      <w:pPr>
        <w:suppressAutoHyphens/>
        <w:ind w:left="720" w:hanging="720"/>
        <w:rPr>
          <w:color w:val="000000"/>
          <w:sz w:val="22"/>
          <w:szCs w:val="22"/>
        </w:rPr>
      </w:pPr>
    </w:p>
    <w:p w14:paraId="78944374" w14:textId="77777777" w:rsidR="006F7492" w:rsidRPr="00F852D1" w:rsidRDefault="006F7492" w:rsidP="00421681">
      <w:pPr>
        <w:suppressAutoHyphens/>
        <w:ind w:left="720" w:hanging="720"/>
        <w:rPr>
          <w:color w:val="000000"/>
          <w:sz w:val="22"/>
          <w:szCs w:val="22"/>
        </w:rPr>
      </w:pPr>
    </w:p>
    <w:p w14:paraId="6AECA27D" w14:textId="77777777" w:rsidR="006F7492" w:rsidRPr="00F852D1"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rPr>
      </w:pPr>
      <w:r w:rsidRPr="00F852D1">
        <w:rPr>
          <w:b/>
          <w:color w:val="000000"/>
          <w:sz w:val="22"/>
          <w:szCs w:val="22"/>
        </w:rPr>
        <w:t>15.</w:t>
      </w:r>
      <w:r w:rsidRPr="00F852D1">
        <w:rPr>
          <w:b/>
          <w:color w:val="000000"/>
          <w:sz w:val="22"/>
          <w:szCs w:val="22"/>
        </w:rPr>
        <w:tab/>
        <w:t>INSTRUKTIONER VEDRØRENDE ANVENDELSEN</w:t>
      </w:r>
    </w:p>
    <w:p w14:paraId="13227E3D" w14:textId="77777777" w:rsidR="006F7492" w:rsidRPr="00F852D1" w:rsidRDefault="006F7492" w:rsidP="00421681">
      <w:pPr>
        <w:suppressAutoHyphens/>
        <w:rPr>
          <w:color w:val="000000"/>
          <w:sz w:val="22"/>
          <w:szCs w:val="22"/>
        </w:rPr>
      </w:pPr>
    </w:p>
    <w:p w14:paraId="2D51A222" w14:textId="77777777" w:rsidR="006F7492" w:rsidRPr="00F852D1" w:rsidRDefault="006F7492" w:rsidP="00421681">
      <w:pPr>
        <w:suppressAutoHyphens/>
        <w:rPr>
          <w:color w:val="000000"/>
          <w:sz w:val="22"/>
          <w:szCs w:val="22"/>
        </w:rPr>
      </w:pPr>
    </w:p>
    <w:p w14:paraId="2FC5C021" w14:textId="77777777" w:rsidR="006F7492" w:rsidRPr="00F852D1" w:rsidRDefault="006F7492" w:rsidP="00421681">
      <w:pPr>
        <w:pBdr>
          <w:top w:val="single" w:sz="4" w:space="1" w:color="auto"/>
          <w:left w:val="single" w:sz="4" w:space="4" w:color="auto"/>
          <w:bottom w:val="single" w:sz="4" w:space="1" w:color="auto"/>
          <w:right w:val="single" w:sz="4" w:space="4" w:color="auto"/>
        </w:pBdr>
        <w:tabs>
          <w:tab w:val="left" w:pos="567"/>
        </w:tabs>
        <w:suppressAutoHyphens/>
        <w:jc w:val="both"/>
        <w:rPr>
          <w:color w:val="000000"/>
          <w:sz w:val="22"/>
          <w:szCs w:val="22"/>
        </w:rPr>
      </w:pPr>
      <w:r w:rsidRPr="00F852D1">
        <w:rPr>
          <w:b/>
          <w:color w:val="000000"/>
          <w:sz w:val="22"/>
          <w:szCs w:val="22"/>
        </w:rPr>
        <w:t>16.</w:t>
      </w:r>
      <w:r w:rsidRPr="00F852D1">
        <w:rPr>
          <w:b/>
          <w:color w:val="000000"/>
          <w:sz w:val="22"/>
          <w:szCs w:val="22"/>
        </w:rPr>
        <w:tab/>
        <w:t>INFORMATION I BRAILLESKRIFT</w:t>
      </w:r>
    </w:p>
    <w:p w14:paraId="50687A4B" w14:textId="77777777" w:rsidR="006F7492" w:rsidRPr="00F852D1" w:rsidRDefault="006F7492" w:rsidP="00421681">
      <w:pPr>
        <w:suppressAutoHyphens/>
        <w:jc w:val="both"/>
        <w:rPr>
          <w:color w:val="000000"/>
          <w:sz w:val="22"/>
          <w:szCs w:val="22"/>
        </w:rPr>
      </w:pPr>
    </w:p>
    <w:p w14:paraId="532873F3" w14:textId="77777777" w:rsidR="006F7492" w:rsidRDefault="006F7492" w:rsidP="00421681">
      <w:pPr>
        <w:suppressAutoHyphens/>
        <w:rPr>
          <w:color w:val="000000"/>
          <w:sz w:val="22"/>
          <w:szCs w:val="22"/>
          <w:lang w:val="da-DK"/>
        </w:rPr>
      </w:pPr>
      <w:r w:rsidRPr="004C2A59">
        <w:rPr>
          <w:color w:val="000000"/>
          <w:sz w:val="22"/>
          <w:szCs w:val="22"/>
          <w:lang w:val="da-DK"/>
        </w:rPr>
        <w:t>Glivec 400 mg</w:t>
      </w:r>
    </w:p>
    <w:p w14:paraId="51F50FE9" w14:textId="77777777" w:rsidR="00FF5B5F" w:rsidRDefault="00FF5B5F" w:rsidP="00421681">
      <w:pPr>
        <w:suppressAutoHyphens/>
        <w:rPr>
          <w:color w:val="000000"/>
          <w:sz w:val="22"/>
          <w:szCs w:val="22"/>
          <w:lang w:val="da-DK"/>
        </w:rPr>
      </w:pPr>
    </w:p>
    <w:p w14:paraId="4170474B" w14:textId="77777777" w:rsidR="005A13E6" w:rsidRDefault="005A13E6" w:rsidP="00421681">
      <w:pPr>
        <w:suppressAutoHyphens/>
        <w:rPr>
          <w:color w:val="000000"/>
          <w:sz w:val="22"/>
          <w:szCs w:val="22"/>
          <w:lang w:val="da-DK"/>
        </w:rPr>
      </w:pPr>
    </w:p>
    <w:p w14:paraId="0B6BE66F" w14:textId="77777777" w:rsidR="00FF5B5F" w:rsidRPr="00FF5B5F" w:rsidRDefault="00FF5B5F" w:rsidP="00421681">
      <w:pPr>
        <w:widowControl w:val="0"/>
        <w:pBdr>
          <w:top w:val="single" w:sz="4" w:space="1" w:color="auto"/>
          <w:left w:val="single" w:sz="4" w:space="4" w:color="auto"/>
          <w:bottom w:val="single" w:sz="4" w:space="1" w:color="auto"/>
          <w:right w:val="single" w:sz="4" w:space="4" w:color="auto"/>
        </w:pBdr>
        <w:outlineLvl w:val="0"/>
        <w:rPr>
          <w:i/>
          <w:noProof/>
          <w:sz w:val="22"/>
          <w:szCs w:val="22"/>
          <w:lang w:val="da-DK"/>
        </w:rPr>
      </w:pPr>
      <w:r w:rsidRPr="00FF5B5F">
        <w:rPr>
          <w:b/>
          <w:noProof/>
          <w:sz w:val="22"/>
          <w:szCs w:val="22"/>
          <w:lang w:val="da-DK"/>
        </w:rPr>
        <w:t>17</w:t>
      </w:r>
      <w:r w:rsidRPr="00FF5B5F">
        <w:rPr>
          <w:b/>
          <w:noProof/>
          <w:sz w:val="22"/>
          <w:szCs w:val="22"/>
          <w:lang w:val="da-DK"/>
        </w:rPr>
        <w:tab/>
        <w:t>ENTYDIG IDENTIFIKATOR – 2D-STREGKODE</w:t>
      </w:r>
    </w:p>
    <w:p w14:paraId="4573F02A" w14:textId="77777777" w:rsidR="00FF5B5F" w:rsidRPr="00FF5B5F" w:rsidRDefault="00FF5B5F" w:rsidP="00421681">
      <w:pPr>
        <w:widowControl w:val="0"/>
        <w:rPr>
          <w:noProof/>
          <w:sz w:val="22"/>
          <w:szCs w:val="22"/>
          <w:lang w:val="da-DK"/>
        </w:rPr>
      </w:pPr>
    </w:p>
    <w:p w14:paraId="0BD14BCF" w14:textId="77777777" w:rsidR="00FF5B5F" w:rsidRPr="00FF5B5F" w:rsidRDefault="00FF5B5F" w:rsidP="00421681">
      <w:pPr>
        <w:widowControl w:val="0"/>
        <w:rPr>
          <w:noProof/>
          <w:sz w:val="22"/>
          <w:szCs w:val="22"/>
          <w:shd w:val="clear" w:color="auto" w:fill="CCCCCC"/>
          <w:lang w:val="da-DK"/>
        </w:rPr>
      </w:pPr>
      <w:r w:rsidRPr="00FF5B5F">
        <w:rPr>
          <w:noProof/>
          <w:sz w:val="22"/>
          <w:szCs w:val="22"/>
          <w:shd w:val="pct15" w:color="auto" w:fill="auto"/>
          <w:lang w:val="da-DK"/>
        </w:rPr>
        <w:t>Der er anført en 2D-stregkode, som indeholder en entydig identifikator.</w:t>
      </w:r>
    </w:p>
    <w:p w14:paraId="775601CA" w14:textId="77777777" w:rsidR="00FF5B5F" w:rsidRPr="00FF5B5F" w:rsidRDefault="00FF5B5F" w:rsidP="00421681">
      <w:pPr>
        <w:widowControl w:val="0"/>
        <w:rPr>
          <w:noProof/>
          <w:sz w:val="22"/>
          <w:szCs w:val="22"/>
          <w:lang w:val="da-DK"/>
        </w:rPr>
      </w:pPr>
    </w:p>
    <w:p w14:paraId="398F8810" w14:textId="77777777" w:rsidR="00FF5B5F" w:rsidRPr="00FF5B5F" w:rsidRDefault="00FF5B5F" w:rsidP="00421681">
      <w:pPr>
        <w:widowControl w:val="0"/>
        <w:rPr>
          <w:noProof/>
          <w:sz w:val="22"/>
          <w:szCs w:val="22"/>
          <w:lang w:val="da-DK"/>
        </w:rPr>
      </w:pPr>
    </w:p>
    <w:p w14:paraId="52639405" w14:textId="77777777" w:rsidR="00FF5B5F" w:rsidRPr="00FF5B5F" w:rsidRDefault="00FF5B5F" w:rsidP="00421681">
      <w:pPr>
        <w:widowControl w:val="0"/>
        <w:pBdr>
          <w:top w:val="single" w:sz="4" w:space="1" w:color="auto"/>
          <w:left w:val="single" w:sz="4" w:space="4" w:color="auto"/>
          <w:bottom w:val="single" w:sz="4" w:space="1" w:color="auto"/>
          <w:right w:val="single" w:sz="4" w:space="4" w:color="auto"/>
        </w:pBdr>
        <w:outlineLvl w:val="0"/>
        <w:rPr>
          <w:i/>
          <w:noProof/>
          <w:sz w:val="22"/>
          <w:szCs w:val="22"/>
          <w:lang w:val="da-DK"/>
        </w:rPr>
      </w:pPr>
      <w:r w:rsidRPr="00FF5B5F">
        <w:rPr>
          <w:b/>
          <w:noProof/>
          <w:sz w:val="22"/>
          <w:szCs w:val="22"/>
          <w:lang w:val="da-DK"/>
        </w:rPr>
        <w:t>18.</w:t>
      </w:r>
      <w:r w:rsidRPr="00FF5B5F">
        <w:rPr>
          <w:b/>
          <w:noProof/>
          <w:sz w:val="22"/>
          <w:szCs w:val="22"/>
          <w:lang w:val="da-DK"/>
        </w:rPr>
        <w:tab/>
        <w:t>ENTYDIG IDENTIFIKATOR - MENNESKELIGT LÆSBARE DATA</w:t>
      </w:r>
    </w:p>
    <w:p w14:paraId="51326539" w14:textId="77777777" w:rsidR="00FF5B5F" w:rsidRPr="00FF5B5F" w:rsidRDefault="00FF5B5F" w:rsidP="00421681">
      <w:pPr>
        <w:widowControl w:val="0"/>
        <w:rPr>
          <w:noProof/>
          <w:sz w:val="22"/>
          <w:szCs w:val="22"/>
          <w:lang w:val="da-DK"/>
        </w:rPr>
      </w:pPr>
    </w:p>
    <w:p w14:paraId="15621AA5" w14:textId="77777777" w:rsidR="00FF5B5F" w:rsidRPr="00FF5B5F" w:rsidRDefault="00FF5B5F" w:rsidP="00421681">
      <w:pPr>
        <w:widowControl w:val="0"/>
        <w:rPr>
          <w:sz w:val="22"/>
          <w:szCs w:val="22"/>
          <w:lang w:val="da-DK"/>
        </w:rPr>
      </w:pPr>
      <w:r w:rsidRPr="00FF5B5F">
        <w:rPr>
          <w:sz w:val="22"/>
          <w:szCs w:val="22"/>
          <w:lang w:val="da-DK"/>
        </w:rPr>
        <w:t>PC:</w:t>
      </w:r>
    </w:p>
    <w:p w14:paraId="6FA4E4BC" w14:textId="77777777" w:rsidR="00FF5B5F" w:rsidRPr="00FF5B5F" w:rsidRDefault="00FF5B5F" w:rsidP="00421681">
      <w:pPr>
        <w:widowControl w:val="0"/>
        <w:rPr>
          <w:sz w:val="22"/>
          <w:szCs w:val="22"/>
          <w:lang w:val="da-DK"/>
        </w:rPr>
      </w:pPr>
      <w:r w:rsidRPr="00FF5B5F">
        <w:rPr>
          <w:sz w:val="22"/>
          <w:szCs w:val="22"/>
          <w:lang w:val="da-DK"/>
        </w:rPr>
        <w:t>SN:</w:t>
      </w:r>
    </w:p>
    <w:p w14:paraId="23E7F45D" w14:textId="77777777" w:rsidR="00FF5B5F" w:rsidRPr="00FF5B5F" w:rsidRDefault="00FF5B5F" w:rsidP="00421681">
      <w:pPr>
        <w:widowControl w:val="0"/>
        <w:rPr>
          <w:sz w:val="22"/>
          <w:szCs w:val="22"/>
          <w:lang w:val="da-DK"/>
        </w:rPr>
      </w:pPr>
      <w:r w:rsidRPr="00FF5B5F">
        <w:rPr>
          <w:sz w:val="22"/>
          <w:szCs w:val="22"/>
          <w:lang w:val="da-DK"/>
        </w:rPr>
        <w:t>NN:</w:t>
      </w:r>
    </w:p>
    <w:p w14:paraId="14965533" w14:textId="77777777" w:rsidR="00FF5B5F" w:rsidRPr="004C2A59" w:rsidRDefault="00FF5B5F" w:rsidP="00421681">
      <w:pPr>
        <w:suppressAutoHyphens/>
        <w:rPr>
          <w:color w:val="000000"/>
          <w:sz w:val="22"/>
          <w:szCs w:val="22"/>
          <w:lang w:val="da-DK"/>
        </w:rPr>
      </w:pPr>
    </w:p>
    <w:p w14:paraId="664F4EF4" w14:textId="77777777" w:rsidR="006F7492" w:rsidRPr="004C2A59" w:rsidRDefault="006F7492" w:rsidP="00421681">
      <w:pPr>
        <w:suppressAutoHyphens/>
        <w:jc w:val="both"/>
        <w:rPr>
          <w:color w:val="000000"/>
          <w:sz w:val="22"/>
          <w:szCs w:val="22"/>
          <w:lang w:val="da-DK"/>
        </w:rPr>
      </w:pPr>
      <w:r w:rsidRPr="004C2A59">
        <w:rPr>
          <w:color w:val="000000"/>
          <w:sz w:val="22"/>
          <w:szCs w:val="22"/>
          <w:lang w:val="da-DK"/>
        </w:rPr>
        <w:br w:type="page"/>
      </w:r>
    </w:p>
    <w:p w14:paraId="0B94E725" w14:textId="77777777" w:rsidR="001B7781" w:rsidRPr="001B7781" w:rsidRDefault="001B7781" w:rsidP="001B7781">
      <w:pPr>
        <w:rPr>
          <w:color w:val="000000"/>
          <w:sz w:val="22"/>
          <w:szCs w:val="22"/>
          <w:lang w:val="da-DK"/>
        </w:rPr>
      </w:pPr>
    </w:p>
    <w:p w14:paraId="6A743D9F" w14:textId="77777777" w:rsidR="006F7492" w:rsidRPr="004C2A59" w:rsidRDefault="006F7492" w:rsidP="00421681">
      <w:pPr>
        <w:pBdr>
          <w:top w:val="single" w:sz="4" w:space="1" w:color="auto"/>
          <w:left w:val="single" w:sz="4" w:space="4" w:color="auto"/>
          <w:bottom w:val="single" w:sz="4" w:space="1" w:color="auto"/>
          <w:right w:val="single" w:sz="4" w:space="4" w:color="auto"/>
        </w:pBdr>
        <w:rPr>
          <w:b/>
          <w:color w:val="000000"/>
          <w:sz w:val="22"/>
          <w:szCs w:val="22"/>
          <w:lang w:val="da-DK"/>
        </w:rPr>
      </w:pPr>
      <w:r w:rsidRPr="004C2A59">
        <w:rPr>
          <w:b/>
          <w:color w:val="000000"/>
          <w:sz w:val="22"/>
          <w:szCs w:val="22"/>
          <w:lang w:val="da-DK"/>
        </w:rPr>
        <w:t>MINDSTEKRAV TIL MÆRKNING PÅ BLISTER ELLER STRIP</w:t>
      </w:r>
    </w:p>
    <w:p w14:paraId="086CEC09" w14:textId="77777777" w:rsidR="006F7492" w:rsidRPr="004C2A59" w:rsidRDefault="006F7492" w:rsidP="00421681">
      <w:pPr>
        <w:pBdr>
          <w:top w:val="single" w:sz="4" w:space="1" w:color="auto"/>
          <w:left w:val="single" w:sz="4" w:space="4" w:color="auto"/>
          <w:bottom w:val="single" w:sz="4" w:space="1" w:color="auto"/>
          <w:right w:val="single" w:sz="4" w:space="4" w:color="auto"/>
        </w:pBdr>
        <w:rPr>
          <w:color w:val="000000"/>
          <w:sz w:val="22"/>
          <w:szCs w:val="22"/>
          <w:lang w:val="da-DK"/>
        </w:rPr>
      </w:pPr>
    </w:p>
    <w:p w14:paraId="55A7BEA1" w14:textId="77777777" w:rsidR="006F7492" w:rsidRPr="004C2A59" w:rsidRDefault="006F7492" w:rsidP="00421681">
      <w:pPr>
        <w:pBdr>
          <w:top w:val="single" w:sz="4" w:space="1" w:color="auto"/>
          <w:left w:val="single" w:sz="4" w:space="4" w:color="auto"/>
          <w:bottom w:val="single" w:sz="4" w:space="1" w:color="auto"/>
          <w:right w:val="single" w:sz="4" w:space="4" w:color="auto"/>
        </w:pBdr>
        <w:rPr>
          <w:b/>
          <w:color w:val="000000"/>
          <w:sz w:val="22"/>
          <w:szCs w:val="22"/>
          <w:lang w:val="da-DK"/>
        </w:rPr>
      </w:pPr>
      <w:r w:rsidRPr="004C2A59">
        <w:rPr>
          <w:b/>
          <w:color w:val="000000"/>
          <w:sz w:val="22"/>
          <w:szCs w:val="22"/>
          <w:lang w:val="da-DK"/>
        </w:rPr>
        <w:t>BLISTER</w:t>
      </w:r>
    </w:p>
    <w:p w14:paraId="1F490A85" w14:textId="77777777" w:rsidR="006F7492" w:rsidRPr="004C2A59" w:rsidRDefault="006F7492" w:rsidP="00421681">
      <w:pPr>
        <w:rPr>
          <w:color w:val="000000"/>
          <w:sz w:val="22"/>
          <w:szCs w:val="22"/>
          <w:lang w:val="da-DK"/>
        </w:rPr>
      </w:pPr>
    </w:p>
    <w:p w14:paraId="50255699" w14:textId="77777777" w:rsidR="006F7492" w:rsidRPr="004C2A59" w:rsidRDefault="006F7492" w:rsidP="00421681">
      <w:pPr>
        <w:rPr>
          <w:color w:val="000000"/>
          <w:sz w:val="22"/>
          <w:szCs w:val="22"/>
          <w:lang w:val="da-DK"/>
        </w:rPr>
      </w:pPr>
    </w:p>
    <w:p w14:paraId="437813F5"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1.</w:t>
      </w:r>
      <w:r w:rsidRPr="004C2A59">
        <w:rPr>
          <w:b/>
          <w:color w:val="000000"/>
          <w:sz w:val="22"/>
          <w:szCs w:val="22"/>
          <w:lang w:val="da-DK"/>
        </w:rPr>
        <w:tab/>
        <w:t>LÆGEMIDLETS NAVN</w:t>
      </w:r>
    </w:p>
    <w:p w14:paraId="70A278D0" w14:textId="77777777" w:rsidR="006F7492" w:rsidRPr="004C2A59" w:rsidRDefault="006F7492" w:rsidP="00421681">
      <w:pPr>
        <w:suppressAutoHyphens/>
        <w:rPr>
          <w:color w:val="000000"/>
          <w:sz w:val="22"/>
          <w:szCs w:val="22"/>
          <w:lang w:val="da-DK"/>
        </w:rPr>
      </w:pPr>
    </w:p>
    <w:p w14:paraId="2401C976"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Glivec 400 mg tabletter</w:t>
      </w:r>
    </w:p>
    <w:p w14:paraId="739A7E1E" w14:textId="77777777" w:rsidR="006F7492" w:rsidRPr="004C2A59" w:rsidRDefault="00FF7F94" w:rsidP="00421681">
      <w:pPr>
        <w:widowControl w:val="0"/>
        <w:suppressAutoHyphens/>
        <w:rPr>
          <w:color w:val="000000"/>
          <w:sz w:val="22"/>
          <w:szCs w:val="22"/>
          <w:lang w:val="da-DK"/>
        </w:rPr>
      </w:pPr>
      <w:r>
        <w:rPr>
          <w:color w:val="000000"/>
          <w:sz w:val="22"/>
          <w:szCs w:val="22"/>
          <w:lang w:val="da-DK"/>
        </w:rPr>
        <w:t>i</w:t>
      </w:r>
      <w:r w:rsidR="006F7492" w:rsidRPr="004C2A59">
        <w:rPr>
          <w:color w:val="000000"/>
          <w:sz w:val="22"/>
          <w:szCs w:val="22"/>
          <w:lang w:val="da-DK"/>
        </w:rPr>
        <w:t>matinib</w:t>
      </w:r>
    </w:p>
    <w:p w14:paraId="08E54554" w14:textId="77777777" w:rsidR="006F7492" w:rsidRPr="004C2A59" w:rsidRDefault="006F7492" w:rsidP="00421681">
      <w:pPr>
        <w:suppressAutoHyphens/>
        <w:rPr>
          <w:color w:val="000000"/>
          <w:sz w:val="22"/>
          <w:szCs w:val="22"/>
          <w:lang w:val="da-DK"/>
        </w:rPr>
      </w:pPr>
    </w:p>
    <w:p w14:paraId="5EA167E1" w14:textId="77777777" w:rsidR="006F7492" w:rsidRPr="004C2A59" w:rsidRDefault="006F7492" w:rsidP="00421681">
      <w:pPr>
        <w:suppressAutoHyphens/>
        <w:rPr>
          <w:color w:val="000000"/>
          <w:sz w:val="22"/>
          <w:szCs w:val="22"/>
          <w:lang w:val="da-DK"/>
        </w:rPr>
      </w:pPr>
    </w:p>
    <w:p w14:paraId="711AFDB3"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lang w:val="da-DK"/>
        </w:rPr>
      </w:pPr>
      <w:r w:rsidRPr="004C2A59">
        <w:rPr>
          <w:b/>
          <w:color w:val="000000"/>
          <w:sz w:val="22"/>
          <w:szCs w:val="22"/>
          <w:lang w:val="da-DK"/>
        </w:rPr>
        <w:t>2.</w:t>
      </w:r>
      <w:r w:rsidRPr="004C2A59">
        <w:rPr>
          <w:b/>
          <w:color w:val="000000"/>
          <w:sz w:val="22"/>
          <w:szCs w:val="22"/>
          <w:lang w:val="da-DK"/>
        </w:rPr>
        <w:tab/>
        <w:t>NAVN PÅ INDEHAVEREN AF MARKEDSFØRINGSTILLADELSEN</w:t>
      </w:r>
    </w:p>
    <w:p w14:paraId="3383A980" w14:textId="77777777" w:rsidR="006F7492" w:rsidRPr="004C2A59" w:rsidRDefault="006F7492" w:rsidP="00421681">
      <w:pPr>
        <w:suppressAutoHyphens/>
        <w:rPr>
          <w:color w:val="000000"/>
          <w:sz w:val="22"/>
          <w:szCs w:val="22"/>
          <w:lang w:val="da-DK"/>
        </w:rPr>
      </w:pPr>
    </w:p>
    <w:p w14:paraId="5D0A5583" w14:textId="77777777" w:rsidR="006F7492" w:rsidRPr="00F93637" w:rsidRDefault="006F7492" w:rsidP="00421681">
      <w:pPr>
        <w:widowControl w:val="0"/>
        <w:suppressAutoHyphens/>
        <w:rPr>
          <w:color w:val="000000"/>
          <w:sz w:val="22"/>
          <w:szCs w:val="22"/>
        </w:rPr>
      </w:pPr>
      <w:r w:rsidRPr="00F93637">
        <w:rPr>
          <w:color w:val="000000"/>
          <w:sz w:val="22"/>
          <w:szCs w:val="22"/>
        </w:rPr>
        <w:t>Novartis Europharm Limited</w:t>
      </w:r>
    </w:p>
    <w:p w14:paraId="707F5D66" w14:textId="77777777" w:rsidR="006F7492" w:rsidRPr="00F93637" w:rsidRDefault="006F7492" w:rsidP="00421681">
      <w:pPr>
        <w:suppressAutoHyphens/>
        <w:rPr>
          <w:color w:val="000000"/>
          <w:sz w:val="22"/>
          <w:szCs w:val="22"/>
        </w:rPr>
      </w:pPr>
    </w:p>
    <w:p w14:paraId="612F17F3" w14:textId="77777777" w:rsidR="006F7492" w:rsidRPr="00F93637" w:rsidRDefault="006F7492" w:rsidP="00421681">
      <w:pPr>
        <w:suppressAutoHyphens/>
        <w:rPr>
          <w:color w:val="000000"/>
          <w:sz w:val="22"/>
          <w:szCs w:val="22"/>
        </w:rPr>
      </w:pPr>
    </w:p>
    <w:p w14:paraId="66B6B5E4" w14:textId="77777777" w:rsidR="006F7492" w:rsidRPr="00F93637"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rPr>
      </w:pPr>
      <w:r w:rsidRPr="00F93637">
        <w:rPr>
          <w:b/>
          <w:color w:val="000000"/>
          <w:sz w:val="22"/>
          <w:szCs w:val="22"/>
        </w:rPr>
        <w:t>3.</w:t>
      </w:r>
      <w:r w:rsidRPr="00F93637">
        <w:rPr>
          <w:b/>
          <w:color w:val="000000"/>
          <w:sz w:val="22"/>
          <w:szCs w:val="22"/>
        </w:rPr>
        <w:tab/>
        <w:t>UDLØBSDATO</w:t>
      </w:r>
    </w:p>
    <w:p w14:paraId="0A6CEC42" w14:textId="77777777" w:rsidR="006F7492" w:rsidRPr="00F93637" w:rsidRDefault="006F7492" w:rsidP="00421681">
      <w:pPr>
        <w:suppressAutoHyphens/>
        <w:jc w:val="both"/>
        <w:rPr>
          <w:color w:val="000000"/>
          <w:sz w:val="22"/>
          <w:szCs w:val="22"/>
        </w:rPr>
      </w:pPr>
    </w:p>
    <w:p w14:paraId="0FB06032" w14:textId="77777777" w:rsidR="006F7492" w:rsidRPr="00F93637" w:rsidRDefault="006F7492" w:rsidP="00421681">
      <w:pPr>
        <w:widowControl w:val="0"/>
        <w:suppressAutoHyphens/>
        <w:jc w:val="both"/>
        <w:rPr>
          <w:color w:val="000000"/>
          <w:sz w:val="22"/>
          <w:szCs w:val="22"/>
        </w:rPr>
      </w:pPr>
      <w:r w:rsidRPr="00F93637">
        <w:rPr>
          <w:color w:val="000000"/>
          <w:sz w:val="22"/>
          <w:szCs w:val="22"/>
        </w:rPr>
        <w:t>EXP</w:t>
      </w:r>
    </w:p>
    <w:p w14:paraId="7C6704D3" w14:textId="77777777" w:rsidR="006F7492" w:rsidRPr="00F93637" w:rsidRDefault="006F7492" w:rsidP="00421681">
      <w:pPr>
        <w:suppressAutoHyphens/>
        <w:jc w:val="both"/>
        <w:rPr>
          <w:color w:val="000000"/>
          <w:sz w:val="22"/>
          <w:szCs w:val="22"/>
        </w:rPr>
      </w:pPr>
    </w:p>
    <w:p w14:paraId="1731085E" w14:textId="77777777" w:rsidR="006F7492" w:rsidRPr="00F93637" w:rsidRDefault="006F7492" w:rsidP="00421681">
      <w:pPr>
        <w:suppressAutoHyphens/>
        <w:jc w:val="both"/>
        <w:rPr>
          <w:color w:val="000000"/>
          <w:sz w:val="22"/>
          <w:szCs w:val="22"/>
        </w:rPr>
      </w:pPr>
    </w:p>
    <w:p w14:paraId="4F1ABF69" w14:textId="77777777" w:rsidR="006F7492" w:rsidRPr="00F93637" w:rsidRDefault="006F7492" w:rsidP="00421681">
      <w:pPr>
        <w:pBdr>
          <w:top w:val="single" w:sz="4" w:space="1" w:color="auto"/>
          <w:left w:val="single" w:sz="4" w:space="4" w:color="auto"/>
          <w:bottom w:val="single" w:sz="4" w:space="1" w:color="auto"/>
          <w:right w:val="single" w:sz="4" w:space="4" w:color="auto"/>
        </w:pBdr>
        <w:tabs>
          <w:tab w:val="left" w:pos="567"/>
        </w:tabs>
        <w:ind w:left="567" w:hanging="567"/>
        <w:rPr>
          <w:b/>
          <w:color w:val="000000"/>
          <w:sz w:val="22"/>
          <w:szCs w:val="22"/>
        </w:rPr>
      </w:pPr>
      <w:r w:rsidRPr="00F93637">
        <w:rPr>
          <w:b/>
          <w:color w:val="000000"/>
          <w:sz w:val="22"/>
          <w:szCs w:val="22"/>
        </w:rPr>
        <w:t>4.</w:t>
      </w:r>
      <w:r w:rsidRPr="00F93637">
        <w:rPr>
          <w:b/>
          <w:color w:val="000000"/>
          <w:sz w:val="22"/>
          <w:szCs w:val="22"/>
        </w:rPr>
        <w:tab/>
        <w:t>BATCHNUMMER</w:t>
      </w:r>
    </w:p>
    <w:p w14:paraId="502E0100" w14:textId="77777777" w:rsidR="006F7492" w:rsidRPr="00F93637" w:rsidRDefault="006F7492" w:rsidP="00421681">
      <w:pPr>
        <w:suppressAutoHyphens/>
        <w:jc w:val="both"/>
        <w:rPr>
          <w:color w:val="000000"/>
          <w:sz w:val="22"/>
          <w:szCs w:val="22"/>
        </w:rPr>
      </w:pPr>
    </w:p>
    <w:p w14:paraId="0FE93F62" w14:textId="77777777" w:rsidR="006F7492" w:rsidRPr="004C2A59" w:rsidRDefault="006F7492" w:rsidP="00421681">
      <w:pPr>
        <w:widowControl w:val="0"/>
        <w:suppressAutoHyphens/>
        <w:jc w:val="both"/>
        <w:rPr>
          <w:color w:val="000000"/>
          <w:sz w:val="22"/>
          <w:szCs w:val="22"/>
          <w:lang w:val="da-DK"/>
        </w:rPr>
      </w:pPr>
      <w:r w:rsidRPr="004C2A59">
        <w:rPr>
          <w:color w:val="000000"/>
          <w:sz w:val="22"/>
          <w:szCs w:val="22"/>
          <w:lang w:val="da-DK"/>
        </w:rPr>
        <w:t>Lot</w:t>
      </w:r>
    </w:p>
    <w:p w14:paraId="0231590A" w14:textId="77777777" w:rsidR="006F7492" w:rsidRPr="004C2A59" w:rsidRDefault="006F7492" w:rsidP="00421681">
      <w:pPr>
        <w:widowControl w:val="0"/>
        <w:suppressAutoHyphens/>
        <w:rPr>
          <w:color w:val="000000"/>
          <w:sz w:val="22"/>
          <w:szCs w:val="22"/>
          <w:lang w:val="da-DK"/>
        </w:rPr>
      </w:pPr>
    </w:p>
    <w:p w14:paraId="3A317E38" w14:textId="77777777" w:rsidR="006F7492" w:rsidRPr="004C2A59" w:rsidRDefault="006F7492" w:rsidP="00421681">
      <w:pPr>
        <w:widowControl w:val="0"/>
        <w:rPr>
          <w:color w:val="000000"/>
          <w:sz w:val="22"/>
          <w:szCs w:val="22"/>
          <w:lang w:val="da-DK"/>
        </w:rPr>
      </w:pPr>
    </w:p>
    <w:p w14:paraId="17C3FCEB" w14:textId="77777777" w:rsidR="006F7492" w:rsidRPr="004C2A59" w:rsidRDefault="006F7492" w:rsidP="00421681">
      <w:pPr>
        <w:pBdr>
          <w:top w:val="single" w:sz="4" w:space="1" w:color="auto"/>
          <w:left w:val="single" w:sz="4" w:space="4" w:color="auto"/>
          <w:bottom w:val="single" w:sz="4" w:space="1" w:color="auto"/>
          <w:right w:val="single" w:sz="4" w:space="4" w:color="auto"/>
        </w:pBdr>
        <w:tabs>
          <w:tab w:val="left" w:pos="142"/>
        </w:tabs>
        <w:ind w:left="567" w:hanging="567"/>
        <w:rPr>
          <w:b/>
          <w:noProof/>
          <w:sz w:val="22"/>
          <w:szCs w:val="22"/>
          <w:lang w:val="da-DK"/>
        </w:rPr>
      </w:pPr>
      <w:r w:rsidRPr="004C2A59">
        <w:rPr>
          <w:b/>
          <w:noProof/>
          <w:sz w:val="22"/>
          <w:szCs w:val="22"/>
          <w:lang w:val="da-DK"/>
        </w:rPr>
        <w:t>5.</w:t>
      </w:r>
      <w:r w:rsidRPr="004C2A59">
        <w:rPr>
          <w:b/>
          <w:noProof/>
          <w:sz w:val="22"/>
          <w:szCs w:val="22"/>
          <w:lang w:val="da-DK"/>
        </w:rPr>
        <w:tab/>
        <w:t>ANDET</w:t>
      </w:r>
    </w:p>
    <w:p w14:paraId="54CA944B" w14:textId="77777777" w:rsidR="006F7492" w:rsidRPr="004C2A59" w:rsidRDefault="006F7492" w:rsidP="00421681">
      <w:pPr>
        <w:widowControl w:val="0"/>
        <w:rPr>
          <w:color w:val="000000"/>
          <w:sz w:val="22"/>
          <w:szCs w:val="22"/>
          <w:lang w:val="da-DK"/>
        </w:rPr>
      </w:pPr>
    </w:p>
    <w:p w14:paraId="7AA7E1AD"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br w:type="page"/>
      </w:r>
    </w:p>
    <w:p w14:paraId="1589A149" w14:textId="77777777" w:rsidR="006F7492" w:rsidRPr="004C2A59" w:rsidRDefault="006F7492" w:rsidP="00421681">
      <w:pPr>
        <w:widowControl w:val="0"/>
        <w:suppressAutoHyphens/>
        <w:rPr>
          <w:color w:val="000000"/>
          <w:sz w:val="22"/>
          <w:szCs w:val="22"/>
          <w:lang w:val="da-DK"/>
        </w:rPr>
      </w:pPr>
    </w:p>
    <w:p w14:paraId="5BFD35AD" w14:textId="77777777" w:rsidR="006F7492" w:rsidRPr="004C2A59" w:rsidRDefault="006F7492" w:rsidP="00421681">
      <w:pPr>
        <w:widowControl w:val="0"/>
        <w:suppressAutoHyphens/>
        <w:rPr>
          <w:color w:val="000000"/>
          <w:sz w:val="22"/>
          <w:szCs w:val="22"/>
          <w:lang w:val="da-DK"/>
        </w:rPr>
      </w:pPr>
    </w:p>
    <w:p w14:paraId="1C01049E" w14:textId="77777777" w:rsidR="006F7492" w:rsidRPr="004C2A59" w:rsidRDefault="006F7492" w:rsidP="00421681">
      <w:pPr>
        <w:widowControl w:val="0"/>
        <w:suppressAutoHyphens/>
        <w:rPr>
          <w:color w:val="000000"/>
          <w:sz w:val="22"/>
          <w:szCs w:val="22"/>
          <w:lang w:val="da-DK"/>
        </w:rPr>
      </w:pPr>
    </w:p>
    <w:p w14:paraId="6E1AE1E9" w14:textId="77777777" w:rsidR="006F7492" w:rsidRPr="004C2A59" w:rsidRDefault="006F7492" w:rsidP="00421681">
      <w:pPr>
        <w:widowControl w:val="0"/>
        <w:rPr>
          <w:color w:val="000000"/>
          <w:sz w:val="22"/>
          <w:szCs w:val="22"/>
          <w:lang w:val="da-DK"/>
        </w:rPr>
      </w:pPr>
    </w:p>
    <w:p w14:paraId="1859908C" w14:textId="77777777" w:rsidR="006F7492" w:rsidRPr="004C2A59" w:rsidRDefault="006F7492" w:rsidP="00421681">
      <w:pPr>
        <w:widowControl w:val="0"/>
        <w:suppressAutoHyphens/>
        <w:rPr>
          <w:color w:val="000000"/>
          <w:sz w:val="22"/>
          <w:szCs w:val="22"/>
          <w:lang w:val="da-DK"/>
        </w:rPr>
      </w:pPr>
    </w:p>
    <w:p w14:paraId="3F0B09B9" w14:textId="77777777" w:rsidR="006F7492" w:rsidRPr="004C2A59" w:rsidRDefault="006F7492" w:rsidP="00421681">
      <w:pPr>
        <w:widowControl w:val="0"/>
        <w:suppressAutoHyphens/>
        <w:rPr>
          <w:color w:val="000000"/>
          <w:sz w:val="22"/>
          <w:szCs w:val="22"/>
          <w:lang w:val="da-DK"/>
        </w:rPr>
      </w:pPr>
    </w:p>
    <w:p w14:paraId="2580E742" w14:textId="77777777" w:rsidR="006F7492" w:rsidRPr="004C2A59" w:rsidRDefault="006F7492" w:rsidP="00421681">
      <w:pPr>
        <w:widowControl w:val="0"/>
        <w:suppressAutoHyphens/>
        <w:rPr>
          <w:color w:val="000000"/>
          <w:sz w:val="22"/>
          <w:szCs w:val="22"/>
          <w:lang w:val="da-DK"/>
        </w:rPr>
      </w:pPr>
    </w:p>
    <w:p w14:paraId="5D349BC7" w14:textId="77777777" w:rsidR="006F7492" w:rsidRPr="004C2A59" w:rsidRDefault="006F7492" w:rsidP="00421681">
      <w:pPr>
        <w:widowControl w:val="0"/>
        <w:suppressAutoHyphens/>
        <w:rPr>
          <w:color w:val="000000"/>
          <w:sz w:val="22"/>
          <w:szCs w:val="22"/>
          <w:lang w:val="da-DK"/>
        </w:rPr>
      </w:pPr>
    </w:p>
    <w:p w14:paraId="4649021A" w14:textId="77777777" w:rsidR="006F7492" w:rsidRPr="004C2A59" w:rsidRDefault="006F7492" w:rsidP="00421681">
      <w:pPr>
        <w:widowControl w:val="0"/>
        <w:suppressAutoHyphens/>
        <w:rPr>
          <w:color w:val="000000"/>
          <w:sz w:val="22"/>
          <w:szCs w:val="22"/>
          <w:lang w:val="da-DK"/>
        </w:rPr>
      </w:pPr>
    </w:p>
    <w:p w14:paraId="79E26CFE" w14:textId="77777777" w:rsidR="006F7492" w:rsidRPr="004C2A59" w:rsidRDefault="006F7492" w:rsidP="00421681">
      <w:pPr>
        <w:widowControl w:val="0"/>
        <w:suppressAutoHyphens/>
        <w:rPr>
          <w:color w:val="000000"/>
          <w:sz w:val="22"/>
          <w:szCs w:val="22"/>
          <w:lang w:val="da-DK"/>
        </w:rPr>
      </w:pPr>
    </w:p>
    <w:p w14:paraId="7E7C4C66" w14:textId="77777777" w:rsidR="006F7492" w:rsidRPr="004C2A59" w:rsidRDefault="006F7492" w:rsidP="00421681">
      <w:pPr>
        <w:widowControl w:val="0"/>
        <w:suppressAutoHyphens/>
        <w:rPr>
          <w:color w:val="000000"/>
          <w:sz w:val="22"/>
          <w:szCs w:val="22"/>
          <w:lang w:val="da-DK"/>
        </w:rPr>
      </w:pPr>
    </w:p>
    <w:p w14:paraId="018BD647" w14:textId="77777777" w:rsidR="006F7492" w:rsidRPr="004C2A59" w:rsidRDefault="006F7492" w:rsidP="00421681">
      <w:pPr>
        <w:widowControl w:val="0"/>
        <w:suppressAutoHyphens/>
        <w:rPr>
          <w:color w:val="000000"/>
          <w:sz w:val="22"/>
          <w:szCs w:val="22"/>
          <w:lang w:val="da-DK"/>
        </w:rPr>
      </w:pPr>
    </w:p>
    <w:p w14:paraId="6CA80096" w14:textId="77777777" w:rsidR="006F7492" w:rsidRPr="004C2A59" w:rsidRDefault="006F7492" w:rsidP="00421681">
      <w:pPr>
        <w:widowControl w:val="0"/>
        <w:suppressAutoHyphens/>
        <w:rPr>
          <w:color w:val="000000"/>
          <w:sz w:val="22"/>
          <w:szCs w:val="22"/>
          <w:lang w:val="da-DK"/>
        </w:rPr>
      </w:pPr>
    </w:p>
    <w:p w14:paraId="042B6D70" w14:textId="77777777" w:rsidR="006F7492" w:rsidRPr="004C2A59" w:rsidRDefault="006F7492" w:rsidP="00421681">
      <w:pPr>
        <w:widowControl w:val="0"/>
        <w:suppressAutoHyphens/>
        <w:rPr>
          <w:color w:val="000000"/>
          <w:sz w:val="22"/>
          <w:szCs w:val="22"/>
          <w:lang w:val="da-DK"/>
        </w:rPr>
      </w:pPr>
    </w:p>
    <w:p w14:paraId="111212C5" w14:textId="77777777" w:rsidR="006F7492" w:rsidRPr="004C2A59" w:rsidRDefault="006F7492" w:rsidP="00421681">
      <w:pPr>
        <w:widowControl w:val="0"/>
        <w:suppressAutoHyphens/>
        <w:rPr>
          <w:color w:val="000000"/>
          <w:sz w:val="22"/>
          <w:szCs w:val="22"/>
          <w:lang w:val="da-DK"/>
        </w:rPr>
      </w:pPr>
    </w:p>
    <w:p w14:paraId="7D66C211" w14:textId="77777777" w:rsidR="006F7492" w:rsidRPr="004C2A59" w:rsidRDefault="006F7492" w:rsidP="00421681">
      <w:pPr>
        <w:widowControl w:val="0"/>
        <w:suppressAutoHyphens/>
        <w:rPr>
          <w:color w:val="000000"/>
          <w:sz w:val="22"/>
          <w:szCs w:val="22"/>
          <w:lang w:val="da-DK"/>
        </w:rPr>
      </w:pPr>
    </w:p>
    <w:p w14:paraId="6A2FF059" w14:textId="77777777" w:rsidR="006F7492" w:rsidRPr="004C2A59" w:rsidRDefault="006F7492" w:rsidP="00421681">
      <w:pPr>
        <w:widowControl w:val="0"/>
        <w:suppressAutoHyphens/>
        <w:rPr>
          <w:color w:val="000000"/>
          <w:sz w:val="22"/>
          <w:szCs w:val="22"/>
          <w:lang w:val="da-DK"/>
        </w:rPr>
      </w:pPr>
    </w:p>
    <w:p w14:paraId="4C246F02" w14:textId="77777777" w:rsidR="006F7492" w:rsidRPr="004C2A59" w:rsidRDefault="006F7492" w:rsidP="00421681">
      <w:pPr>
        <w:widowControl w:val="0"/>
        <w:suppressAutoHyphens/>
        <w:rPr>
          <w:color w:val="000000"/>
          <w:sz w:val="22"/>
          <w:szCs w:val="22"/>
          <w:lang w:val="da-DK"/>
        </w:rPr>
      </w:pPr>
    </w:p>
    <w:p w14:paraId="2CC3700D" w14:textId="77777777" w:rsidR="006F7492" w:rsidRPr="004C2A59" w:rsidRDefault="006F7492" w:rsidP="00421681">
      <w:pPr>
        <w:widowControl w:val="0"/>
        <w:suppressAutoHyphens/>
        <w:rPr>
          <w:color w:val="000000"/>
          <w:sz w:val="22"/>
          <w:szCs w:val="22"/>
          <w:lang w:val="da-DK"/>
        </w:rPr>
      </w:pPr>
    </w:p>
    <w:p w14:paraId="60AE71C5" w14:textId="77777777" w:rsidR="006F7492" w:rsidRPr="004C2A59" w:rsidRDefault="006F7492" w:rsidP="00421681">
      <w:pPr>
        <w:widowControl w:val="0"/>
        <w:suppressAutoHyphens/>
        <w:rPr>
          <w:color w:val="000000"/>
          <w:sz w:val="22"/>
          <w:szCs w:val="22"/>
          <w:lang w:val="da-DK"/>
        </w:rPr>
      </w:pPr>
    </w:p>
    <w:p w14:paraId="1F4F849C" w14:textId="77777777" w:rsidR="006F7492" w:rsidRPr="004C2A59" w:rsidRDefault="006F7492" w:rsidP="00421681">
      <w:pPr>
        <w:widowControl w:val="0"/>
        <w:suppressAutoHyphens/>
        <w:rPr>
          <w:color w:val="000000"/>
          <w:sz w:val="22"/>
          <w:szCs w:val="22"/>
          <w:lang w:val="da-DK"/>
        </w:rPr>
      </w:pPr>
    </w:p>
    <w:p w14:paraId="489F19AE" w14:textId="77777777" w:rsidR="006F7492" w:rsidRDefault="006F7492" w:rsidP="00421681">
      <w:pPr>
        <w:widowControl w:val="0"/>
        <w:suppressAutoHyphens/>
        <w:rPr>
          <w:color w:val="000000"/>
          <w:sz w:val="22"/>
          <w:szCs w:val="22"/>
          <w:lang w:val="da-DK"/>
        </w:rPr>
      </w:pPr>
    </w:p>
    <w:p w14:paraId="1AA90D38" w14:textId="77777777" w:rsidR="001B7781" w:rsidRPr="004C2A59" w:rsidRDefault="001B7781" w:rsidP="00421681">
      <w:pPr>
        <w:widowControl w:val="0"/>
        <w:suppressAutoHyphens/>
        <w:rPr>
          <w:color w:val="000000"/>
          <w:sz w:val="22"/>
          <w:szCs w:val="22"/>
          <w:lang w:val="da-DK"/>
        </w:rPr>
      </w:pPr>
    </w:p>
    <w:p w14:paraId="626CCB20" w14:textId="77777777" w:rsidR="006F7492" w:rsidRPr="004C2A59" w:rsidRDefault="006F7492" w:rsidP="00421681">
      <w:pPr>
        <w:widowControl w:val="0"/>
        <w:suppressAutoHyphens/>
        <w:jc w:val="center"/>
        <w:rPr>
          <w:color w:val="000000"/>
          <w:sz w:val="22"/>
          <w:szCs w:val="22"/>
          <w:lang w:val="da-DK"/>
        </w:rPr>
      </w:pPr>
      <w:r w:rsidRPr="004C2A59">
        <w:rPr>
          <w:b/>
          <w:color w:val="000000"/>
          <w:sz w:val="22"/>
          <w:szCs w:val="22"/>
          <w:lang w:val="da-DK"/>
        </w:rPr>
        <w:t>B. INDLÆGSSEDDEL</w:t>
      </w:r>
    </w:p>
    <w:p w14:paraId="02B963CB" w14:textId="77777777" w:rsidR="006F7492" w:rsidRPr="004C2A59" w:rsidRDefault="006F7492" w:rsidP="00421681">
      <w:pPr>
        <w:widowControl w:val="0"/>
        <w:suppressAutoHyphens/>
        <w:jc w:val="center"/>
        <w:rPr>
          <w:color w:val="000000"/>
          <w:sz w:val="22"/>
          <w:szCs w:val="22"/>
          <w:lang w:val="da-DK"/>
        </w:rPr>
      </w:pPr>
    </w:p>
    <w:p w14:paraId="638613E8" w14:textId="77777777" w:rsidR="006F7492" w:rsidRPr="004C2A59" w:rsidRDefault="006F7492" w:rsidP="00421681">
      <w:pPr>
        <w:pStyle w:val="Heading1"/>
        <w:keepNext w:val="0"/>
        <w:widowControl w:val="0"/>
        <w:numPr>
          <w:ilvl w:val="0"/>
          <w:numId w:val="0"/>
        </w:numPr>
        <w:tabs>
          <w:tab w:val="clear" w:pos="-720"/>
        </w:tabs>
        <w:jc w:val="center"/>
        <w:rPr>
          <w:noProof w:val="0"/>
          <w:color w:val="000000"/>
          <w:szCs w:val="22"/>
          <w:lang w:val="da-DK"/>
        </w:rPr>
      </w:pPr>
      <w:r w:rsidRPr="004C2A59">
        <w:rPr>
          <w:b w:val="0"/>
          <w:noProof w:val="0"/>
          <w:color w:val="000000"/>
          <w:szCs w:val="22"/>
          <w:lang w:val="da-DK"/>
        </w:rPr>
        <w:br w:type="page"/>
      </w:r>
      <w:r w:rsidR="00CB20E5" w:rsidRPr="004C2A59">
        <w:rPr>
          <w:noProof w:val="0"/>
          <w:color w:val="000000"/>
          <w:szCs w:val="22"/>
          <w:lang w:val="da-DK"/>
        </w:rPr>
        <w:lastRenderedPageBreak/>
        <w:t>Indlægsseddel: Information til brugeren</w:t>
      </w:r>
    </w:p>
    <w:p w14:paraId="29B687BF" w14:textId="77777777" w:rsidR="006F7492" w:rsidRPr="004C2A59" w:rsidRDefault="006F7492" w:rsidP="00421681">
      <w:pPr>
        <w:widowControl w:val="0"/>
        <w:jc w:val="center"/>
        <w:rPr>
          <w:color w:val="000000"/>
          <w:sz w:val="22"/>
          <w:szCs w:val="22"/>
          <w:lang w:val="da-DK"/>
        </w:rPr>
      </w:pPr>
    </w:p>
    <w:p w14:paraId="5A826368" w14:textId="77777777" w:rsidR="006F7492" w:rsidRPr="004C2A59" w:rsidRDefault="006F7492" w:rsidP="00421681">
      <w:pPr>
        <w:jc w:val="center"/>
        <w:rPr>
          <w:b/>
          <w:bCs/>
          <w:color w:val="000000"/>
          <w:sz w:val="22"/>
          <w:szCs w:val="22"/>
          <w:lang w:val="da-DK"/>
        </w:rPr>
      </w:pPr>
      <w:r w:rsidRPr="004C2A59">
        <w:rPr>
          <w:b/>
          <w:bCs/>
          <w:color w:val="000000"/>
          <w:sz w:val="22"/>
          <w:szCs w:val="22"/>
          <w:lang w:val="da-DK"/>
        </w:rPr>
        <w:t>Glivec 100 mg hårde kapsler</w:t>
      </w:r>
    </w:p>
    <w:p w14:paraId="572C6F63" w14:textId="77777777" w:rsidR="006F7492" w:rsidRPr="004C2A59" w:rsidRDefault="00AD0987" w:rsidP="00421681">
      <w:pPr>
        <w:jc w:val="center"/>
        <w:rPr>
          <w:color w:val="000000"/>
          <w:sz w:val="22"/>
          <w:szCs w:val="22"/>
          <w:lang w:val="da-DK"/>
        </w:rPr>
      </w:pPr>
      <w:r>
        <w:rPr>
          <w:color w:val="000000"/>
          <w:sz w:val="22"/>
          <w:szCs w:val="22"/>
          <w:lang w:val="da-DK"/>
        </w:rPr>
        <w:t>i</w:t>
      </w:r>
      <w:r w:rsidR="006F7492" w:rsidRPr="004C2A59">
        <w:rPr>
          <w:color w:val="000000"/>
          <w:sz w:val="22"/>
          <w:szCs w:val="22"/>
          <w:lang w:val="da-DK"/>
        </w:rPr>
        <w:t>matinib</w:t>
      </w:r>
    </w:p>
    <w:p w14:paraId="5EBA044D" w14:textId="77777777" w:rsidR="006F7492" w:rsidRPr="004C2A59" w:rsidRDefault="006F7492" w:rsidP="00421681">
      <w:pPr>
        <w:widowControl w:val="0"/>
        <w:rPr>
          <w:color w:val="000000"/>
          <w:sz w:val="22"/>
          <w:szCs w:val="22"/>
          <w:lang w:val="da-DK"/>
        </w:rPr>
      </w:pPr>
    </w:p>
    <w:p w14:paraId="2143E7EC" w14:textId="77777777" w:rsidR="005C71E8" w:rsidRPr="004C2A59" w:rsidRDefault="00127CCC" w:rsidP="00421681">
      <w:pPr>
        <w:suppressAutoHyphens/>
        <w:rPr>
          <w:sz w:val="22"/>
          <w:szCs w:val="22"/>
          <w:lang w:val="da-DK"/>
        </w:rPr>
      </w:pPr>
      <w:r w:rsidRPr="004C2A59">
        <w:rPr>
          <w:noProof/>
          <w:sz w:val="22"/>
          <w:lang w:val="en-GB" w:eastAsia="en-GB"/>
        </w:rPr>
        <w:drawing>
          <wp:inline distT="0" distB="0" distL="0" distR="0" wp14:anchorId="63C226B1" wp14:editId="2A532ED1">
            <wp:extent cx="198755" cy="174625"/>
            <wp:effectExtent l="0" t="0" r="0" b="0"/>
            <wp:docPr id="8" name="Picture 3"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5C71E8" w:rsidRPr="004C2A59">
        <w:rPr>
          <w:noProof/>
          <w:sz w:val="22"/>
          <w:szCs w:val="22"/>
          <w:lang w:val="da-DK"/>
        </w:rPr>
        <w:t>D</w:t>
      </w:r>
      <w:r w:rsidR="005C71E8" w:rsidRPr="004C2A59">
        <w:rPr>
          <w:sz w:val="22"/>
          <w:lang w:val="da-DK"/>
        </w:rPr>
        <w:t>ette</w:t>
      </w:r>
      <w:r w:rsidR="005C71E8" w:rsidRPr="004C2A59">
        <w:rPr>
          <w:noProof/>
          <w:sz w:val="22"/>
          <w:szCs w:val="22"/>
          <w:lang w:val="da-DK"/>
        </w:rPr>
        <w:t xml:space="preserve"> lægemiddel er underlagt supplerende overvågning. Dermed kan der hurtigt tilvejebringes nye oplysninger om sikkerheden. Du kan hjælpe ved at indberette alle de bivirkninger, du får. Se sidst i afsnit 4, hvordan du indberetter bivirkninger.</w:t>
      </w:r>
    </w:p>
    <w:p w14:paraId="45251C6E" w14:textId="77777777" w:rsidR="005C71E8" w:rsidRPr="004C2A59" w:rsidRDefault="005C71E8" w:rsidP="00421681">
      <w:pPr>
        <w:widowControl w:val="0"/>
        <w:ind w:right="-2"/>
        <w:rPr>
          <w:color w:val="000000"/>
          <w:sz w:val="22"/>
          <w:szCs w:val="22"/>
          <w:lang w:val="da-DK"/>
        </w:rPr>
      </w:pPr>
    </w:p>
    <w:p w14:paraId="3BC07DAE" w14:textId="77777777" w:rsidR="00152279" w:rsidRPr="004C2A59" w:rsidRDefault="00152279" w:rsidP="00421681">
      <w:pPr>
        <w:widowControl w:val="0"/>
        <w:ind w:right="-2"/>
        <w:rPr>
          <w:b/>
          <w:color w:val="000000"/>
          <w:sz w:val="22"/>
          <w:szCs w:val="22"/>
          <w:lang w:val="da-DK"/>
        </w:rPr>
      </w:pPr>
      <w:r w:rsidRPr="004C2A59">
        <w:rPr>
          <w:b/>
          <w:color w:val="000000"/>
          <w:sz w:val="22"/>
          <w:szCs w:val="22"/>
          <w:lang w:val="da-DK"/>
        </w:rPr>
        <w:t>Læs denne indlægsseddel grundigt, inden du begynder at tage dette lægemiddel, da den indeholder vigtige oplysninger.</w:t>
      </w:r>
    </w:p>
    <w:p w14:paraId="62A24E41" w14:textId="77777777" w:rsidR="00226918" w:rsidRPr="004C2A59" w:rsidRDefault="00226918" w:rsidP="00421681">
      <w:pPr>
        <w:widowControl w:val="0"/>
        <w:numPr>
          <w:ilvl w:val="0"/>
          <w:numId w:val="7"/>
        </w:numPr>
        <w:tabs>
          <w:tab w:val="clear" w:pos="927"/>
        </w:tabs>
        <w:ind w:left="567" w:right="-2" w:hanging="567"/>
        <w:rPr>
          <w:color w:val="000000"/>
          <w:sz w:val="22"/>
          <w:szCs w:val="22"/>
          <w:lang w:val="da-DK"/>
        </w:rPr>
      </w:pPr>
      <w:r w:rsidRPr="004C2A59">
        <w:rPr>
          <w:color w:val="000000"/>
          <w:sz w:val="22"/>
          <w:szCs w:val="22"/>
          <w:lang w:val="da-DK"/>
        </w:rPr>
        <w:t>Gem indlægssedlen. Du kan få brug for at læse den igen.</w:t>
      </w:r>
    </w:p>
    <w:p w14:paraId="07A10FD9" w14:textId="77777777" w:rsidR="00226918" w:rsidRPr="004C2A59" w:rsidRDefault="00226918" w:rsidP="00421681">
      <w:pPr>
        <w:widowControl w:val="0"/>
        <w:numPr>
          <w:ilvl w:val="0"/>
          <w:numId w:val="7"/>
        </w:numPr>
        <w:tabs>
          <w:tab w:val="clear" w:pos="927"/>
        </w:tabs>
        <w:ind w:left="567" w:right="-2" w:hanging="567"/>
        <w:rPr>
          <w:color w:val="000000"/>
          <w:sz w:val="22"/>
          <w:szCs w:val="22"/>
          <w:lang w:val="da-DK"/>
        </w:rPr>
      </w:pPr>
      <w:r w:rsidRPr="004C2A59">
        <w:rPr>
          <w:color w:val="000000"/>
          <w:sz w:val="22"/>
          <w:szCs w:val="22"/>
          <w:lang w:val="da-DK"/>
        </w:rPr>
        <w:t>Spørg lægen, apotekspersonalet eller sundhedspersonalet, hvis der er mere, du vil vide.</w:t>
      </w:r>
    </w:p>
    <w:p w14:paraId="48E9B174" w14:textId="77777777" w:rsidR="00226918" w:rsidRPr="004C2A59" w:rsidRDefault="00226918" w:rsidP="00421681">
      <w:pPr>
        <w:widowControl w:val="0"/>
        <w:numPr>
          <w:ilvl w:val="0"/>
          <w:numId w:val="7"/>
        </w:numPr>
        <w:tabs>
          <w:tab w:val="clear" w:pos="927"/>
        </w:tabs>
        <w:ind w:left="567" w:right="-2" w:hanging="567"/>
        <w:rPr>
          <w:color w:val="000000"/>
          <w:sz w:val="22"/>
          <w:szCs w:val="22"/>
          <w:lang w:val="da-DK"/>
        </w:rPr>
      </w:pPr>
      <w:r w:rsidRPr="004C2A59">
        <w:rPr>
          <w:color w:val="000000"/>
          <w:sz w:val="22"/>
          <w:szCs w:val="22"/>
          <w:lang w:val="da-DK"/>
        </w:rPr>
        <w:t>Lægen har ordineret dette lægemiddel til dig personligt. Lad derfor være med at give medicinen til andre. Det kan være skadeligt for andre, selvom de har de samme symptomer, som du har.</w:t>
      </w:r>
    </w:p>
    <w:p w14:paraId="48497CC4" w14:textId="77777777" w:rsidR="00226918" w:rsidRPr="004C2A59" w:rsidRDefault="00226918" w:rsidP="00421681">
      <w:pPr>
        <w:widowControl w:val="0"/>
        <w:numPr>
          <w:ilvl w:val="0"/>
          <w:numId w:val="7"/>
        </w:numPr>
        <w:tabs>
          <w:tab w:val="clear" w:pos="927"/>
        </w:tabs>
        <w:ind w:left="567" w:right="-2" w:hanging="567"/>
        <w:rPr>
          <w:color w:val="000000"/>
          <w:sz w:val="22"/>
          <w:szCs w:val="22"/>
          <w:lang w:val="da-DK"/>
        </w:rPr>
      </w:pPr>
      <w:r w:rsidRPr="004C2A59">
        <w:rPr>
          <w:color w:val="000000"/>
          <w:sz w:val="22"/>
          <w:szCs w:val="22"/>
          <w:lang w:val="da-DK"/>
        </w:rPr>
        <w:t xml:space="preserve">Kontakt lægen, apotekspersonalet eller sundhedspersonalet, hvis du får bivirkninger, </w:t>
      </w:r>
      <w:r w:rsidR="006F3F47">
        <w:rPr>
          <w:color w:val="000000"/>
          <w:sz w:val="22"/>
          <w:szCs w:val="22"/>
          <w:lang w:val="da-DK"/>
        </w:rPr>
        <w:t xml:space="preserve">herunder bivirkninger, </w:t>
      </w:r>
      <w:r w:rsidRPr="004C2A59">
        <w:rPr>
          <w:color w:val="000000"/>
          <w:sz w:val="22"/>
          <w:szCs w:val="22"/>
          <w:lang w:val="da-DK"/>
        </w:rPr>
        <w:t>som ikke er nævnt her. Se afsnit 4.</w:t>
      </w:r>
    </w:p>
    <w:p w14:paraId="46444BEF" w14:textId="77777777" w:rsidR="00152279" w:rsidRPr="004C2A59" w:rsidRDefault="00152279" w:rsidP="00421681">
      <w:pPr>
        <w:widowControl w:val="0"/>
        <w:ind w:right="-2"/>
        <w:rPr>
          <w:color w:val="000000"/>
          <w:sz w:val="22"/>
          <w:szCs w:val="22"/>
          <w:lang w:val="da-DK"/>
        </w:rPr>
      </w:pPr>
    </w:p>
    <w:p w14:paraId="4521FCC5" w14:textId="77777777" w:rsidR="00CA267E" w:rsidRPr="00D27489" w:rsidRDefault="00CA267E" w:rsidP="00421681">
      <w:pPr>
        <w:widowControl w:val="0"/>
        <w:rPr>
          <w:sz w:val="22"/>
          <w:szCs w:val="22"/>
          <w:lang w:val="da-DK"/>
        </w:rPr>
      </w:pPr>
      <w:r w:rsidRPr="00D27489">
        <w:rPr>
          <w:sz w:val="22"/>
          <w:szCs w:val="22"/>
          <w:lang w:val="da-DK"/>
        </w:rPr>
        <w:t xml:space="preserve">Se den nyeste indlægsseddel på </w:t>
      </w:r>
      <w:hyperlink r:id="rId16" w:history="1">
        <w:r w:rsidRPr="00D27489">
          <w:rPr>
            <w:rStyle w:val="Hyperlink"/>
            <w:sz w:val="22"/>
            <w:szCs w:val="22"/>
            <w:lang w:val="da-DK"/>
          </w:rPr>
          <w:t>www.indlaegsseddel.dk</w:t>
        </w:r>
      </w:hyperlink>
      <w:r w:rsidRPr="00D27489">
        <w:rPr>
          <w:rStyle w:val="Hyperlink"/>
          <w:sz w:val="22"/>
          <w:szCs w:val="22"/>
          <w:lang w:val="da-DK"/>
        </w:rPr>
        <w:t>.</w:t>
      </w:r>
    </w:p>
    <w:p w14:paraId="43EAEF74" w14:textId="77777777" w:rsidR="00152279" w:rsidRPr="004C2A59" w:rsidRDefault="00152279" w:rsidP="00421681">
      <w:pPr>
        <w:widowControl w:val="0"/>
        <w:ind w:right="-2"/>
        <w:rPr>
          <w:color w:val="000000"/>
          <w:sz w:val="22"/>
          <w:szCs w:val="22"/>
          <w:lang w:val="da-DK"/>
        </w:rPr>
      </w:pPr>
    </w:p>
    <w:p w14:paraId="26F0FF79" w14:textId="77777777" w:rsidR="00152279" w:rsidRPr="004C2A59" w:rsidRDefault="00152279" w:rsidP="00421681">
      <w:pPr>
        <w:widowControl w:val="0"/>
        <w:ind w:right="-2"/>
        <w:rPr>
          <w:color w:val="000000"/>
          <w:sz w:val="22"/>
          <w:szCs w:val="22"/>
          <w:lang w:val="da-DK"/>
        </w:rPr>
      </w:pPr>
      <w:r w:rsidRPr="004C2A59">
        <w:rPr>
          <w:b/>
          <w:color w:val="000000"/>
          <w:sz w:val="22"/>
          <w:szCs w:val="22"/>
          <w:lang w:val="da-DK"/>
        </w:rPr>
        <w:t>Oversigt over indlægssedlen</w:t>
      </w:r>
    </w:p>
    <w:p w14:paraId="06857FA1" w14:textId="77777777" w:rsidR="00152279" w:rsidRPr="004C2A59" w:rsidRDefault="00152279" w:rsidP="00421681">
      <w:pPr>
        <w:widowControl w:val="0"/>
        <w:ind w:left="567" w:right="-29" w:hanging="567"/>
        <w:rPr>
          <w:color w:val="000000"/>
          <w:sz w:val="22"/>
          <w:szCs w:val="22"/>
          <w:lang w:val="da-DK"/>
        </w:rPr>
      </w:pPr>
      <w:r w:rsidRPr="004C2A59">
        <w:rPr>
          <w:color w:val="000000"/>
          <w:sz w:val="22"/>
          <w:szCs w:val="22"/>
          <w:lang w:val="da-DK"/>
        </w:rPr>
        <w:t>1.</w:t>
      </w:r>
      <w:r w:rsidRPr="004C2A59">
        <w:rPr>
          <w:color w:val="000000"/>
          <w:sz w:val="22"/>
          <w:szCs w:val="22"/>
          <w:lang w:val="da-DK"/>
        </w:rPr>
        <w:tab/>
        <w:t>Virkning og anvendelse</w:t>
      </w:r>
    </w:p>
    <w:p w14:paraId="4A7DFF95" w14:textId="77777777" w:rsidR="00152279" w:rsidRPr="004C2A59" w:rsidRDefault="00152279" w:rsidP="00421681">
      <w:pPr>
        <w:widowControl w:val="0"/>
        <w:ind w:left="567" w:right="-29" w:hanging="567"/>
        <w:rPr>
          <w:color w:val="000000"/>
          <w:sz w:val="22"/>
          <w:szCs w:val="22"/>
          <w:lang w:val="da-DK"/>
        </w:rPr>
      </w:pPr>
      <w:r w:rsidRPr="004C2A59">
        <w:rPr>
          <w:color w:val="000000"/>
          <w:sz w:val="22"/>
          <w:szCs w:val="22"/>
          <w:lang w:val="da-DK"/>
        </w:rPr>
        <w:t>2.</w:t>
      </w:r>
      <w:r w:rsidRPr="004C2A59">
        <w:rPr>
          <w:color w:val="000000"/>
          <w:sz w:val="22"/>
          <w:szCs w:val="22"/>
          <w:lang w:val="da-DK"/>
        </w:rPr>
        <w:tab/>
        <w:t>Det skal du vide, før du begynder at tage Glivec</w:t>
      </w:r>
    </w:p>
    <w:p w14:paraId="5EC2C487" w14:textId="77777777" w:rsidR="00152279" w:rsidRPr="004C2A59" w:rsidRDefault="00152279" w:rsidP="00421681">
      <w:pPr>
        <w:widowControl w:val="0"/>
        <w:ind w:left="567" w:right="-29" w:hanging="567"/>
        <w:rPr>
          <w:color w:val="000000"/>
          <w:sz w:val="22"/>
          <w:szCs w:val="22"/>
          <w:lang w:val="da-DK"/>
        </w:rPr>
      </w:pPr>
      <w:r w:rsidRPr="004C2A59">
        <w:rPr>
          <w:color w:val="000000"/>
          <w:sz w:val="22"/>
          <w:szCs w:val="22"/>
          <w:lang w:val="da-DK"/>
        </w:rPr>
        <w:t>3.</w:t>
      </w:r>
      <w:r w:rsidRPr="004C2A59">
        <w:rPr>
          <w:color w:val="000000"/>
          <w:sz w:val="22"/>
          <w:szCs w:val="22"/>
          <w:lang w:val="da-DK"/>
        </w:rPr>
        <w:tab/>
        <w:t>Sådan skal du tage Glivec</w:t>
      </w:r>
    </w:p>
    <w:p w14:paraId="70FA613B" w14:textId="77777777" w:rsidR="00152279" w:rsidRPr="004C2A59" w:rsidRDefault="00152279" w:rsidP="00421681">
      <w:pPr>
        <w:widowControl w:val="0"/>
        <w:ind w:left="567" w:right="-29" w:hanging="567"/>
        <w:rPr>
          <w:color w:val="000000"/>
          <w:sz w:val="22"/>
          <w:szCs w:val="22"/>
          <w:lang w:val="da-DK"/>
        </w:rPr>
      </w:pPr>
      <w:r w:rsidRPr="004C2A59">
        <w:rPr>
          <w:color w:val="000000"/>
          <w:sz w:val="22"/>
          <w:szCs w:val="22"/>
          <w:lang w:val="da-DK"/>
        </w:rPr>
        <w:t>4.</w:t>
      </w:r>
      <w:r w:rsidRPr="004C2A59">
        <w:rPr>
          <w:color w:val="000000"/>
          <w:sz w:val="22"/>
          <w:szCs w:val="22"/>
          <w:lang w:val="da-DK"/>
        </w:rPr>
        <w:tab/>
        <w:t>Bivirkninger</w:t>
      </w:r>
    </w:p>
    <w:p w14:paraId="50710DBE" w14:textId="77777777" w:rsidR="00152279" w:rsidRPr="004C2A59" w:rsidRDefault="00152279" w:rsidP="00421681">
      <w:pPr>
        <w:widowControl w:val="0"/>
        <w:ind w:left="567" w:right="-29" w:hanging="567"/>
        <w:rPr>
          <w:color w:val="000000"/>
          <w:sz w:val="22"/>
          <w:szCs w:val="22"/>
          <w:lang w:val="da-DK"/>
        </w:rPr>
      </w:pPr>
      <w:r w:rsidRPr="004C2A59">
        <w:rPr>
          <w:color w:val="000000"/>
          <w:sz w:val="22"/>
          <w:szCs w:val="22"/>
          <w:lang w:val="da-DK"/>
        </w:rPr>
        <w:t>5.</w:t>
      </w:r>
      <w:r w:rsidRPr="004C2A59">
        <w:rPr>
          <w:color w:val="000000"/>
          <w:sz w:val="22"/>
          <w:szCs w:val="22"/>
          <w:lang w:val="da-DK"/>
        </w:rPr>
        <w:tab/>
        <w:t>Opbevaring</w:t>
      </w:r>
    </w:p>
    <w:p w14:paraId="1C290EDD" w14:textId="77777777" w:rsidR="00152279" w:rsidRPr="004C2A59" w:rsidRDefault="00152279" w:rsidP="00421681">
      <w:pPr>
        <w:pStyle w:val="EndnoteText"/>
        <w:tabs>
          <w:tab w:val="clear" w:pos="567"/>
        </w:tabs>
        <w:rPr>
          <w:color w:val="000000"/>
        </w:rPr>
      </w:pPr>
      <w:r w:rsidRPr="004C2A59">
        <w:rPr>
          <w:color w:val="000000"/>
          <w:szCs w:val="22"/>
        </w:rPr>
        <w:t>6.</w:t>
      </w:r>
      <w:r w:rsidRPr="004C2A59">
        <w:rPr>
          <w:color w:val="000000"/>
          <w:szCs w:val="22"/>
        </w:rPr>
        <w:tab/>
        <w:t>Pakningsstørrelser og yderligere oplysninger</w:t>
      </w:r>
    </w:p>
    <w:p w14:paraId="6E2BE9C8" w14:textId="77777777" w:rsidR="00152279" w:rsidRPr="004C2A59" w:rsidRDefault="00152279" w:rsidP="00421681">
      <w:pPr>
        <w:widowControl w:val="0"/>
        <w:suppressAutoHyphens/>
        <w:rPr>
          <w:color w:val="000000"/>
          <w:sz w:val="22"/>
          <w:szCs w:val="22"/>
          <w:lang w:val="da-DK"/>
        </w:rPr>
      </w:pPr>
    </w:p>
    <w:p w14:paraId="25B49206" w14:textId="77777777" w:rsidR="00152279" w:rsidRPr="004C2A59" w:rsidRDefault="00152279" w:rsidP="00421681">
      <w:pPr>
        <w:widowControl w:val="0"/>
        <w:suppressAutoHyphens/>
        <w:rPr>
          <w:color w:val="000000"/>
          <w:sz w:val="22"/>
          <w:szCs w:val="22"/>
          <w:lang w:val="da-DK"/>
        </w:rPr>
      </w:pPr>
    </w:p>
    <w:p w14:paraId="1B52A71B" w14:textId="77777777" w:rsidR="00152279" w:rsidRPr="004C2A59" w:rsidRDefault="00152279" w:rsidP="00C93654">
      <w:pPr>
        <w:keepNext/>
        <w:widowControl w:val="0"/>
        <w:suppressAutoHyphens/>
        <w:ind w:left="567" w:hanging="567"/>
        <w:rPr>
          <w:b/>
          <w:color w:val="000000"/>
          <w:sz w:val="22"/>
          <w:szCs w:val="22"/>
          <w:lang w:val="da-DK"/>
        </w:rPr>
      </w:pPr>
      <w:r w:rsidRPr="004C2A59">
        <w:rPr>
          <w:b/>
          <w:color w:val="000000"/>
          <w:sz w:val="22"/>
          <w:szCs w:val="22"/>
          <w:lang w:val="da-DK"/>
        </w:rPr>
        <w:t>1.</w:t>
      </w:r>
      <w:r w:rsidRPr="004C2A59">
        <w:rPr>
          <w:b/>
          <w:color w:val="000000"/>
          <w:sz w:val="22"/>
          <w:szCs w:val="22"/>
          <w:lang w:val="da-DK"/>
        </w:rPr>
        <w:tab/>
        <w:t>Virkning og anvendelse</w:t>
      </w:r>
    </w:p>
    <w:p w14:paraId="4CE16FC1" w14:textId="77777777" w:rsidR="00152279" w:rsidRPr="004C2A59" w:rsidRDefault="00152279" w:rsidP="00C93654">
      <w:pPr>
        <w:keepNext/>
        <w:widowControl w:val="0"/>
        <w:suppressAutoHyphens/>
        <w:ind w:left="567" w:hanging="567"/>
        <w:rPr>
          <w:color w:val="000000"/>
          <w:sz w:val="22"/>
          <w:szCs w:val="22"/>
          <w:lang w:val="da-DK"/>
        </w:rPr>
      </w:pPr>
    </w:p>
    <w:p w14:paraId="7F891ABF" w14:textId="77777777" w:rsidR="00152279" w:rsidRPr="004C2A59" w:rsidRDefault="00152279" w:rsidP="00421681">
      <w:pPr>
        <w:widowControl w:val="0"/>
        <w:suppressAutoHyphens/>
        <w:rPr>
          <w:color w:val="000000"/>
          <w:sz w:val="22"/>
          <w:szCs w:val="22"/>
          <w:lang w:val="da-DK"/>
        </w:rPr>
      </w:pPr>
      <w:r w:rsidRPr="004C2A59">
        <w:rPr>
          <w:color w:val="000000"/>
          <w:sz w:val="22"/>
          <w:szCs w:val="22"/>
          <w:lang w:val="da-DK"/>
        </w:rPr>
        <w:t>Glivec er et lægemiddel, der indeholder et aktivt stof kaldet imatinib. Dette lægemiddel virker ved at hæmme væksten af unormale celler ved de sygdomme, der er nævnt nedenfor. Disse omfatter nogle former for kræft.</w:t>
      </w:r>
    </w:p>
    <w:p w14:paraId="49D41735" w14:textId="77777777" w:rsidR="00152279" w:rsidRPr="004C2A59" w:rsidRDefault="00152279" w:rsidP="00421681">
      <w:pPr>
        <w:widowControl w:val="0"/>
        <w:suppressAutoHyphens/>
        <w:rPr>
          <w:color w:val="000000"/>
          <w:sz w:val="22"/>
          <w:szCs w:val="22"/>
          <w:lang w:val="da-DK"/>
        </w:rPr>
      </w:pPr>
    </w:p>
    <w:p w14:paraId="688B35FA" w14:textId="77777777" w:rsidR="00152279" w:rsidRPr="004C2A59" w:rsidRDefault="00152279" w:rsidP="00C93654">
      <w:pPr>
        <w:keepNext/>
        <w:widowControl w:val="0"/>
        <w:suppressAutoHyphens/>
        <w:rPr>
          <w:b/>
          <w:color w:val="000000"/>
          <w:sz w:val="22"/>
          <w:szCs w:val="22"/>
          <w:lang w:val="da-DK"/>
        </w:rPr>
      </w:pPr>
      <w:r w:rsidRPr="004C2A59">
        <w:rPr>
          <w:b/>
          <w:color w:val="000000"/>
          <w:sz w:val="22"/>
          <w:szCs w:val="22"/>
          <w:lang w:val="da-DK"/>
        </w:rPr>
        <w:t>Glivec er en behandling til voksne og børn mod:</w:t>
      </w:r>
    </w:p>
    <w:p w14:paraId="3FA29CF9" w14:textId="77777777" w:rsidR="00152279" w:rsidRPr="004C2A59" w:rsidRDefault="00152279" w:rsidP="00C93654">
      <w:pPr>
        <w:keepNext/>
        <w:widowControl w:val="0"/>
        <w:suppressAutoHyphens/>
        <w:rPr>
          <w:color w:val="000000"/>
          <w:sz w:val="22"/>
          <w:szCs w:val="22"/>
          <w:lang w:val="da-DK"/>
        </w:rPr>
      </w:pPr>
    </w:p>
    <w:p w14:paraId="5C6CDE89" w14:textId="77777777" w:rsidR="003778CF" w:rsidRPr="004C2A59" w:rsidRDefault="00152279" w:rsidP="00421681">
      <w:pPr>
        <w:widowControl w:val="0"/>
        <w:suppressAutoHyphens/>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r>
      <w:r w:rsidRPr="004C2A59">
        <w:rPr>
          <w:b/>
          <w:color w:val="000000"/>
          <w:sz w:val="22"/>
          <w:szCs w:val="22"/>
          <w:lang w:val="da-DK"/>
        </w:rPr>
        <w:t>Kronisk myeloid leukæmi (CML).</w:t>
      </w:r>
      <w:r w:rsidRPr="004C2A59">
        <w:rPr>
          <w:color w:val="000000"/>
          <w:sz w:val="22"/>
          <w:szCs w:val="22"/>
          <w:lang w:val="da-DK"/>
        </w:rPr>
        <w:t xml:space="preserve"> Leukæmi er kræft i de hvide blodlegemer. Hvide blodlegemer hjælper som regel kroppen med at bekæmpe infektioner. Kronisk myeloid leukæmi er en type leukæmi, hvor nogle bestemte unormale hvide blodlegemer (der kaldes myeloide celler) vokser ukontrolleret.</w:t>
      </w:r>
    </w:p>
    <w:p w14:paraId="57A2250E" w14:textId="77777777" w:rsidR="003778CF" w:rsidRPr="004C2A59" w:rsidRDefault="003778CF" w:rsidP="00421681">
      <w:pPr>
        <w:widowControl w:val="0"/>
        <w:suppressAutoHyphens/>
        <w:ind w:left="567" w:hanging="567"/>
        <w:rPr>
          <w:color w:val="000000"/>
          <w:sz w:val="22"/>
          <w:szCs w:val="22"/>
          <w:lang w:val="da-DK"/>
        </w:rPr>
      </w:pPr>
      <w:r w:rsidRPr="004C2A59">
        <w:rPr>
          <w:b/>
          <w:color w:val="000000"/>
          <w:sz w:val="22"/>
          <w:szCs w:val="22"/>
          <w:lang w:val="da-DK"/>
        </w:rPr>
        <w:t>-</w:t>
      </w:r>
      <w:r w:rsidRPr="004C2A59">
        <w:rPr>
          <w:b/>
          <w:color w:val="000000"/>
          <w:sz w:val="22"/>
          <w:szCs w:val="22"/>
          <w:lang w:val="da-DK"/>
        </w:rPr>
        <w:tab/>
        <w:t xml:space="preserve">Philadelphia-kromosom-positiv akut lymfoblastær leukæmi (Ph-positiv </w:t>
      </w:r>
      <w:smartTag w:uri="urn:schemas-microsoft-com:office:smarttags" w:element="metricconverter">
        <w:r w:rsidRPr="004C2A59">
          <w:rPr>
            <w:b/>
            <w:color w:val="000000"/>
            <w:sz w:val="22"/>
            <w:szCs w:val="22"/>
            <w:lang w:val="da-DK"/>
          </w:rPr>
          <w:t>ALL</w:t>
        </w:r>
      </w:smartTag>
      <w:r w:rsidRPr="004C2A59">
        <w:rPr>
          <w:b/>
          <w:color w:val="000000"/>
          <w:sz w:val="22"/>
          <w:szCs w:val="22"/>
          <w:lang w:val="da-DK"/>
        </w:rPr>
        <w:t>).</w:t>
      </w:r>
      <w:r w:rsidRPr="004C2A59">
        <w:rPr>
          <w:color w:val="000000"/>
          <w:sz w:val="22"/>
          <w:szCs w:val="22"/>
          <w:lang w:val="da-DK"/>
        </w:rPr>
        <w:t xml:space="preserve"> Leukæmi er kræft i de hvide blodlegemer. Hvide blodlegemer hjælper som regel kroppen med at bekæmpe infektioner. Akut lymfoblastær leukæmi er en form af leukæmi, hvor visse abnorme hvide blodlegemer (kaldet lymfoblaster) vokser ukontrolleret. Glivec hæmmer væksten af disse celler.</w:t>
      </w:r>
    </w:p>
    <w:p w14:paraId="02746A86" w14:textId="77777777" w:rsidR="00152279" w:rsidRPr="004C2A59" w:rsidRDefault="00152279" w:rsidP="00421681">
      <w:pPr>
        <w:widowControl w:val="0"/>
        <w:suppressAutoHyphens/>
        <w:rPr>
          <w:color w:val="000000"/>
          <w:sz w:val="22"/>
          <w:szCs w:val="22"/>
          <w:lang w:val="da-DK"/>
        </w:rPr>
      </w:pPr>
    </w:p>
    <w:p w14:paraId="47274164" w14:textId="77777777" w:rsidR="00152279" w:rsidRPr="004C2A59" w:rsidRDefault="00152279" w:rsidP="00C93654">
      <w:pPr>
        <w:keepNext/>
        <w:widowControl w:val="0"/>
        <w:suppressAutoHyphens/>
        <w:rPr>
          <w:b/>
          <w:color w:val="000000"/>
          <w:sz w:val="22"/>
          <w:szCs w:val="22"/>
          <w:lang w:val="da-DK"/>
        </w:rPr>
      </w:pPr>
      <w:r w:rsidRPr="004C2A59">
        <w:rPr>
          <w:b/>
          <w:color w:val="000000"/>
          <w:sz w:val="22"/>
          <w:szCs w:val="22"/>
          <w:lang w:val="da-DK"/>
        </w:rPr>
        <w:t>Glivec anvendes også til behandling af voksne med:</w:t>
      </w:r>
    </w:p>
    <w:p w14:paraId="48046156" w14:textId="77777777" w:rsidR="00152279" w:rsidRPr="004C2A59" w:rsidRDefault="00152279" w:rsidP="00C93654">
      <w:pPr>
        <w:keepNext/>
        <w:widowControl w:val="0"/>
        <w:suppressAutoHyphens/>
        <w:rPr>
          <w:color w:val="000000"/>
          <w:sz w:val="22"/>
          <w:szCs w:val="22"/>
          <w:lang w:val="da-DK"/>
        </w:rPr>
      </w:pPr>
    </w:p>
    <w:p w14:paraId="6B170013" w14:textId="77777777" w:rsidR="00152279" w:rsidRPr="004C2A59" w:rsidRDefault="00152279" w:rsidP="00421681">
      <w:pPr>
        <w:widowControl w:val="0"/>
        <w:suppressAutoHyphens/>
        <w:ind w:left="567" w:hanging="567"/>
        <w:rPr>
          <w:color w:val="000000"/>
          <w:sz w:val="22"/>
          <w:szCs w:val="22"/>
          <w:lang w:val="da-DK"/>
        </w:rPr>
      </w:pPr>
      <w:r w:rsidRPr="00F852D1">
        <w:rPr>
          <w:color w:val="000000"/>
          <w:sz w:val="22"/>
          <w:szCs w:val="22"/>
          <w:lang w:val="nb-NO"/>
        </w:rPr>
        <w:t>-</w:t>
      </w:r>
      <w:r w:rsidRPr="00F852D1">
        <w:rPr>
          <w:color w:val="000000"/>
          <w:sz w:val="22"/>
          <w:szCs w:val="22"/>
          <w:lang w:val="nb-NO"/>
        </w:rPr>
        <w:tab/>
      </w:r>
      <w:r w:rsidRPr="00F852D1">
        <w:rPr>
          <w:b/>
          <w:color w:val="000000"/>
          <w:sz w:val="22"/>
          <w:szCs w:val="22"/>
          <w:lang w:val="nb-NO"/>
        </w:rPr>
        <w:t>Myelodysplastiske/myeloproliferative sygdomme (</w:t>
      </w:r>
      <w:smartTag w:uri="urn:schemas-microsoft-com:office:smarttags" w:element="metricconverter">
        <w:r w:rsidRPr="00F852D1">
          <w:rPr>
            <w:b/>
            <w:color w:val="000000"/>
            <w:sz w:val="22"/>
            <w:szCs w:val="22"/>
            <w:lang w:val="nb-NO"/>
          </w:rPr>
          <w:t>MDS</w:t>
        </w:r>
      </w:smartTag>
      <w:r w:rsidRPr="00F852D1">
        <w:rPr>
          <w:b/>
          <w:color w:val="000000"/>
          <w:sz w:val="22"/>
          <w:szCs w:val="22"/>
          <w:lang w:val="nb-NO"/>
        </w:rPr>
        <w:t>/</w:t>
      </w:r>
      <w:smartTag w:uri="urn:schemas-microsoft-com:office:smarttags" w:element="metricconverter">
        <w:r w:rsidRPr="00F852D1">
          <w:rPr>
            <w:b/>
            <w:color w:val="000000"/>
            <w:sz w:val="22"/>
            <w:szCs w:val="22"/>
            <w:lang w:val="nb-NO"/>
          </w:rPr>
          <w:t>MDP</w:t>
        </w:r>
      </w:smartTag>
      <w:r w:rsidRPr="00F852D1">
        <w:rPr>
          <w:b/>
          <w:color w:val="000000"/>
          <w:sz w:val="22"/>
          <w:szCs w:val="22"/>
          <w:lang w:val="nb-NO"/>
        </w:rPr>
        <w:t>).</w:t>
      </w:r>
      <w:r w:rsidRPr="00F852D1">
        <w:rPr>
          <w:color w:val="000000"/>
          <w:sz w:val="22"/>
          <w:szCs w:val="22"/>
          <w:lang w:val="nb-NO"/>
        </w:rPr>
        <w:t xml:space="preserve"> </w:t>
      </w:r>
      <w:r w:rsidRPr="004C2A59">
        <w:rPr>
          <w:color w:val="000000"/>
          <w:sz w:val="22"/>
          <w:szCs w:val="22"/>
          <w:lang w:val="da-DK"/>
        </w:rPr>
        <w:t>Disse er en gruppe af sygdomme i blodet, hvor nogle blodlegemer begynder at vokse ukontrolleret. Glivec hæmmer væksten af disse blodlegemer i en vis undergruppe af disse sygdomme.</w:t>
      </w:r>
    </w:p>
    <w:p w14:paraId="6C6ABEF4" w14:textId="77777777" w:rsidR="00152279" w:rsidRPr="004C2A59" w:rsidRDefault="00152279" w:rsidP="00421681">
      <w:pPr>
        <w:widowControl w:val="0"/>
        <w:suppressAutoHyphens/>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r>
      <w:r w:rsidRPr="004C2A59">
        <w:rPr>
          <w:b/>
          <w:color w:val="000000"/>
          <w:sz w:val="22"/>
          <w:szCs w:val="22"/>
          <w:lang w:val="da-DK"/>
        </w:rPr>
        <w:t>Hypereosinofil syndrom (HES) og/eller kronisk eosinofil leukæmi (</w:t>
      </w:r>
      <w:smartTag w:uri="urn:schemas-microsoft-com:office:smarttags" w:element="metricconverter">
        <w:r w:rsidRPr="004C2A59">
          <w:rPr>
            <w:b/>
            <w:color w:val="000000"/>
            <w:sz w:val="22"/>
            <w:szCs w:val="22"/>
            <w:lang w:val="da-DK"/>
          </w:rPr>
          <w:t>CEL</w:t>
        </w:r>
      </w:smartTag>
      <w:r w:rsidRPr="004C2A59">
        <w:rPr>
          <w:b/>
          <w:color w:val="000000"/>
          <w:sz w:val="22"/>
          <w:szCs w:val="22"/>
          <w:lang w:val="da-DK"/>
        </w:rPr>
        <w:t>).</w:t>
      </w:r>
      <w:r w:rsidRPr="004C2A59">
        <w:rPr>
          <w:color w:val="000000"/>
          <w:sz w:val="22"/>
          <w:szCs w:val="22"/>
          <w:lang w:val="da-DK"/>
        </w:rPr>
        <w:t xml:space="preserve"> Disse er sygdomme i blodet, i hvilke visse blodlegemer (kaldet eosinofile celler) begynder at vokse ukontrolleret. Glivec hæmmer væksten af disse celler i en vis undergruppe af disse sygdomme.</w:t>
      </w:r>
    </w:p>
    <w:p w14:paraId="562C7FC4" w14:textId="77777777" w:rsidR="00152279" w:rsidRPr="004C2A59" w:rsidRDefault="00152279" w:rsidP="00421681">
      <w:pPr>
        <w:widowControl w:val="0"/>
        <w:suppressAutoHyphens/>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r>
      <w:r w:rsidRPr="004C2A59">
        <w:rPr>
          <w:b/>
          <w:color w:val="000000"/>
          <w:sz w:val="22"/>
          <w:szCs w:val="22"/>
          <w:lang w:val="da-DK"/>
        </w:rPr>
        <w:t>Ondartede bindevævstumorer i mavetarmsystemet (gastrointestinale stromal tumorer (GIST)).</w:t>
      </w:r>
      <w:r w:rsidRPr="004C2A59">
        <w:rPr>
          <w:color w:val="000000"/>
          <w:sz w:val="22"/>
          <w:szCs w:val="22"/>
          <w:lang w:val="da-DK"/>
        </w:rPr>
        <w:t xml:space="preserve"> GIST er en kræftform i mavesækken og tarmen. Den opstår ved en ukontrolleret cellevækst af disse organers bindevæv.</w:t>
      </w:r>
    </w:p>
    <w:p w14:paraId="042E560D" w14:textId="77777777" w:rsidR="00152279" w:rsidRPr="004C2A59" w:rsidRDefault="00152279" w:rsidP="00C93654">
      <w:pPr>
        <w:keepNext/>
        <w:keepLines/>
        <w:widowControl w:val="0"/>
        <w:suppressAutoHyphens/>
        <w:ind w:left="567" w:hanging="567"/>
        <w:rPr>
          <w:color w:val="000000"/>
          <w:sz w:val="22"/>
          <w:szCs w:val="22"/>
          <w:lang w:val="da-DK"/>
        </w:rPr>
      </w:pPr>
      <w:r w:rsidRPr="004C2A59">
        <w:rPr>
          <w:color w:val="000000"/>
          <w:sz w:val="22"/>
          <w:szCs w:val="22"/>
          <w:lang w:val="da-DK"/>
        </w:rPr>
        <w:lastRenderedPageBreak/>
        <w:t>-</w:t>
      </w:r>
      <w:r w:rsidRPr="004C2A59">
        <w:rPr>
          <w:color w:val="000000"/>
          <w:sz w:val="22"/>
          <w:szCs w:val="22"/>
          <w:lang w:val="da-DK"/>
        </w:rPr>
        <w:tab/>
      </w:r>
      <w:r w:rsidRPr="004C2A59">
        <w:rPr>
          <w:b/>
          <w:color w:val="000000"/>
          <w:sz w:val="22"/>
          <w:szCs w:val="22"/>
          <w:lang w:val="da-DK"/>
        </w:rPr>
        <w:t xml:space="preserve">Dermatofibrosarkom protuberans (DFSP). </w:t>
      </w:r>
      <w:r w:rsidRPr="004C2A59">
        <w:rPr>
          <w:color w:val="000000"/>
          <w:sz w:val="22"/>
          <w:szCs w:val="22"/>
          <w:lang w:val="da-DK"/>
        </w:rPr>
        <w:t>DFSP er en kræftform i vævet under huden, hvor visse celler vokser ukontrolleret. Glivec hæmmer væksten af disse celler.</w:t>
      </w:r>
    </w:p>
    <w:p w14:paraId="00A7EE05" w14:textId="77777777" w:rsidR="00152279" w:rsidRPr="004C2A59" w:rsidRDefault="00152279" w:rsidP="00421681">
      <w:pPr>
        <w:widowControl w:val="0"/>
        <w:suppressAutoHyphens/>
        <w:rPr>
          <w:color w:val="000000"/>
          <w:sz w:val="22"/>
          <w:szCs w:val="22"/>
          <w:lang w:val="da-DK"/>
        </w:rPr>
      </w:pPr>
      <w:r w:rsidRPr="004C2A59">
        <w:rPr>
          <w:color w:val="000000"/>
          <w:sz w:val="22"/>
          <w:szCs w:val="22"/>
          <w:lang w:val="da-DK"/>
        </w:rPr>
        <w:t>I resten af denne indlægsseddel vil vi bruge forkortelserne, når vi omtaler disse sygdomme.</w:t>
      </w:r>
    </w:p>
    <w:p w14:paraId="4562D942" w14:textId="77777777" w:rsidR="00152279" w:rsidRPr="004C2A59" w:rsidRDefault="00152279" w:rsidP="00421681">
      <w:pPr>
        <w:widowControl w:val="0"/>
        <w:suppressAutoHyphens/>
        <w:rPr>
          <w:color w:val="000000"/>
          <w:sz w:val="22"/>
          <w:szCs w:val="22"/>
          <w:lang w:val="da-DK"/>
        </w:rPr>
      </w:pPr>
    </w:p>
    <w:p w14:paraId="7C358F97" w14:textId="77777777" w:rsidR="00152279" w:rsidRPr="004C2A59" w:rsidRDefault="00152279" w:rsidP="00421681">
      <w:pPr>
        <w:widowControl w:val="0"/>
        <w:suppressAutoHyphens/>
        <w:rPr>
          <w:color w:val="000000"/>
          <w:sz w:val="22"/>
          <w:szCs w:val="22"/>
          <w:lang w:val="da-DK"/>
        </w:rPr>
      </w:pPr>
      <w:r w:rsidRPr="004C2A59">
        <w:rPr>
          <w:color w:val="000000"/>
          <w:sz w:val="22"/>
          <w:szCs w:val="22"/>
          <w:lang w:val="da-DK"/>
        </w:rPr>
        <w:t>Hvis du har spørgsmål om, hvordan Glivec virker, eller hvorfor du har fået ordineret dette lægemiddel, kontakt din læge.</w:t>
      </w:r>
    </w:p>
    <w:p w14:paraId="2DD29EA0" w14:textId="77777777" w:rsidR="00152279" w:rsidRPr="004C2A59" w:rsidRDefault="00152279" w:rsidP="00421681">
      <w:pPr>
        <w:widowControl w:val="0"/>
        <w:suppressAutoHyphens/>
        <w:rPr>
          <w:color w:val="000000"/>
          <w:sz w:val="22"/>
          <w:szCs w:val="22"/>
          <w:lang w:val="da-DK"/>
        </w:rPr>
      </w:pPr>
    </w:p>
    <w:p w14:paraId="041C22E4" w14:textId="77777777" w:rsidR="00152279" w:rsidRPr="004C2A59" w:rsidRDefault="00152279" w:rsidP="00421681">
      <w:pPr>
        <w:widowControl w:val="0"/>
        <w:suppressAutoHyphens/>
        <w:rPr>
          <w:color w:val="000000"/>
          <w:sz w:val="22"/>
          <w:szCs w:val="22"/>
          <w:lang w:val="da-DK"/>
        </w:rPr>
      </w:pPr>
    </w:p>
    <w:p w14:paraId="4673323C" w14:textId="77777777" w:rsidR="00152279" w:rsidRPr="004C2A59" w:rsidRDefault="00152279" w:rsidP="00C93654">
      <w:pPr>
        <w:keepNext/>
        <w:widowControl w:val="0"/>
        <w:suppressAutoHyphens/>
        <w:ind w:left="567" w:hanging="567"/>
        <w:rPr>
          <w:b/>
          <w:color w:val="000000"/>
          <w:sz w:val="22"/>
          <w:szCs w:val="22"/>
          <w:lang w:val="da-DK"/>
        </w:rPr>
      </w:pPr>
      <w:r w:rsidRPr="004C2A59">
        <w:rPr>
          <w:b/>
          <w:color w:val="000000"/>
          <w:sz w:val="22"/>
          <w:szCs w:val="22"/>
          <w:lang w:val="da-DK"/>
        </w:rPr>
        <w:t>2.</w:t>
      </w:r>
      <w:r w:rsidRPr="004C2A59">
        <w:rPr>
          <w:b/>
          <w:color w:val="000000"/>
          <w:sz w:val="22"/>
          <w:szCs w:val="22"/>
          <w:lang w:val="da-DK"/>
        </w:rPr>
        <w:tab/>
        <w:t>Det skal du vide, før du begynder at tage Glivec</w:t>
      </w:r>
    </w:p>
    <w:p w14:paraId="4C5B047C" w14:textId="77777777" w:rsidR="00152279" w:rsidRPr="004C2A59" w:rsidRDefault="00152279" w:rsidP="00C93654">
      <w:pPr>
        <w:keepNext/>
        <w:widowControl w:val="0"/>
        <w:suppressAutoHyphens/>
        <w:ind w:left="567" w:hanging="567"/>
        <w:rPr>
          <w:color w:val="000000"/>
          <w:sz w:val="22"/>
          <w:szCs w:val="22"/>
          <w:lang w:val="da-DK"/>
        </w:rPr>
      </w:pPr>
    </w:p>
    <w:p w14:paraId="5AC7D6F9" w14:textId="77777777" w:rsidR="00152279" w:rsidRPr="004C2A59" w:rsidRDefault="00152279" w:rsidP="00421681">
      <w:pPr>
        <w:widowControl w:val="0"/>
        <w:suppressAutoHyphens/>
        <w:rPr>
          <w:color w:val="000000"/>
          <w:sz w:val="22"/>
          <w:szCs w:val="22"/>
          <w:lang w:val="da-DK"/>
        </w:rPr>
      </w:pPr>
      <w:r w:rsidRPr="004C2A59">
        <w:rPr>
          <w:color w:val="000000"/>
          <w:sz w:val="22"/>
          <w:szCs w:val="22"/>
          <w:lang w:val="da-DK"/>
        </w:rPr>
        <w:t>Glivec vil kun blive ordineret til dig af en læge med erfaring i behandlingen af kræft i blodet eller kræftknuder.</w:t>
      </w:r>
    </w:p>
    <w:p w14:paraId="3F8EE4B3" w14:textId="77777777" w:rsidR="00152279" w:rsidRPr="004C2A59" w:rsidRDefault="00152279" w:rsidP="00421681">
      <w:pPr>
        <w:widowControl w:val="0"/>
        <w:suppressAutoHyphens/>
        <w:ind w:left="567" w:hanging="567"/>
        <w:rPr>
          <w:color w:val="000000"/>
          <w:sz w:val="22"/>
          <w:szCs w:val="22"/>
          <w:lang w:val="da-DK"/>
        </w:rPr>
      </w:pPr>
    </w:p>
    <w:p w14:paraId="67E8837D" w14:textId="77777777" w:rsidR="00152279" w:rsidRPr="004C2A59" w:rsidRDefault="00152279" w:rsidP="00421681">
      <w:pPr>
        <w:widowControl w:val="0"/>
        <w:suppressAutoHyphens/>
        <w:rPr>
          <w:color w:val="000000"/>
          <w:sz w:val="22"/>
          <w:szCs w:val="22"/>
          <w:lang w:val="da-DK"/>
        </w:rPr>
      </w:pPr>
      <w:r w:rsidRPr="004C2A59">
        <w:rPr>
          <w:color w:val="000000"/>
          <w:sz w:val="22"/>
          <w:szCs w:val="22"/>
          <w:lang w:val="da-DK"/>
        </w:rPr>
        <w:t>Følg omhyggeligt din læges anvisninger, selvom de er forskellige fra den generelle information i denne indlægsseddel.</w:t>
      </w:r>
    </w:p>
    <w:p w14:paraId="5E0931CB" w14:textId="77777777" w:rsidR="00152279" w:rsidRPr="004C2A59" w:rsidRDefault="00152279" w:rsidP="00421681">
      <w:pPr>
        <w:widowControl w:val="0"/>
        <w:suppressAutoHyphens/>
        <w:ind w:left="567" w:hanging="567"/>
        <w:rPr>
          <w:color w:val="000000"/>
          <w:sz w:val="22"/>
          <w:szCs w:val="22"/>
          <w:lang w:val="da-DK"/>
        </w:rPr>
      </w:pPr>
    </w:p>
    <w:p w14:paraId="21C81B5B" w14:textId="77777777" w:rsidR="00152279" w:rsidRPr="004C2A59" w:rsidRDefault="00152279" w:rsidP="00C93654">
      <w:pPr>
        <w:pStyle w:val="Heading2"/>
        <w:widowControl w:val="0"/>
        <w:numPr>
          <w:ilvl w:val="0"/>
          <w:numId w:val="0"/>
        </w:numPr>
        <w:tabs>
          <w:tab w:val="clear" w:pos="-720"/>
          <w:tab w:val="clear" w:pos="567"/>
        </w:tabs>
        <w:rPr>
          <w:noProof w:val="0"/>
          <w:color w:val="000000"/>
          <w:szCs w:val="22"/>
          <w:lang w:val="da-DK"/>
        </w:rPr>
      </w:pPr>
      <w:r w:rsidRPr="004C2A59">
        <w:rPr>
          <w:noProof w:val="0"/>
          <w:color w:val="000000"/>
          <w:szCs w:val="22"/>
          <w:lang w:val="da-DK"/>
        </w:rPr>
        <w:t>Tag ikke Glivec:</w:t>
      </w:r>
    </w:p>
    <w:p w14:paraId="14CE2709" w14:textId="77777777" w:rsidR="00152279" w:rsidRPr="004C2A59" w:rsidRDefault="00152279" w:rsidP="00C93654">
      <w:pPr>
        <w:keepNext/>
        <w:widowControl w:val="0"/>
        <w:numPr>
          <w:ilvl w:val="0"/>
          <w:numId w:val="1"/>
        </w:numPr>
        <w:tabs>
          <w:tab w:val="clear" w:pos="927"/>
        </w:tabs>
        <w:ind w:left="567" w:hanging="567"/>
        <w:rPr>
          <w:color w:val="000000"/>
          <w:sz w:val="22"/>
          <w:szCs w:val="22"/>
          <w:lang w:val="da-DK"/>
        </w:rPr>
      </w:pPr>
      <w:r w:rsidRPr="004C2A59">
        <w:rPr>
          <w:color w:val="000000"/>
          <w:sz w:val="22"/>
          <w:szCs w:val="22"/>
          <w:lang w:val="da-DK"/>
        </w:rPr>
        <w:t xml:space="preserve">hvis du er allergisk over for imatinib eller et af de øvrige indholdsstoffer i Glivec (angivet i </w:t>
      </w:r>
      <w:r w:rsidR="00226918" w:rsidRPr="004C2A59">
        <w:rPr>
          <w:color w:val="000000"/>
          <w:sz w:val="22"/>
          <w:szCs w:val="22"/>
          <w:lang w:val="da-DK"/>
        </w:rPr>
        <w:t>afsnit </w:t>
      </w:r>
      <w:r w:rsidRPr="004C2A59">
        <w:rPr>
          <w:color w:val="000000"/>
          <w:sz w:val="22"/>
          <w:szCs w:val="22"/>
          <w:lang w:val="da-DK"/>
        </w:rPr>
        <w:t>6).</w:t>
      </w:r>
    </w:p>
    <w:p w14:paraId="43BC47DB" w14:textId="77777777" w:rsidR="00152279" w:rsidRPr="004C2A59" w:rsidRDefault="00152279" w:rsidP="00421681">
      <w:pPr>
        <w:pStyle w:val="BodyText22"/>
        <w:widowControl w:val="0"/>
        <w:tabs>
          <w:tab w:val="clear" w:pos="-720"/>
        </w:tabs>
        <w:rPr>
          <w:i w:val="0"/>
          <w:color w:val="000000"/>
          <w:szCs w:val="22"/>
        </w:rPr>
      </w:pPr>
      <w:r w:rsidRPr="004C2A59">
        <w:rPr>
          <w:i w:val="0"/>
          <w:color w:val="000000"/>
          <w:szCs w:val="22"/>
        </w:rPr>
        <w:t xml:space="preserve">Hvis dette gælder for dig, </w:t>
      </w:r>
      <w:r w:rsidRPr="004C2A59">
        <w:rPr>
          <w:b/>
          <w:i w:val="0"/>
          <w:color w:val="000000"/>
          <w:szCs w:val="22"/>
        </w:rPr>
        <w:t>skal du fortælle din læge det, før du tager Glivec</w:t>
      </w:r>
      <w:r w:rsidRPr="004C2A59">
        <w:rPr>
          <w:i w:val="0"/>
          <w:color w:val="000000"/>
          <w:szCs w:val="22"/>
        </w:rPr>
        <w:t>.</w:t>
      </w:r>
    </w:p>
    <w:p w14:paraId="291D7041" w14:textId="77777777" w:rsidR="00152279" w:rsidRPr="004C2A59" w:rsidRDefault="00152279" w:rsidP="00421681">
      <w:pPr>
        <w:widowControl w:val="0"/>
        <w:rPr>
          <w:color w:val="000000"/>
          <w:sz w:val="22"/>
          <w:szCs w:val="22"/>
          <w:lang w:val="da-DK"/>
        </w:rPr>
      </w:pPr>
    </w:p>
    <w:p w14:paraId="69684354" w14:textId="77777777" w:rsidR="00152279" w:rsidRPr="004C2A59" w:rsidRDefault="00152279" w:rsidP="00421681">
      <w:pPr>
        <w:widowControl w:val="0"/>
        <w:rPr>
          <w:color w:val="000000"/>
          <w:sz w:val="22"/>
          <w:szCs w:val="22"/>
          <w:lang w:val="da-DK"/>
        </w:rPr>
      </w:pPr>
      <w:r w:rsidRPr="004C2A59">
        <w:rPr>
          <w:color w:val="000000"/>
          <w:sz w:val="22"/>
          <w:szCs w:val="22"/>
          <w:lang w:val="da-DK"/>
        </w:rPr>
        <w:t>Hvis du tror, du er allergisk, men ikke er sikker, skal du kontakte din læge for at få rådgivning.</w:t>
      </w:r>
    </w:p>
    <w:p w14:paraId="5FEBE5EC" w14:textId="77777777" w:rsidR="00152279" w:rsidRPr="004C2A59" w:rsidRDefault="00152279" w:rsidP="00421681">
      <w:pPr>
        <w:widowControl w:val="0"/>
        <w:rPr>
          <w:color w:val="000000"/>
          <w:sz w:val="22"/>
          <w:szCs w:val="22"/>
          <w:lang w:val="da-DK"/>
        </w:rPr>
      </w:pPr>
    </w:p>
    <w:p w14:paraId="77E08AF6" w14:textId="77777777" w:rsidR="00152279" w:rsidRPr="004C2A59" w:rsidRDefault="00152279" w:rsidP="00C93654">
      <w:pPr>
        <w:keepNext/>
        <w:widowControl w:val="0"/>
        <w:suppressAutoHyphens/>
        <w:ind w:left="426" w:hanging="426"/>
        <w:rPr>
          <w:b/>
          <w:color w:val="000000"/>
          <w:sz w:val="22"/>
          <w:szCs w:val="22"/>
          <w:lang w:val="da-DK"/>
        </w:rPr>
      </w:pPr>
      <w:r w:rsidRPr="004C2A59">
        <w:rPr>
          <w:b/>
          <w:color w:val="000000"/>
          <w:sz w:val="22"/>
          <w:szCs w:val="22"/>
          <w:lang w:val="da-DK"/>
        </w:rPr>
        <w:t>Advarsler og forsigtighedsregler</w:t>
      </w:r>
    </w:p>
    <w:p w14:paraId="7C4005B6" w14:textId="77777777" w:rsidR="00152279" w:rsidRPr="004C2A59" w:rsidRDefault="00152279" w:rsidP="00C93654">
      <w:pPr>
        <w:keepNext/>
        <w:widowControl w:val="0"/>
        <w:suppressAutoHyphens/>
        <w:ind w:left="426" w:hanging="426"/>
        <w:rPr>
          <w:color w:val="000000"/>
          <w:sz w:val="22"/>
          <w:szCs w:val="22"/>
          <w:lang w:val="da-DK"/>
        </w:rPr>
      </w:pPr>
      <w:r w:rsidRPr="004C2A59">
        <w:rPr>
          <w:color w:val="000000"/>
          <w:sz w:val="22"/>
          <w:szCs w:val="22"/>
          <w:lang w:val="da-DK"/>
        </w:rPr>
        <w:t>Kontakt lægen, før du tager Glivec:</w:t>
      </w:r>
    </w:p>
    <w:p w14:paraId="3F280B2E" w14:textId="77777777" w:rsidR="00152279" w:rsidRPr="004C2A59" w:rsidRDefault="00152279" w:rsidP="00421681">
      <w:pPr>
        <w:widowControl w:val="0"/>
        <w:numPr>
          <w:ilvl w:val="0"/>
          <w:numId w:val="1"/>
        </w:numPr>
        <w:tabs>
          <w:tab w:val="clear" w:pos="927"/>
        </w:tabs>
        <w:ind w:left="567" w:hanging="567"/>
        <w:rPr>
          <w:color w:val="000000"/>
          <w:sz w:val="22"/>
          <w:szCs w:val="22"/>
          <w:lang w:val="da-DK"/>
        </w:rPr>
      </w:pPr>
      <w:r w:rsidRPr="004C2A59">
        <w:rPr>
          <w:color w:val="000000"/>
          <w:sz w:val="22"/>
          <w:szCs w:val="22"/>
          <w:lang w:val="da-DK"/>
        </w:rPr>
        <w:t>hvis du har eller har haft lever-, nyre- eller hjerteproblemer.</w:t>
      </w:r>
    </w:p>
    <w:p w14:paraId="7E41CB7C" w14:textId="77777777" w:rsidR="002B0FCD" w:rsidRPr="007F2E31" w:rsidRDefault="00152279" w:rsidP="00421681">
      <w:pPr>
        <w:numPr>
          <w:ilvl w:val="0"/>
          <w:numId w:val="1"/>
        </w:numPr>
        <w:tabs>
          <w:tab w:val="clear" w:pos="927"/>
          <w:tab w:val="num" w:pos="567"/>
        </w:tabs>
        <w:ind w:hanging="927"/>
        <w:rPr>
          <w:color w:val="000000"/>
          <w:sz w:val="22"/>
          <w:szCs w:val="22"/>
          <w:lang w:val="da-DK"/>
        </w:rPr>
      </w:pPr>
      <w:r w:rsidRPr="004C2A59">
        <w:rPr>
          <w:color w:val="000000"/>
          <w:sz w:val="22"/>
          <w:szCs w:val="22"/>
          <w:lang w:val="da-DK"/>
        </w:rPr>
        <w:t>hvis du tager medicin indeholdende levothyroxin, fordi din skjoldbruskkirtel er blevet fjernet.</w:t>
      </w:r>
    </w:p>
    <w:p w14:paraId="3D2843D7" w14:textId="77777777" w:rsidR="00152279" w:rsidRDefault="002B0FCD" w:rsidP="00421681">
      <w:pPr>
        <w:widowControl w:val="0"/>
        <w:numPr>
          <w:ilvl w:val="0"/>
          <w:numId w:val="1"/>
        </w:numPr>
        <w:tabs>
          <w:tab w:val="clear" w:pos="927"/>
        </w:tabs>
        <w:ind w:left="567" w:hanging="567"/>
        <w:rPr>
          <w:color w:val="000000"/>
          <w:sz w:val="22"/>
          <w:szCs w:val="22"/>
          <w:lang w:val="da-DK"/>
        </w:rPr>
      </w:pPr>
      <w:r w:rsidRPr="002B0FCD">
        <w:rPr>
          <w:color w:val="000000"/>
          <w:sz w:val="22"/>
          <w:szCs w:val="22"/>
          <w:lang w:val="da-DK"/>
        </w:rPr>
        <w:t>hvis du nogensinde har været eller måske er smittet med hepatitis B-virus. Dette s</w:t>
      </w:r>
      <w:r w:rsidR="0091179A">
        <w:rPr>
          <w:color w:val="000000"/>
          <w:sz w:val="22"/>
          <w:szCs w:val="22"/>
          <w:lang w:val="da-DK"/>
        </w:rPr>
        <w:t>kyldes, at Glivec</w:t>
      </w:r>
      <w:r w:rsidRPr="002B0FCD">
        <w:rPr>
          <w:color w:val="000000"/>
          <w:sz w:val="22"/>
          <w:szCs w:val="22"/>
          <w:lang w:val="da-DK"/>
        </w:rPr>
        <w:t xml:space="preserve"> kan forårsage, at hepati</w:t>
      </w:r>
      <w:r w:rsidRPr="0091179A">
        <w:rPr>
          <w:color w:val="000000"/>
          <w:sz w:val="22"/>
          <w:szCs w:val="22"/>
          <w:lang w:val="da-DK"/>
        </w:rPr>
        <w:t>tis B-infektionen bliver aktiv igen, hvilket undertiden kan være dødeligt. Lægen vil omhyggeligt kontrollere dig for tegn på denne infektion, før behandlingen påbegyndes.</w:t>
      </w:r>
    </w:p>
    <w:p w14:paraId="4CBF693E" w14:textId="77777777" w:rsidR="00B70CF9" w:rsidRPr="00B70CF9" w:rsidRDefault="00B70CF9" w:rsidP="00C93654">
      <w:pPr>
        <w:keepNext/>
        <w:widowControl w:val="0"/>
        <w:numPr>
          <w:ilvl w:val="0"/>
          <w:numId w:val="1"/>
        </w:numPr>
        <w:tabs>
          <w:tab w:val="clear" w:pos="927"/>
          <w:tab w:val="num" w:pos="567"/>
        </w:tabs>
        <w:ind w:left="567" w:hanging="567"/>
        <w:rPr>
          <w:color w:val="000000"/>
          <w:sz w:val="22"/>
          <w:szCs w:val="22"/>
          <w:lang w:val="da-DK"/>
        </w:rPr>
      </w:pPr>
      <w:r>
        <w:rPr>
          <w:color w:val="000000"/>
          <w:sz w:val="22"/>
          <w:szCs w:val="22"/>
          <w:lang w:val="da-DK"/>
        </w:rPr>
        <w:t xml:space="preserve">hvis du får blå mærker, blødninger, feber, træthed og </w:t>
      </w:r>
      <w:r w:rsidR="00B65BAC">
        <w:rPr>
          <w:color w:val="000000"/>
          <w:sz w:val="22"/>
          <w:szCs w:val="22"/>
          <w:lang w:val="da-DK"/>
        </w:rPr>
        <w:t xml:space="preserve">oplever </w:t>
      </w:r>
      <w:r>
        <w:rPr>
          <w:color w:val="000000"/>
          <w:sz w:val="22"/>
          <w:szCs w:val="22"/>
          <w:lang w:val="da-DK"/>
        </w:rPr>
        <w:t>forvirring, mens du tager Glivec, skal du kontakte din læge. Dette kan være tegn på beskadigelse af dine blodkar, hvilket kaldes trombotisk mikroangiopati (TMA).</w:t>
      </w:r>
    </w:p>
    <w:p w14:paraId="66355D11" w14:textId="77777777" w:rsidR="00152279" w:rsidRPr="004C2A59" w:rsidRDefault="00152279" w:rsidP="00421681">
      <w:pPr>
        <w:pStyle w:val="BodyText22"/>
        <w:widowControl w:val="0"/>
        <w:tabs>
          <w:tab w:val="clear" w:pos="-720"/>
        </w:tabs>
        <w:rPr>
          <w:i w:val="0"/>
          <w:color w:val="000000"/>
          <w:szCs w:val="22"/>
        </w:rPr>
      </w:pPr>
      <w:r w:rsidRPr="004C2A59">
        <w:rPr>
          <w:i w:val="0"/>
          <w:color w:val="000000"/>
          <w:szCs w:val="22"/>
        </w:rPr>
        <w:t xml:space="preserve">Hvis noget af det ovenstående gælder for dig, </w:t>
      </w:r>
      <w:r w:rsidRPr="004C2A59">
        <w:rPr>
          <w:b/>
          <w:i w:val="0"/>
          <w:color w:val="000000"/>
          <w:szCs w:val="22"/>
        </w:rPr>
        <w:t>skal du fortælle din læge det, før du tager Glivec</w:t>
      </w:r>
      <w:r w:rsidRPr="004C2A59">
        <w:rPr>
          <w:i w:val="0"/>
          <w:color w:val="000000"/>
          <w:szCs w:val="22"/>
        </w:rPr>
        <w:t>.</w:t>
      </w:r>
    </w:p>
    <w:p w14:paraId="28404472" w14:textId="77777777" w:rsidR="00152279" w:rsidRDefault="00152279" w:rsidP="00421681">
      <w:pPr>
        <w:pStyle w:val="BodyText22"/>
        <w:widowControl w:val="0"/>
        <w:tabs>
          <w:tab w:val="clear" w:pos="-720"/>
        </w:tabs>
        <w:rPr>
          <w:i w:val="0"/>
          <w:color w:val="000000"/>
          <w:szCs w:val="22"/>
        </w:rPr>
      </w:pPr>
    </w:p>
    <w:p w14:paraId="448E9923" w14:textId="77777777" w:rsidR="0057786A" w:rsidRDefault="0057786A" w:rsidP="00421681">
      <w:pPr>
        <w:pStyle w:val="BodyText22"/>
        <w:widowControl w:val="0"/>
        <w:tabs>
          <w:tab w:val="clear" w:pos="-720"/>
        </w:tabs>
        <w:rPr>
          <w:i w:val="0"/>
          <w:color w:val="000000"/>
          <w:szCs w:val="22"/>
        </w:rPr>
      </w:pPr>
      <w:r>
        <w:rPr>
          <w:i w:val="0"/>
          <w:color w:val="000000"/>
          <w:szCs w:val="22"/>
        </w:rPr>
        <w:t xml:space="preserve">Du kan blive mere følsom overfor sollys, når du tager Glivec. Det er vigtigt at dække </w:t>
      </w:r>
      <w:r w:rsidR="006A1028">
        <w:rPr>
          <w:i w:val="0"/>
          <w:color w:val="000000"/>
          <w:szCs w:val="22"/>
        </w:rPr>
        <w:t xml:space="preserve">de </w:t>
      </w:r>
      <w:r>
        <w:rPr>
          <w:i w:val="0"/>
          <w:color w:val="000000"/>
          <w:szCs w:val="22"/>
        </w:rPr>
        <w:t>områder af huden, som udsættes for solen, og at bruge solcreme med høj solbeskyttelsesfaktor (SPF). Disse forholdsregler gælder også for børn.</w:t>
      </w:r>
    </w:p>
    <w:p w14:paraId="2D95B7BF" w14:textId="77777777" w:rsidR="0057786A" w:rsidRPr="004C2A59" w:rsidRDefault="0057786A" w:rsidP="00421681">
      <w:pPr>
        <w:pStyle w:val="BodyText22"/>
        <w:widowControl w:val="0"/>
        <w:tabs>
          <w:tab w:val="clear" w:pos="-720"/>
        </w:tabs>
        <w:rPr>
          <w:i w:val="0"/>
          <w:color w:val="000000"/>
          <w:szCs w:val="22"/>
        </w:rPr>
      </w:pPr>
    </w:p>
    <w:p w14:paraId="63B6E0AB" w14:textId="77777777" w:rsidR="00152279" w:rsidRPr="004C2A59" w:rsidRDefault="00152279" w:rsidP="00421681">
      <w:pPr>
        <w:pStyle w:val="BodyText22"/>
        <w:widowControl w:val="0"/>
        <w:tabs>
          <w:tab w:val="clear" w:pos="-720"/>
        </w:tabs>
        <w:rPr>
          <w:i w:val="0"/>
          <w:color w:val="000000"/>
          <w:szCs w:val="22"/>
        </w:rPr>
      </w:pPr>
      <w:r w:rsidRPr="004C2A59">
        <w:rPr>
          <w:b/>
          <w:i w:val="0"/>
          <w:color w:val="000000"/>
          <w:szCs w:val="22"/>
        </w:rPr>
        <w:t>Du skal straks fortælle din læge,</w:t>
      </w:r>
      <w:r w:rsidRPr="004C2A59">
        <w:rPr>
          <w:i w:val="0"/>
          <w:color w:val="000000"/>
          <w:szCs w:val="22"/>
        </w:rPr>
        <w:t xml:space="preserve"> hvis du meget hurtigt tager på i vægt, </w:t>
      </w:r>
      <w:r w:rsidRPr="004C2A59">
        <w:rPr>
          <w:b/>
          <w:i w:val="0"/>
          <w:color w:val="000000"/>
          <w:szCs w:val="22"/>
        </w:rPr>
        <w:t>mens du er i behandling med Glivec.</w:t>
      </w:r>
      <w:r w:rsidRPr="004C2A59">
        <w:rPr>
          <w:i w:val="0"/>
          <w:color w:val="000000"/>
          <w:szCs w:val="22"/>
        </w:rPr>
        <w:t xml:space="preserve"> Glivec kan forårsage, at din krop begynder at ophobe væske (svær væskeretention).</w:t>
      </w:r>
    </w:p>
    <w:p w14:paraId="79D5E87E" w14:textId="77777777" w:rsidR="00152279" w:rsidRPr="004C2A59" w:rsidRDefault="00152279" w:rsidP="00421681">
      <w:pPr>
        <w:pStyle w:val="BodyText22"/>
        <w:widowControl w:val="0"/>
        <w:tabs>
          <w:tab w:val="clear" w:pos="-720"/>
        </w:tabs>
        <w:rPr>
          <w:i w:val="0"/>
          <w:color w:val="000000"/>
          <w:szCs w:val="22"/>
        </w:rPr>
      </w:pPr>
    </w:p>
    <w:p w14:paraId="1E452AF4" w14:textId="77777777" w:rsidR="00152279" w:rsidRPr="004C2A59" w:rsidRDefault="00152279" w:rsidP="00421681">
      <w:pPr>
        <w:pStyle w:val="BodyText22"/>
        <w:widowControl w:val="0"/>
        <w:tabs>
          <w:tab w:val="clear" w:pos="-720"/>
        </w:tabs>
        <w:rPr>
          <w:i w:val="0"/>
          <w:color w:val="000000"/>
          <w:szCs w:val="22"/>
        </w:rPr>
      </w:pPr>
      <w:r w:rsidRPr="004C2A59">
        <w:rPr>
          <w:i w:val="0"/>
          <w:color w:val="000000"/>
          <w:szCs w:val="22"/>
        </w:rPr>
        <w:t>Mens du tager Glivec, vil din læge regelmæssigt kontrollere, om lægemidlet virker. Du vil også få taget blodprøver og blive vejet regelmæssigt.</w:t>
      </w:r>
    </w:p>
    <w:p w14:paraId="5E8D8BCF" w14:textId="77777777" w:rsidR="00152279" w:rsidRPr="004C2A59" w:rsidRDefault="00152279" w:rsidP="00421681">
      <w:pPr>
        <w:pStyle w:val="BodyText22"/>
        <w:widowControl w:val="0"/>
        <w:tabs>
          <w:tab w:val="clear" w:pos="-720"/>
        </w:tabs>
        <w:rPr>
          <w:i w:val="0"/>
          <w:color w:val="000000"/>
          <w:szCs w:val="22"/>
        </w:rPr>
      </w:pPr>
    </w:p>
    <w:p w14:paraId="773974BD" w14:textId="77777777" w:rsidR="00152279" w:rsidRPr="004C2A59" w:rsidRDefault="00152279" w:rsidP="00C93654">
      <w:pPr>
        <w:keepNext/>
        <w:rPr>
          <w:b/>
          <w:sz w:val="22"/>
          <w:szCs w:val="22"/>
          <w:lang w:val="da-DK"/>
        </w:rPr>
      </w:pPr>
      <w:r w:rsidRPr="004C2A59">
        <w:rPr>
          <w:b/>
          <w:sz w:val="22"/>
          <w:szCs w:val="22"/>
          <w:lang w:val="da-DK"/>
        </w:rPr>
        <w:t xml:space="preserve">Børn og </w:t>
      </w:r>
      <w:r w:rsidR="00226918" w:rsidRPr="004C2A59">
        <w:rPr>
          <w:b/>
          <w:sz w:val="22"/>
          <w:szCs w:val="22"/>
          <w:lang w:val="da-DK"/>
        </w:rPr>
        <w:t>unge</w:t>
      </w:r>
    </w:p>
    <w:p w14:paraId="7240701E" w14:textId="77777777" w:rsidR="00C405F6" w:rsidRPr="004C2A59" w:rsidRDefault="00152279" w:rsidP="00421681">
      <w:pPr>
        <w:widowControl w:val="0"/>
        <w:rPr>
          <w:color w:val="000000"/>
          <w:sz w:val="22"/>
          <w:szCs w:val="22"/>
          <w:lang w:val="da-DK"/>
        </w:rPr>
      </w:pPr>
      <w:r w:rsidRPr="004C2A59">
        <w:rPr>
          <w:color w:val="000000"/>
          <w:sz w:val="22"/>
          <w:szCs w:val="22"/>
          <w:lang w:val="da-DK"/>
        </w:rPr>
        <w:t>Glivec bruges også til behandling af børn med CML. Der er ingen erfaring med behandling af CML hos børn under 2 år. Der er begrænset erfaring hos børn og Ph-positiv ALL</w:t>
      </w:r>
      <w:r w:rsidR="00C405F6" w:rsidRPr="004C2A59">
        <w:rPr>
          <w:color w:val="000000"/>
          <w:sz w:val="22"/>
          <w:szCs w:val="22"/>
          <w:lang w:val="da-DK"/>
        </w:rPr>
        <w:t xml:space="preserve"> og meget begrænset erfaring med børn med MDS/MPD, DFSP, GIST og HEL/CEL.</w:t>
      </w:r>
    </w:p>
    <w:p w14:paraId="2D1A19AC" w14:textId="77777777" w:rsidR="00152279" w:rsidRPr="004C2A59" w:rsidRDefault="00152279" w:rsidP="00421681">
      <w:pPr>
        <w:widowControl w:val="0"/>
        <w:rPr>
          <w:color w:val="000000"/>
          <w:sz w:val="22"/>
          <w:szCs w:val="22"/>
          <w:lang w:val="da-DK"/>
        </w:rPr>
      </w:pPr>
    </w:p>
    <w:p w14:paraId="5D57AF2E" w14:textId="77777777" w:rsidR="00152279" w:rsidRPr="004C2A59" w:rsidRDefault="00152279" w:rsidP="00421681">
      <w:pPr>
        <w:widowControl w:val="0"/>
        <w:rPr>
          <w:color w:val="000000"/>
          <w:sz w:val="22"/>
          <w:szCs w:val="22"/>
          <w:lang w:val="da-DK"/>
        </w:rPr>
      </w:pPr>
      <w:r w:rsidRPr="004C2A59">
        <w:rPr>
          <w:color w:val="000000"/>
          <w:sz w:val="22"/>
          <w:szCs w:val="22"/>
          <w:lang w:val="da-DK"/>
        </w:rPr>
        <w:t>Nogle børn og unge, der får Glivec, kan vokse langsommere end normalt. Lægen vil kontrollere væksten ved regelmæssige besøg.</w:t>
      </w:r>
    </w:p>
    <w:p w14:paraId="07E84D6F" w14:textId="77777777" w:rsidR="00152279" w:rsidRPr="004C2A59" w:rsidRDefault="00152279" w:rsidP="00421681">
      <w:pPr>
        <w:widowControl w:val="0"/>
        <w:rPr>
          <w:color w:val="000000"/>
          <w:sz w:val="22"/>
          <w:szCs w:val="22"/>
          <w:lang w:val="da-DK"/>
        </w:rPr>
      </w:pPr>
    </w:p>
    <w:p w14:paraId="75EF4701" w14:textId="77777777" w:rsidR="00152279" w:rsidRPr="004C2A59" w:rsidRDefault="00152279" w:rsidP="00C93654">
      <w:pPr>
        <w:keepNext/>
        <w:widowControl w:val="0"/>
        <w:suppressAutoHyphens/>
        <w:rPr>
          <w:color w:val="000000"/>
          <w:sz w:val="22"/>
          <w:szCs w:val="22"/>
          <w:lang w:val="da-DK"/>
        </w:rPr>
      </w:pPr>
      <w:r w:rsidRPr="004C2A59">
        <w:rPr>
          <w:b/>
          <w:color w:val="000000"/>
          <w:sz w:val="22"/>
          <w:szCs w:val="22"/>
          <w:lang w:val="da-DK"/>
        </w:rPr>
        <w:t>Brug af anden medicin sammen med Glivec</w:t>
      </w:r>
    </w:p>
    <w:p w14:paraId="7783ED97" w14:textId="77777777" w:rsidR="00152279" w:rsidRPr="004C2A59" w:rsidRDefault="00152279" w:rsidP="00421681">
      <w:pPr>
        <w:widowControl w:val="0"/>
        <w:numPr>
          <w:ilvl w:val="12"/>
          <w:numId w:val="0"/>
        </w:numPr>
        <w:ind w:right="-2"/>
        <w:rPr>
          <w:color w:val="000000"/>
          <w:sz w:val="22"/>
          <w:szCs w:val="22"/>
          <w:lang w:val="da-DK"/>
        </w:rPr>
      </w:pPr>
      <w:r w:rsidRPr="004C2A59">
        <w:rPr>
          <w:color w:val="000000"/>
          <w:sz w:val="22"/>
          <w:szCs w:val="22"/>
          <w:lang w:val="da-DK"/>
        </w:rPr>
        <w:t>Fortæl altid lægen eller apotek</w:t>
      </w:r>
      <w:r w:rsidR="00226918" w:rsidRPr="004C2A59">
        <w:rPr>
          <w:color w:val="000000"/>
          <w:sz w:val="22"/>
          <w:szCs w:val="22"/>
          <w:lang w:val="da-DK"/>
        </w:rPr>
        <w:t>spersonalet</w:t>
      </w:r>
      <w:r w:rsidRPr="004C2A59">
        <w:rPr>
          <w:color w:val="000000"/>
          <w:sz w:val="22"/>
          <w:szCs w:val="22"/>
          <w:lang w:val="da-DK"/>
        </w:rPr>
        <w:t xml:space="preserve">, hvis du tager anden medicin eller har gjort det for nylig. Dette gælder også medicin, som ikke er købt på recept (såsom paracetamol), inklusive </w:t>
      </w:r>
      <w:r w:rsidRPr="004C2A59">
        <w:rPr>
          <w:color w:val="000000"/>
          <w:sz w:val="22"/>
          <w:szCs w:val="22"/>
          <w:lang w:val="da-DK"/>
        </w:rPr>
        <w:lastRenderedPageBreak/>
        <w:t>naturlægemidler (såsom perikon). Nogle lægemidler kan påvirke virkningen af Glivec, når de bruges samtidigt. De kan enten øge eller nedsætte virkningen af Glivec, hvilket kan resultere i enten flere bivirkninger, eller de kan gøre Glivec mindre virksomt. Glivec kan gøre det samme ved andre lægemidler.</w:t>
      </w:r>
    </w:p>
    <w:p w14:paraId="1B3EC05B" w14:textId="77777777" w:rsidR="00C76D42" w:rsidRPr="004C2A59" w:rsidRDefault="00C76D42" w:rsidP="00421681">
      <w:pPr>
        <w:widowControl w:val="0"/>
        <w:rPr>
          <w:color w:val="000000"/>
          <w:sz w:val="22"/>
          <w:szCs w:val="22"/>
          <w:lang w:val="da-DK"/>
        </w:rPr>
      </w:pPr>
    </w:p>
    <w:p w14:paraId="51661855" w14:textId="77777777" w:rsidR="00C76D42" w:rsidRPr="004C2A59" w:rsidRDefault="00C76D42" w:rsidP="00421681">
      <w:pPr>
        <w:widowControl w:val="0"/>
        <w:rPr>
          <w:color w:val="000000"/>
          <w:sz w:val="22"/>
          <w:szCs w:val="22"/>
          <w:lang w:val="da-DK"/>
        </w:rPr>
      </w:pPr>
      <w:r w:rsidRPr="004C2A59">
        <w:rPr>
          <w:color w:val="000000"/>
          <w:sz w:val="22"/>
          <w:szCs w:val="22"/>
          <w:lang w:val="da-DK"/>
        </w:rPr>
        <w:t>Fortæl din læge</w:t>
      </w:r>
      <w:r w:rsidR="003778CF" w:rsidRPr="004C2A59">
        <w:rPr>
          <w:color w:val="000000"/>
          <w:sz w:val="22"/>
          <w:szCs w:val="22"/>
          <w:lang w:val="da-DK"/>
        </w:rPr>
        <w:t>,</w:t>
      </w:r>
      <w:r w:rsidRPr="004C2A59">
        <w:rPr>
          <w:color w:val="000000"/>
          <w:sz w:val="22"/>
          <w:szCs w:val="22"/>
          <w:lang w:val="da-DK"/>
        </w:rPr>
        <w:t xml:space="preserve"> hvis du tager medicin, der forebygger dannelsen af blodpropper.</w:t>
      </w:r>
    </w:p>
    <w:p w14:paraId="54C05456" w14:textId="77777777" w:rsidR="00020D2E" w:rsidRPr="004C2A59" w:rsidRDefault="00020D2E" w:rsidP="00421681">
      <w:pPr>
        <w:widowControl w:val="0"/>
        <w:rPr>
          <w:color w:val="000000"/>
          <w:sz w:val="22"/>
          <w:szCs w:val="22"/>
          <w:lang w:val="da-DK"/>
        </w:rPr>
      </w:pPr>
    </w:p>
    <w:p w14:paraId="717050D0" w14:textId="77777777" w:rsidR="00152279" w:rsidRPr="004C2A59" w:rsidRDefault="00152279" w:rsidP="00C93654">
      <w:pPr>
        <w:keepNext/>
        <w:widowControl w:val="0"/>
        <w:rPr>
          <w:color w:val="000000"/>
          <w:sz w:val="22"/>
          <w:szCs w:val="22"/>
          <w:lang w:val="da-DK"/>
        </w:rPr>
      </w:pPr>
      <w:r w:rsidRPr="004C2A59">
        <w:rPr>
          <w:b/>
          <w:color w:val="000000"/>
          <w:sz w:val="22"/>
          <w:szCs w:val="22"/>
          <w:lang w:val="da-DK"/>
        </w:rPr>
        <w:t>Graviditet, amning og frugtbarhed</w:t>
      </w:r>
    </w:p>
    <w:p w14:paraId="7CD93924" w14:textId="77777777" w:rsidR="00152279" w:rsidRPr="004C2A59" w:rsidRDefault="00152279" w:rsidP="00421681">
      <w:pPr>
        <w:widowControl w:val="0"/>
        <w:suppressAutoHyphens/>
        <w:ind w:left="567" w:hanging="567"/>
        <w:rPr>
          <w:color w:val="000000"/>
          <w:sz w:val="22"/>
          <w:szCs w:val="22"/>
          <w:lang w:val="da-DK"/>
        </w:rPr>
      </w:pPr>
      <w:r w:rsidRPr="004C2A59">
        <w:rPr>
          <w:b/>
          <w:color w:val="000000"/>
          <w:sz w:val="22"/>
          <w:szCs w:val="22"/>
          <w:lang w:val="da-DK"/>
        </w:rPr>
        <w:t>-</w:t>
      </w:r>
      <w:r w:rsidRPr="004C2A59">
        <w:rPr>
          <w:b/>
          <w:color w:val="000000"/>
          <w:sz w:val="22"/>
          <w:szCs w:val="22"/>
          <w:lang w:val="da-DK"/>
        </w:rPr>
        <w:tab/>
      </w:r>
      <w:r w:rsidRPr="004C2A59">
        <w:rPr>
          <w:color w:val="000000"/>
          <w:sz w:val="22"/>
          <w:szCs w:val="22"/>
          <w:lang w:val="da-DK"/>
        </w:rPr>
        <w:t>Hvis du er gravid eller ammer, har mistanke om, at du er gravid, eller planlægger at blive gravid, skal du spørge din læge til råds, før du tager dette lægemiddel.</w:t>
      </w:r>
    </w:p>
    <w:p w14:paraId="34720467" w14:textId="77777777" w:rsidR="00152279" w:rsidRPr="004C2A59" w:rsidRDefault="00152279" w:rsidP="00421681">
      <w:pPr>
        <w:widowControl w:val="0"/>
        <w:suppressAutoHyphens/>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t>Glivec anbefales ikke under graviditeten, medmindre det er strengt nødvendigt, da det kan skade din baby. Din læge vil fortælle dig om de mulige risici, der er forbundet med brug af Glivec under graviditeten.</w:t>
      </w:r>
    </w:p>
    <w:p w14:paraId="151FB3AB" w14:textId="77777777" w:rsidR="00152279" w:rsidRPr="004C2A59" w:rsidRDefault="00152279" w:rsidP="00421681">
      <w:pPr>
        <w:widowControl w:val="0"/>
        <w:suppressAutoHyphens/>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t xml:space="preserve">Under behandlingen </w:t>
      </w:r>
      <w:r w:rsidR="00530D5B">
        <w:rPr>
          <w:color w:val="000000"/>
          <w:sz w:val="22"/>
          <w:szCs w:val="22"/>
          <w:lang w:val="da-DK"/>
        </w:rPr>
        <w:t xml:space="preserve">og i 15 dage efter ophør af behandlingen </w:t>
      </w:r>
      <w:r w:rsidRPr="004C2A59">
        <w:rPr>
          <w:color w:val="000000"/>
          <w:sz w:val="22"/>
          <w:szCs w:val="22"/>
          <w:lang w:val="da-DK"/>
        </w:rPr>
        <w:t>anbefales det, at kvinder som kan blive gravide, anvender effektiv beskyttelse mod graviditet.</w:t>
      </w:r>
    </w:p>
    <w:p w14:paraId="7C3C6F33" w14:textId="77777777" w:rsidR="00152279" w:rsidRPr="004C2A59" w:rsidRDefault="00152279" w:rsidP="00421681">
      <w:pPr>
        <w:widowControl w:val="0"/>
        <w:suppressAutoHyphens/>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t xml:space="preserve">Du må ikke amme, mens du er i behandling </w:t>
      </w:r>
      <w:r w:rsidR="00094D3A">
        <w:rPr>
          <w:color w:val="000000"/>
          <w:sz w:val="22"/>
          <w:szCs w:val="22"/>
          <w:lang w:val="da-DK"/>
        </w:rPr>
        <w:t xml:space="preserve">og i 15 dage efter ophør af behandling </w:t>
      </w:r>
      <w:r w:rsidRPr="004C2A59">
        <w:rPr>
          <w:color w:val="000000"/>
          <w:sz w:val="22"/>
          <w:szCs w:val="22"/>
          <w:lang w:val="da-DK"/>
        </w:rPr>
        <w:t>med Glivec</w:t>
      </w:r>
      <w:r w:rsidR="00530D5B">
        <w:rPr>
          <w:color w:val="000000"/>
          <w:sz w:val="22"/>
          <w:szCs w:val="22"/>
          <w:lang w:val="da-DK"/>
        </w:rPr>
        <w:t>, da det kan skade din baby</w:t>
      </w:r>
      <w:r w:rsidRPr="004C2A59">
        <w:rPr>
          <w:color w:val="000000"/>
          <w:sz w:val="22"/>
          <w:szCs w:val="22"/>
          <w:lang w:val="da-DK"/>
        </w:rPr>
        <w:t>.</w:t>
      </w:r>
    </w:p>
    <w:p w14:paraId="3582EDB1" w14:textId="77777777" w:rsidR="00152279" w:rsidRPr="004C2A59" w:rsidRDefault="00152279" w:rsidP="00421681">
      <w:pPr>
        <w:widowControl w:val="0"/>
        <w:suppressAutoHyphens/>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t>Hvis du er bekymret for din frugtbarhed, mens du tager Glivec, skal du kontakte din læge.</w:t>
      </w:r>
    </w:p>
    <w:p w14:paraId="7AE56402" w14:textId="77777777" w:rsidR="00152279" w:rsidRPr="004C2A59" w:rsidRDefault="00152279" w:rsidP="00421681">
      <w:pPr>
        <w:widowControl w:val="0"/>
        <w:rPr>
          <w:color w:val="000000"/>
          <w:sz w:val="22"/>
          <w:szCs w:val="22"/>
          <w:lang w:val="da-DK"/>
        </w:rPr>
      </w:pPr>
    </w:p>
    <w:p w14:paraId="4D3A9038" w14:textId="77777777" w:rsidR="00152279" w:rsidRPr="004C2A59" w:rsidRDefault="00152279" w:rsidP="00C93654">
      <w:pPr>
        <w:pStyle w:val="BodyText3"/>
        <w:keepNext/>
        <w:widowControl w:val="0"/>
        <w:tabs>
          <w:tab w:val="clear" w:pos="-720"/>
        </w:tabs>
        <w:rPr>
          <w:b w:val="0"/>
          <w:color w:val="000000"/>
          <w:szCs w:val="22"/>
        </w:rPr>
      </w:pPr>
      <w:r w:rsidRPr="004C2A59">
        <w:rPr>
          <w:color w:val="000000"/>
          <w:szCs w:val="22"/>
        </w:rPr>
        <w:t>Trafik- og arbejdssikkerhed</w:t>
      </w:r>
    </w:p>
    <w:p w14:paraId="5ABB98F9" w14:textId="77777777" w:rsidR="00152279" w:rsidRPr="004C2A59" w:rsidRDefault="00152279" w:rsidP="00421681">
      <w:pPr>
        <w:widowControl w:val="0"/>
        <w:suppressAutoHyphens/>
        <w:rPr>
          <w:color w:val="000000"/>
          <w:sz w:val="22"/>
          <w:szCs w:val="22"/>
          <w:lang w:val="da-DK"/>
        </w:rPr>
      </w:pPr>
      <w:r w:rsidRPr="004C2A59">
        <w:rPr>
          <w:color w:val="000000"/>
          <w:sz w:val="22"/>
          <w:szCs w:val="22"/>
          <w:lang w:val="da-DK"/>
        </w:rPr>
        <w:t>Du kan blive svimmel eller søvnig eller få sløret syn, mens du tager dette lægemiddel. Hvis dette sker, bør du ikke køre bil eller bruge værktøj og maskiner, før du føler dig godt tilpas igen.</w:t>
      </w:r>
    </w:p>
    <w:p w14:paraId="69E8601F" w14:textId="77777777" w:rsidR="00152279" w:rsidRPr="004C2A59" w:rsidRDefault="00152279" w:rsidP="00421681">
      <w:pPr>
        <w:widowControl w:val="0"/>
        <w:suppressAutoHyphens/>
        <w:rPr>
          <w:color w:val="000000"/>
          <w:sz w:val="22"/>
          <w:szCs w:val="22"/>
          <w:lang w:val="da-DK"/>
        </w:rPr>
      </w:pPr>
    </w:p>
    <w:p w14:paraId="12BC7309" w14:textId="77777777" w:rsidR="00152279" w:rsidRPr="004C2A59" w:rsidRDefault="00152279" w:rsidP="00421681">
      <w:pPr>
        <w:widowControl w:val="0"/>
        <w:suppressAutoHyphens/>
        <w:rPr>
          <w:color w:val="000000"/>
          <w:sz w:val="22"/>
          <w:szCs w:val="22"/>
          <w:lang w:val="da-DK"/>
        </w:rPr>
      </w:pPr>
    </w:p>
    <w:p w14:paraId="6295D7B7" w14:textId="77777777" w:rsidR="006F7492" w:rsidRPr="004C2A59" w:rsidRDefault="006F7492" w:rsidP="00C93654">
      <w:pPr>
        <w:keepNext/>
        <w:widowControl w:val="0"/>
        <w:suppressAutoHyphens/>
        <w:ind w:left="567" w:hanging="567"/>
        <w:rPr>
          <w:color w:val="000000"/>
          <w:sz w:val="22"/>
          <w:szCs w:val="22"/>
          <w:lang w:val="da-DK"/>
        </w:rPr>
      </w:pPr>
      <w:r w:rsidRPr="004C2A59">
        <w:rPr>
          <w:b/>
          <w:color w:val="000000"/>
          <w:sz w:val="22"/>
          <w:szCs w:val="22"/>
          <w:lang w:val="da-DK"/>
        </w:rPr>
        <w:t>3.</w:t>
      </w:r>
      <w:r w:rsidRPr="004C2A59">
        <w:rPr>
          <w:b/>
          <w:color w:val="000000"/>
          <w:sz w:val="22"/>
          <w:szCs w:val="22"/>
          <w:lang w:val="da-DK"/>
        </w:rPr>
        <w:tab/>
      </w:r>
      <w:r w:rsidR="00FC3297" w:rsidRPr="004C2A59">
        <w:rPr>
          <w:b/>
          <w:color w:val="000000"/>
          <w:sz w:val="22"/>
          <w:szCs w:val="22"/>
          <w:lang w:val="da-DK"/>
        </w:rPr>
        <w:t>Sådan skal du tage Glivec</w:t>
      </w:r>
    </w:p>
    <w:p w14:paraId="29817135" w14:textId="77777777" w:rsidR="006F7492" w:rsidRPr="004C2A59" w:rsidRDefault="006F7492" w:rsidP="00C93654">
      <w:pPr>
        <w:pStyle w:val="EndnoteText"/>
        <w:keepNext/>
        <w:numPr>
          <w:ilvl w:val="12"/>
          <w:numId w:val="0"/>
        </w:numPr>
        <w:tabs>
          <w:tab w:val="clear" w:pos="567"/>
        </w:tabs>
        <w:rPr>
          <w:color w:val="000000"/>
          <w:szCs w:val="22"/>
        </w:rPr>
      </w:pPr>
    </w:p>
    <w:p w14:paraId="65E0BD0B" w14:textId="77777777" w:rsidR="006F7492" w:rsidRPr="004C2A59" w:rsidRDefault="006F7492" w:rsidP="00421681">
      <w:pPr>
        <w:pStyle w:val="EndnoteText"/>
        <w:numPr>
          <w:ilvl w:val="12"/>
          <w:numId w:val="0"/>
        </w:numPr>
        <w:tabs>
          <w:tab w:val="clear" w:pos="567"/>
        </w:tabs>
        <w:rPr>
          <w:color w:val="000000"/>
          <w:szCs w:val="22"/>
        </w:rPr>
      </w:pPr>
      <w:r w:rsidRPr="004C2A59">
        <w:rPr>
          <w:color w:val="000000"/>
          <w:szCs w:val="22"/>
        </w:rPr>
        <w:t>Din læge har udskrevet Glivec, fordi du lider af en alvorlig sygdom. Glivec kan hjælpe dig med at bekæmpe denne tilstand.</w:t>
      </w:r>
    </w:p>
    <w:p w14:paraId="79C13113" w14:textId="77777777" w:rsidR="006F7492" w:rsidRPr="004C2A59" w:rsidRDefault="006F7492" w:rsidP="00421681">
      <w:pPr>
        <w:pStyle w:val="EndnoteText"/>
        <w:numPr>
          <w:ilvl w:val="12"/>
          <w:numId w:val="0"/>
        </w:numPr>
        <w:tabs>
          <w:tab w:val="clear" w:pos="567"/>
        </w:tabs>
        <w:rPr>
          <w:color w:val="000000"/>
          <w:szCs w:val="22"/>
        </w:rPr>
      </w:pPr>
    </w:p>
    <w:p w14:paraId="03849D31" w14:textId="77777777" w:rsidR="006F7492" w:rsidRPr="004C2A59" w:rsidRDefault="006F7492" w:rsidP="00421681">
      <w:pPr>
        <w:pStyle w:val="EndnoteText"/>
        <w:numPr>
          <w:ilvl w:val="12"/>
          <w:numId w:val="0"/>
        </w:numPr>
        <w:tabs>
          <w:tab w:val="clear" w:pos="567"/>
        </w:tabs>
        <w:rPr>
          <w:color w:val="000000"/>
          <w:szCs w:val="22"/>
        </w:rPr>
      </w:pPr>
      <w:r w:rsidRPr="004C2A59">
        <w:rPr>
          <w:color w:val="000000"/>
          <w:szCs w:val="22"/>
        </w:rPr>
        <w:t xml:space="preserve">Tag altid </w:t>
      </w:r>
      <w:r w:rsidR="00B23889">
        <w:rPr>
          <w:color w:val="000000"/>
          <w:szCs w:val="22"/>
        </w:rPr>
        <w:t>lægemidlet</w:t>
      </w:r>
      <w:r w:rsidRPr="004C2A59">
        <w:rPr>
          <w:color w:val="000000"/>
          <w:szCs w:val="22"/>
        </w:rPr>
        <w:t xml:space="preserve"> nøjagtigt efter lægens </w:t>
      </w:r>
      <w:r w:rsidR="00C906A4" w:rsidRPr="004C2A59">
        <w:rPr>
          <w:color w:val="000000"/>
          <w:szCs w:val="22"/>
        </w:rPr>
        <w:t xml:space="preserve">eller apotekspersonalets </w:t>
      </w:r>
      <w:r w:rsidRPr="004C2A59">
        <w:rPr>
          <w:color w:val="000000"/>
          <w:szCs w:val="22"/>
        </w:rPr>
        <w:t xml:space="preserve">anvisning. Det er vigtigt, at du </w:t>
      </w:r>
      <w:r w:rsidR="00C906A4" w:rsidRPr="004C2A59">
        <w:rPr>
          <w:color w:val="000000"/>
          <w:szCs w:val="22"/>
        </w:rPr>
        <w:t>tager det</w:t>
      </w:r>
      <w:r w:rsidRPr="004C2A59">
        <w:rPr>
          <w:color w:val="000000"/>
          <w:szCs w:val="22"/>
        </w:rPr>
        <w:t xml:space="preserve"> så længe</w:t>
      </w:r>
      <w:r w:rsidR="00C906A4" w:rsidRPr="004C2A59">
        <w:rPr>
          <w:color w:val="000000"/>
          <w:szCs w:val="22"/>
        </w:rPr>
        <w:t>,</w:t>
      </w:r>
      <w:r w:rsidRPr="004C2A59">
        <w:rPr>
          <w:color w:val="000000"/>
          <w:szCs w:val="22"/>
        </w:rPr>
        <w:t xml:space="preserve"> lægen </w:t>
      </w:r>
      <w:r w:rsidR="00C906A4" w:rsidRPr="004C2A59">
        <w:rPr>
          <w:color w:val="000000"/>
          <w:szCs w:val="22"/>
        </w:rPr>
        <w:t xml:space="preserve">eller apotekspersonalet </w:t>
      </w:r>
      <w:r w:rsidRPr="004C2A59">
        <w:rPr>
          <w:color w:val="000000"/>
          <w:szCs w:val="22"/>
        </w:rPr>
        <w:t>fortæller dig, at du skal. Er du i tvivl, så spørg lægen eller apotek</w:t>
      </w:r>
      <w:r w:rsidR="00226918" w:rsidRPr="004C2A59">
        <w:rPr>
          <w:color w:val="000000"/>
          <w:szCs w:val="22"/>
        </w:rPr>
        <w:t>spersonalet</w:t>
      </w:r>
      <w:r w:rsidRPr="004C2A59">
        <w:rPr>
          <w:color w:val="000000"/>
          <w:szCs w:val="22"/>
        </w:rPr>
        <w:t>.</w:t>
      </w:r>
    </w:p>
    <w:p w14:paraId="118F1AE0" w14:textId="77777777" w:rsidR="006F7492" w:rsidRPr="004C2A59" w:rsidRDefault="006F7492" w:rsidP="00421681">
      <w:pPr>
        <w:pStyle w:val="EndnoteText"/>
        <w:numPr>
          <w:ilvl w:val="12"/>
          <w:numId w:val="0"/>
        </w:numPr>
        <w:tabs>
          <w:tab w:val="clear" w:pos="567"/>
        </w:tabs>
        <w:rPr>
          <w:color w:val="000000"/>
          <w:szCs w:val="22"/>
        </w:rPr>
      </w:pPr>
    </w:p>
    <w:p w14:paraId="3A06AE16" w14:textId="77777777" w:rsidR="006F7492" w:rsidRPr="004C2A59" w:rsidRDefault="006F7492" w:rsidP="00421681">
      <w:pPr>
        <w:pStyle w:val="EndnoteText"/>
        <w:numPr>
          <w:ilvl w:val="12"/>
          <w:numId w:val="0"/>
        </w:numPr>
        <w:tabs>
          <w:tab w:val="clear" w:pos="567"/>
        </w:tabs>
        <w:rPr>
          <w:color w:val="000000"/>
          <w:szCs w:val="22"/>
        </w:rPr>
      </w:pPr>
      <w:r w:rsidRPr="004C2A59">
        <w:rPr>
          <w:color w:val="000000"/>
          <w:szCs w:val="22"/>
        </w:rPr>
        <w:t>Du må ikke stoppe med at tage Glivec, medmindre din læge fortæller dig det. Hvis du ikke er i stand til at tage medicinen, som din læge har foreskrevet, eller hvis du føler, at du ikke længere behøver den, skal du kontakte din læge med det samme.</w:t>
      </w:r>
    </w:p>
    <w:p w14:paraId="2D514A00" w14:textId="77777777" w:rsidR="006F7492" w:rsidRPr="004C2A59" w:rsidRDefault="006F7492" w:rsidP="00421681">
      <w:pPr>
        <w:pStyle w:val="EndnoteText"/>
        <w:numPr>
          <w:ilvl w:val="12"/>
          <w:numId w:val="0"/>
        </w:numPr>
        <w:tabs>
          <w:tab w:val="clear" w:pos="567"/>
        </w:tabs>
        <w:rPr>
          <w:bCs/>
          <w:color w:val="000000"/>
          <w:szCs w:val="22"/>
        </w:rPr>
      </w:pPr>
    </w:p>
    <w:p w14:paraId="2290AAD5" w14:textId="77777777" w:rsidR="006F7492" w:rsidRPr="004C2A59" w:rsidRDefault="006F7492" w:rsidP="00C93654">
      <w:pPr>
        <w:pStyle w:val="EndnoteText"/>
        <w:keepNext/>
        <w:numPr>
          <w:ilvl w:val="12"/>
          <w:numId w:val="0"/>
        </w:numPr>
        <w:tabs>
          <w:tab w:val="clear" w:pos="567"/>
        </w:tabs>
        <w:rPr>
          <w:b/>
          <w:color w:val="000000"/>
          <w:szCs w:val="22"/>
        </w:rPr>
      </w:pPr>
      <w:r w:rsidRPr="004C2A59">
        <w:rPr>
          <w:b/>
          <w:color w:val="000000"/>
          <w:szCs w:val="22"/>
        </w:rPr>
        <w:t>Den sædvanlige dosis</w:t>
      </w:r>
      <w:r w:rsidR="00C906A4" w:rsidRPr="004C2A59">
        <w:rPr>
          <w:b/>
          <w:color w:val="000000"/>
          <w:szCs w:val="22"/>
        </w:rPr>
        <w:t xml:space="preserve"> af Glivec</w:t>
      </w:r>
      <w:r w:rsidRPr="004C2A59">
        <w:rPr>
          <w:b/>
          <w:color w:val="000000"/>
          <w:szCs w:val="22"/>
        </w:rPr>
        <w:t xml:space="preserve"> er</w:t>
      </w:r>
    </w:p>
    <w:p w14:paraId="22F67623" w14:textId="77777777" w:rsidR="006F7492" w:rsidRPr="004C2A59" w:rsidRDefault="006F7492" w:rsidP="00C93654">
      <w:pPr>
        <w:pStyle w:val="EndnoteText"/>
        <w:keepNext/>
        <w:numPr>
          <w:ilvl w:val="12"/>
          <w:numId w:val="0"/>
        </w:numPr>
        <w:tabs>
          <w:tab w:val="clear" w:pos="567"/>
        </w:tabs>
        <w:rPr>
          <w:bCs/>
          <w:color w:val="000000"/>
          <w:szCs w:val="22"/>
        </w:rPr>
      </w:pPr>
    </w:p>
    <w:p w14:paraId="641EDE80" w14:textId="77777777" w:rsidR="006F7492" w:rsidRPr="004C2A59" w:rsidRDefault="006F7492" w:rsidP="00C93654">
      <w:pPr>
        <w:pStyle w:val="EndnoteText"/>
        <w:keepNext/>
        <w:numPr>
          <w:ilvl w:val="12"/>
          <w:numId w:val="0"/>
        </w:numPr>
        <w:tabs>
          <w:tab w:val="clear" w:pos="567"/>
        </w:tabs>
        <w:rPr>
          <w:b/>
          <w:color w:val="000000"/>
          <w:szCs w:val="22"/>
        </w:rPr>
      </w:pPr>
      <w:r w:rsidRPr="004C2A59">
        <w:rPr>
          <w:b/>
          <w:color w:val="000000"/>
          <w:szCs w:val="22"/>
        </w:rPr>
        <w:t>Brug til voksne</w:t>
      </w:r>
    </w:p>
    <w:p w14:paraId="0F4AC0C6" w14:textId="77777777" w:rsidR="006F7492" w:rsidRPr="004C2A59" w:rsidRDefault="006F7492" w:rsidP="00421681">
      <w:pPr>
        <w:pStyle w:val="EndnoteText"/>
        <w:numPr>
          <w:ilvl w:val="12"/>
          <w:numId w:val="0"/>
        </w:numPr>
        <w:tabs>
          <w:tab w:val="clear" w:pos="567"/>
        </w:tabs>
        <w:rPr>
          <w:color w:val="000000"/>
          <w:szCs w:val="22"/>
        </w:rPr>
      </w:pPr>
      <w:r w:rsidRPr="004C2A59">
        <w:rPr>
          <w:color w:val="000000"/>
          <w:szCs w:val="22"/>
        </w:rPr>
        <w:t>Din læge vil fortælle dig, præcis hvor mange Glivec-kapsler, du skal tage.</w:t>
      </w:r>
    </w:p>
    <w:p w14:paraId="41D23177" w14:textId="77777777" w:rsidR="006F7492" w:rsidRPr="004C2A59" w:rsidRDefault="006F7492" w:rsidP="00421681">
      <w:pPr>
        <w:pStyle w:val="Text"/>
        <w:widowControl w:val="0"/>
        <w:spacing w:before="0"/>
        <w:jc w:val="left"/>
        <w:rPr>
          <w:color w:val="000000"/>
          <w:sz w:val="22"/>
          <w:szCs w:val="22"/>
          <w:lang w:val="da-DK"/>
        </w:rPr>
      </w:pPr>
    </w:p>
    <w:p w14:paraId="37C06B49" w14:textId="77777777" w:rsidR="006F7492" w:rsidRPr="004C2A59" w:rsidRDefault="006F7492" w:rsidP="00C93654">
      <w:pPr>
        <w:pStyle w:val="Text"/>
        <w:keepNext/>
        <w:widowControl w:val="0"/>
        <w:numPr>
          <w:ilvl w:val="1"/>
          <w:numId w:val="12"/>
        </w:numPr>
        <w:tabs>
          <w:tab w:val="clear" w:pos="1440"/>
          <w:tab w:val="num" w:pos="567"/>
        </w:tabs>
        <w:spacing w:before="0"/>
        <w:ind w:left="567" w:hanging="567"/>
        <w:jc w:val="left"/>
        <w:rPr>
          <w:color w:val="000000"/>
          <w:sz w:val="22"/>
          <w:szCs w:val="22"/>
          <w:lang w:val="da-DK"/>
        </w:rPr>
      </w:pPr>
      <w:r w:rsidRPr="004C2A59">
        <w:rPr>
          <w:b/>
          <w:sz w:val="22"/>
          <w:szCs w:val="22"/>
          <w:lang w:val="da-DK"/>
        </w:rPr>
        <w:t>Hvis du er i behandling for CML:</w:t>
      </w:r>
    </w:p>
    <w:p w14:paraId="6BE0AD2D" w14:textId="77777777" w:rsidR="006F7492" w:rsidRPr="004C2A59" w:rsidRDefault="006F7492" w:rsidP="00C93654">
      <w:pPr>
        <w:pStyle w:val="EndnoteText"/>
        <w:keepNext/>
        <w:numPr>
          <w:ilvl w:val="12"/>
          <w:numId w:val="0"/>
        </w:numPr>
        <w:tabs>
          <w:tab w:val="clear" w:pos="567"/>
        </w:tabs>
        <w:ind w:left="567"/>
        <w:rPr>
          <w:color w:val="000000"/>
          <w:szCs w:val="22"/>
        </w:rPr>
      </w:pPr>
      <w:r w:rsidRPr="004C2A59">
        <w:rPr>
          <w:color w:val="000000"/>
          <w:szCs w:val="22"/>
        </w:rPr>
        <w:t>Afhængigt af din tilstand er den almindelige startdosis enten 400 mg eller 600 mg:</w:t>
      </w:r>
    </w:p>
    <w:p w14:paraId="25609980" w14:textId="77777777" w:rsidR="006F7492" w:rsidRPr="004C2A59" w:rsidRDefault="006F7492" w:rsidP="00C93654">
      <w:pPr>
        <w:pStyle w:val="EndnoteText"/>
        <w:keepNext/>
        <w:numPr>
          <w:ilvl w:val="12"/>
          <w:numId w:val="0"/>
        </w:numPr>
        <w:tabs>
          <w:tab w:val="clear" w:pos="567"/>
        </w:tabs>
        <w:ind w:left="567"/>
        <w:rPr>
          <w:color w:val="000000"/>
          <w:szCs w:val="22"/>
        </w:rPr>
      </w:pPr>
      <w:r w:rsidRPr="004C2A59">
        <w:rPr>
          <w:color w:val="000000"/>
          <w:szCs w:val="22"/>
        </w:rPr>
        <w:t>-</w:t>
      </w:r>
      <w:r w:rsidRPr="004C2A59">
        <w:rPr>
          <w:color w:val="000000"/>
          <w:szCs w:val="22"/>
        </w:rPr>
        <w:tab/>
      </w:r>
      <w:r w:rsidRPr="004C2A59">
        <w:rPr>
          <w:b/>
          <w:color w:val="000000"/>
          <w:szCs w:val="22"/>
        </w:rPr>
        <w:t>400 mg</w:t>
      </w:r>
      <w:r w:rsidRPr="004C2A59">
        <w:rPr>
          <w:color w:val="000000"/>
          <w:szCs w:val="22"/>
        </w:rPr>
        <w:t xml:space="preserve"> som skal tages som 4 kapsler </w:t>
      </w:r>
      <w:r w:rsidRPr="004C2A59">
        <w:rPr>
          <w:b/>
          <w:color w:val="000000"/>
          <w:szCs w:val="22"/>
        </w:rPr>
        <w:t>én gang</w:t>
      </w:r>
      <w:r w:rsidRPr="004C2A59">
        <w:rPr>
          <w:color w:val="000000"/>
          <w:szCs w:val="22"/>
        </w:rPr>
        <w:t xml:space="preserve"> daglig.</w:t>
      </w:r>
    </w:p>
    <w:p w14:paraId="05ED8A9C" w14:textId="77777777" w:rsidR="006F7492" w:rsidRPr="004C2A59" w:rsidRDefault="006F7492" w:rsidP="00421681">
      <w:pPr>
        <w:pStyle w:val="EndnoteText"/>
        <w:numPr>
          <w:ilvl w:val="12"/>
          <w:numId w:val="0"/>
        </w:numPr>
        <w:tabs>
          <w:tab w:val="clear" w:pos="567"/>
        </w:tabs>
        <w:ind w:left="567"/>
        <w:rPr>
          <w:color w:val="000000"/>
          <w:szCs w:val="22"/>
        </w:rPr>
      </w:pPr>
      <w:r w:rsidRPr="004C2A59">
        <w:rPr>
          <w:color w:val="000000"/>
          <w:szCs w:val="22"/>
        </w:rPr>
        <w:t>-</w:t>
      </w:r>
      <w:r w:rsidRPr="004C2A59">
        <w:rPr>
          <w:color w:val="000000"/>
          <w:szCs w:val="22"/>
        </w:rPr>
        <w:tab/>
      </w:r>
      <w:r w:rsidRPr="004C2A59">
        <w:rPr>
          <w:b/>
          <w:color w:val="000000"/>
          <w:szCs w:val="22"/>
        </w:rPr>
        <w:t>600 mg</w:t>
      </w:r>
      <w:r w:rsidRPr="004C2A59">
        <w:rPr>
          <w:color w:val="000000"/>
          <w:szCs w:val="22"/>
        </w:rPr>
        <w:t xml:space="preserve"> som skal tages som 6 kapsler </w:t>
      </w:r>
      <w:r w:rsidRPr="004C2A59">
        <w:rPr>
          <w:b/>
          <w:color w:val="000000"/>
          <w:szCs w:val="22"/>
        </w:rPr>
        <w:t>én gang</w:t>
      </w:r>
      <w:r w:rsidRPr="004C2A59">
        <w:rPr>
          <w:color w:val="000000"/>
          <w:szCs w:val="22"/>
        </w:rPr>
        <w:t xml:space="preserve"> daglig.</w:t>
      </w:r>
    </w:p>
    <w:p w14:paraId="04EB449D" w14:textId="77777777" w:rsidR="006F7492" w:rsidRPr="004C2A59" w:rsidRDefault="006F7492" w:rsidP="00421681">
      <w:pPr>
        <w:pStyle w:val="EndnoteText"/>
        <w:numPr>
          <w:ilvl w:val="12"/>
          <w:numId w:val="0"/>
        </w:numPr>
        <w:tabs>
          <w:tab w:val="clear" w:pos="567"/>
        </w:tabs>
        <w:rPr>
          <w:color w:val="000000"/>
          <w:szCs w:val="22"/>
        </w:rPr>
      </w:pPr>
    </w:p>
    <w:p w14:paraId="50B3E884" w14:textId="77777777" w:rsidR="006F7492" w:rsidRPr="004C2A59" w:rsidRDefault="006F7492" w:rsidP="00C93654">
      <w:pPr>
        <w:pStyle w:val="Text"/>
        <w:keepNext/>
        <w:widowControl w:val="0"/>
        <w:numPr>
          <w:ilvl w:val="1"/>
          <w:numId w:val="12"/>
        </w:numPr>
        <w:tabs>
          <w:tab w:val="clear" w:pos="1440"/>
          <w:tab w:val="num" w:pos="567"/>
        </w:tabs>
        <w:spacing w:before="0"/>
        <w:ind w:left="567" w:hanging="567"/>
        <w:jc w:val="left"/>
        <w:rPr>
          <w:color w:val="000000"/>
          <w:sz w:val="22"/>
          <w:szCs w:val="22"/>
          <w:lang w:val="da-DK"/>
        </w:rPr>
      </w:pPr>
      <w:r w:rsidRPr="004C2A59">
        <w:rPr>
          <w:b/>
          <w:sz w:val="22"/>
          <w:szCs w:val="22"/>
          <w:lang w:val="da-DK"/>
        </w:rPr>
        <w:t>Hvis du er i behandling for GIST:</w:t>
      </w:r>
    </w:p>
    <w:p w14:paraId="20EBF39C" w14:textId="77777777" w:rsidR="006F7492" w:rsidRPr="004C2A59" w:rsidRDefault="006F7492" w:rsidP="00421681">
      <w:pPr>
        <w:pStyle w:val="Text"/>
        <w:widowControl w:val="0"/>
        <w:spacing w:before="0"/>
        <w:ind w:firstLine="567"/>
        <w:jc w:val="left"/>
        <w:rPr>
          <w:color w:val="000000"/>
          <w:sz w:val="22"/>
          <w:szCs w:val="22"/>
          <w:lang w:val="da-DK"/>
        </w:rPr>
      </w:pPr>
      <w:r w:rsidRPr="004C2A59">
        <w:rPr>
          <w:sz w:val="22"/>
          <w:szCs w:val="22"/>
          <w:lang w:val="da-DK"/>
        </w:rPr>
        <w:t xml:space="preserve">Startdosis er 400 mg, som skal tages som 4 kapsler </w:t>
      </w:r>
      <w:r w:rsidRPr="004C2A59">
        <w:rPr>
          <w:b/>
          <w:sz w:val="22"/>
          <w:szCs w:val="22"/>
          <w:lang w:val="da-DK"/>
        </w:rPr>
        <w:t>én gang</w:t>
      </w:r>
      <w:r w:rsidRPr="004C2A59">
        <w:rPr>
          <w:sz w:val="22"/>
          <w:szCs w:val="22"/>
          <w:lang w:val="da-DK"/>
        </w:rPr>
        <w:t xml:space="preserve"> dagligt.</w:t>
      </w:r>
    </w:p>
    <w:p w14:paraId="16ED717B" w14:textId="77777777" w:rsidR="006F7492" w:rsidRPr="004C2A59" w:rsidRDefault="006F7492" w:rsidP="00421681">
      <w:pPr>
        <w:pStyle w:val="EndnoteText"/>
        <w:numPr>
          <w:ilvl w:val="12"/>
          <w:numId w:val="0"/>
        </w:numPr>
        <w:tabs>
          <w:tab w:val="clear" w:pos="567"/>
        </w:tabs>
        <w:rPr>
          <w:color w:val="000000"/>
          <w:szCs w:val="22"/>
        </w:rPr>
      </w:pPr>
    </w:p>
    <w:p w14:paraId="2E272BF0" w14:textId="77777777" w:rsidR="006F7492" w:rsidRPr="004C2A59" w:rsidRDefault="006F7492" w:rsidP="00421681">
      <w:pPr>
        <w:pStyle w:val="EndnoteText"/>
        <w:numPr>
          <w:ilvl w:val="12"/>
          <w:numId w:val="0"/>
        </w:numPr>
        <w:tabs>
          <w:tab w:val="clear" w:pos="567"/>
        </w:tabs>
        <w:rPr>
          <w:color w:val="000000"/>
          <w:szCs w:val="22"/>
        </w:rPr>
      </w:pPr>
      <w:r w:rsidRPr="004C2A59">
        <w:rPr>
          <w:color w:val="000000"/>
          <w:szCs w:val="22"/>
        </w:rPr>
        <w:t>For CML og GIST kan din læge foreskrive højere eller lavere dosis afhængigt af, hvordan du reagerer på behandlingen. Hvis din daglige dosis er 800 mg (8 kapsler), skal du tage 4 kapsler om morgenen og 4 kapsler om aftenen.</w:t>
      </w:r>
    </w:p>
    <w:p w14:paraId="2FCD6F21" w14:textId="77777777" w:rsidR="006F7492" w:rsidRPr="004C2A59" w:rsidRDefault="006F7492" w:rsidP="00421681">
      <w:pPr>
        <w:pStyle w:val="EndnoteText"/>
        <w:numPr>
          <w:ilvl w:val="12"/>
          <w:numId w:val="0"/>
        </w:numPr>
        <w:tabs>
          <w:tab w:val="clear" w:pos="567"/>
          <w:tab w:val="left" w:pos="0"/>
        </w:tabs>
        <w:rPr>
          <w:color w:val="000000"/>
          <w:szCs w:val="22"/>
        </w:rPr>
      </w:pPr>
    </w:p>
    <w:p w14:paraId="772D0FC4" w14:textId="77777777" w:rsidR="006F7492" w:rsidRPr="00F852D1" w:rsidRDefault="006F7492" w:rsidP="00C93654">
      <w:pPr>
        <w:pStyle w:val="EndnoteText"/>
        <w:keepNext/>
        <w:numPr>
          <w:ilvl w:val="1"/>
          <w:numId w:val="12"/>
        </w:numPr>
        <w:tabs>
          <w:tab w:val="clear" w:pos="1440"/>
          <w:tab w:val="left" w:pos="0"/>
          <w:tab w:val="num" w:pos="567"/>
        </w:tabs>
        <w:ind w:left="567" w:hanging="567"/>
        <w:rPr>
          <w:color w:val="000000"/>
          <w:szCs w:val="22"/>
          <w:lang w:val="nb-NO"/>
        </w:rPr>
      </w:pPr>
      <w:r w:rsidRPr="00F852D1">
        <w:rPr>
          <w:b/>
          <w:color w:val="000000"/>
          <w:szCs w:val="22"/>
          <w:lang w:val="nb-NO"/>
        </w:rPr>
        <w:t xml:space="preserve">Hvis du behandles for Ph-positiv </w:t>
      </w:r>
      <w:smartTag w:uri="urn:schemas-microsoft-com:office:smarttags" w:element="metricconverter">
        <w:r w:rsidRPr="00F852D1">
          <w:rPr>
            <w:b/>
            <w:color w:val="000000"/>
            <w:szCs w:val="22"/>
            <w:lang w:val="nb-NO"/>
          </w:rPr>
          <w:t>ALL</w:t>
        </w:r>
      </w:smartTag>
      <w:r w:rsidRPr="00F852D1">
        <w:rPr>
          <w:b/>
          <w:color w:val="000000"/>
          <w:szCs w:val="22"/>
          <w:lang w:val="nb-NO"/>
        </w:rPr>
        <w:t>:</w:t>
      </w:r>
    </w:p>
    <w:p w14:paraId="16C2B6AF" w14:textId="77777777" w:rsidR="006F7492" w:rsidRPr="004C2A59" w:rsidRDefault="006F7492" w:rsidP="00421681">
      <w:pPr>
        <w:pStyle w:val="EndnoteText"/>
        <w:tabs>
          <w:tab w:val="clear" w:pos="567"/>
        </w:tabs>
        <w:ind w:left="567"/>
        <w:rPr>
          <w:color w:val="000000"/>
          <w:szCs w:val="22"/>
        </w:rPr>
      </w:pPr>
      <w:r w:rsidRPr="004C2A59">
        <w:rPr>
          <w:color w:val="000000"/>
          <w:szCs w:val="22"/>
        </w:rPr>
        <w:t xml:space="preserve">Startdosis er 600 mg, som skal tages som 6 kapsler </w:t>
      </w:r>
      <w:r w:rsidRPr="004C2A59">
        <w:rPr>
          <w:b/>
          <w:color w:val="000000"/>
          <w:szCs w:val="22"/>
        </w:rPr>
        <w:t>én gang</w:t>
      </w:r>
      <w:r w:rsidRPr="004C2A59">
        <w:rPr>
          <w:color w:val="000000"/>
          <w:szCs w:val="22"/>
        </w:rPr>
        <w:t xml:space="preserve"> daglig.</w:t>
      </w:r>
    </w:p>
    <w:p w14:paraId="46E72161" w14:textId="77777777" w:rsidR="006F7492" w:rsidRPr="004C2A59" w:rsidRDefault="006F7492" w:rsidP="00421681">
      <w:pPr>
        <w:pStyle w:val="EndnoteText"/>
        <w:tabs>
          <w:tab w:val="clear" w:pos="567"/>
          <w:tab w:val="left" w:pos="0"/>
        </w:tabs>
        <w:rPr>
          <w:color w:val="000000"/>
          <w:szCs w:val="22"/>
        </w:rPr>
      </w:pPr>
    </w:p>
    <w:p w14:paraId="2BF85CDB" w14:textId="77777777" w:rsidR="006F7492" w:rsidRPr="004C2A59" w:rsidRDefault="006F7492" w:rsidP="00C93654">
      <w:pPr>
        <w:pStyle w:val="EndnoteText"/>
        <w:keepNext/>
        <w:numPr>
          <w:ilvl w:val="1"/>
          <w:numId w:val="12"/>
        </w:numPr>
        <w:tabs>
          <w:tab w:val="clear" w:pos="1440"/>
          <w:tab w:val="left" w:pos="0"/>
          <w:tab w:val="num" w:pos="567"/>
        </w:tabs>
        <w:ind w:left="567" w:hanging="567"/>
        <w:rPr>
          <w:color w:val="000000"/>
          <w:szCs w:val="22"/>
        </w:rPr>
      </w:pPr>
      <w:r w:rsidRPr="004C2A59">
        <w:rPr>
          <w:b/>
          <w:color w:val="000000"/>
          <w:szCs w:val="22"/>
        </w:rPr>
        <w:lastRenderedPageBreak/>
        <w:t xml:space="preserve">Hvis du behandles for </w:t>
      </w:r>
      <w:smartTag w:uri="urn:schemas-microsoft-com:office:smarttags" w:element="metricconverter">
        <w:r w:rsidRPr="004C2A59">
          <w:rPr>
            <w:b/>
            <w:color w:val="000000"/>
            <w:szCs w:val="22"/>
          </w:rPr>
          <w:t>MDS</w:t>
        </w:r>
      </w:smartTag>
      <w:r w:rsidRPr="004C2A59">
        <w:rPr>
          <w:b/>
          <w:color w:val="000000"/>
          <w:szCs w:val="22"/>
        </w:rPr>
        <w:t>/MPD:</w:t>
      </w:r>
    </w:p>
    <w:p w14:paraId="720F167F" w14:textId="77777777" w:rsidR="006F7492" w:rsidRPr="004C2A59" w:rsidRDefault="006F7492" w:rsidP="00421681">
      <w:pPr>
        <w:pStyle w:val="EndnoteText"/>
        <w:tabs>
          <w:tab w:val="clear" w:pos="567"/>
        </w:tabs>
        <w:ind w:left="567"/>
        <w:rPr>
          <w:color w:val="000000"/>
          <w:szCs w:val="22"/>
        </w:rPr>
      </w:pPr>
      <w:r w:rsidRPr="004C2A59">
        <w:rPr>
          <w:color w:val="000000"/>
          <w:szCs w:val="22"/>
        </w:rPr>
        <w:t xml:space="preserve">Startdosis er 400 mg, som skal tages som 4 kapsler </w:t>
      </w:r>
      <w:r w:rsidRPr="004C2A59">
        <w:rPr>
          <w:b/>
          <w:color w:val="000000"/>
          <w:szCs w:val="22"/>
        </w:rPr>
        <w:t>én gang</w:t>
      </w:r>
      <w:r w:rsidRPr="004C2A59">
        <w:rPr>
          <w:color w:val="000000"/>
          <w:szCs w:val="22"/>
        </w:rPr>
        <w:t xml:space="preserve"> daglig.</w:t>
      </w:r>
    </w:p>
    <w:p w14:paraId="47DEF747" w14:textId="77777777" w:rsidR="006F7492" w:rsidRPr="004C2A59" w:rsidRDefault="006F7492" w:rsidP="00421681">
      <w:pPr>
        <w:pStyle w:val="EndnoteText"/>
        <w:tabs>
          <w:tab w:val="clear" w:pos="567"/>
          <w:tab w:val="left" w:pos="0"/>
        </w:tabs>
        <w:rPr>
          <w:color w:val="000000"/>
          <w:szCs w:val="22"/>
        </w:rPr>
      </w:pPr>
    </w:p>
    <w:p w14:paraId="4FC1436C" w14:textId="77777777" w:rsidR="006F7492" w:rsidRPr="004C2A59" w:rsidRDefault="006F7492" w:rsidP="00C93654">
      <w:pPr>
        <w:pStyle w:val="EndnoteText"/>
        <w:keepNext/>
        <w:numPr>
          <w:ilvl w:val="1"/>
          <w:numId w:val="12"/>
        </w:numPr>
        <w:tabs>
          <w:tab w:val="clear" w:pos="1440"/>
          <w:tab w:val="left" w:pos="0"/>
          <w:tab w:val="num" w:pos="567"/>
        </w:tabs>
        <w:ind w:left="567" w:hanging="567"/>
        <w:rPr>
          <w:color w:val="000000"/>
          <w:szCs w:val="22"/>
        </w:rPr>
      </w:pPr>
      <w:r w:rsidRPr="004C2A59">
        <w:rPr>
          <w:b/>
          <w:color w:val="000000"/>
          <w:szCs w:val="22"/>
        </w:rPr>
        <w:t>Hvis du behandles for HES/</w:t>
      </w:r>
      <w:smartTag w:uri="urn:schemas-microsoft-com:office:smarttags" w:element="metricconverter">
        <w:r w:rsidRPr="004C2A59">
          <w:rPr>
            <w:b/>
            <w:color w:val="000000"/>
            <w:szCs w:val="22"/>
          </w:rPr>
          <w:t>CEL</w:t>
        </w:r>
      </w:smartTag>
      <w:r w:rsidRPr="004C2A59">
        <w:rPr>
          <w:b/>
          <w:color w:val="000000"/>
          <w:szCs w:val="22"/>
        </w:rPr>
        <w:t>:</w:t>
      </w:r>
    </w:p>
    <w:p w14:paraId="44445DE7" w14:textId="77777777" w:rsidR="006F7492" w:rsidRPr="004C2A59" w:rsidRDefault="006F7492" w:rsidP="00421681">
      <w:pPr>
        <w:pStyle w:val="EndnoteText"/>
        <w:tabs>
          <w:tab w:val="clear" w:pos="567"/>
          <w:tab w:val="left" w:pos="0"/>
        </w:tabs>
        <w:ind w:left="567"/>
        <w:rPr>
          <w:color w:val="000000"/>
          <w:szCs w:val="22"/>
        </w:rPr>
      </w:pPr>
      <w:r w:rsidRPr="004C2A59">
        <w:rPr>
          <w:color w:val="000000"/>
          <w:szCs w:val="22"/>
        </w:rPr>
        <w:t xml:space="preserve">Startdosis er 100 mg, som skal tages som én kapsel kapsler </w:t>
      </w:r>
      <w:r w:rsidRPr="004C2A59">
        <w:rPr>
          <w:b/>
          <w:color w:val="000000"/>
          <w:szCs w:val="22"/>
        </w:rPr>
        <w:t>én gang</w:t>
      </w:r>
      <w:r w:rsidRPr="004C2A59">
        <w:rPr>
          <w:color w:val="000000"/>
          <w:szCs w:val="22"/>
        </w:rPr>
        <w:t xml:space="preserve"> daglig. Din læge kan beslutte at øge dosis til 400 mg, som skal tages som 4 kapsler </w:t>
      </w:r>
      <w:r w:rsidRPr="004C2A59">
        <w:rPr>
          <w:b/>
          <w:color w:val="000000"/>
          <w:szCs w:val="22"/>
        </w:rPr>
        <w:t>én gang</w:t>
      </w:r>
      <w:r w:rsidRPr="004C2A59">
        <w:rPr>
          <w:color w:val="000000"/>
          <w:szCs w:val="22"/>
        </w:rPr>
        <w:t xml:space="preserve"> daglig afhængig af, hvordan du responderer på behandlingen.</w:t>
      </w:r>
    </w:p>
    <w:p w14:paraId="0DD32E54" w14:textId="77777777" w:rsidR="006F7492" w:rsidRPr="004C2A59" w:rsidRDefault="006F7492" w:rsidP="00421681">
      <w:pPr>
        <w:pStyle w:val="EndnoteText"/>
        <w:tabs>
          <w:tab w:val="clear" w:pos="567"/>
          <w:tab w:val="left" w:pos="0"/>
        </w:tabs>
        <w:rPr>
          <w:color w:val="000000"/>
          <w:szCs w:val="22"/>
        </w:rPr>
      </w:pPr>
    </w:p>
    <w:p w14:paraId="79A503F6" w14:textId="77777777" w:rsidR="006F7492" w:rsidRPr="004C2A59" w:rsidRDefault="006F7492" w:rsidP="00C93654">
      <w:pPr>
        <w:pStyle w:val="EndnoteText"/>
        <w:keepNext/>
        <w:numPr>
          <w:ilvl w:val="1"/>
          <w:numId w:val="12"/>
        </w:numPr>
        <w:tabs>
          <w:tab w:val="clear" w:pos="1440"/>
          <w:tab w:val="left" w:pos="0"/>
          <w:tab w:val="num" w:pos="567"/>
        </w:tabs>
        <w:ind w:left="567" w:hanging="567"/>
        <w:rPr>
          <w:color w:val="000000"/>
          <w:szCs w:val="22"/>
        </w:rPr>
      </w:pPr>
      <w:r w:rsidRPr="004C2A59">
        <w:rPr>
          <w:b/>
          <w:color w:val="000000"/>
          <w:szCs w:val="22"/>
        </w:rPr>
        <w:t>Hvis du behandles for DSFP:</w:t>
      </w:r>
    </w:p>
    <w:p w14:paraId="4A95DE17" w14:textId="77777777" w:rsidR="006F7492" w:rsidRPr="004C2A59" w:rsidRDefault="006F7492" w:rsidP="00421681">
      <w:pPr>
        <w:pStyle w:val="EndnoteText"/>
        <w:tabs>
          <w:tab w:val="clear" w:pos="567"/>
          <w:tab w:val="left" w:pos="0"/>
        </w:tabs>
        <w:ind w:left="567"/>
        <w:rPr>
          <w:color w:val="000000"/>
          <w:szCs w:val="22"/>
        </w:rPr>
      </w:pPr>
      <w:r w:rsidRPr="00F852D1">
        <w:rPr>
          <w:color w:val="000000"/>
          <w:szCs w:val="22"/>
          <w:lang w:val="nb-NO"/>
        </w:rPr>
        <w:t xml:space="preserve">Dosis er 800 mg pr. dag (8 kapsler). </w:t>
      </w:r>
      <w:r w:rsidRPr="004C2A59">
        <w:rPr>
          <w:color w:val="000000"/>
          <w:szCs w:val="22"/>
        </w:rPr>
        <w:t>Du skal tage 4 kapsler om morgenen og 4 kapsler om aftenen.</w:t>
      </w:r>
    </w:p>
    <w:p w14:paraId="7275FD95" w14:textId="77777777" w:rsidR="006F7492" w:rsidRPr="004C2A59" w:rsidRDefault="006F7492" w:rsidP="00421681">
      <w:pPr>
        <w:pStyle w:val="EndnoteText"/>
        <w:numPr>
          <w:ilvl w:val="12"/>
          <w:numId w:val="0"/>
        </w:numPr>
        <w:tabs>
          <w:tab w:val="clear" w:pos="567"/>
        </w:tabs>
        <w:rPr>
          <w:color w:val="000000"/>
          <w:szCs w:val="22"/>
        </w:rPr>
      </w:pPr>
    </w:p>
    <w:p w14:paraId="338E262E" w14:textId="77777777" w:rsidR="006F7492" w:rsidRPr="004C2A59" w:rsidRDefault="006F7492" w:rsidP="00C93654">
      <w:pPr>
        <w:pStyle w:val="EndnoteText"/>
        <w:keepNext/>
        <w:numPr>
          <w:ilvl w:val="12"/>
          <w:numId w:val="0"/>
        </w:numPr>
        <w:tabs>
          <w:tab w:val="clear" w:pos="567"/>
        </w:tabs>
        <w:rPr>
          <w:b/>
          <w:color w:val="000000"/>
          <w:szCs w:val="22"/>
        </w:rPr>
      </w:pPr>
      <w:r w:rsidRPr="004C2A59">
        <w:rPr>
          <w:b/>
          <w:color w:val="000000"/>
          <w:szCs w:val="22"/>
        </w:rPr>
        <w:t>Brug til børn</w:t>
      </w:r>
      <w:r w:rsidR="00C906A4" w:rsidRPr="004C2A59">
        <w:rPr>
          <w:b/>
          <w:color w:val="000000"/>
          <w:szCs w:val="22"/>
        </w:rPr>
        <w:t xml:space="preserve"> og </w:t>
      </w:r>
      <w:r w:rsidR="00226918" w:rsidRPr="004C2A59">
        <w:rPr>
          <w:b/>
          <w:color w:val="000000"/>
          <w:szCs w:val="22"/>
        </w:rPr>
        <w:t>unge</w:t>
      </w:r>
    </w:p>
    <w:p w14:paraId="6F5B7FA9" w14:textId="77777777" w:rsidR="006F7492" w:rsidRPr="004C2A59" w:rsidRDefault="006F7492" w:rsidP="00421681">
      <w:pPr>
        <w:pStyle w:val="Text"/>
        <w:widowControl w:val="0"/>
        <w:spacing w:before="0"/>
        <w:jc w:val="left"/>
        <w:rPr>
          <w:color w:val="000000"/>
          <w:sz w:val="22"/>
          <w:szCs w:val="22"/>
          <w:lang w:val="da-DK"/>
        </w:rPr>
      </w:pPr>
      <w:r w:rsidRPr="004C2A59">
        <w:rPr>
          <w:color w:val="000000"/>
          <w:sz w:val="22"/>
          <w:szCs w:val="22"/>
          <w:lang w:val="da-DK"/>
        </w:rPr>
        <w:t>Lægen vil fortælle dig, hvor mange Glivec-kapsler, du skal give dit barn. Antallet af Glivec-kapsler afhænger af barnets tilstand, kropsvægt og højde. Den totale daglige dosis til børn må ikke overstige 800 mg</w:t>
      </w:r>
      <w:r w:rsidR="00DD33C4" w:rsidRPr="004C2A59">
        <w:rPr>
          <w:color w:val="000000"/>
          <w:sz w:val="22"/>
          <w:szCs w:val="22"/>
          <w:lang w:val="da-DK"/>
        </w:rPr>
        <w:t xml:space="preserve"> for CML-patienter og 600 mg for Ph+ALL-patienter</w:t>
      </w:r>
      <w:r w:rsidRPr="004C2A59">
        <w:rPr>
          <w:color w:val="000000"/>
          <w:sz w:val="22"/>
          <w:szCs w:val="22"/>
          <w:lang w:val="da-DK"/>
        </w:rPr>
        <w:t>. Behandlingen kan enten gives til dit barn som én daglig dosis, eller alternativt kan den daglige dosis deles og gives to gange (halvdelen om morgenen og den anden halvdel om aftenen).</w:t>
      </w:r>
    </w:p>
    <w:p w14:paraId="243D6524" w14:textId="77777777" w:rsidR="006F7492" w:rsidRPr="004C2A59" w:rsidRDefault="006F7492" w:rsidP="00421681">
      <w:pPr>
        <w:pStyle w:val="EndnoteText"/>
        <w:numPr>
          <w:ilvl w:val="12"/>
          <w:numId w:val="0"/>
        </w:numPr>
        <w:tabs>
          <w:tab w:val="clear" w:pos="567"/>
        </w:tabs>
        <w:rPr>
          <w:color w:val="000000"/>
          <w:szCs w:val="22"/>
        </w:rPr>
      </w:pPr>
    </w:p>
    <w:p w14:paraId="625DDB89" w14:textId="77777777" w:rsidR="006F7492" w:rsidRPr="004C2A59" w:rsidRDefault="006F7492" w:rsidP="00C93654">
      <w:pPr>
        <w:pStyle w:val="EndnoteText"/>
        <w:keepNext/>
        <w:numPr>
          <w:ilvl w:val="12"/>
          <w:numId w:val="0"/>
        </w:numPr>
        <w:tabs>
          <w:tab w:val="clear" w:pos="567"/>
        </w:tabs>
        <w:rPr>
          <w:b/>
          <w:color w:val="000000"/>
          <w:szCs w:val="22"/>
        </w:rPr>
      </w:pPr>
      <w:r w:rsidRPr="004C2A59">
        <w:rPr>
          <w:b/>
          <w:color w:val="000000"/>
          <w:szCs w:val="22"/>
        </w:rPr>
        <w:t>Hvornår og hvordan skal du tage Glivec</w:t>
      </w:r>
    </w:p>
    <w:p w14:paraId="45BBFF38" w14:textId="77777777" w:rsidR="006F7492" w:rsidRPr="004C2A59" w:rsidRDefault="006F7492" w:rsidP="00421681">
      <w:pPr>
        <w:widowControl w:val="0"/>
        <w:numPr>
          <w:ilvl w:val="1"/>
          <w:numId w:val="16"/>
        </w:numPr>
        <w:tabs>
          <w:tab w:val="clear" w:pos="1440"/>
        </w:tabs>
        <w:suppressAutoHyphens/>
        <w:ind w:left="567" w:hanging="567"/>
        <w:rPr>
          <w:color w:val="000000"/>
          <w:sz w:val="22"/>
          <w:szCs w:val="22"/>
          <w:lang w:val="da-DK"/>
        </w:rPr>
      </w:pPr>
      <w:r w:rsidRPr="004C2A59">
        <w:rPr>
          <w:b/>
          <w:color w:val="000000"/>
          <w:sz w:val="22"/>
          <w:szCs w:val="22"/>
          <w:lang w:val="da-DK"/>
        </w:rPr>
        <w:t xml:space="preserve">Tag Glivec sammen med et måltid. </w:t>
      </w:r>
      <w:r w:rsidRPr="004C2A59">
        <w:rPr>
          <w:color w:val="000000"/>
          <w:sz w:val="22"/>
          <w:szCs w:val="22"/>
          <w:lang w:val="da-DK"/>
        </w:rPr>
        <w:t>Dette vil hjælpe med at beskytte dig mod maveproblemer, når du tager Glivec.</w:t>
      </w:r>
    </w:p>
    <w:p w14:paraId="583AE920" w14:textId="77777777" w:rsidR="006F7492" w:rsidRPr="004C2A59" w:rsidRDefault="006F7492" w:rsidP="00421681">
      <w:pPr>
        <w:widowControl w:val="0"/>
        <w:numPr>
          <w:ilvl w:val="1"/>
          <w:numId w:val="16"/>
        </w:numPr>
        <w:tabs>
          <w:tab w:val="clear" w:pos="1440"/>
        </w:tabs>
        <w:suppressAutoHyphens/>
        <w:ind w:left="567" w:hanging="567"/>
        <w:rPr>
          <w:sz w:val="22"/>
          <w:szCs w:val="22"/>
          <w:lang w:val="da-DK"/>
        </w:rPr>
      </w:pPr>
      <w:r w:rsidRPr="004C2A59">
        <w:rPr>
          <w:b/>
          <w:color w:val="000000"/>
          <w:sz w:val="22"/>
          <w:szCs w:val="22"/>
          <w:lang w:val="da-DK"/>
        </w:rPr>
        <w:t xml:space="preserve">Synk kapslerne hele med et stort glas vand. </w:t>
      </w:r>
      <w:r w:rsidRPr="004C2A59">
        <w:rPr>
          <w:sz w:val="22"/>
          <w:szCs w:val="22"/>
          <w:lang w:val="da-DK"/>
        </w:rPr>
        <w:t>Du må ikke åbne eller knuse kapslerne med mindre du ikke er i stand til at synke (for eksempel hos børn).</w:t>
      </w:r>
    </w:p>
    <w:p w14:paraId="670E4C09" w14:textId="77777777" w:rsidR="006F7492" w:rsidRPr="004C2A59" w:rsidRDefault="006F7492" w:rsidP="00421681">
      <w:pPr>
        <w:widowControl w:val="0"/>
        <w:numPr>
          <w:ilvl w:val="1"/>
          <w:numId w:val="16"/>
        </w:numPr>
        <w:tabs>
          <w:tab w:val="clear" w:pos="1440"/>
        </w:tabs>
        <w:suppressAutoHyphens/>
        <w:ind w:left="567" w:hanging="567"/>
        <w:rPr>
          <w:sz w:val="22"/>
          <w:szCs w:val="22"/>
          <w:lang w:val="da-DK"/>
        </w:rPr>
      </w:pPr>
      <w:r w:rsidRPr="004C2A59">
        <w:rPr>
          <w:sz w:val="22"/>
          <w:szCs w:val="22"/>
          <w:lang w:val="da-DK"/>
        </w:rPr>
        <w:t>Hvis du ikke er i stand til at synke kapslerne, kan du åbne dem og opløse pulveret i et glas almindeligt vand eller æblejuice.</w:t>
      </w:r>
    </w:p>
    <w:p w14:paraId="2A87E630" w14:textId="77777777" w:rsidR="006F7492" w:rsidRPr="004C2A59" w:rsidRDefault="006F7492" w:rsidP="00421681">
      <w:pPr>
        <w:widowControl w:val="0"/>
        <w:numPr>
          <w:ilvl w:val="1"/>
          <w:numId w:val="16"/>
        </w:numPr>
        <w:tabs>
          <w:tab w:val="clear" w:pos="1440"/>
        </w:tabs>
        <w:suppressAutoHyphens/>
        <w:ind w:left="567" w:hanging="567"/>
        <w:rPr>
          <w:sz w:val="22"/>
          <w:szCs w:val="22"/>
          <w:lang w:val="da-DK"/>
        </w:rPr>
      </w:pPr>
      <w:r w:rsidRPr="004C2A59">
        <w:rPr>
          <w:sz w:val="22"/>
          <w:szCs w:val="22"/>
          <w:lang w:val="da-DK"/>
        </w:rPr>
        <w:t>Hvis du er kvinde og er gravid eller planlægger at blive gravid, skal du være forsigtig, når du åbner kasplerne og håndterer indholdet for at undgå hud- og øjenkontakt eller indånding af pulveret. Du skal vaske dine hænder straks efter, du har åbnet kapslerne.</w:t>
      </w:r>
    </w:p>
    <w:p w14:paraId="3A968F03" w14:textId="77777777" w:rsidR="006F7492" w:rsidRPr="004C2A59" w:rsidRDefault="006F7492" w:rsidP="00C93654">
      <w:pPr>
        <w:pStyle w:val="Heading9"/>
        <w:keepNext w:val="0"/>
        <w:widowControl w:val="0"/>
        <w:numPr>
          <w:ilvl w:val="0"/>
          <w:numId w:val="0"/>
        </w:numPr>
        <w:rPr>
          <w:b w:val="0"/>
          <w:bCs/>
          <w:color w:val="000000"/>
          <w:szCs w:val="22"/>
        </w:rPr>
      </w:pPr>
    </w:p>
    <w:p w14:paraId="3CF93C2F" w14:textId="77777777" w:rsidR="006F7492" w:rsidRPr="004C2A59" w:rsidRDefault="006F7492" w:rsidP="00421681">
      <w:pPr>
        <w:pStyle w:val="Heading9"/>
        <w:widowControl w:val="0"/>
        <w:numPr>
          <w:ilvl w:val="0"/>
          <w:numId w:val="0"/>
        </w:numPr>
        <w:rPr>
          <w:color w:val="000000"/>
          <w:szCs w:val="22"/>
        </w:rPr>
      </w:pPr>
      <w:r w:rsidRPr="004C2A59">
        <w:rPr>
          <w:color w:val="000000"/>
          <w:szCs w:val="22"/>
        </w:rPr>
        <w:t>Hvor længe skal du tage Glivec</w:t>
      </w:r>
    </w:p>
    <w:p w14:paraId="4086A599" w14:textId="74C3303E" w:rsidR="006F7492" w:rsidRPr="004C2A59" w:rsidRDefault="006F7492" w:rsidP="00421681">
      <w:pPr>
        <w:widowControl w:val="0"/>
        <w:suppressAutoHyphens/>
        <w:rPr>
          <w:color w:val="000000"/>
          <w:sz w:val="22"/>
          <w:szCs w:val="22"/>
          <w:lang w:val="da-DK"/>
        </w:rPr>
      </w:pPr>
      <w:r w:rsidRPr="004C2A59">
        <w:rPr>
          <w:color w:val="000000"/>
          <w:sz w:val="22"/>
          <w:szCs w:val="22"/>
          <w:lang w:val="da-DK"/>
        </w:rPr>
        <w:t>Bliv ved med at tage Glivec hver dag, så længe som din læge har foreskevet det.</w:t>
      </w:r>
    </w:p>
    <w:p w14:paraId="088BC636" w14:textId="77777777" w:rsidR="006F7492" w:rsidRPr="004C2A59" w:rsidRDefault="006F7492" w:rsidP="00421681">
      <w:pPr>
        <w:widowControl w:val="0"/>
        <w:suppressAutoHyphens/>
        <w:rPr>
          <w:color w:val="000000"/>
          <w:sz w:val="22"/>
          <w:szCs w:val="22"/>
          <w:lang w:val="da-DK"/>
        </w:rPr>
      </w:pPr>
    </w:p>
    <w:p w14:paraId="753FC11B" w14:textId="77777777" w:rsidR="006F7492" w:rsidRPr="004C2A59" w:rsidRDefault="006F7492" w:rsidP="00C93654">
      <w:pPr>
        <w:pStyle w:val="BodyText3"/>
        <w:keepNext/>
        <w:widowControl w:val="0"/>
        <w:tabs>
          <w:tab w:val="clear" w:pos="-720"/>
        </w:tabs>
        <w:rPr>
          <w:b w:val="0"/>
          <w:color w:val="000000"/>
          <w:szCs w:val="22"/>
        </w:rPr>
      </w:pPr>
      <w:r w:rsidRPr="004C2A59">
        <w:rPr>
          <w:color w:val="000000"/>
          <w:szCs w:val="22"/>
        </w:rPr>
        <w:t>Hvis du har taget for meget Glivec</w:t>
      </w:r>
    </w:p>
    <w:p w14:paraId="29E0318E" w14:textId="77777777" w:rsidR="006F7492" w:rsidRPr="004C2A59" w:rsidRDefault="006F7492" w:rsidP="00421681">
      <w:pPr>
        <w:widowControl w:val="0"/>
        <w:rPr>
          <w:color w:val="000000"/>
          <w:sz w:val="22"/>
          <w:szCs w:val="22"/>
          <w:lang w:val="da-DK"/>
        </w:rPr>
      </w:pPr>
      <w:r w:rsidRPr="004C2A59">
        <w:rPr>
          <w:color w:val="000000"/>
          <w:sz w:val="22"/>
          <w:szCs w:val="22"/>
          <w:lang w:val="da-DK"/>
        </w:rPr>
        <w:t xml:space="preserve">Hvis du ved et uheld har indtaget for mange kapsler, skal du kontakte din læge </w:t>
      </w:r>
      <w:r w:rsidRPr="004C2A59">
        <w:rPr>
          <w:b/>
          <w:color w:val="000000"/>
          <w:sz w:val="22"/>
          <w:szCs w:val="22"/>
          <w:lang w:val="da-DK"/>
        </w:rPr>
        <w:t>med det samme</w:t>
      </w:r>
      <w:r w:rsidRPr="004C2A59">
        <w:rPr>
          <w:color w:val="000000"/>
          <w:sz w:val="22"/>
          <w:szCs w:val="22"/>
          <w:lang w:val="da-DK"/>
        </w:rPr>
        <w:t>. Lægebehandling kan være nødvendig. Tag pakningen med dig.</w:t>
      </w:r>
    </w:p>
    <w:p w14:paraId="18D9DB19" w14:textId="77777777" w:rsidR="006F7492" w:rsidRPr="004C2A59" w:rsidRDefault="006F7492" w:rsidP="00421681">
      <w:pPr>
        <w:widowControl w:val="0"/>
        <w:rPr>
          <w:color w:val="000000"/>
          <w:sz w:val="22"/>
          <w:szCs w:val="22"/>
          <w:lang w:val="da-DK"/>
        </w:rPr>
      </w:pPr>
    </w:p>
    <w:p w14:paraId="78B6FEA2" w14:textId="77777777" w:rsidR="006F7492" w:rsidRPr="004C2A59" w:rsidRDefault="006F7492" w:rsidP="00C93654">
      <w:pPr>
        <w:pStyle w:val="BodyText3"/>
        <w:keepNext/>
        <w:widowControl w:val="0"/>
        <w:tabs>
          <w:tab w:val="clear" w:pos="-720"/>
        </w:tabs>
        <w:rPr>
          <w:b w:val="0"/>
          <w:color w:val="000000"/>
          <w:szCs w:val="22"/>
        </w:rPr>
      </w:pPr>
      <w:r w:rsidRPr="004C2A59">
        <w:rPr>
          <w:color w:val="000000"/>
          <w:szCs w:val="22"/>
        </w:rPr>
        <w:t>Hvis du har glemt at tage Glivec</w:t>
      </w:r>
    </w:p>
    <w:p w14:paraId="1F5381AB" w14:textId="77777777" w:rsidR="006F7492" w:rsidRPr="004C2A59" w:rsidRDefault="006F7492" w:rsidP="00421681">
      <w:pPr>
        <w:widowControl w:val="0"/>
        <w:numPr>
          <w:ilvl w:val="0"/>
          <w:numId w:val="17"/>
        </w:numPr>
        <w:tabs>
          <w:tab w:val="clear" w:pos="927"/>
        </w:tabs>
        <w:ind w:left="567" w:hanging="567"/>
        <w:rPr>
          <w:color w:val="000000"/>
          <w:sz w:val="22"/>
          <w:szCs w:val="22"/>
          <w:lang w:val="da-DK"/>
        </w:rPr>
      </w:pPr>
      <w:r w:rsidRPr="004C2A59">
        <w:rPr>
          <w:color w:val="000000"/>
          <w:sz w:val="22"/>
          <w:szCs w:val="22"/>
          <w:lang w:val="da-DK"/>
        </w:rPr>
        <w:t>Hvis du glemmer at tage en dosis, så tag den, så snart du kommer i tanker om det. Men hvis det næsten er tid til at tage den næste dosis, skal du springe den glemte dosis over.</w:t>
      </w:r>
    </w:p>
    <w:p w14:paraId="61A2377D" w14:textId="77777777" w:rsidR="006F7492" w:rsidRPr="004C2A59" w:rsidRDefault="006F7492" w:rsidP="00421681">
      <w:pPr>
        <w:widowControl w:val="0"/>
        <w:numPr>
          <w:ilvl w:val="0"/>
          <w:numId w:val="17"/>
        </w:numPr>
        <w:tabs>
          <w:tab w:val="clear" w:pos="927"/>
        </w:tabs>
        <w:ind w:left="567" w:hanging="567"/>
        <w:rPr>
          <w:color w:val="000000"/>
          <w:sz w:val="22"/>
          <w:szCs w:val="22"/>
          <w:lang w:val="da-DK"/>
        </w:rPr>
      </w:pPr>
      <w:r w:rsidRPr="004C2A59">
        <w:rPr>
          <w:color w:val="000000"/>
          <w:sz w:val="22"/>
          <w:szCs w:val="22"/>
          <w:lang w:val="da-DK"/>
        </w:rPr>
        <w:t>Fortsæt derefter med den planlagte dosering.</w:t>
      </w:r>
    </w:p>
    <w:p w14:paraId="2737A35C" w14:textId="77777777" w:rsidR="006F7492" w:rsidRPr="004C2A59" w:rsidRDefault="006F7492" w:rsidP="00C93654">
      <w:pPr>
        <w:keepNext/>
        <w:widowControl w:val="0"/>
        <w:numPr>
          <w:ilvl w:val="0"/>
          <w:numId w:val="17"/>
        </w:numPr>
        <w:tabs>
          <w:tab w:val="clear" w:pos="927"/>
        </w:tabs>
        <w:ind w:left="567" w:hanging="567"/>
        <w:rPr>
          <w:color w:val="000000"/>
          <w:sz w:val="22"/>
          <w:szCs w:val="22"/>
          <w:lang w:val="da-DK"/>
        </w:rPr>
      </w:pPr>
      <w:r w:rsidRPr="004C2A59">
        <w:rPr>
          <w:color w:val="000000"/>
          <w:sz w:val="22"/>
          <w:szCs w:val="22"/>
          <w:lang w:val="da-DK"/>
        </w:rPr>
        <w:t>Du må ikke tage en dobbeltdosis som erstatning for den glemte dosis.</w:t>
      </w:r>
    </w:p>
    <w:p w14:paraId="1C82B7F2" w14:textId="77777777" w:rsidR="006F7492" w:rsidRPr="004C2A59" w:rsidRDefault="006F7492" w:rsidP="00C93654">
      <w:pPr>
        <w:pStyle w:val="BodyText3"/>
        <w:keepNext/>
        <w:widowControl w:val="0"/>
        <w:tabs>
          <w:tab w:val="clear" w:pos="-720"/>
        </w:tabs>
        <w:rPr>
          <w:b w:val="0"/>
          <w:color w:val="000000"/>
          <w:szCs w:val="22"/>
        </w:rPr>
      </w:pPr>
    </w:p>
    <w:p w14:paraId="5DD7893E" w14:textId="77777777" w:rsidR="006F7492" w:rsidRPr="004C2A59" w:rsidRDefault="006F7492" w:rsidP="00421681">
      <w:pPr>
        <w:widowControl w:val="0"/>
        <w:suppressAutoHyphens/>
        <w:ind w:left="567" w:hanging="567"/>
        <w:rPr>
          <w:color w:val="000000"/>
          <w:sz w:val="22"/>
          <w:szCs w:val="22"/>
          <w:lang w:val="da-DK"/>
        </w:rPr>
      </w:pPr>
      <w:r w:rsidRPr="004C2A59">
        <w:rPr>
          <w:color w:val="000000"/>
          <w:sz w:val="22"/>
          <w:szCs w:val="22"/>
          <w:lang w:val="da-DK"/>
        </w:rPr>
        <w:t>Spørg lægen</w:t>
      </w:r>
      <w:r w:rsidR="00C906A4" w:rsidRPr="004C2A59">
        <w:rPr>
          <w:color w:val="000000"/>
          <w:sz w:val="22"/>
          <w:szCs w:val="22"/>
          <w:lang w:val="da-DK"/>
        </w:rPr>
        <w:t>,</w:t>
      </w:r>
      <w:r w:rsidRPr="004C2A59">
        <w:rPr>
          <w:color w:val="000000"/>
          <w:sz w:val="22"/>
          <w:szCs w:val="22"/>
          <w:lang w:val="da-DK"/>
        </w:rPr>
        <w:t xml:space="preserve"> apotek</w:t>
      </w:r>
      <w:r w:rsidR="00973DF3" w:rsidRPr="004C2A59">
        <w:rPr>
          <w:color w:val="000000"/>
          <w:sz w:val="22"/>
          <w:szCs w:val="22"/>
          <w:lang w:val="da-DK"/>
        </w:rPr>
        <w:t>spersonalet</w:t>
      </w:r>
      <w:r w:rsidR="00C906A4" w:rsidRPr="004C2A59">
        <w:rPr>
          <w:color w:val="000000"/>
          <w:sz w:val="22"/>
          <w:szCs w:val="22"/>
          <w:lang w:val="da-DK"/>
        </w:rPr>
        <w:t xml:space="preserve"> eller sundhedspersonalet</w:t>
      </w:r>
      <w:r w:rsidRPr="004C2A59">
        <w:rPr>
          <w:color w:val="000000"/>
          <w:sz w:val="22"/>
          <w:szCs w:val="22"/>
          <w:lang w:val="da-DK"/>
        </w:rPr>
        <w:t>, hvis der er noget, du er i tvivl om.</w:t>
      </w:r>
    </w:p>
    <w:p w14:paraId="30B8F08F" w14:textId="77777777" w:rsidR="006F7492" w:rsidRPr="004C2A59" w:rsidRDefault="006F7492" w:rsidP="00421681">
      <w:pPr>
        <w:widowControl w:val="0"/>
        <w:suppressAutoHyphens/>
        <w:ind w:left="567" w:hanging="567"/>
        <w:rPr>
          <w:color w:val="000000"/>
          <w:sz w:val="22"/>
          <w:szCs w:val="22"/>
          <w:lang w:val="da-DK"/>
        </w:rPr>
      </w:pPr>
    </w:p>
    <w:p w14:paraId="41F15A0B" w14:textId="77777777" w:rsidR="006F7492" w:rsidRPr="004C2A59" w:rsidRDefault="006F7492" w:rsidP="00421681">
      <w:pPr>
        <w:widowControl w:val="0"/>
        <w:suppressAutoHyphens/>
        <w:ind w:left="567" w:hanging="567"/>
        <w:rPr>
          <w:color w:val="000000"/>
          <w:sz w:val="22"/>
          <w:szCs w:val="22"/>
          <w:lang w:val="da-DK"/>
        </w:rPr>
      </w:pPr>
    </w:p>
    <w:p w14:paraId="63182565" w14:textId="77777777" w:rsidR="00A573B3" w:rsidRPr="004C2A59" w:rsidRDefault="00A573B3" w:rsidP="00421681">
      <w:pPr>
        <w:widowControl w:val="0"/>
        <w:suppressAutoHyphens/>
        <w:ind w:left="567" w:hanging="567"/>
        <w:rPr>
          <w:color w:val="000000"/>
          <w:sz w:val="22"/>
          <w:szCs w:val="22"/>
          <w:lang w:val="da-DK"/>
        </w:rPr>
      </w:pPr>
      <w:r w:rsidRPr="004C2A59">
        <w:rPr>
          <w:b/>
          <w:color w:val="000000"/>
          <w:sz w:val="22"/>
          <w:szCs w:val="22"/>
          <w:lang w:val="da-DK"/>
        </w:rPr>
        <w:t>4.</w:t>
      </w:r>
      <w:r w:rsidRPr="004C2A59">
        <w:rPr>
          <w:b/>
          <w:color w:val="000000"/>
          <w:sz w:val="22"/>
          <w:szCs w:val="22"/>
          <w:lang w:val="da-DK"/>
        </w:rPr>
        <w:tab/>
        <w:t>Bivirkninger</w:t>
      </w:r>
    </w:p>
    <w:p w14:paraId="305F85E2" w14:textId="77777777" w:rsidR="00A573B3" w:rsidRPr="004C2A59" w:rsidRDefault="00A573B3" w:rsidP="00421681">
      <w:pPr>
        <w:widowControl w:val="0"/>
        <w:suppressAutoHyphens/>
        <w:rPr>
          <w:color w:val="000000"/>
          <w:sz w:val="22"/>
          <w:szCs w:val="22"/>
          <w:lang w:val="da-DK"/>
        </w:rPr>
      </w:pPr>
    </w:p>
    <w:p w14:paraId="5BA0020C" w14:textId="77777777" w:rsidR="00A573B3" w:rsidRPr="004C2A59" w:rsidRDefault="00A573B3" w:rsidP="00421681">
      <w:pPr>
        <w:widowControl w:val="0"/>
        <w:suppressAutoHyphens/>
        <w:rPr>
          <w:color w:val="000000"/>
          <w:sz w:val="22"/>
          <w:szCs w:val="22"/>
          <w:lang w:val="da-DK"/>
        </w:rPr>
      </w:pPr>
      <w:r w:rsidRPr="004C2A59">
        <w:rPr>
          <w:color w:val="000000"/>
          <w:sz w:val="22"/>
          <w:szCs w:val="22"/>
          <w:lang w:val="da-DK"/>
        </w:rPr>
        <w:t>Dette lægemiddel kan som al anden medicin give bivirkninger, men ikke alle får bivirkninger. De er som regel lette til moderate.</w:t>
      </w:r>
    </w:p>
    <w:p w14:paraId="247B631F" w14:textId="77777777" w:rsidR="00A573B3" w:rsidRPr="004C2A59" w:rsidRDefault="00A573B3" w:rsidP="00421681">
      <w:pPr>
        <w:widowControl w:val="0"/>
        <w:suppressAutoHyphens/>
        <w:rPr>
          <w:color w:val="000000"/>
          <w:sz w:val="22"/>
          <w:szCs w:val="22"/>
          <w:lang w:val="da-DK"/>
        </w:rPr>
      </w:pPr>
    </w:p>
    <w:p w14:paraId="2C967128" w14:textId="77777777" w:rsidR="00A573B3" w:rsidRPr="004C2A59" w:rsidRDefault="00A573B3" w:rsidP="00C93654">
      <w:pPr>
        <w:widowControl w:val="0"/>
        <w:suppressAutoHyphens/>
        <w:rPr>
          <w:b/>
          <w:sz w:val="22"/>
          <w:szCs w:val="22"/>
          <w:lang w:val="da-DK"/>
        </w:rPr>
      </w:pPr>
      <w:r w:rsidRPr="004C2A59">
        <w:rPr>
          <w:b/>
          <w:sz w:val="22"/>
          <w:szCs w:val="22"/>
          <w:lang w:val="da-DK"/>
        </w:rPr>
        <w:t>Nogle bivirkninger kan være alvorlige. Kontakt din læge med det samme, hvis du oplever nogle af de følgende bivirkninger:</w:t>
      </w:r>
    </w:p>
    <w:p w14:paraId="227FDDA8" w14:textId="77777777" w:rsidR="00A573B3" w:rsidRPr="004C2A59" w:rsidRDefault="00A573B3" w:rsidP="00C93654">
      <w:pPr>
        <w:pStyle w:val="BodyText3"/>
        <w:keepNext/>
        <w:widowControl w:val="0"/>
        <w:tabs>
          <w:tab w:val="clear" w:pos="-720"/>
        </w:tabs>
        <w:rPr>
          <w:b w:val="0"/>
          <w:bCs/>
          <w:i/>
          <w:iCs/>
          <w:color w:val="000000"/>
          <w:szCs w:val="22"/>
        </w:rPr>
      </w:pPr>
    </w:p>
    <w:p w14:paraId="1E672C82" w14:textId="77777777" w:rsidR="00A573B3" w:rsidRPr="004C2A59" w:rsidRDefault="00A573B3" w:rsidP="00C93654">
      <w:pPr>
        <w:pStyle w:val="BodyText3"/>
        <w:keepNext/>
        <w:keepLines/>
        <w:widowControl w:val="0"/>
        <w:tabs>
          <w:tab w:val="clear" w:pos="-720"/>
        </w:tabs>
        <w:rPr>
          <w:b w:val="0"/>
          <w:bCs/>
          <w:iCs/>
          <w:color w:val="000000"/>
          <w:szCs w:val="22"/>
        </w:rPr>
      </w:pPr>
      <w:r w:rsidRPr="004C2A59">
        <w:rPr>
          <w:bCs/>
          <w:iCs/>
          <w:color w:val="000000"/>
          <w:szCs w:val="22"/>
        </w:rPr>
        <w:t>Meget almindelige</w:t>
      </w:r>
      <w:r w:rsidRPr="004C2A59">
        <w:rPr>
          <w:b w:val="0"/>
          <w:bCs/>
          <w:iCs/>
          <w:color w:val="000000"/>
          <w:szCs w:val="22"/>
        </w:rPr>
        <w:t xml:space="preserve"> (kan forekomme hos flere end 1 ud af 10 patienter) </w:t>
      </w:r>
      <w:r w:rsidRPr="004C2A59">
        <w:rPr>
          <w:bCs/>
          <w:iCs/>
          <w:color w:val="000000"/>
          <w:szCs w:val="22"/>
        </w:rPr>
        <w:t>eller almindelige</w:t>
      </w:r>
      <w:r w:rsidRPr="004C2A59">
        <w:rPr>
          <w:b w:val="0"/>
          <w:bCs/>
          <w:iCs/>
          <w:color w:val="000000"/>
          <w:szCs w:val="22"/>
        </w:rPr>
        <w:t xml:space="preserve"> (kan forekomme hos op til 1 ud af 10 patienter):</w:t>
      </w:r>
    </w:p>
    <w:p w14:paraId="77232CB9" w14:textId="77777777" w:rsidR="00A573B3" w:rsidRPr="004C2A59" w:rsidRDefault="00A573B3" w:rsidP="00C93654">
      <w:pPr>
        <w:keepLines/>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Hurtig vægtøgning. Glivec kan føre til, at din krop kan begynde at ophobe væske (svære ødemer).</w:t>
      </w:r>
    </w:p>
    <w:p w14:paraId="1B77A993"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Symptomer på infektioner såsom feber, kraftige kulderystelser, ondt i halsen eller sår i munden. Glivec kan nedsætte antallet af hvide blodlegemer, så du lettere kan få infektioner.</w:t>
      </w:r>
    </w:p>
    <w:p w14:paraId="58B12353"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Hvis du oplever uventede blødninger eller blå mærker (når du ikke er kommet til skade).</w:t>
      </w:r>
    </w:p>
    <w:p w14:paraId="1EA50677" w14:textId="77777777" w:rsidR="00A573B3" w:rsidRPr="004C2A59" w:rsidRDefault="00A573B3" w:rsidP="00421681">
      <w:pPr>
        <w:widowControl w:val="0"/>
        <w:suppressAutoHyphens/>
        <w:rPr>
          <w:color w:val="000000"/>
          <w:sz w:val="22"/>
          <w:szCs w:val="22"/>
          <w:lang w:val="da-DK"/>
        </w:rPr>
      </w:pPr>
    </w:p>
    <w:p w14:paraId="3BF5B881" w14:textId="77777777" w:rsidR="00A573B3" w:rsidRPr="004C2A59" w:rsidRDefault="00A573B3" w:rsidP="00C93654">
      <w:pPr>
        <w:keepNext/>
        <w:widowControl w:val="0"/>
        <w:suppressAutoHyphens/>
        <w:rPr>
          <w:iCs/>
          <w:color w:val="000000"/>
          <w:sz w:val="22"/>
          <w:szCs w:val="22"/>
          <w:lang w:val="da-DK"/>
        </w:rPr>
      </w:pPr>
      <w:r w:rsidRPr="004C2A59">
        <w:rPr>
          <w:b/>
          <w:iCs/>
          <w:color w:val="000000"/>
          <w:sz w:val="22"/>
          <w:szCs w:val="22"/>
          <w:lang w:val="da-DK"/>
        </w:rPr>
        <w:t>Ikke almindelige</w:t>
      </w:r>
      <w:r w:rsidRPr="004C2A59">
        <w:rPr>
          <w:iCs/>
          <w:color w:val="000000"/>
          <w:sz w:val="22"/>
          <w:szCs w:val="22"/>
          <w:lang w:val="da-DK"/>
        </w:rPr>
        <w:t xml:space="preserve"> (kan forekomme hos op til 1 ud af 100 patienter) </w:t>
      </w:r>
      <w:r w:rsidRPr="004C2A59">
        <w:rPr>
          <w:b/>
          <w:iCs/>
          <w:color w:val="000000"/>
          <w:sz w:val="22"/>
          <w:szCs w:val="22"/>
          <w:lang w:val="da-DK"/>
        </w:rPr>
        <w:t>til sjældne</w:t>
      </w:r>
      <w:r w:rsidRPr="004C2A59">
        <w:rPr>
          <w:iCs/>
          <w:color w:val="000000"/>
          <w:sz w:val="22"/>
          <w:szCs w:val="22"/>
          <w:lang w:val="da-DK"/>
        </w:rPr>
        <w:t xml:space="preserve"> (kan forekomme hos op til 1 ud af 1.000 patienter):</w:t>
      </w:r>
    </w:p>
    <w:p w14:paraId="5CB40C52"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Brystsmerter, uregelmæssig hjerterytme (tegn på hjerteproblemer).</w:t>
      </w:r>
    </w:p>
    <w:p w14:paraId="02498F5E"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Hoste, åndedrætsbesvær eller smerter ved vejrtrækning (tegn på lungeproblemer).</w:t>
      </w:r>
    </w:p>
    <w:p w14:paraId="5B0DBA00"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Føle sig svimmel eller besvime (tegn på lavt blodtryk).</w:t>
      </w:r>
    </w:p>
    <w:p w14:paraId="38A57C54"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Have kvalme med tab af appetitten, mørk urin, gul hud eller øjne (tegn på leverproblemer).</w:t>
      </w:r>
    </w:p>
    <w:p w14:paraId="3F9F6354"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Udslæt, rød hud med små blærer på læber, øjne, hud eller mund, afskallet hud, feber, hævede røde eller lilla hudområder, kløe, brændende fornemmelse, pustuløst udslæt (tegn på hudproblemer).</w:t>
      </w:r>
    </w:p>
    <w:p w14:paraId="60B26BEC"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Kraftige mavesmerter, blod i opkast, afføring eller urin, sortfarvet afføring (tegn på mave-tarm-sygdomme).</w:t>
      </w:r>
    </w:p>
    <w:p w14:paraId="37E337D8"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Kraftigt nedsat urinmængde, følelse af tørst (tegn på nyreproblemer).</w:t>
      </w:r>
    </w:p>
    <w:p w14:paraId="22E21DA8"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Have kvalme med diarré og opkastning, mavesmerter eller feber (tegn på tarmproblemer).</w:t>
      </w:r>
    </w:p>
    <w:p w14:paraId="579874BF"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Kraftig hovedpine, svækkelse eller lammelser af lemmer eller ansigt, talebesvær, pludseligt bevidsthedstab (tegn på problemer med nervesystemet såsom blødning eller hævelse i kranie/hjerne).</w:t>
      </w:r>
    </w:p>
    <w:p w14:paraId="0EC39E81"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Bleghed, føle sig træt og stakåndet og have mørk urin (tegn på lavt antal røde blodceller).</w:t>
      </w:r>
    </w:p>
    <w:p w14:paraId="01A4698C"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Øjensmerter eller svækkelse af dit syn, blødning i øjnene.</w:t>
      </w:r>
    </w:p>
    <w:p w14:paraId="1B71D98F"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Smerte i hoften eller svært ved at gå.</w:t>
      </w:r>
    </w:p>
    <w:p w14:paraId="79B3F12E"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Følelsesløse eller kolde tæer og fingre (tegn på Raynaud´s syndrom).</w:t>
      </w:r>
    </w:p>
    <w:p w14:paraId="073859D4"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Pludselig hævelse og rødme af huden (tegn på en hudinfektion kaldet cellulitis).</w:t>
      </w:r>
    </w:p>
    <w:p w14:paraId="17DAC94C"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Hørebesvær.</w:t>
      </w:r>
    </w:p>
    <w:p w14:paraId="3F6933B0"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Muskelsvaghed, kramper og en unormal hjerterytme (tegn på ændringer i mængden af kalium i dit blod).</w:t>
      </w:r>
    </w:p>
    <w:p w14:paraId="41F0C0ED"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Let ved at få blå mærker.</w:t>
      </w:r>
    </w:p>
    <w:p w14:paraId="4C2623B5"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Mavesmerter med kvalme.</w:t>
      </w:r>
    </w:p>
    <w:p w14:paraId="6E34A7E6"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Muskelkramper med feber, rød-brun urin, smerter eller svaghed i dine muskler (tegn på muskelproblemer).</w:t>
      </w:r>
    </w:p>
    <w:p w14:paraId="751A17E4"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Bækkensmerter, nogle gange med kvalme og opkastninger med uventet vaginalblødning, føle sig svimmel eller besvime pga. nedsat blodtryk (tegn på problemer med dine æggestokke eller livmoder).</w:t>
      </w:r>
    </w:p>
    <w:p w14:paraId="0513710E" w14:textId="77777777" w:rsidR="00A573B3"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 xml:space="preserve">Kvalme, åndenød, uregelmæssig hjerterytme (puls), uklar urin, træthed og/eller ubehag forbundet med abnorme resultater af laboratorieprøver (f.eks. højt </w:t>
      </w:r>
      <w:r w:rsidR="00E029B5" w:rsidRPr="004C2A59">
        <w:rPr>
          <w:color w:val="000000"/>
          <w:sz w:val="22"/>
          <w:szCs w:val="22"/>
          <w:lang w:val="da-DK"/>
        </w:rPr>
        <w:t xml:space="preserve">indhold af </w:t>
      </w:r>
      <w:r w:rsidRPr="004C2A59">
        <w:rPr>
          <w:color w:val="000000"/>
          <w:sz w:val="22"/>
          <w:szCs w:val="22"/>
          <w:lang w:val="da-DK"/>
        </w:rPr>
        <w:t xml:space="preserve">kalium, urinsyre og </w:t>
      </w:r>
      <w:r w:rsidR="00B10266" w:rsidRPr="004C2A59">
        <w:rPr>
          <w:color w:val="000000"/>
          <w:sz w:val="22"/>
          <w:szCs w:val="22"/>
          <w:lang w:val="da-DK"/>
        </w:rPr>
        <w:t>calcium</w:t>
      </w:r>
      <w:r w:rsidR="00E029B5" w:rsidRPr="004C2A59">
        <w:rPr>
          <w:color w:val="000000"/>
          <w:sz w:val="22"/>
          <w:szCs w:val="22"/>
          <w:lang w:val="da-DK"/>
        </w:rPr>
        <w:t xml:space="preserve"> i blodet</w:t>
      </w:r>
      <w:r w:rsidRPr="004C2A59">
        <w:rPr>
          <w:color w:val="000000"/>
          <w:sz w:val="22"/>
          <w:szCs w:val="22"/>
          <w:lang w:val="da-DK"/>
        </w:rPr>
        <w:t xml:space="preserve"> og lavt </w:t>
      </w:r>
      <w:r w:rsidR="00E029B5" w:rsidRPr="004C2A59">
        <w:rPr>
          <w:color w:val="000000"/>
          <w:sz w:val="22"/>
          <w:szCs w:val="22"/>
          <w:lang w:val="da-DK"/>
        </w:rPr>
        <w:t xml:space="preserve">indhold af </w:t>
      </w:r>
      <w:r w:rsidR="00B10266" w:rsidRPr="004C2A59">
        <w:rPr>
          <w:color w:val="000000"/>
          <w:sz w:val="22"/>
          <w:szCs w:val="22"/>
          <w:lang w:val="da-DK"/>
        </w:rPr>
        <w:t>fosfor</w:t>
      </w:r>
      <w:r w:rsidRPr="004C2A59">
        <w:rPr>
          <w:color w:val="000000"/>
          <w:sz w:val="22"/>
          <w:szCs w:val="22"/>
          <w:lang w:val="da-DK"/>
        </w:rPr>
        <w:t xml:space="preserve"> i blodet).</w:t>
      </w:r>
    </w:p>
    <w:p w14:paraId="55E4D6DD" w14:textId="77777777" w:rsidR="00B70CF9" w:rsidRPr="00F852D1" w:rsidRDefault="00B70CF9" w:rsidP="00421681">
      <w:pPr>
        <w:widowControl w:val="0"/>
        <w:numPr>
          <w:ilvl w:val="0"/>
          <w:numId w:val="6"/>
        </w:numPr>
        <w:tabs>
          <w:tab w:val="clear" w:pos="360"/>
        </w:tabs>
        <w:suppressAutoHyphens/>
        <w:ind w:left="567" w:hanging="567"/>
        <w:rPr>
          <w:color w:val="000000"/>
          <w:sz w:val="22"/>
          <w:szCs w:val="22"/>
          <w:lang w:val="sv-SE"/>
        </w:rPr>
      </w:pPr>
      <w:r w:rsidRPr="00F852D1">
        <w:rPr>
          <w:color w:val="000000"/>
          <w:sz w:val="22"/>
          <w:szCs w:val="22"/>
          <w:lang w:val="sv-SE"/>
        </w:rPr>
        <w:t>Blodpropper i små blodkar (trombotisk mirkoangiopati).</w:t>
      </w:r>
    </w:p>
    <w:p w14:paraId="4713BFA4" w14:textId="77777777" w:rsidR="00DD33C4" w:rsidRPr="00F852D1" w:rsidRDefault="00DD33C4" w:rsidP="00421681">
      <w:pPr>
        <w:widowControl w:val="0"/>
        <w:suppressAutoHyphens/>
        <w:rPr>
          <w:color w:val="000000"/>
          <w:sz w:val="22"/>
          <w:szCs w:val="22"/>
          <w:lang w:val="sv-SE"/>
        </w:rPr>
      </w:pPr>
    </w:p>
    <w:p w14:paraId="5BABCADF" w14:textId="77777777" w:rsidR="00DD33C4" w:rsidRPr="004C2A59" w:rsidRDefault="00DD33C4" w:rsidP="00C93654">
      <w:pPr>
        <w:keepNext/>
        <w:keepLines/>
        <w:widowControl w:val="0"/>
        <w:suppressAutoHyphens/>
        <w:rPr>
          <w:color w:val="000000"/>
          <w:sz w:val="22"/>
          <w:szCs w:val="22"/>
          <w:lang w:val="da-DK"/>
        </w:rPr>
      </w:pPr>
      <w:r w:rsidRPr="004C2A59">
        <w:rPr>
          <w:b/>
          <w:color w:val="000000"/>
          <w:sz w:val="22"/>
          <w:szCs w:val="22"/>
          <w:lang w:val="da-DK"/>
        </w:rPr>
        <w:t>Ikke kendt</w:t>
      </w:r>
      <w:r w:rsidR="00B10266" w:rsidRPr="004C2A59">
        <w:rPr>
          <w:b/>
          <w:color w:val="000000"/>
          <w:sz w:val="22"/>
          <w:szCs w:val="22"/>
          <w:lang w:val="da-DK"/>
        </w:rPr>
        <w:t xml:space="preserve"> </w:t>
      </w:r>
      <w:r w:rsidR="00B10266" w:rsidRPr="004C2A59">
        <w:rPr>
          <w:bCs/>
          <w:color w:val="000000"/>
          <w:sz w:val="22"/>
          <w:szCs w:val="22"/>
          <w:lang w:val="da-DK"/>
        </w:rPr>
        <w:t>(kan ikke vurderes ud fra tilgængelige data):</w:t>
      </w:r>
    </w:p>
    <w:p w14:paraId="6892B41C" w14:textId="77777777" w:rsidR="00DD33C4" w:rsidRDefault="00DD33C4" w:rsidP="00421681">
      <w:pPr>
        <w:widowControl w:val="0"/>
        <w:numPr>
          <w:ilvl w:val="0"/>
          <w:numId w:val="27"/>
        </w:numPr>
        <w:suppressAutoHyphens/>
        <w:ind w:left="567" w:hanging="567"/>
        <w:rPr>
          <w:color w:val="000000"/>
          <w:sz w:val="22"/>
          <w:szCs w:val="22"/>
          <w:lang w:val="da-DK"/>
        </w:rPr>
      </w:pPr>
      <w:r w:rsidRPr="004C2A59">
        <w:rPr>
          <w:color w:val="000000"/>
          <w:sz w:val="22"/>
          <w:szCs w:val="22"/>
          <w:lang w:val="da-DK"/>
        </w:rPr>
        <w:t xml:space="preserve">Kombination af </w:t>
      </w:r>
      <w:r w:rsidR="00E029B5" w:rsidRPr="004C2A59">
        <w:rPr>
          <w:color w:val="000000"/>
          <w:sz w:val="22"/>
          <w:szCs w:val="22"/>
          <w:lang w:val="da-DK"/>
        </w:rPr>
        <w:t>omfattende</w:t>
      </w:r>
      <w:r w:rsidRPr="004C2A59">
        <w:rPr>
          <w:color w:val="000000"/>
          <w:sz w:val="22"/>
          <w:szCs w:val="22"/>
          <w:lang w:val="da-DK"/>
        </w:rPr>
        <w:t xml:space="preserve"> svær</w:t>
      </w:r>
      <w:r w:rsidR="00E029B5" w:rsidRPr="004C2A59">
        <w:rPr>
          <w:color w:val="000000"/>
          <w:sz w:val="22"/>
          <w:szCs w:val="22"/>
          <w:lang w:val="da-DK"/>
        </w:rPr>
        <w:t>t</w:t>
      </w:r>
      <w:r w:rsidRPr="004C2A59">
        <w:rPr>
          <w:color w:val="000000"/>
          <w:sz w:val="22"/>
          <w:szCs w:val="22"/>
          <w:lang w:val="da-DK"/>
        </w:rPr>
        <w:t xml:space="preserve"> udslæt, følelse af at være syg, feber, højt </w:t>
      </w:r>
      <w:r w:rsidR="00E029B5" w:rsidRPr="004C2A59">
        <w:rPr>
          <w:color w:val="000000"/>
          <w:sz w:val="22"/>
          <w:szCs w:val="22"/>
          <w:lang w:val="da-DK"/>
        </w:rPr>
        <w:t>indhold</w:t>
      </w:r>
      <w:r w:rsidRPr="004C2A59">
        <w:rPr>
          <w:color w:val="000000"/>
          <w:sz w:val="22"/>
          <w:szCs w:val="22"/>
          <w:lang w:val="da-DK"/>
        </w:rPr>
        <w:t xml:space="preserve"> af visse hvide blodlegemer eller gul hud eller øjne (tegn på gulsot) med stakåndethed, brystsmerter/ubehag, svær</w:t>
      </w:r>
      <w:r w:rsidR="00FF5453" w:rsidRPr="004C2A59">
        <w:rPr>
          <w:color w:val="000000"/>
          <w:sz w:val="22"/>
          <w:szCs w:val="22"/>
          <w:lang w:val="da-DK"/>
        </w:rPr>
        <w:t>t</w:t>
      </w:r>
      <w:r w:rsidRPr="004C2A59">
        <w:rPr>
          <w:color w:val="000000"/>
          <w:sz w:val="22"/>
          <w:szCs w:val="22"/>
          <w:lang w:val="da-DK"/>
        </w:rPr>
        <w:t xml:space="preserve"> nedsat urinproduktion og tørst osv. (tegn på en behandlingsrelateret allergi</w:t>
      </w:r>
      <w:r w:rsidR="00FF5453" w:rsidRPr="004C2A59">
        <w:rPr>
          <w:color w:val="000000"/>
          <w:sz w:val="22"/>
          <w:szCs w:val="22"/>
          <w:lang w:val="da-DK"/>
        </w:rPr>
        <w:t xml:space="preserve">sk </w:t>
      </w:r>
      <w:r w:rsidRPr="004C2A59">
        <w:rPr>
          <w:color w:val="000000"/>
          <w:sz w:val="22"/>
          <w:szCs w:val="22"/>
          <w:lang w:val="da-DK"/>
        </w:rPr>
        <w:t>reaktion).</w:t>
      </w:r>
    </w:p>
    <w:p w14:paraId="5F1493FA" w14:textId="77777777" w:rsidR="00EF73D1" w:rsidRDefault="00EF73D1" w:rsidP="00421681">
      <w:pPr>
        <w:widowControl w:val="0"/>
        <w:numPr>
          <w:ilvl w:val="0"/>
          <w:numId w:val="27"/>
        </w:numPr>
        <w:suppressAutoHyphens/>
        <w:ind w:left="567" w:hanging="567"/>
        <w:rPr>
          <w:color w:val="000000"/>
          <w:sz w:val="22"/>
          <w:szCs w:val="22"/>
          <w:lang w:val="da-DK"/>
        </w:rPr>
      </w:pPr>
      <w:r>
        <w:rPr>
          <w:color w:val="000000"/>
          <w:sz w:val="22"/>
          <w:szCs w:val="22"/>
          <w:lang w:val="da-DK"/>
        </w:rPr>
        <w:t>Kronisk nyresvigt</w:t>
      </w:r>
      <w:r w:rsidR="00C0617B">
        <w:rPr>
          <w:color w:val="000000"/>
          <w:sz w:val="22"/>
          <w:szCs w:val="22"/>
          <w:lang w:val="da-DK"/>
        </w:rPr>
        <w:t>.</w:t>
      </w:r>
    </w:p>
    <w:p w14:paraId="337DB6B0" w14:textId="77777777" w:rsidR="002B0FCD" w:rsidRPr="00144B22" w:rsidRDefault="002B0FCD" w:rsidP="00C93654">
      <w:pPr>
        <w:keepNext/>
        <w:keepLines/>
        <w:widowControl w:val="0"/>
        <w:numPr>
          <w:ilvl w:val="0"/>
          <w:numId w:val="27"/>
        </w:numPr>
        <w:suppressAutoHyphens/>
        <w:ind w:left="567" w:hanging="567"/>
        <w:rPr>
          <w:color w:val="000000"/>
          <w:sz w:val="22"/>
          <w:szCs w:val="22"/>
          <w:lang w:val="da-DK"/>
        </w:rPr>
      </w:pPr>
      <w:r w:rsidRPr="002B0FCD">
        <w:rPr>
          <w:color w:val="000000"/>
          <w:sz w:val="22"/>
          <w:szCs w:val="22"/>
          <w:lang w:val="da-DK"/>
        </w:rPr>
        <w:lastRenderedPageBreak/>
        <w:t>G</w:t>
      </w:r>
      <w:r w:rsidRPr="0091179A">
        <w:rPr>
          <w:color w:val="000000"/>
          <w:sz w:val="22"/>
          <w:szCs w:val="22"/>
          <w:lang w:val="da-DK"/>
        </w:rPr>
        <w:t>enopblussen (reaktivering) af hepatitis B-infektion, hvis du tidligere har haft hepatitis B (leverbetændelse type B).</w:t>
      </w:r>
    </w:p>
    <w:p w14:paraId="78D641BF" w14:textId="77777777" w:rsidR="00DD33C4" w:rsidRPr="004C2A59" w:rsidRDefault="00DD33C4" w:rsidP="00C93654">
      <w:pPr>
        <w:keepNext/>
        <w:keepLines/>
        <w:widowControl w:val="0"/>
        <w:suppressAutoHyphens/>
        <w:rPr>
          <w:color w:val="000000"/>
          <w:sz w:val="22"/>
          <w:szCs w:val="22"/>
          <w:lang w:val="da-DK"/>
        </w:rPr>
      </w:pPr>
    </w:p>
    <w:p w14:paraId="4EA524FC" w14:textId="77777777" w:rsidR="00A573B3" w:rsidRPr="004C2A59" w:rsidRDefault="00A573B3" w:rsidP="00C93654">
      <w:pPr>
        <w:keepNext/>
        <w:keepLines/>
        <w:widowControl w:val="0"/>
        <w:suppressAutoHyphens/>
        <w:rPr>
          <w:sz w:val="22"/>
          <w:szCs w:val="22"/>
          <w:lang w:val="da-DK"/>
        </w:rPr>
      </w:pPr>
      <w:r w:rsidRPr="004C2A59">
        <w:rPr>
          <w:b/>
          <w:sz w:val="22"/>
          <w:szCs w:val="22"/>
          <w:lang w:val="da-DK"/>
        </w:rPr>
        <w:t xml:space="preserve">Kontakt din læge med det samme, </w:t>
      </w:r>
      <w:r w:rsidRPr="004C2A59">
        <w:rPr>
          <w:sz w:val="22"/>
          <w:szCs w:val="22"/>
          <w:lang w:val="da-DK"/>
        </w:rPr>
        <w:t>hvis du oplever en af ovenstående bivirkninger.</w:t>
      </w:r>
    </w:p>
    <w:p w14:paraId="3088C744" w14:textId="77777777" w:rsidR="00A573B3" w:rsidRPr="004C2A59" w:rsidRDefault="00A573B3" w:rsidP="00421681">
      <w:pPr>
        <w:widowControl w:val="0"/>
        <w:suppressAutoHyphens/>
        <w:rPr>
          <w:color w:val="000000"/>
          <w:sz w:val="22"/>
          <w:szCs w:val="22"/>
          <w:lang w:val="da-DK"/>
        </w:rPr>
      </w:pPr>
    </w:p>
    <w:p w14:paraId="0A514EE1" w14:textId="77777777" w:rsidR="00A573B3" w:rsidRPr="004C2A59" w:rsidRDefault="00A573B3" w:rsidP="00C93654">
      <w:pPr>
        <w:keepNext/>
        <w:widowControl w:val="0"/>
        <w:suppressAutoHyphens/>
        <w:rPr>
          <w:b/>
          <w:color w:val="000000"/>
          <w:sz w:val="22"/>
          <w:szCs w:val="22"/>
          <w:lang w:val="da-DK"/>
        </w:rPr>
      </w:pPr>
      <w:r w:rsidRPr="004C2A59">
        <w:rPr>
          <w:b/>
          <w:color w:val="000000"/>
          <w:sz w:val="22"/>
          <w:szCs w:val="22"/>
          <w:lang w:val="da-DK"/>
        </w:rPr>
        <w:t>Andre bivirkninger kan omfatte:</w:t>
      </w:r>
    </w:p>
    <w:p w14:paraId="6C4BB2AD" w14:textId="77777777" w:rsidR="00A573B3" w:rsidRPr="004C2A59" w:rsidRDefault="00A573B3" w:rsidP="00C93654">
      <w:pPr>
        <w:keepNext/>
        <w:widowControl w:val="0"/>
        <w:suppressAutoHyphens/>
        <w:rPr>
          <w:bCs/>
          <w:i/>
          <w:iCs/>
          <w:color w:val="000000"/>
          <w:sz w:val="22"/>
          <w:szCs w:val="22"/>
          <w:lang w:val="da-DK"/>
        </w:rPr>
      </w:pPr>
    </w:p>
    <w:p w14:paraId="2F1285BE" w14:textId="77777777" w:rsidR="00A573B3" w:rsidRPr="004C2A59" w:rsidRDefault="00A573B3" w:rsidP="00C93654">
      <w:pPr>
        <w:keepNext/>
        <w:widowControl w:val="0"/>
        <w:suppressAutoHyphens/>
        <w:rPr>
          <w:bCs/>
          <w:iCs/>
          <w:color w:val="000000"/>
          <w:sz w:val="22"/>
          <w:szCs w:val="22"/>
          <w:lang w:val="da-DK"/>
        </w:rPr>
      </w:pPr>
      <w:r w:rsidRPr="004C2A59">
        <w:rPr>
          <w:b/>
          <w:bCs/>
          <w:iCs/>
          <w:color w:val="000000"/>
          <w:sz w:val="22"/>
          <w:szCs w:val="22"/>
          <w:lang w:val="da-DK"/>
        </w:rPr>
        <w:t>Meget almindelige</w:t>
      </w:r>
      <w:r w:rsidRPr="004C2A59">
        <w:rPr>
          <w:bCs/>
          <w:iCs/>
          <w:color w:val="000000"/>
          <w:sz w:val="22"/>
          <w:szCs w:val="22"/>
          <w:lang w:val="da-DK"/>
        </w:rPr>
        <w:t xml:space="preserve"> (kan forekomme hos flere end 1 ud af 10 patienter):</w:t>
      </w:r>
    </w:p>
    <w:p w14:paraId="74A19D44" w14:textId="77777777" w:rsidR="00A573B3" w:rsidRPr="004C2A59" w:rsidRDefault="00A573B3" w:rsidP="00421681">
      <w:pPr>
        <w:widowControl w:val="0"/>
        <w:numPr>
          <w:ilvl w:val="0"/>
          <w:numId w:val="13"/>
        </w:numPr>
        <w:tabs>
          <w:tab w:val="clear" w:pos="720"/>
        </w:tabs>
        <w:suppressAutoHyphens/>
        <w:ind w:left="567" w:hanging="567"/>
        <w:rPr>
          <w:color w:val="000000"/>
          <w:sz w:val="22"/>
          <w:szCs w:val="22"/>
          <w:lang w:val="da-DK"/>
        </w:rPr>
      </w:pPr>
      <w:r w:rsidRPr="004C2A59">
        <w:rPr>
          <w:color w:val="000000"/>
          <w:sz w:val="22"/>
          <w:szCs w:val="22"/>
          <w:lang w:val="da-DK"/>
        </w:rPr>
        <w:t>Hovedpine eller følelse af træthed.</w:t>
      </w:r>
    </w:p>
    <w:p w14:paraId="771B3256" w14:textId="77777777" w:rsidR="00A573B3" w:rsidRPr="004C2A59" w:rsidRDefault="00A573B3" w:rsidP="00421681">
      <w:pPr>
        <w:widowControl w:val="0"/>
        <w:numPr>
          <w:ilvl w:val="0"/>
          <w:numId w:val="13"/>
        </w:numPr>
        <w:tabs>
          <w:tab w:val="clear" w:pos="720"/>
        </w:tabs>
        <w:suppressAutoHyphens/>
        <w:ind w:left="567" w:hanging="567"/>
        <w:rPr>
          <w:color w:val="000000"/>
          <w:sz w:val="22"/>
          <w:szCs w:val="22"/>
          <w:lang w:val="da-DK"/>
        </w:rPr>
      </w:pPr>
      <w:r w:rsidRPr="004C2A59">
        <w:rPr>
          <w:color w:val="000000"/>
          <w:sz w:val="22"/>
          <w:szCs w:val="22"/>
          <w:lang w:val="da-DK"/>
        </w:rPr>
        <w:t>Kvalme opkastninger, diarré eller fordøjelsesbesvær.</w:t>
      </w:r>
    </w:p>
    <w:p w14:paraId="6966F82A" w14:textId="77777777" w:rsidR="00A573B3" w:rsidRPr="004C2A59" w:rsidRDefault="00A573B3" w:rsidP="00421681">
      <w:pPr>
        <w:widowControl w:val="0"/>
        <w:numPr>
          <w:ilvl w:val="0"/>
          <w:numId w:val="13"/>
        </w:numPr>
        <w:tabs>
          <w:tab w:val="clear" w:pos="720"/>
        </w:tabs>
        <w:suppressAutoHyphens/>
        <w:ind w:left="567" w:hanging="567"/>
        <w:rPr>
          <w:color w:val="000000"/>
          <w:sz w:val="22"/>
          <w:szCs w:val="22"/>
          <w:lang w:val="da-DK"/>
        </w:rPr>
      </w:pPr>
      <w:r w:rsidRPr="004C2A59">
        <w:rPr>
          <w:color w:val="000000"/>
          <w:sz w:val="22"/>
          <w:szCs w:val="22"/>
          <w:lang w:val="da-DK"/>
        </w:rPr>
        <w:t>Udslæt.</w:t>
      </w:r>
    </w:p>
    <w:p w14:paraId="2E4B44E4" w14:textId="77777777" w:rsidR="00A573B3" w:rsidRPr="004C2A59" w:rsidRDefault="00A573B3" w:rsidP="00421681">
      <w:pPr>
        <w:widowControl w:val="0"/>
        <w:numPr>
          <w:ilvl w:val="0"/>
          <w:numId w:val="13"/>
        </w:numPr>
        <w:tabs>
          <w:tab w:val="clear" w:pos="720"/>
        </w:tabs>
        <w:suppressAutoHyphens/>
        <w:ind w:left="567" w:hanging="567"/>
        <w:rPr>
          <w:color w:val="000000"/>
          <w:sz w:val="22"/>
          <w:szCs w:val="22"/>
          <w:lang w:val="da-DK"/>
        </w:rPr>
      </w:pPr>
      <w:r w:rsidRPr="004C2A59">
        <w:rPr>
          <w:color w:val="000000"/>
          <w:sz w:val="22"/>
          <w:szCs w:val="22"/>
          <w:lang w:val="da-DK"/>
        </w:rPr>
        <w:t>Muskelkramper eller led-, muskel- eller knoglesmerter</w:t>
      </w:r>
      <w:r w:rsidR="000133DB" w:rsidRPr="000133DB">
        <w:rPr>
          <w:color w:val="000000"/>
          <w:sz w:val="22"/>
          <w:szCs w:val="22"/>
          <w:lang w:val="da-DK"/>
        </w:rPr>
        <w:t xml:space="preserve"> </w:t>
      </w:r>
      <w:r w:rsidR="005A146B">
        <w:rPr>
          <w:color w:val="000000"/>
          <w:sz w:val="22"/>
          <w:szCs w:val="22"/>
          <w:lang w:val="da-DK"/>
        </w:rPr>
        <w:t>mens du er i behandling med Glivec, eller efter du er stoppe</w:t>
      </w:r>
      <w:r w:rsidR="006B7873">
        <w:rPr>
          <w:color w:val="000000"/>
          <w:sz w:val="22"/>
          <w:szCs w:val="22"/>
          <w:lang w:val="da-DK"/>
        </w:rPr>
        <w:t>t</w:t>
      </w:r>
      <w:r w:rsidR="005A146B">
        <w:rPr>
          <w:color w:val="000000"/>
          <w:sz w:val="22"/>
          <w:szCs w:val="22"/>
          <w:lang w:val="da-DK"/>
        </w:rPr>
        <w:t xml:space="preserve"> med at tage Glivec</w:t>
      </w:r>
      <w:r w:rsidRPr="004C2A59">
        <w:rPr>
          <w:color w:val="000000"/>
          <w:sz w:val="22"/>
          <w:szCs w:val="22"/>
          <w:lang w:val="da-DK"/>
        </w:rPr>
        <w:t>.</w:t>
      </w:r>
    </w:p>
    <w:p w14:paraId="189EAC4F" w14:textId="77777777" w:rsidR="00A573B3" w:rsidRPr="004C2A59" w:rsidRDefault="00A573B3" w:rsidP="00421681">
      <w:pPr>
        <w:widowControl w:val="0"/>
        <w:numPr>
          <w:ilvl w:val="0"/>
          <w:numId w:val="13"/>
        </w:numPr>
        <w:tabs>
          <w:tab w:val="clear" w:pos="720"/>
        </w:tabs>
        <w:suppressAutoHyphens/>
        <w:ind w:left="567" w:hanging="567"/>
        <w:rPr>
          <w:color w:val="000000"/>
          <w:sz w:val="22"/>
          <w:szCs w:val="22"/>
          <w:lang w:val="da-DK"/>
        </w:rPr>
      </w:pPr>
      <w:r w:rsidRPr="004C2A59">
        <w:rPr>
          <w:color w:val="000000"/>
          <w:sz w:val="22"/>
          <w:szCs w:val="22"/>
          <w:lang w:val="da-DK"/>
        </w:rPr>
        <w:t>Hævelse, som fx af anklerne eller omkring øjnene.</w:t>
      </w:r>
    </w:p>
    <w:p w14:paraId="1A44FF22" w14:textId="77777777" w:rsidR="00A573B3" w:rsidRPr="004C2A59" w:rsidRDefault="00A573B3" w:rsidP="00C93654">
      <w:pPr>
        <w:keepNext/>
        <w:widowControl w:val="0"/>
        <w:numPr>
          <w:ilvl w:val="0"/>
          <w:numId w:val="13"/>
        </w:numPr>
        <w:tabs>
          <w:tab w:val="clear" w:pos="720"/>
        </w:tabs>
        <w:suppressAutoHyphens/>
        <w:ind w:left="567" w:hanging="567"/>
        <w:rPr>
          <w:color w:val="000000"/>
          <w:sz w:val="22"/>
          <w:szCs w:val="22"/>
          <w:lang w:val="da-DK"/>
        </w:rPr>
      </w:pPr>
      <w:r w:rsidRPr="004C2A59">
        <w:rPr>
          <w:color w:val="000000"/>
          <w:sz w:val="22"/>
          <w:szCs w:val="22"/>
          <w:lang w:val="da-DK"/>
        </w:rPr>
        <w:t>Vægtøgning.</w:t>
      </w:r>
    </w:p>
    <w:p w14:paraId="63FC8A2D" w14:textId="77777777" w:rsidR="00A573B3" w:rsidRPr="004C2A59" w:rsidRDefault="00A573B3" w:rsidP="00421681">
      <w:pPr>
        <w:widowControl w:val="0"/>
        <w:suppressAutoHyphens/>
        <w:rPr>
          <w:color w:val="000000"/>
          <w:sz w:val="22"/>
          <w:szCs w:val="22"/>
          <w:lang w:val="da-DK"/>
        </w:rPr>
      </w:pPr>
      <w:r w:rsidRPr="004C2A59">
        <w:rPr>
          <w:b/>
          <w:color w:val="000000"/>
          <w:sz w:val="22"/>
          <w:szCs w:val="22"/>
          <w:lang w:val="da-DK"/>
        </w:rPr>
        <w:t>Fortæl din læge</w:t>
      </w:r>
      <w:r w:rsidRPr="004C2A59">
        <w:rPr>
          <w:color w:val="000000"/>
          <w:sz w:val="22"/>
          <w:szCs w:val="22"/>
          <w:lang w:val="da-DK"/>
        </w:rPr>
        <w:t>, hvis du er meget påvirket af nogle af ovenstående symptomer.</w:t>
      </w:r>
    </w:p>
    <w:p w14:paraId="6A4DBD7B" w14:textId="77777777" w:rsidR="00A573B3" w:rsidRPr="004C2A59" w:rsidRDefault="00A573B3" w:rsidP="00421681">
      <w:pPr>
        <w:widowControl w:val="0"/>
        <w:suppressAutoHyphens/>
        <w:rPr>
          <w:color w:val="000000"/>
          <w:sz w:val="22"/>
          <w:szCs w:val="22"/>
          <w:lang w:val="da-DK"/>
        </w:rPr>
      </w:pPr>
    </w:p>
    <w:p w14:paraId="436B0F6B" w14:textId="77777777" w:rsidR="00A573B3" w:rsidRPr="004C2A59" w:rsidRDefault="00A573B3" w:rsidP="00C93654">
      <w:pPr>
        <w:keepNext/>
        <w:widowControl w:val="0"/>
        <w:suppressAutoHyphens/>
        <w:rPr>
          <w:color w:val="000000"/>
          <w:sz w:val="22"/>
          <w:szCs w:val="22"/>
          <w:lang w:val="da-DK"/>
        </w:rPr>
      </w:pPr>
      <w:r w:rsidRPr="004C2A59">
        <w:rPr>
          <w:b/>
          <w:color w:val="000000"/>
          <w:sz w:val="22"/>
          <w:szCs w:val="22"/>
          <w:lang w:val="da-DK"/>
        </w:rPr>
        <w:t>Almindelige</w:t>
      </w:r>
      <w:r w:rsidRPr="004C2A59">
        <w:rPr>
          <w:color w:val="000000"/>
          <w:sz w:val="22"/>
          <w:szCs w:val="22"/>
          <w:lang w:val="da-DK"/>
        </w:rPr>
        <w:t xml:space="preserve"> (kan forekomme hos op til 1 ud af 10 patienter):</w:t>
      </w:r>
    </w:p>
    <w:p w14:paraId="7D3B5FBF"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Appetitløshed, vægttab eller smagsforstyrrelser.</w:t>
      </w:r>
    </w:p>
    <w:p w14:paraId="69D52775"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Føle sig svimmel eller svag.</w:t>
      </w:r>
    </w:p>
    <w:p w14:paraId="3157A41F"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Svært ved at sove (søvnløshed).</w:t>
      </w:r>
    </w:p>
    <w:p w14:paraId="0A401354"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Flåd fra øjet med kløe, rødme og hævelse (betændelse af øjets bindehinde), øget tåreflåd eller sløret syn.</w:t>
      </w:r>
    </w:p>
    <w:p w14:paraId="57323DBA"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Næseblod.</w:t>
      </w:r>
    </w:p>
    <w:p w14:paraId="3D76FBF6"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Smerte eller oppustning af maven, luft i maven, halsbrand eller forstoppelse.</w:t>
      </w:r>
    </w:p>
    <w:p w14:paraId="18ACDBB8"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Kløe.</w:t>
      </w:r>
    </w:p>
    <w:p w14:paraId="3A75E308"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Usædvanligt hårtab eller udtyndning af håret.</w:t>
      </w:r>
    </w:p>
    <w:p w14:paraId="579384CB"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Følelsesløshed i hænder eller fødder.</w:t>
      </w:r>
    </w:p>
    <w:p w14:paraId="515A463F"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Sår i munden.</w:t>
      </w:r>
    </w:p>
    <w:p w14:paraId="0F45CB50"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Hævede led og ledsmerter</w:t>
      </w:r>
    </w:p>
    <w:p w14:paraId="0395692C"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Mundtørhed, tør hud eller tørre øjne.</w:t>
      </w:r>
    </w:p>
    <w:p w14:paraId="15F07DCD"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Nedsat eller øget følsomhed i huden.</w:t>
      </w:r>
    </w:p>
    <w:p w14:paraId="4616D985" w14:textId="77777777" w:rsidR="00A573B3" w:rsidRPr="004C2A59" w:rsidRDefault="00A573B3" w:rsidP="00C93654">
      <w:pPr>
        <w:pStyle w:val="Text"/>
        <w:keepN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Hedeture, kulderystelser eller natlig svedtendens.</w:t>
      </w:r>
    </w:p>
    <w:p w14:paraId="75A3980F" w14:textId="77777777" w:rsidR="00A573B3" w:rsidRPr="004C2A59" w:rsidRDefault="00A573B3" w:rsidP="00421681">
      <w:pPr>
        <w:widowControl w:val="0"/>
        <w:suppressAutoHyphens/>
        <w:rPr>
          <w:color w:val="000000"/>
          <w:sz w:val="22"/>
          <w:szCs w:val="22"/>
          <w:lang w:val="da-DK"/>
        </w:rPr>
      </w:pPr>
      <w:r w:rsidRPr="004C2A59">
        <w:rPr>
          <w:b/>
          <w:color w:val="000000"/>
          <w:sz w:val="22"/>
          <w:szCs w:val="22"/>
          <w:lang w:val="da-DK"/>
        </w:rPr>
        <w:t>Fortæl din læge</w:t>
      </w:r>
      <w:r w:rsidRPr="004C2A59">
        <w:rPr>
          <w:color w:val="000000"/>
          <w:sz w:val="22"/>
          <w:szCs w:val="22"/>
          <w:lang w:val="da-DK"/>
        </w:rPr>
        <w:t>, hvis du er meget påvirket af nogle af ovenstående symptomer.</w:t>
      </w:r>
    </w:p>
    <w:p w14:paraId="200D6200" w14:textId="77777777" w:rsidR="00A573B3" w:rsidRPr="004C2A59" w:rsidRDefault="00A573B3" w:rsidP="00421681">
      <w:pPr>
        <w:widowControl w:val="0"/>
        <w:suppressAutoHyphens/>
        <w:rPr>
          <w:color w:val="000000"/>
          <w:sz w:val="22"/>
          <w:szCs w:val="22"/>
          <w:lang w:val="da-DK"/>
        </w:rPr>
      </w:pPr>
    </w:p>
    <w:p w14:paraId="3C7558DE" w14:textId="77777777" w:rsidR="00A573B3" w:rsidRPr="004C2A59" w:rsidRDefault="00A573B3" w:rsidP="00C93654">
      <w:pPr>
        <w:keepNext/>
        <w:widowControl w:val="0"/>
        <w:suppressAutoHyphens/>
        <w:rPr>
          <w:bCs/>
          <w:color w:val="000000"/>
          <w:sz w:val="22"/>
          <w:szCs w:val="22"/>
          <w:lang w:val="da-DK"/>
        </w:rPr>
      </w:pPr>
      <w:r w:rsidRPr="004C2A59">
        <w:rPr>
          <w:b/>
          <w:bCs/>
          <w:color w:val="000000"/>
          <w:sz w:val="22"/>
          <w:szCs w:val="22"/>
          <w:lang w:val="da-DK"/>
        </w:rPr>
        <w:t>Ikke kendt</w:t>
      </w:r>
      <w:r w:rsidRPr="004C2A59">
        <w:rPr>
          <w:bCs/>
          <w:color w:val="000000"/>
          <w:sz w:val="22"/>
          <w:szCs w:val="22"/>
          <w:lang w:val="da-DK"/>
        </w:rPr>
        <w:t xml:space="preserve"> (kan ikke vurderes ud fra tilgængelige data):</w:t>
      </w:r>
    </w:p>
    <w:p w14:paraId="7CDEFF55" w14:textId="77777777" w:rsidR="00C50FC1" w:rsidRPr="00017E58" w:rsidRDefault="00A573B3" w:rsidP="00421681">
      <w:pPr>
        <w:pStyle w:val="Text"/>
        <w:widowControl w:val="0"/>
        <w:numPr>
          <w:ilvl w:val="0"/>
          <w:numId w:val="29"/>
        </w:numPr>
        <w:tabs>
          <w:tab w:val="clear" w:pos="357"/>
          <w:tab w:val="num" w:pos="567"/>
        </w:tabs>
        <w:spacing w:before="0"/>
        <w:ind w:left="567" w:hanging="567"/>
        <w:jc w:val="left"/>
        <w:rPr>
          <w:color w:val="000000"/>
          <w:sz w:val="22"/>
          <w:szCs w:val="22"/>
          <w:lang w:val="da-DK"/>
        </w:rPr>
      </w:pPr>
      <w:r w:rsidRPr="004C2A59">
        <w:rPr>
          <w:color w:val="000000"/>
          <w:sz w:val="22"/>
          <w:szCs w:val="22"/>
          <w:lang w:val="da-DK"/>
        </w:rPr>
        <w:t>Rødmen og/eller hævelse af håndflader eller fodsåler, hvilket kan være ledsaget af en prikkende følelse eller brændende smerte.</w:t>
      </w:r>
    </w:p>
    <w:p w14:paraId="11F6530C" w14:textId="77777777" w:rsidR="00A573B3" w:rsidRPr="004C2A59" w:rsidRDefault="00C50FC1" w:rsidP="00421681">
      <w:pPr>
        <w:widowControl w:val="0"/>
        <w:numPr>
          <w:ilvl w:val="0"/>
          <w:numId w:val="15"/>
        </w:numPr>
        <w:tabs>
          <w:tab w:val="clear" w:pos="720"/>
        </w:tabs>
        <w:suppressAutoHyphens/>
        <w:ind w:left="567" w:hanging="567"/>
        <w:rPr>
          <w:color w:val="000000"/>
          <w:sz w:val="22"/>
          <w:szCs w:val="22"/>
          <w:lang w:val="da-DK"/>
        </w:rPr>
      </w:pPr>
      <w:r w:rsidRPr="00C50FC1">
        <w:rPr>
          <w:color w:val="000000"/>
          <w:sz w:val="22"/>
          <w:szCs w:val="22"/>
          <w:lang w:val="da-DK"/>
        </w:rPr>
        <w:t xml:space="preserve">Smertefulde </w:t>
      </w:r>
      <w:r>
        <w:rPr>
          <w:color w:val="000000"/>
          <w:sz w:val="22"/>
          <w:szCs w:val="22"/>
          <w:lang w:val="da-DK"/>
        </w:rPr>
        <w:t>og</w:t>
      </w:r>
      <w:r w:rsidRPr="00C50FC1">
        <w:rPr>
          <w:color w:val="000000"/>
          <w:sz w:val="22"/>
          <w:szCs w:val="22"/>
          <w:lang w:val="da-DK"/>
        </w:rPr>
        <w:t>/</w:t>
      </w:r>
      <w:r>
        <w:rPr>
          <w:color w:val="000000"/>
          <w:sz w:val="22"/>
          <w:szCs w:val="22"/>
          <w:lang w:val="da-DK"/>
        </w:rPr>
        <w:t>elle</w:t>
      </w:r>
      <w:r w:rsidRPr="00C50FC1">
        <w:rPr>
          <w:color w:val="000000"/>
          <w:sz w:val="22"/>
          <w:szCs w:val="22"/>
          <w:lang w:val="da-DK"/>
        </w:rPr>
        <w:t xml:space="preserve">r </w:t>
      </w:r>
      <w:r>
        <w:rPr>
          <w:color w:val="000000"/>
          <w:sz w:val="22"/>
          <w:szCs w:val="22"/>
          <w:lang w:val="da-DK"/>
        </w:rPr>
        <w:t>blære</w:t>
      </w:r>
      <w:r w:rsidR="008358C6">
        <w:rPr>
          <w:color w:val="000000"/>
          <w:sz w:val="22"/>
          <w:szCs w:val="22"/>
          <w:lang w:val="da-DK"/>
        </w:rPr>
        <w:t>dannende</w:t>
      </w:r>
      <w:r w:rsidRPr="00C50FC1">
        <w:rPr>
          <w:color w:val="000000"/>
          <w:sz w:val="22"/>
          <w:szCs w:val="22"/>
          <w:lang w:val="da-DK"/>
        </w:rPr>
        <w:t xml:space="preserve"> </w:t>
      </w:r>
      <w:r>
        <w:rPr>
          <w:color w:val="000000"/>
          <w:sz w:val="22"/>
          <w:szCs w:val="22"/>
          <w:lang w:val="da-DK"/>
        </w:rPr>
        <w:t>hud</w:t>
      </w:r>
      <w:r w:rsidR="008358C6">
        <w:rPr>
          <w:color w:val="000000"/>
          <w:sz w:val="22"/>
          <w:szCs w:val="22"/>
          <w:lang w:val="da-DK"/>
        </w:rPr>
        <w:t>læsioner</w:t>
      </w:r>
      <w:r>
        <w:rPr>
          <w:color w:val="000000"/>
          <w:sz w:val="22"/>
          <w:szCs w:val="22"/>
          <w:lang w:val="da-DK"/>
        </w:rPr>
        <w:t>.</w:t>
      </w:r>
    </w:p>
    <w:p w14:paraId="31DCADE1" w14:textId="77777777" w:rsidR="00A573B3" w:rsidRPr="004C2A59" w:rsidRDefault="00A573B3" w:rsidP="00C93654">
      <w:pPr>
        <w:keepNext/>
        <w:widowControl w:val="0"/>
        <w:numPr>
          <w:ilvl w:val="0"/>
          <w:numId w:val="15"/>
        </w:numPr>
        <w:tabs>
          <w:tab w:val="clear" w:pos="720"/>
        </w:tabs>
        <w:suppressAutoHyphens/>
        <w:ind w:left="567" w:hanging="567"/>
        <w:rPr>
          <w:color w:val="000000"/>
          <w:sz w:val="22"/>
          <w:szCs w:val="22"/>
          <w:lang w:val="da-DK"/>
        </w:rPr>
      </w:pPr>
      <w:r w:rsidRPr="004C2A59">
        <w:rPr>
          <w:color w:val="000000"/>
          <w:sz w:val="22"/>
          <w:szCs w:val="22"/>
          <w:lang w:val="da-DK"/>
        </w:rPr>
        <w:t>Langsommere vækst hos børn og unge.</w:t>
      </w:r>
    </w:p>
    <w:p w14:paraId="7A076541" w14:textId="77777777" w:rsidR="00A573B3" w:rsidRPr="004C2A59" w:rsidRDefault="00A573B3" w:rsidP="00421681">
      <w:pPr>
        <w:widowControl w:val="0"/>
        <w:suppressAutoHyphens/>
        <w:rPr>
          <w:color w:val="000000"/>
          <w:sz w:val="22"/>
          <w:szCs w:val="22"/>
          <w:lang w:val="da-DK"/>
        </w:rPr>
      </w:pPr>
      <w:r w:rsidRPr="004C2A59">
        <w:rPr>
          <w:b/>
          <w:color w:val="000000"/>
          <w:sz w:val="22"/>
          <w:szCs w:val="22"/>
          <w:lang w:val="da-DK"/>
        </w:rPr>
        <w:t>Fortæl din læge</w:t>
      </w:r>
      <w:r w:rsidRPr="004C2A59">
        <w:rPr>
          <w:color w:val="000000"/>
          <w:sz w:val="22"/>
          <w:szCs w:val="22"/>
          <w:lang w:val="da-DK"/>
        </w:rPr>
        <w:t>, hvis du er meget påvirket af nogle af ovenstående symptomer.</w:t>
      </w:r>
    </w:p>
    <w:p w14:paraId="08C46AA0" w14:textId="77777777" w:rsidR="00A573B3" w:rsidRPr="004C2A59" w:rsidRDefault="00A573B3" w:rsidP="00421681">
      <w:pPr>
        <w:pStyle w:val="EndnoteText"/>
        <w:tabs>
          <w:tab w:val="clear" w:pos="567"/>
        </w:tabs>
        <w:rPr>
          <w:color w:val="000000"/>
          <w:szCs w:val="22"/>
        </w:rPr>
      </w:pPr>
    </w:p>
    <w:p w14:paraId="723B20E9" w14:textId="77777777" w:rsidR="00A573B3" w:rsidRPr="004C2A59" w:rsidRDefault="00A573B3" w:rsidP="00C93654">
      <w:pPr>
        <w:keepNext/>
        <w:numPr>
          <w:ilvl w:val="12"/>
          <w:numId w:val="0"/>
        </w:numPr>
        <w:outlineLvl w:val="0"/>
        <w:rPr>
          <w:b/>
          <w:noProof/>
          <w:sz w:val="22"/>
          <w:szCs w:val="22"/>
          <w:lang w:val="da-DK"/>
        </w:rPr>
      </w:pPr>
      <w:r w:rsidRPr="004C2A59">
        <w:rPr>
          <w:b/>
          <w:noProof/>
          <w:sz w:val="22"/>
          <w:szCs w:val="22"/>
          <w:lang w:val="da-DK"/>
        </w:rPr>
        <w:t xml:space="preserve">Indberetning af </w:t>
      </w:r>
      <w:r w:rsidRPr="004C2A59">
        <w:rPr>
          <w:b/>
          <w:sz w:val="22"/>
          <w:szCs w:val="22"/>
          <w:lang w:val="da-DK"/>
        </w:rPr>
        <w:t>bivirkninger</w:t>
      </w:r>
    </w:p>
    <w:p w14:paraId="616A91F7" w14:textId="77777777" w:rsidR="00A573B3" w:rsidRPr="004C2A59" w:rsidRDefault="00A573B3" w:rsidP="00421681">
      <w:pPr>
        <w:suppressAutoHyphens/>
        <w:rPr>
          <w:color w:val="000000"/>
          <w:sz w:val="22"/>
          <w:szCs w:val="22"/>
          <w:lang w:val="da-DK"/>
        </w:rPr>
      </w:pPr>
      <w:r w:rsidRPr="004C2A59">
        <w:rPr>
          <w:color w:val="000000"/>
          <w:sz w:val="22"/>
          <w:szCs w:val="22"/>
          <w:lang w:val="da-DK"/>
        </w:rPr>
        <w:t xml:space="preserve">Hvis du oplever bivirkninger, bør du tale med din læge, sygeplejerske eller </w:t>
      </w:r>
      <w:r w:rsidRPr="004C2A59">
        <w:rPr>
          <w:noProof/>
          <w:sz w:val="22"/>
          <w:szCs w:val="22"/>
          <w:lang w:val="da-DK"/>
        </w:rPr>
        <w:t>apoteket</w:t>
      </w:r>
      <w:r w:rsidRPr="004C2A59">
        <w:rPr>
          <w:color w:val="000000"/>
          <w:sz w:val="22"/>
          <w:szCs w:val="22"/>
          <w:lang w:val="da-DK"/>
        </w:rPr>
        <w:t xml:space="preserve">. Dette gælder også mulige bivirkninger, som ikke er medtaget i denne indlægsseddel. Du eller dine pårørende kan også indberette bivirkninger direkte til </w:t>
      </w:r>
      <w:r w:rsidR="00EC0A25">
        <w:rPr>
          <w:color w:val="000000"/>
          <w:sz w:val="22"/>
          <w:szCs w:val="22"/>
          <w:lang w:val="da-DK"/>
        </w:rPr>
        <w:t>Lægemiddelstyrelsen</w:t>
      </w:r>
      <w:r w:rsidR="00EC0A25" w:rsidRPr="004C2A59">
        <w:rPr>
          <w:color w:val="000000"/>
          <w:sz w:val="22"/>
          <w:szCs w:val="22"/>
          <w:lang w:val="da-DK"/>
        </w:rPr>
        <w:t xml:space="preserve"> </w:t>
      </w:r>
      <w:r w:rsidRPr="004C2A59">
        <w:rPr>
          <w:color w:val="000000"/>
          <w:sz w:val="22"/>
          <w:szCs w:val="22"/>
          <w:shd w:val="clear" w:color="auto" w:fill="D9D9D9"/>
          <w:lang w:val="da-DK"/>
        </w:rPr>
        <w:t xml:space="preserve">via det nationale rapporteringssystem anført i </w:t>
      </w:r>
      <w:hyperlink r:id="rId17" w:history="1">
        <w:r w:rsidRPr="004C2A59">
          <w:rPr>
            <w:rStyle w:val="Hyperlink"/>
            <w:sz w:val="22"/>
            <w:szCs w:val="22"/>
            <w:shd w:val="clear" w:color="auto" w:fill="D9D9D9"/>
            <w:lang w:val="da-DK"/>
          </w:rPr>
          <w:t>Appendiks V</w:t>
        </w:r>
      </w:hyperlink>
      <w:r w:rsidRPr="004C2A59">
        <w:rPr>
          <w:color w:val="000000"/>
          <w:sz w:val="22"/>
          <w:szCs w:val="22"/>
          <w:lang w:val="da-DK"/>
        </w:rPr>
        <w:t>. Ved at indrapportere bivirkninger kan du hjælpe med at fremskaffe mere information om sikkerheden af dette lægemiddel.</w:t>
      </w:r>
    </w:p>
    <w:p w14:paraId="506E8C5E" w14:textId="77777777" w:rsidR="00A573B3" w:rsidRPr="004C2A59" w:rsidRDefault="00A573B3" w:rsidP="00421681">
      <w:pPr>
        <w:widowControl w:val="0"/>
        <w:suppressAutoHyphens/>
        <w:rPr>
          <w:color w:val="000000"/>
          <w:sz w:val="22"/>
          <w:szCs w:val="22"/>
          <w:lang w:val="da-DK"/>
        </w:rPr>
      </w:pPr>
    </w:p>
    <w:p w14:paraId="3C0BD19C" w14:textId="77777777" w:rsidR="00A573B3" w:rsidRPr="004C2A59" w:rsidRDefault="00A573B3" w:rsidP="00421681">
      <w:pPr>
        <w:widowControl w:val="0"/>
        <w:suppressAutoHyphens/>
        <w:ind w:left="567" w:hanging="567"/>
        <w:rPr>
          <w:color w:val="000000"/>
          <w:sz w:val="22"/>
          <w:szCs w:val="22"/>
          <w:lang w:val="da-DK"/>
        </w:rPr>
      </w:pPr>
    </w:p>
    <w:p w14:paraId="2C7510E2" w14:textId="77777777" w:rsidR="00152279" w:rsidRPr="004C2A59" w:rsidRDefault="00152279" w:rsidP="00C93654">
      <w:pPr>
        <w:keepNext/>
        <w:widowControl w:val="0"/>
        <w:suppressAutoHyphens/>
        <w:rPr>
          <w:color w:val="000000"/>
          <w:sz w:val="22"/>
          <w:szCs w:val="22"/>
          <w:lang w:val="da-DK"/>
        </w:rPr>
      </w:pPr>
      <w:r w:rsidRPr="004C2A59">
        <w:rPr>
          <w:b/>
          <w:color w:val="000000"/>
          <w:sz w:val="22"/>
          <w:szCs w:val="22"/>
          <w:lang w:val="da-DK"/>
        </w:rPr>
        <w:t>5.</w:t>
      </w:r>
      <w:r w:rsidRPr="004C2A59">
        <w:rPr>
          <w:b/>
          <w:color w:val="000000"/>
          <w:sz w:val="22"/>
          <w:szCs w:val="22"/>
          <w:lang w:val="da-DK"/>
        </w:rPr>
        <w:tab/>
        <w:t>Opbevaring</w:t>
      </w:r>
    </w:p>
    <w:p w14:paraId="22158552" w14:textId="77777777" w:rsidR="00152279" w:rsidRPr="004C2A59" w:rsidRDefault="00152279" w:rsidP="00C93654">
      <w:pPr>
        <w:keepNext/>
        <w:widowControl w:val="0"/>
        <w:suppressAutoHyphens/>
        <w:rPr>
          <w:color w:val="000000"/>
          <w:sz w:val="22"/>
          <w:szCs w:val="22"/>
          <w:lang w:val="da-DK"/>
        </w:rPr>
      </w:pPr>
    </w:p>
    <w:p w14:paraId="2EA85EC0" w14:textId="77777777" w:rsidR="00152279" w:rsidRPr="004C2A59" w:rsidRDefault="00152279" w:rsidP="00421681">
      <w:pPr>
        <w:widowControl w:val="0"/>
        <w:numPr>
          <w:ilvl w:val="0"/>
          <w:numId w:val="2"/>
        </w:numPr>
        <w:tabs>
          <w:tab w:val="clear" w:pos="360"/>
        </w:tabs>
        <w:suppressAutoHyphens/>
        <w:ind w:left="567" w:hanging="567"/>
        <w:rPr>
          <w:color w:val="000000"/>
          <w:sz w:val="22"/>
          <w:szCs w:val="22"/>
          <w:lang w:val="da-DK"/>
        </w:rPr>
      </w:pPr>
      <w:r w:rsidRPr="004C2A59">
        <w:rPr>
          <w:color w:val="000000"/>
          <w:sz w:val="22"/>
          <w:szCs w:val="22"/>
          <w:lang w:val="da-DK"/>
        </w:rPr>
        <w:t xml:space="preserve">Opbevar </w:t>
      </w:r>
      <w:r w:rsidR="000133DB">
        <w:rPr>
          <w:color w:val="000000"/>
          <w:sz w:val="22"/>
          <w:szCs w:val="22"/>
          <w:lang w:val="da-DK"/>
        </w:rPr>
        <w:t>lægemidlet</w:t>
      </w:r>
      <w:r w:rsidRPr="004C2A59">
        <w:rPr>
          <w:color w:val="000000"/>
          <w:sz w:val="22"/>
          <w:szCs w:val="22"/>
          <w:lang w:val="da-DK"/>
        </w:rPr>
        <w:t xml:space="preserve"> utilgængeligt for børn.</w:t>
      </w:r>
    </w:p>
    <w:p w14:paraId="0C47BBED" w14:textId="77777777" w:rsidR="00152279" w:rsidRPr="004C2A59" w:rsidRDefault="00152279" w:rsidP="00421681">
      <w:pPr>
        <w:widowControl w:val="0"/>
        <w:numPr>
          <w:ilvl w:val="0"/>
          <w:numId w:val="2"/>
        </w:numPr>
        <w:tabs>
          <w:tab w:val="clear" w:pos="360"/>
        </w:tabs>
        <w:suppressAutoHyphens/>
        <w:ind w:left="567" w:hanging="567"/>
        <w:rPr>
          <w:color w:val="000000"/>
          <w:sz w:val="22"/>
          <w:szCs w:val="22"/>
          <w:lang w:val="da-DK"/>
        </w:rPr>
      </w:pPr>
      <w:r w:rsidRPr="004C2A59">
        <w:rPr>
          <w:color w:val="000000"/>
          <w:sz w:val="22"/>
          <w:szCs w:val="22"/>
          <w:lang w:val="da-DK"/>
        </w:rPr>
        <w:t xml:space="preserve">Brug ikke </w:t>
      </w:r>
      <w:r w:rsidR="000133DB">
        <w:rPr>
          <w:color w:val="000000"/>
          <w:sz w:val="22"/>
          <w:szCs w:val="22"/>
          <w:lang w:val="da-DK"/>
        </w:rPr>
        <w:t>lægemidlet</w:t>
      </w:r>
      <w:r w:rsidRPr="004C2A59">
        <w:rPr>
          <w:color w:val="000000"/>
          <w:sz w:val="22"/>
          <w:szCs w:val="22"/>
          <w:lang w:val="da-DK"/>
        </w:rPr>
        <w:t xml:space="preserve"> efter den udløbsdato, der står på pakningen</w:t>
      </w:r>
      <w:r w:rsidR="005607AC">
        <w:rPr>
          <w:color w:val="000000"/>
          <w:sz w:val="22"/>
          <w:szCs w:val="22"/>
          <w:lang w:val="da-DK"/>
        </w:rPr>
        <w:t xml:space="preserve"> efter EXP</w:t>
      </w:r>
      <w:r w:rsidRPr="004C2A59">
        <w:rPr>
          <w:color w:val="000000"/>
          <w:sz w:val="22"/>
          <w:szCs w:val="22"/>
          <w:lang w:val="da-DK"/>
        </w:rPr>
        <w:t>.</w:t>
      </w:r>
    </w:p>
    <w:p w14:paraId="37013436" w14:textId="77777777" w:rsidR="00152279" w:rsidRPr="004C2A59" w:rsidRDefault="00152279" w:rsidP="00421681">
      <w:pPr>
        <w:widowControl w:val="0"/>
        <w:numPr>
          <w:ilvl w:val="0"/>
          <w:numId w:val="2"/>
        </w:numPr>
        <w:tabs>
          <w:tab w:val="clear" w:pos="360"/>
        </w:tabs>
        <w:ind w:left="567" w:hanging="567"/>
        <w:rPr>
          <w:color w:val="000000"/>
          <w:sz w:val="22"/>
          <w:szCs w:val="22"/>
          <w:lang w:val="da-DK"/>
        </w:rPr>
      </w:pPr>
      <w:r w:rsidRPr="004C2A59">
        <w:rPr>
          <w:color w:val="000000"/>
          <w:sz w:val="22"/>
          <w:szCs w:val="22"/>
          <w:lang w:val="da-DK"/>
        </w:rPr>
        <w:t>Må ikke opbevares ved temperaturer over 30°C.</w:t>
      </w:r>
    </w:p>
    <w:p w14:paraId="443CCF89" w14:textId="77777777" w:rsidR="00152279" w:rsidRPr="004C2A59" w:rsidRDefault="00152279" w:rsidP="00421681">
      <w:pPr>
        <w:widowControl w:val="0"/>
        <w:numPr>
          <w:ilvl w:val="0"/>
          <w:numId w:val="2"/>
        </w:numPr>
        <w:tabs>
          <w:tab w:val="clear" w:pos="360"/>
        </w:tabs>
        <w:suppressAutoHyphens/>
        <w:ind w:left="567" w:hanging="567"/>
        <w:rPr>
          <w:color w:val="000000"/>
          <w:sz w:val="22"/>
          <w:szCs w:val="22"/>
          <w:lang w:val="da-DK"/>
        </w:rPr>
      </w:pPr>
      <w:r w:rsidRPr="004C2A59">
        <w:rPr>
          <w:color w:val="000000"/>
          <w:sz w:val="22"/>
          <w:szCs w:val="22"/>
          <w:lang w:val="da-DK"/>
        </w:rPr>
        <w:lastRenderedPageBreak/>
        <w:t>Opbevares i den originale yderpakning for at beskytte mod fugt.</w:t>
      </w:r>
    </w:p>
    <w:p w14:paraId="6BF2A564" w14:textId="77777777" w:rsidR="00152279" w:rsidRPr="004C2A59" w:rsidRDefault="00152279" w:rsidP="00421681">
      <w:pPr>
        <w:widowControl w:val="0"/>
        <w:numPr>
          <w:ilvl w:val="0"/>
          <w:numId w:val="2"/>
        </w:numPr>
        <w:tabs>
          <w:tab w:val="clear" w:pos="360"/>
        </w:tabs>
        <w:suppressAutoHyphens/>
        <w:ind w:left="567" w:hanging="567"/>
        <w:rPr>
          <w:color w:val="000000"/>
          <w:sz w:val="22"/>
          <w:szCs w:val="22"/>
          <w:lang w:val="da-DK"/>
        </w:rPr>
      </w:pPr>
      <w:r w:rsidRPr="004C2A59">
        <w:rPr>
          <w:color w:val="000000"/>
          <w:sz w:val="22"/>
          <w:szCs w:val="22"/>
          <w:lang w:val="da-DK"/>
        </w:rPr>
        <w:t>Pakningen må ikke anvendes, hvis den er beskadiget, eller der er tegn på, at pakningen har været åbnet.</w:t>
      </w:r>
    </w:p>
    <w:p w14:paraId="56BFD960" w14:textId="77777777" w:rsidR="003778CF" w:rsidRPr="004C2A59" w:rsidRDefault="003778CF" w:rsidP="00421681">
      <w:pPr>
        <w:widowControl w:val="0"/>
        <w:numPr>
          <w:ilvl w:val="0"/>
          <w:numId w:val="2"/>
        </w:numPr>
        <w:tabs>
          <w:tab w:val="clear" w:pos="360"/>
        </w:tabs>
        <w:suppressAutoHyphens/>
        <w:ind w:left="567" w:hanging="567"/>
        <w:rPr>
          <w:color w:val="000000"/>
          <w:sz w:val="22"/>
          <w:szCs w:val="22"/>
          <w:lang w:val="da-DK"/>
        </w:rPr>
      </w:pPr>
      <w:r w:rsidRPr="004C2A59">
        <w:rPr>
          <w:noProof/>
          <w:sz w:val="22"/>
          <w:szCs w:val="22"/>
          <w:lang w:val="da-DK"/>
        </w:rPr>
        <w:t>Spørg på apoteket, hvordan du skal bortskaffe medicinrester.</w:t>
      </w:r>
      <w:r w:rsidRPr="004C2A59">
        <w:rPr>
          <w:sz w:val="22"/>
          <w:szCs w:val="22"/>
          <w:lang w:val="da-DK"/>
        </w:rPr>
        <w:t xml:space="preserve"> </w:t>
      </w:r>
      <w:r w:rsidRPr="004C2A59">
        <w:rPr>
          <w:noProof/>
          <w:sz w:val="22"/>
          <w:szCs w:val="22"/>
          <w:lang w:val="da-DK"/>
        </w:rPr>
        <w:t>Af hensyn til miljøet må du ikke smide medicinrester i afløbet, toilettet eller skraldespanden.</w:t>
      </w:r>
    </w:p>
    <w:p w14:paraId="19030F05" w14:textId="77777777" w:rsidR="00152279" w:rsidRPr="004C2A59" w:rsidRDefault="00152279" w:rsidP="00421681">
      <w:pPr>
        <w:widowControl w:val="0"/>
        <w:suppressAutoHyphens/>
        <w:rPr>
          <w:color w:val="000000"/>
          <w:sz w:val="22"/>
          <w:szCs w:val="22"/>
          <w:lang w:val="da-DK"/>
        </w:rPr>
      </w:pPr>
    </w:p>
    <w:p w14:paraId="2563EFCF" w14:textId="77777777" w:rsidR="00152279" w:rsidRPr="004C2A59" w:rsidRDefault="00152279" w:rsidP="00421681">
      <w:pPr>
        <w:widowControl w:val="0"/>
        <w:suppressAutoHyphens/>
        <w:rPr>
          <w:color w:val="000000"/>
          <w:sz w:val="22"/>
          <w:szCs w:val="22"/>
          <w:lang w:val="da-DK"/>
        </w:rPr>
      </w:pPr>
    </w:p>
    <w:p w14:paraId="05F3AC7F" w14:textId="77777777" w:rsidR="006F7492" w:rsidRPr="004C2A59" w:rsidRDefault="006F7492" w:rsidP="00C93654">
      <w:pPr>
        <w:pStyle w:val="EndnoteText"/>
        <w:keepNext/>
        <w:tabs>
          <w:tab w:val="clear" w:pos="567"/>
        </w:tabs>
        <w:rPr>
          <w:b/>
          <w:caps/>
          <w:color w:val="000000"/>
          <w:szCs w:val="22"/>
        </w:rPr>
      </w:pPr>
      <w:r w:rsidRPr="004C2A59">
        <w:rPr>
          <w:b/>
          <w:caps/>
          <w:color w:val="000000"/>
          <w:szCs w:val="22"/>
        </w:rPr>
        <w:t>6.</w:t>
      </w:r>
      <w:r w:rsidRPr="004C2A59">
        <w:rPr>
          <w:b/>
          <w:caps/>
          <w:color w:val="000000"/>
          <w:szCs w:val="22"/>
        </w:rPr>
        <w:tab/>
      </w:r>
      <w:r w:rsidR="00935627" w:rsidRPr="004C2A59">
        <w:rPr>
          <w:b/>
          <w:color w:val="000000"/>
          <w:szCs w:val="22"/>
        </w:rPr>
        <w:t>Pakningsstørrelser og yderligere oplysninger</w:t>
      </w:r>
    </w:p>
    <w:p w14:paraId="702D44DF" w14:textId="77777777" w:rsidR="006F7492" w:rsidRPr="004C2A59" w:rsidRDefault="006F7492" w:rsidP="00C93654">
      <w:pPr>
        <w:keepNext/>
        <w:widowControl w:val="0"/>
        <w:suppressAutoHyphens/>
        <w:rPr>
          <w:color w:val="000000"/>
          <w:sz w:val="22"/>
          <w:szCs w:val="22"/>
          <w:lang w:val="da-DK"/>
        </w:rPr>
      </w:pPr>
    </w:p>
    <w:p w14:paraId="13B81CD2" w14:textId="77777777" w:rsidR="006F7492" w:rsidRPr="004C2A59" w:rsidRDefault="006F7492" w:rsidP="00C93654">
      <w:pPr>
        <w:keepNext/>
        <w:widowControl w:val="0"/>
        <w:suppressAutoHyphens/>
        <w:ind w:left="567" w:hanging="567"/>
        <w:rPr>
          <w:b/>
          <w:color w:val="000000"/>
          <w:sz w:val="22"/>
          <w:szCs w:val="22"/>
          <w:lang w:val="da-DK"/>
        </w:rPr>
      </w:pPr>
      <w:r w:rsidRPr="004C2A59">
        <w:rPr>
          <w:b/>
          <w:color w:val="000000"/>
          <w:sz w:val="22"/>
          <w:szCs w:val="22"/>
          <w:lang w:val="da-DK"/>
        </w:rPr>
        <w:t>Glivec indeholder</w:t>
      </w:r>
      <w:r w:rsidR="00935627" w:rsidRPr="004C2A59">
        <w:rPr>
          <w:b/>
          <w:color w:val="000000"/>
          <w:sz w:val="22"/>
          <w:szCs w:val="22"/>
          <w:lang w:val="da-DK"/>
        </w:rPr>
        <w:t>:</w:t>
      </w:r>
    </w:p>
    <w:p w14:paraId="193656DE" w14:textId="77777777" w:rsidR="006F7492" w:rsidRPr="004C2A59" w:rsidRDefault="006F7492" w:rsidP="00C93654">
      <w:pPr>
        <w:keepNext/>
        <w:widowControl w:val="0"/>
        <w:suppressAutoHyphens/>
        <w:rPr>
          <w:color w:val="000000"/>
          <w:sz w:val="22"/>
          <w:szCs w:val="22"/>
          <w:lang w:val="da-DK"/>
        </w:rPr>
      </w:pPr>
      <w:r w:rsidRPr="004C2A59">
        <w:rPr>
          <w:color w:val="000000"/>
          <w:sz w:val="22"/>
          <w:szCs w:val="22"/>
          <w:lang w:val="da-DK"/>
        </w:rPr>
        <w:t>-</w:t>
      </w:r>
      <w:r w:rsidRPr="004C2A59">
        <w:rPr>
          <w:color w:val="000000"/>
          <w:sz w:val="22"/>
          <w:szCs w:val="22"/>
          <w:lang w:val="da-DK"/>
        </w:rPr>
        <w:tab/>
        <w:t>Aktivt stof: imatinibmesilat. Hver Glivec-kapsel indeholder 100 mg imatinibmesilat.</w:t>
      </w:r>
    </w:p>
    <w:p w14:paraId="54AF4D6D" w14:textId="77777777" w:rsidR="006F7492" w:rsidRPr="004C2A59" w:rsidRDefault="006F7492" w:rsidP="00421681">
      <w:pPr>
        <w:pStyle w:val="EndnoteText"/>
        <w:tabs>
          <w:tab w:val="clear" w:pos="567"/>
        </w:tabs>
        <w:suppressAutoHyphens/>
        <w:ind w:left="567" w:hanging="567"/>
        <w:rPr>
          <w:color w:val="000000"/>
          <w:szCs w:val="22"/>
        </w:rPr>
      </w:pPr>
      <w:r w:rsidRPr="004C2A59">
        <w:rPr>
          <w:color w:val="000000"/>
          <w:szCs w:val="22"/>
        </w:rPr>
        <w:t>-</w:t>
      </w:r>
      <w:r w:rsidRPr="004C2A59">
        <w:rPr>
          <w:color w:val="000000"/>
          <w:szCs w:val="22"/>
        </w:rPr>
        <w:tab/>
        <w:t xml:space="preserve">Øvrige indholdsstoffer: mikrokrystallinsk cellulose, crospovidon, magnesiumstearat og vandfri kolloid silica. Kapselskallen består af gelatine, rød jernoxid (E 172), gul jernoxid (E 172) og </w:t>
      </w:r>
      <w:r w:rsidR="00F77584" w:rsidRPr="004C2A59">
        <w:rPr>
          <w:color w:val="000000"/>
          <w:szCs w:val="22"/>
        </w:rPr>
        <w:t>titandioxid (E 171). Prægeblækket består af rød jernoxid (E 172) og shellac.</w:t>
      </w:r>
    </w:p>
    <w:p w14:paraId="643A3313" w14:textId="77777777" w:rsidR="006F7492" w:rsidRPr="004C2A59" w:rsidRDefault="006F7492" w:rsidP="00421681">
      <w:pPr>
        <w:pStyle w:val="EndnoteText"/>
        <w:tabs>
          <w:tab w:val="clear" w:pos="567"/>
        </w:tabs>
        <w:suppressAutoHyphens/>
        <w:rPr>
          <w:color w:val="000000"/>
          <w:szCs w:val="22"/>
        </w:rPr>
      </w:pPr>
    </w:p>
    <w:p w14:paraId="27C64FFF" w14:textId="77777777" w:rsidR="006F7492" w:rsidRPr="004C2A59" w:rsidRDefault="006F7492" w:rsidP="00C93654">
      <w:pPr>
        <w:pStyle w:val="EndnoteText"/>
        <w:keepNext/>
        <w:tabs>
          <w:tab w:val="clear" w:pos="567"/>
        </w:tabs>
        <w:suppressAutoHyphens/>
        <w:ind w:left="567" w:hanging="567"/>
        <w:rPr>
          <w:b/>
          <w:bCs/>
          <w:color w:val="000000"/>
          <w:szCs w:val="22"/>
        </w:rPr>
      </w:pPr>
      <w:r w:rsidRPr="004C2A59">
        <w:rPr>
          <w:b/>
          <w:bCs/>
          <w:color w:val="000000"/>
          <w:szCs w:val="22"/>
        </w:rPr>
        <w:t>Udseende og pakningsstørrelser</w:t>
      </w:r>
    </w:p>
    <w:p w14:paraId="7DF7B948"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Glivec 100 mg kapsler er orange til orange-grålig og præget med ”</w:t>
      </w:r>
      <w:smartTag w:uri="urn:schemas-microsoft-com:office:smarttags" w:element="metricconverter">
        <w:r w:rsidRPr="004C2A59">
          <w:rPr>
            <w:color w:val="000000"/>
            <w:sz w:val="22"/>
            <w:szCs w:val="22"/>
            <w:lang w:val="da-DK"/>
          </w:rPr>
          <w:t>NVR</w:t>
        </w:r>
      </w:smartTag>
      <w:r w:rsidRPr="004C2A59">
        <w:rPr>
          <w:color w:val="000000"/>
          <w:sz w:val="22"/>
          <w:szCs w:val="22"/>
          <w:lang w:val="da-DK"/>
        </w:rPr>
        <w:t xml:space="preserve"> SI”. De indeholder et hvidt til gulligt pulver.</w:t>
      </w:r>
    </w:p>
    <w:p w14:paraId="238C0295" w14:textId="77777777" w:rsidR="006F7492" w:rsidRPr="004C2A59" w:rsidRDefault="006F7492" w:rsidP="00421681">
      <w:pPr>
        <w:widowControl w:val="0"/>
        <w:suppressAutoHyphens/>
        <w:ind w:left="567" w:hanging="567"/>
        <w:rPr>
          <w:color w:val="000000"/>
          <w:sz w:val="22"/>
          <w:szCs w:val="22"/>
          <w:lang w:val="da-DK"/>
        </w:rPr>
      </w:pPr>
    </w:p>
    <w:p w14:paraId="4D4BD8AF"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De findes i pakninger med 24, 48, 96, 120 eller 180 kapsler, men ikke alle pakningsstørrelser er nødvendigvis tilgængelige i dit land.</w:t>
      </w:r>
    </w:p>
    <w:p w14:paraId="71C48125" w14:textId="77777777" w:rsidR="006F7492" w:rsidRPr="004C2A59" w:rsidRDefault="006F7492" w:rsidP="00421681">
      <w:pPr>
        <w:widowControl w:val="0"/>
        <w:suppressAutoHyphens/>
        <w:ind w:left="567" w:hanging="567"/>
        <w:rPr>
          <w:color w:val="000000"/>
          <w:sz w:val="22"/>
          <w:szCs w:val="22"/>
          <w:lang w:val="da-DK"/>
        </w:rPr>
      </w:pPr>
    </w:p>
    <w:p w14:paraId="1A9B64E6" w14:textId="77777777" w:rsidR="006F7492" w:rsidRPr="004C2A59" w:rsidRDefault="006F7492" w:rsidP="00C93654">
      <w:pPr>
        <w:pStyle w:val="Heading9"/>
        <w:widowControl w:val="0"/>
        <w:numPr>
          <w:ilvl w:val="0"/>
          <w:numId w:val="0"/>
        </w:numPr>
        <w:suppressAutoHyphens w:val="0"/>
        <w:rPr>
          <w:color w:val="000000"/>
          <w:szCs w:val="22"/>
        </w:rPr>
      </w:pPr>
      <w:r w:rsidRPr="004C2A59">
        <w:rPr>
          <w:color w:val="000000"/>
          <w:szCs w:val="22"/>
        </w:rPr>
        <w:t>Indehaver af markedsføringstilladelsen</w:t>
      </w:r>
    </w:p>
    <w:p w14:paraId="567A9A27" w14:textId="77777777" w:rsidR="006F7492" w:rsidRPr="004C2A59" w:rsidRDefault="006F7492" w:rsidP="00C93654">
      <w:pPr>
        <w:keepNext/>
        <w:widowControl w:val="0"/>
        <w:rPr>
          <w:color w:val="000000"/>
          <w:sz w:val="22"/>
          <w:szCs w:val="22"/>
          <w:lang w:val="da-DK"/>
        </w:rPr>
      </w:pPr>
      <w:r w:rsidRPr="004C2A59">
        <w:rPr>
          <w:color w:val="000000"/>
          <w:sz w:val="22"/>
          <w:szCs w:val="22"/>
          <w:lang w:val="da-DK"/>
        </w:rPr>
        <w:t>Novartis Europharm Limited</w:t>
      </w:r>
    </w:p>
    <w:p w14:paraId="3878B8C3" w14:textId="77777777" w:rsidR="004F2E31" w:rsidRPr="004F2E31" w:rsidRDefault="004F2E31" w:rsidP="00421681">
      <w:pPr>
        <w:keepNext/>
        <w:widowControl w:val="0"/>
        <w:rPr>
          <w:color w:val="000000"/>
          <w:sz w:val="22"/>
          <w:szCs w:val="22"/>
        </w:rPr>
      </w:pPr>
      <w:r w:rsidRPr="004F2E31">
        <w:rPr>
          <w:color w:val="000000"/>
          <w:sz w:val="22"/>
          <w:szCs w:val="22"/>
        </w:rPr>
        <w:t>Vista Building</w:t>
      </w:r>
    </w:p>
    <w:p w14:paraId="0A54EE94" w14:textId="77777777" w:rsidR="004F2E31" w:rsidRPr="004F2E31" w:rsidRDefault="004F2E31" w:rsidP="00421681">
      <w:pPr>
        <w:keepNext/>
        <w:widowControl w:val="0"/>
        <w:rPr>
          <w:color w:val="000000"/>
          <w:sz w:val="22"/>
          <w:szCs w:val="22"/>
        </w:rPr>
      </w:pPr>
      <w:r w:rsidRPr="004F2E31">
        <w:rPr>
          <w:color w:val="000000"/>
          <w:sz w:val="22"/>
          <w:szCs w:val="22"/>
        </w:rPr>
        <w:t>Elm Park, Merrion Road</w:t>
      </w:r>
    </w:p>
    <w:p w14:paraId="77516028" w14:textId="77777777" w:rsidR="004F2E31" w:rsidRPr="00F852D1" w:rsidRDefault="004F2E31" w:rsidP="00421681">
      <w:pPr>
        <w:keepNext/>
        <w:widowControl w:val="0"/>
        <w:rPr>
          <w:color w:val="000000"/>
          <w:sz w:val="22"/>
          <w:szCs w:val="22"/>
        </w:rPr>
      </w:pPr>
      <w:r w:rsidRPr="00F852D1">
        <w:rPr>
          <w:color w:val="000000"/>
          <w:sz w:val="22"/>
          <w:szCs w:val="22"/>
        </w:rPr>
        <w:t>Dublin 4</w:t>
      </w:r>
    </w:p>
    <w:p w14:paraId="07E2C7CF" w14:textId="77777777" w:rsidR="004F2E31" w:rsidRPr="00F852D1" w:rsidRDefault="004F2E31" w:rsidP="00421681">
      <w:pPr>
        <w:rPr>
          <w:color w:val="000000"/>
          <w:sz w:val="22"/>
          <w:szCs w:val="22"/>
        </w:rPr>
      </w:pPr>
      <w:r w:rsidRPr="00F852D1">
        <w:rPr>
          <w:color w:val="000000"/>
          <w:sz w:val="22"/>
          <w:szCs w:val="22"/>
        </w:rPr>
        <w:t>Irland</w:t>
      </w:r>
    </w:p>
    <w:p w14:paraId="22180B9F" w14:textId="77777777" w:rsidR="006F7492" w:rsidRPr="00F852D1" w:rsidRDefault="006F7492" w:rsidP="00421681">
      <w:pPr>
        <w:widowControl w:val="0"/>
        <w:suppressAutoHyphens/>
        <w:ind w:left="567" w:hanging="567"/>
        <w:rPr>
          <w:color w:val="000000"/>
          <w:sz w:val="22"/>
          <w:szCs w:val="22"/>
        </w:rPr>
      </w:pPr>
    </w:p>
    <w:p w14:paraId="0F8287D0" w14:textId="77777777" w:rsidR="006F7492" w:rsidRPr="00F852D1" w:rsidRDefault="006F7492" w:rsidP="00C93654">
      <w:pPr>
        <w:pStyle w:val="Heading9"/>
        <w:widowControl w:val="0"/>
        <w:numPr>
          <w:ilvl w:val="0"/>
          <w:numId w:val="0"/>
        </w:numPr>
        <w:rPr>
          <w:color w:val="000000"/>
          <w:szCs w:val="22"/>
          <w:lang w:val="en-US"/>
        </w:rPr>
      </w:pPr>
      <w:r w:rsidRPr="00F852D1">
        <w:rPr>
          <w:color w:val="000000"/>
          <w:szCs w:val="22"/>
          <w:lang w:val="en-US"/>
        </w:rPr>
        <w:t>Fremstiller</w:t>
      </w:r>
    </w:p>
    <w:p w14:paraId="1DA1011E" w14:textId="77777777" w:rsidR="006F7492" w:rsidRPr="00F852D1" w:rsidRDefault="006F7492" w:rsidP="00C93654">
      <w:pPr>
        <w:pStyle w:val="EndnoteText"/>
        <w:keepNext/>
        <w:tabs>
          <w:tab w:val="clear" w:pos="567"/>
        </w:tabs>
        <w:suppressAutoHyphens/>
        <w:rPr>
          <w:color w:val="000000"/>
          <w:szCs w:val="22"/>
          <w:lang w:val="en-US"/>
        </w:rPr>
      </w:pPr>
      <w:r w:rsidRPr="00F852D1">
        <w:rPr>
          <w:color w:val="000000"/>
          <w:szCs w:val="22"/>
          <w:lang w:val="en-US"/>
        </w:rPr>
        <w:t>Novartis Pharma GmbH</w:t>
      </w:r>
    </w:p>
    <w:p w14:paraId="44B4AB79" w14:textId="77777777" w:rsidR="006F7492" w:rsidRPr="00F852D1" w:rsidRDefault="006F7492" w:rsidP="00C93654">
      <w:pPr>
        <w:keepNext/>
        <w:widowControl w:val="0"/>
        <w:suppressAutoHyphens/>
        <w:rPr>
          <w:color w:val="000000"/>
          <w:sz w:val="22"/>
          <w:szCs w:val="22"/>
        </w:rPr>
      </w:pPr>
      <w:r w:rsidRPr="00F852D1">
        <w:rPr>
          <w:color w:val="000000"/>
          <w:sz w:val="22"/>
          <w:szCs w:val="22"/>
        </w:rPr>
        <w:t>Roonstrasse 25</w:t>
      </w:r>
    </w:p>
    <w:p w14:paraId="6223170C" w14:textId="77777777" w:rsidR="006F7492" w:rsidRPr="00F852D1" w:rsidRDefault="006F7492" w:rsidP="00C93654">
      <w:pPr>
        <w:keepNext/>
        <w:widowControl w:val="0"/>
        <w:suppressAutoHyphens/>
        <w:rPr>
          <w:color w:val="000000"/>
          <w:sz w:val="22"/>
          <w:szCs w:val="22"/>
        </w:rPr>
      </w:pPr>
      <w:r w:rsidRPr="00F852D1">
        <w:rPr>
          <w:color w:val="000000"/>
          <w:sz w:val="22"/>
          <w:szCs w:val="22"/>
        </w:rPr>
        <w:t>D-90420 Nürnberg</w:t>
      </w:r>
    </w:p>
    <w:p w14:paraId="77381C3F" w14:textId="77777777" w:rsidR="006F7492" w:rsidRPr="00F852D1" w:rsidRDefault="006F7492" w:rsidP="00421681">
      <w:pPr>
        <w:widowControl w:val="0"/>
        <w:rPr>
          <w:color w:val="000000"/>
          <w:sz w:val="22"/>
          <w:szCs w:val="22"/>
          <w:lang w:val="sv-SE"/>
        </w:rPr>
      </w:pPr>
      <w:r w:rsidRPr="00F852D1">
        <w:rPr>
          <w:color w:val="000000"/>
          <w:sz w:val="22"/>
          <w:szCs w:val="22"/>
          <w:lang w:val="sv-SE"/>
        </w:rPr>
        <w:t>Tyskland</w:t>
      </w:r>
    </w:p>
    <w:p w14:paraId="3EA08483" w14:textId="1B910118" w:rsidR="006F7492" w:rsidRPr="00F852D1" w:rsidRDefault="006F7492" w:rsidP="00421681">
      <w:pPr>
        <w:widowControl w:val="0"/>
        <w:rPr>
          <w:color w:val="000000"/>
          <w:sz w:val="22"/>
          <w:szCs w:val="22"/>
          <w:lang w:val="sv-SE"/>
        </w:rPr>
      </w:pPr>
    </w:p>
    <w:p w14:paraId="643FA161" w14:textId="77777777" w:rsidR="0032577E" w:rsidRPr="00F852D1" w:rsidRDefault="0032577E" w:rsidP="0032577E">
      <w:pPr>
        <w:keepNext/>
        <w:rPr>
          <w:color w:val="000000"/>
          <w:sz w:val="22"/>
          <w:szCs w:val="22"/>
          <w:shd w:val="pct15" w:color="auto" w:fill="auto"/>
          <w:lang w:val="sv-SE"/>
        </w:rPr>
      </w:pPr>
      <w:r w:rsidRPr="00F852D1">
        <w:rPr>
          <w:color w:val="000000"/>
          <w:sz w:val="22"/>
          <w:szCs w:val="22"/>
          <w:shd w:val="pct15" w:color="auto" w:fill="auto"/>
          <w:lang w:val="sv-SE"/>
        </w:rPr>
        <w:t>Sandoz S.R.L.</w:t>
      </w:r>
    </w:p>
    <w:p w14:paraId="781EFFEB" w14:textId="77777777" w:rsidR="0032577E" w:rsidRPr="00F852D1" w:rsidRDefault="0032577E" w:rsidP="0032577E">
      <w:pPr>
        <w:keepNext/>
        <w:rPr>
          <w:color w:val="000000"/>
          <w:sz w:val="22"/>
          <w:szCs w:val="22"/>
          <w:shd w:val="pct15" w:color="auto" w:fill="auto"/>
          <w:lang w:val="pt-PT"/>
        </w:rPr>
      </w:pPr>
      <w:r w:rsidRPr="00F852D1">
        <w:rPr>
          <w:color w:val="000000"/>
          <w:sz w:val="22"/>
          <w:szCs w:val="22"/>
          <w:shd w:val="pct15" w:color="auto" w:fill="auto"/>
          <w:lang w:val="pt-PT"/>
        </w:rPr>
        <w:t>Str. Livezeni nr. 7A</w:t>
      </w:r>
    </w:p>
    <w:p w14:paraId="584CD9F9" w14:textId="77777777" w:rsidR="0032577E" w:rsidRPr="00F852D1" w:rsidRDefault="0032577E" w:rsidP="0032577E">
      <w:pPr>
        <w:keepNext/>
        <w:rPr>
          <w:color w:val="000000"/>
          <w:sz w:val="22"/>
          <w:szCs w:val="22"/>
          <w:shd w:val="pct15" w:color="auto" w:fill="auto"/>
          <w:lang w:val="pt-PT"/>
        </w:rPr>
      </w:pPr>
      <w:r w:rsidRPr="00F852D1">
        <w:rPr>
          <w:color w:val="000000"/>
          <w:sz w:val="22"/>
          <w:szCs w:val="22"/>
          <w:shd w:val="pct15" w:color="auto" w:fill="auto"/>
          <w:lang w:val="pt-PT"/>
        </w:rPr>
        <w:t>540472, Targu Mures</w:t>
      </w:r>
    </w:p>
    <w:p w14:paraId="17530C30" w14:textId="77777777" w:rsidR="0032577E" w:rsidRPr="00F852D1" w:rsidRDefault="0032577E" w:rsidP="0032577E">
      <w:pPr>
        <w:rPr>
          <w:color w:val="000000"/>
          <w:sz w:val="22"/>
          <w:szCs w:val="22"/>
          <w:shd w:val="pct15" w:color="auto" w:fill="auto"/>
          <w:lang w:val="pt-PT"/>
        </w:rPr>
      </w:pPr>
      <w:r w:rsidRPr="00F852D1">
        <w:rPr>
          <w:color w:val="000000"/>
          <w:sz w:val="22"/>
          <w:szCs w:val="22"/>
          <w:shd w:val="pct15" w:color="auto" w:fill="auto"/>
          <w:lang w:val="pt-PT"/>
        </w:rPr>
        <w:t>Rumænien</w:t>
      </w:r>
    </w:p>
    <w:p w14:paraId="24E3AD05" w14:textId="77777777" w:rsidR="0032577E" w:rsidRPr="00F852D1" w:rsidRDefault="0032577E" w:rsidP="00421681">
      <w:pPr>
        <w:widowControl w:val="0"/>
        <w:rPr>
          <w:color w:val="000000"/>
          <w:sz w:val="22"/>
          <w:szCs w:val="22"/>
          <w:lang w:val="pt-PT"/>
        </w:rPr>
      </w:pPr>
    </w:p>
    <w:p w14:paraId="2F087786" w14:textId="77777777" w:rsidR="006F7492" w:rsidRPr="004C2A59" w:rsidRDefault="006F7492" w:rsidP="0032577E">
      <w:pPr>
        <w:keepNext/>
        <w:rPr>
          <w:color w:val="000000"/>
          <w:sz w:val="22"/>
          <w:szCs w:val="22"/>
          <w:lang w:val="da-DK"/>
        </w:rPr>
      </w:pPr>
      <w:r w:rsidRPr="004C2A59">
        <w:rPr>
          <w:color w:val="000000"/>
          <w:sz w:val="22"/>
          <w:szCs w:val="22"/>
          <w:lang w:val="da-DK"/>
        </w:rPr>
        <w:t xml:space="preserve">Hvis du </w:t>
      </w:r>
      <w:r w:rsidR="00935627" w:rsidRPr="004C2A59">
        <w:rPr>
          <w:color w:val="000000"/>
          <w:sz w:val="22"/>
          <w:szCs w:val="22"/>
          <w:lang w:val="da-DK"/>
        </w:rPr>
        <w:t>ønsker</w:t>
      </w:r>
      <w:r w:rsidRPr="004C2A59">
        <w:rPr>
          <w:color w:val="000000"/>
          <w:sz w:val="22"/>
          <w:szCs w:val="22"/>
          <w:lang w:val="da-DK"/>
        </w:rPr>
        <w:t xml:space="preserve"> yderligere oplysninger om </w:t>
      </w:r>
      <w:r w:rsidR="00935627" w:rsidRPr="004C2A59">
        <w:rPr>
          <w:color w:val="000000"/>
          <w:sz w:val="22"/>
          <w:szCs w:val="22"/>
          <w:lang w:val="da-DK"/>
        </w:rPr>
        <w:t>dette lægemiddel</w:t>
      </w:r>
      <w:r w:rsidRPr="004C2A59">
        <w:rPr>
          <w:color w:val="000000"/>
          <w:sz w:val="22"/>
          <w:szCs w:val="22"/>
          <w:lang w:val="da-DK"/>
        </w:rPr>
        <w:t>, skal du henvende dig til den lokale</w:t>
      </w:r>
      <w:r w:rsidR="00935627" w:rsidRPr="004C2A59">
        <w:rPr>
          <w:color w:val="000000"/>
          <w:sz w:val="22"/>
          <w:szCs w:val="22"/>
          <w:lang w:val="da-DK"/>
        </w:rPr>
        <w:t xml:space="preserve"> repræsentant for indehaveren af markedsføringstilladelsen</w:t>
      </w:r>
      <w:r w:rsidRPr="004C2A59">
        <w:rPr>
          <w:color w:val="000000"/>
          <w:sz w:val="22"/>
          <w:szCs w:val="22"/>
          <w:lang w:val="da-DK"/>
        </w:rPr>
        <w:t>:</w:t>
      </w:r>
    </w:p>
    <w:p w14:paraId="72DE12AA" w14:textId="77777777" w:rsidR="00312C59" w:rsidRPr="004C2A59" w:rsidRDefault="00312C59" w:rsidP="00C93654">
      <w:pPr>
        <w:keepNext/>
        <w:widowControl w:val="0"/>
        <w:ind w:right="-449"/>
        <w:rPr>
          <w:color w:val="000000"/>
          <w:sz w:val="22"/>
          <w:szCs w:val="22"/>
          <w:lang w:val="da-DK"/>
        </w:rPr>
      </w:pPr>
    </w:p>
    <w:tbl>
      <w:tblPr>
        <w:tblW w:w="9300" w:type="dxa"/>
        <w:tblLayout w:type="fixed"/>
        <w:tblLook w:val="0000" w:firstRow="0" w:lastRow="0" w:firstColumn="0" w:lastColumn="0" w:noHBand="0" w:noVBand="0"/>
      </w:tblPr>
      <w:tblGrid>
        <w:gridCol w:w="4650"/>
        <w:gridCol w:w="4650"/>
      </w:tblGrid>
      <w:tr w:rsidR="00312C59" w:rsidRPr="004C2A59" w14:paraId="48E7A28A" w14:textId="77777777" w:rsidTr="00C93654">
        <w:trPr>
          <w:cantSplit/>
        </w:trPr>
        <w:tc>
          <w:tcPr>
            <w:tcW w:w="4650" w:type="dxa"/>
          </w:tcPr>
          <w:p w14:paraId="4C7EEC6F" w14:textId="77777777" w:rsidR="00312C59" w:rsidRPr="004C2A59" w:rsidRDefault="00312C59" w:rsidP="00421681">
            <w:pPr>
              <w:rPr>
                <w:b/>
                <w:color w:val="000000"/>
                <w:sz w:val="22"/>
                <w:szCs w:val="22"/>
                <w:lang w:val="fr-FR"/>
              </w:rPr>
            </w:pPr>
            <w:r w:rsidRPr="004C2A59">
              <w:rPr>
                <w:b/>
                <w:color w:val="000000"/>
                <w:sz w:val="22"/>
                <w:szCs w:val="22"/>
                <w:lang w:val="fr-FR"/>
              </w:rPr>
              <w:t>België/Belgique/Belgien</w:t>
            </w:r>
          </w:p>
          <w:p w14:paraId="3C412EB9" w14:textId="77777777" w:rsidR="00312C59" w:rsidRPr="004C2A59" w:rsidRDefault="00312C59" w:rsidP="00421681">
            <w:pPr>
              <w:rPr>
                <w:color w:val="000000"/>
                <w:sz w:val="22"/>
                <w:szCs w:val="22"/>
                <w:lang w:val="fr-FR"/>
              </w:rPr>
            </w:pPr>
            <w:r w:rsidRPr="004C2A59">
              <w:rPr>
                <w:color w:val="000000"/>
                <w:sz w:val="22"/>
                <w:szCs w:val="22"/>
                <w:lang w:val="fr-FR"/>
              </w:rPr>
              <w:t>Novartis Pharma N.V.</w:t>
            </w:r>
          </w:p>
          <w:p w14:paraId="2BAA453A" w14:textId="77777777" w:rsidR="00312C59" w:rsidRPr="004C2A59" w:rsidRDefault="00312C59" w:rsidP="00421681">
            <w:pPr>
              <w:rPr>
                <w:color w:val="000000"/>
                <w:sz w:val="22"/>
                <w:szCs w:val="22"/>
              </w:rPr>
            </w:pPr>
            <w:r w:rsidRPr="004C2A59">
              <w:rPr>
                <w:color w:val="000000"/>
                <w:sz w:val="22"/>
                <w:szCs w:val="22"/>
              </w:rPr>
              <w:t>Tél/Tel: +32 2 246 16 11</w:t>
            </w:r>
          </w:p>
          <w:p w14:paraId="3E2E89A1" w14:textId="77777777" w:rsidR="00312C59" w:rsidRPr="004C2A59" w:rsidRDefault="00312C59" w:rsidP="00421681">
            <w:pPr>
              <w:rPr>
                <w:b/>
                <w:color w:val="000000"/>
                <w:sz w:val="22"/>
                <w:szCs w:val="22"/>
              </w:rPr>
            </w:pPr>
          </w:p>
        </w:tc>
        <w:tc>
          <w:tcPr>
            <w:tcW w:w="4650" w:type="dxa"/>
          </w:tcPr>
          <w:p w14:paraId="1A62AAE0" w14:textId="77777777" w:rsidR="00312C59" w:rsidRPr="00F93637" w:rsidRDefault="00312C59" w:rsidP="00421681">
            <w:pPr>
              <w:rPr>
                <w:b/>
                <w:color w:val="000000"/>
                <w:sz w:val="22"/>
                <w:szCs w:val="22"/>
                <w:lang w:val="es-ES"/>
              </w:rPr>
            </w:pPr>
            <w:r w:rsidRPr="00F93637">
              <w:rPr>
                <w:b/>
                <w:color w:val="000000"/>
                <w:sz w:val="22"/>
                <w:szCs w:val="22"/>
                <w:lang w:val="es-ES"/>
              </w:rPr>
              <w:t>Lietuva</w:t>
            </w:r>
          </w:p>
          <w:p w14:paraId="56420E7E" w14:textId="24D9BCBC" w:rsidR="00312C59" w:rsidRPr="00F93637" w:rsidRDefault="0057786A" w:rsidP="00421681">
            <w:pPr>
              <w:rPr>
                <w:color w:val="000000"/>
                <w:sz w:val="22"/>
                <w:szCs w:val="22"/>
                <w:lang w:val="es-ES"/>
              </w:rPr>
            </w:pPr>
            <w:r w:rsidRPr="00F93637">
              <w:rPr>
                <w:color w:val="000000"/>
                <w:sz w:val="22"/>
                <w:szCs w:val="22"/>
                <w:lang w:val="es-ES"/>
              </w:rPr>
              <w:t>SIA Novartis Baltics Lietuvos filialas</w:t>
            </w:r>
          </w:p>
          <w:p w14:paraId="3F32DDAD" w14:textId="77777777" w:rsidR="00312C59" w:rsidRPr="004C2A59" w:rsidRDefault="00312C59" w:rsidP="00421681">
            <w:pPr>
              <w:rPr>
                <w:color w:val="000000"/>
                <w:sz w:val="22"/>
                <w:szCs w:val="22"/>
                <w:lang w:val="fr-FR"/>
              </w:rPr>
            </w:pPr>
            <w:r w:rsidRPr="004C2A59">
              <w:rPr>
                <w:color w:val="000000"/>
                <w:sz w:val="22"/>
                <w:szCs w:val="22"/>
                <w:lang w:val="fr-FR"/>
              </w:rPr>
              <w:t>Tel: +370 5 269 16 50</w:t>
            </w:r>
          </w:p>
          <w:p w14:paraId="1D6F10E3" w14:textId="77777777" w:rsidR="00312C59" w:rsidRPr="004C2A59" w:rsidRDefault="00312C59" w:rsidP="00421681">
            <w:pPr>
              <w:rPr>
                <w:color w:val="000000"/>
                <w:sz w:val="22"/>
                <w:szCs w:val="22"/>
                <w:lang w:val="fr-FR"/>
              </w:rPr>
            </w:pPr>
          </w:p>
        </w:tc>
      </w:tr>
      <w:tr w:rsidR="00312C59" w:rsidRPr="00DA2798" w14:paraId="6ECA5A45" w14:textId="77777777" w:rsidTr="00C93654">
        <w:trPr>
          <w:cantSplit/>
        </w:trPr>
        <w:tc>
          <w:tcPr>
            <w:tcW w:w="4650" w:type="dxa"/>
          </w:tcPr>
          <w:p w14:paraId="79536C4F" w14:textId="77777777" w:rsidR="00312C59" w:rsidRPr="00F93637" w:rsidRDefault="00312C59" w:rsidP="00421681">
            <w:pPr>
              <w:rPr>
                <w:b/>
                <w:noProof/>
                <w:color w:val="000000"/>
                <w:sz w:val="22"/>
                <w:szCs w:val="22"/>
                <w:lang w:val="es-ES"/>
              </w:rPr>
            </w:pPr>
            <w:r w:rsidRPr="004C2A59">
              <w:rPr>
                <w:b/>
                <w:noProof/>
                <w:color w:val="000000"/>
                <w:sz w:val="22"/>
                <w:szCs w:val="22"/>
              </w:rPr>
              <w:t>България</w:t>
            </w:r>
          </w:p>
          <w:p w14:paraId="106F0D49" w14:textId="77777777" w:rsidR="00312C59" w:rsidRPr="00F93637" w:rsidRDefault="00183E28" w:rsidP="00421681">
            <w:pPr>
              <w:rPr>
                <w:noProof/>
                <w:color w:val="000000"/>
                <w:sz w:val="22"/>
                <w:szCs w:val="22"/>
                <w:lang w:val="es-ES"/>
              </w:rPr>
            </w:pPr>
            <w:r w:rsidRPr="00183E28">
              <w:rPr>
                <w:color w:val="000000"/>
                <w:sz w:val="22"/>
                <w:szCs w:val="22"/>
                <w:lang w:val="pt-BR"/>
              </w:rPr>
              <w:t>Novartis Bulgaria EOOD</w:t>
            </w:r>
          </w:p>
          <w:p w14:paraId="0F5D634B" w14:textId="77777777" w:rsidR="00312C59" w:rsidRPr="00F93637" w:rsidRDefault="00312C59" w:rsidP="00421681">
            <w:pPr>
              <w:rPr>
                <w:noProof/>
                <w:color w:val="000000"/>
                <w:sz w:val="22"/>
                <w:szCs w:val="22"/>
                <w:lang w:val="es-ES"/>
              </w:rPr>
            </w:pPr>
            <w:r w:rsidRPr="004C2A59">
              <w:rPr>
                <w:noProof/>
                <w:color w:val="000000"/>
                <w:sz w:val="22"/>
                <w:szCs w:val="22"/>
              </w:rPr>
              <w:t>Тел</w:t>
            </w:r>
            <w:r w:rsidRPr="00F93637">
              <w:rPr>
                <w:noProof/>
                <w:color w:val="000000"/>
                <w:sz w:val="22"/>
                <w:szCs w:val="22"/>
                <w:lang w:val="es-ES"/>
              </w:rPr>
              <w:t>.: +359 2 489 98 28</w:t>
            </w:r>
          </w:p>
          <w:p w14:paraId="0CB6E973" w14:textId="77777777" w:rsidR="00312C59" w:rsidRPr="004C2A59" w:rsidRDefault="00312C59" w:rsidP="00421681">
            <w:pPr>
              <w:rPr>
                <w:b/>
                <w:color w:val="000000"/>
                <w:sz w:val="22"/>
                <w:szCs w:val="22"/>
                <w:lang w:val="pt-BR"/>
              </w:rPr>
            </w:pPr>
          </w:p>
        </w:tc>
        <w:tc>
          <w:tcPr>
            <w:tcW w:w="4650" w:type="dxa"/>
          </w:tcPr>
          <w:p w14:paraId="602692E7" w14:textId="77777777" w:rsidR="00312C59" w:rsidRPr="004C2A59" w:rsidRDefault="00312C59" w:rsidP="00421681">
            <w:pPr>
              <w:rPr>
                <w:b/>
                <w:color w:val="000000"/>
                <w:sz w:val="22"/>
                <w:szCs w:val="22"/>
                <w:lang w:val="de-CH"/>
              </w:rPr>
            </w:pPr>
            <w:r w:rsidRPr="004C2A59">
              <w:rPr>
                <w:b/>
                <w:color w:val="000000"/>
                <w:sz w:val="22"/>
                <w:szCs w:val="22"/>
                <w:lang w:val="de-CH"/>
              </w:rPr>
              <w:t>Luxembourg/Luxemburg</w:t>
            </w:r>
          </w:p>
          <w:p w14:paraId="42DE959D" w14:textId="77777777" w:rsidR="00312C59" w:rsidRPr="004C2A59" w:rsidRDefault="00312C59" w:rsidP="00421681">
            <w:pPr>
              <w:rPr>
                <w:color w:val="000000"/>
                <w:sz w:val="22"/>
                <w:szCs w:val="22"/>
                <w:lang w:val="de-CH"/>
              </w:rPr>
            </w:pPr>
            <w:r w:rsidRPr="004C2A59">
              <w:rPr>
                <w:color w:val="000000"/>
                <w:sz w:val="22"/>
                <w:szCs w:val="22"/>
                <w:lang w:val="de-CH"/>
              </w:rPr>
              <w:t>Novartis Pharma N.V.</w:t>
            </w:r>
          </w:p>
          <w:p w14:paraId="701E7EE0" w14:textId="77777777" w:rsidR="00312C59" w:rsidRPr="004C2A59" w:rsidRDefault="00312C59" w:rsidP="00421681">
            <w:pPr>
              <w:rPr>
                <w:color w:val="000000"/>
                <w:sz w:val="22"/>
                <w:szCs w:val="22"/>
                <w:lang w:val="de-CH"/>
              </w:rPr>
            </w:pPr>
            <w:r w:rsidRPr="004C2A59">
              <w:rPr>
                <w:color w:val="000000"/>
                <w:sz w:val="22"/>
                <w:szCs w:val="22"/>
                <w:lang w:val="de-CH"/>
              </w:rPr>
              <w:t>Tél/Tel: +32 2 246 16 11</w:t>
            </w:r>
          </w:p>
          <w:p w14:paraId="5CF64538" w14:textId="77777777" w:rsidR="00312C59" w:rsidRPr="004C2A59" w:rsidRDefault="00312C59" w:rsidP="00421681">
            <w:pPr>
              <w:rPr>
                <w:color w:val="000000"/>
                <w:sz w:val="22"/>
                <w:szCs w:val="22"/>
                <w:lang w:val="de-CH"/>
              </w:rPr>
            </w:pPr>
          </w:p>
        </w:tc>
      </w:tr>
      <w:tr w:rsidR="00312C59" w:rsidRPr="004C2A59" w14:paraId="22D99250" w14:textId="77777777" w:rsidTr="00C93654">
        <w:trPr>
          <w:cantSplit/>
        </w:trPr>
        <w:tc>
          <w:tcPr>
            <w:tcW w:w="4650" w:type="dxa"/>
          </w:tcPr>
          <w:p w14:paraId="63F5FC9B" w14:textId="77777777" w:rsidR="00312C59" w:rsidRPr="004C2A59" w:rsidRDefault="00312C59" w:rsidP="00421681">
            <w:pPr>
              <w:rPr>
                <w:b/>
                <w:color w:val="000000"/>
                <w:sz w:val="22"/>
                <w:szCs w:val="22"/>
                <w:lang w:val="pt-BR"/>
              </w:rPr>
            </w:pPr>
            <w:r w:rsidRPr="004C2A59">
              <w:rPr>
                <w:b/>
                <w:color w:val="000000"/>
                <w:sz w:val="22"/>
                <w:szCs w:val="22"/>
                <w:lang w:val="pt-BR"/>
              </w:rPr>
              <w:t>Česká republika</w:t>
            </w:r>
          </w:p>
          <w:p w14:paraId="6EE8A3BE" w14:textId="77777777" w:rsidR="00312C59" w:rsidRPr="004C2A59" w:rsidRDefault="00312C59" w:rsidP="00421681">
            <w:pPr>
              <w:rPr>
                <w:color w:val="000000"/>
                <w:sz w:val="22"/>
                <w:szCs w:val="22"/>
                <w:lang w:val="pt-BR"/>
              </w:rPr>
            </w:pPr>
            <w:r w:rsidRPr="004C2A59">
              <w:rPr>
                <w:color w:val="000000"/>
                <w:sz w:val="22"/>
                <w:szCs w:val="22"/>
                <w:lang w:val="pt-BR"/>
              </w:rPr>
              <w:t>Novartis s.r.o.</w:t>
            </w:r>
          </w:p>
          <w:p w14:paraId="6DDE9D44" w14:textId="77777777" w:rsidR="00312C59" w:rsidRPr="004C2A59" w:rsidRDefault="00312C59" w:rsidP="00421681">
            <w:pPr>
              <w:rPr>
                <w:color w:val="000000"/>
                <w:sz w:val="22"/>
                <w:szCs w:val="22"/>
              </w:rPr>
            </w:pPr>
            <w:r w:rsidRPr="004C2A59">
              <w:rPr>
                <w:color w:val="000000"/>
                <w:sz w:val="22"/>
                <w:szCs w:val="22"/>
              </w:rPr>
              <w:t>Tel: +420 225 775 111</w:t>
            </w:r>
          </w:p>
          <w:p w14:paraId="1044339D" w14:textId="77777777" w:rsidR="00312C59" w:rsidRPr="004C2A59" w:rsidRDefault="00312C59" w:rsidP="00421681">
            <w:pPr>
              <w:rPr>
                <w:b/>
                <w:color w:val="000000"/>
                <w:sz w:val="22"/>
                <w:szCs w:val="22"/>
              </w:rPr>
            </w:pPr>
          </w:p>
        </w:tc>
        <w:tc>
          <w:tcPr>
            <w:tcW w:w="4650" w:type="dxa"/>
          </w:tcPr>
          <w:p w14:paraId="237CD5E5" w14:textId="77777777" w:rsidR="00312C59" w:rsidRPr="00F852D1" w:rsidRDefault="00312C59" w:rsidP="00421681">
            <w:pPr>
              <w:rPr>
                <w:b/>
                <w:color w:val="000000"/>
                <w:sz w:val="22"/>
                <w:szCs w:val="22"/>
              </w:rPr>
            </w:pPr>
            <w:r w:rsidRPr="00F852D1">
              <w:rPr>
                <w:b/>
                <w:color w:val="000000"/>
                <w:sz w:val="22"/>
                <w:szCs w:val="22"/>
              </w:rPr>
              <w:t>Magyarország</w:t>
            </w:r>
          </w:p>
          <w:p w14:paraId="07266D17" w14:textId="77777777" w:rsidR="00312C59" w:rsidRPr="00F852D1" w:rsidRDefault="00312C59" w:rsidP="00421681">
            <w:pPr>
              <w:rPr>
                <w:color w:val="000000"/>
                <w:sz w:val="22"/>
                <w:szCs w:val="22"/>
              </w:rPr>
            </w:pPr>
            <w:r w:rsidRPr="00F852D1">
              <w:rPr>
                <w:color w:val="000000"/>
                <w:sz w:val="22"/>
                <w:szCs w:val="22"/>
              </w:rPr>
              <w:t>Novartis Hungária Kft.</w:t>
            </w:r>
          </w:p>
          <w:p w14:paraId="6833B5FD" w14:textId="77777777" w:rsidR="00312C59" w:rsidRPr="00F852D1" w:rsidRDefault="00312C59" w:rsidP="00421681">
            <w:pPr>
              <w:rPr>
                <w:color w:val="000000"/>
                <w:sz w:val="22"/>
                <w:szCs w:val="22"/>
              </w:rPr>
            </w:pPr>
            <w:r w:rsidRPr="00F852D1">
              <w:rPr>
                <w:color w:val="000000"/>
                <w:sz w:val="22"/>
                <w:szCs w:val="22"/>
              </w:rPr>
              <w:t>Tel.: +36 1 457 65 00</w:t>
            </w:r>
          </w:p>
        </w:tc>
      </w:tr>
      <w:tr w:rsidR="00312C59" w:rsidRPr="004C2A59" w14:paraId="0147BA96" w14:textId="77777777" w:rsidTr="00C93654">
        <w:trPr>
          <w:cantSplit/>
        </w:trPr>
        <w:tc>
          <w:tcPr>
            <w:tcW w:w="4650" w:type="dxa"/>
          </w:tcPr>
          <w:p w14:paraId="0FCED404" w14:textId="77777777" w:rsidR="00312C59" w:rsidRPr="004C2A59" w:rsidRDefault="00312C59" w:rsidP="00421681">
            <w:pPr>
              <w:rPr>
                <w:b/>
                <w:color w:val="000000"/>
                <w:sz w:val="22"/>
                <w:szCs w:val="22"/>
              </w:rPr>
            </w:pPr>
            <w:r w:rsidRPr="004C2A59">
              <w:rPr>
                <w:b/>
                <w:color w:val="000000"/>
                <w:sz w:val="22"/>
                <w:szCs w:val="22"/>
              </w:rPr>
              <w:lastRenderedPageBreak/>
              <w:t>Danmark</w:t>
            </w:r>
          </w:p>
          <w:p w14:paraId="0CA865D6" w14:textId="77777777" w:rsidR="00312C59" w:rsidRPr="004C2A59" w:rsidRDefault="00312C59" w:rsidP="00421681">
            <w:pPr>
              <w:rPr>
                <w:color w:val="000000"/>
                <w:sz w:val="22"/>
                <w:szCs w:val="22"/>
              </w:rPr>
            </w:pPr>
            <w:r w:rsidRPr="004C2A59">
              <w:rPr>
                <w:color w:val="000000"/>
                <w:sz w:val="22"/>
                <w:szCs w:val="22"/>
              </w:rPr>
              <w:t>Novartis Healthcare A/S</w:t>
            </w:r>
          </w:p>
          <w:p w14:paraId="3357880D" w14:textId="77777777" w:rsidR="00312C59" w:rsidRPr="004C2A59" w:rsidRDefault="00312C59" w:rsidP="00421681">
            <w:pPr>
              <w:rPr>
                <w:color w:val="000000"/>
                <w:sz w:val="22"/>
                <w:szCs w:val="22"/>
              </w:rPr>
            </w:pPr>
            <w:r w:rsidRPr="004C2A59">
              <w:rPr>
                <w:color w:val="000000"/>
                <w:sz w:val="22"/>
                <w:szCs w:val="22"/>
              </w:rPr>
              <w:t>Tlf: +45 39 16 84 00</w:t>
            </w:r>
          </w:p>
          <w:p w14:paraId="400B353D" w14:textId="77777777" w:rsidR="00312C59" w:rsidRPr="004C2A59" w:rsidRDefault="00312C59" w:rsidP="00421681">
            <w:pPr>
              <w:rPr>
                <w:b/>
                <w:color w:val="000000"/>
                <w:sz w:val="22"/>
                <w:szCs w:val="22"/>
              </w:rPr>
            </w:pPr>
          </w:p>
        </w:tc>
        <w:tc>
          <w:tcPr>
            <w:tcW w:w="4650" w:type="dxa"/>
          </w:tcPr>
          <w:p w14:paraId="090628D3" w14:textId="77777777" w:rsidR="00312C59" w:rsidRPr="004C2A59" w:rsidRDefault="00312C59" w:rsidP="00421681">
            <w:pPr>
              <w:rPr>
                <w:b/>
                <w:color w:val="000000"/>
                <w:sz w:val="22"/>
                <w:szCs w:val="22"/>
                <w:lang w:val="pt-BR"/>
              </w:rPr>
            </w:pPr>
            <w:r w:rsidRPr="004C2A59">
              <w:rPr>
                <w:b/>
                <w:color w:val="000000"/>
                <w:sz w:val="22"/>
                <w:szCs w:val="22"/>
                <w:lang w:val="pt-BR"/>
              </w:rPr>
              <w:t>Malta</w:t>
            </w:r>
          </w:p>
          <w:p w14:paraId="4C58DAF4" w14:textId="77777777" w:rsidR="00312C59" w:rsidRPr="004C2A59" w:rsidRDefault="00312C59" w:rsidP="00421681">
            <w:pPr>
              <w:rPr>
                <w:color w:val="000000"/>
                <w:sz w:val="22"/>
                <w:szCs w:val="22"/>
                <w:lang w:val="pt-BR"/>
              </w:rPr>
            </w:pPr>
            <w:r w:rsidRPr="004C2A59">
              <w:rPr>
                <w:color w:val="000000"/>
                <w:sz w:val="22"/>
                <w:szCs w:val="22"/>
                <w:lang w:val="pt-BR"/>
              </w:rPr>
              <w:t>Novartis Pharma Services Inc.</w:t>
            </w:r>
          </w:p>
          <w:p w14:paraId="07D4943E" w14:textId="77777777" w:rsidR="00312C59" w:rsidRPr="004C2A59" w:rsidRDefault="00312C59" w:rsidP="00421681">
            <w:pPr>
              <w:rPr>
                <w:color w:val="000000"/>
                <w:sz w:val="22"/>
                <w:szCs w:val="22"/>
              </w:rPr>
            </w:pPr>
            <w:r w:rsidRPr="004C2A59">
              <w:rPr>
                <w:color w:val="000000"/>
                <w:sz w:val="22"/>
                <w:szCs w:val="22"/>
              </w:rPr>
              <w:t>Tel: +356 2122 2872</w:t>
            </w:r>
          </w:p>
        </w:tc>
      </w:tr>
      <w:tr w:rsidR="00312C59" w:rsidRPr="004C2A59" w14:paraId="130CE521" w14:textId="77777777" w:rsidTr="00C93654">
        <w:trPr>
          <w:cantSplit/>
        </w:trPr>
        <w:tc>
          <w:tcPr>
            <w:tcW w:w="4650" w:type="dxa"/>
          </w:tcPr>
          <w:p w14:paraId="37CDB87A" w14:textId="77777777" w:rsidR="00312C59" w:rsidRPr="004C2A59" w:rsidRDefault="00312C59" w:rsidP="00421681">
            <w:pPr>
              <w:rPr>
                <w:b/>
                <w:color w:val="000000"/>
                <w:sz w:val="22"/>
                <w:szCs w:val="22"/>
                <w:lang w:val="de-CH"/>
              </w:rPr>
            </w:pPr>
            <w:r w:rsidRPr="004C2A59">
              <w:rPr>
                <w:b/>
                <w:color w:val="000000"/>
                <w:sz w:val="22"/>
                <w:szCs w:val="22"/>
                <w:lang w:val="de-CH"/>
              </w:rPr>
              <w:t>Deutschland</w:t>
            </w:r>
          </w:p>
          <w:p w14:paraId="6A2AEBB2" w14:textId="77777777" w:rsidR="00312C59" w:rsidRPr="004C2A59" w:rsidRDefault="00312C59" w:rsidP="00421681">
            <w:pPr>
              <w:rPr>
                <w:color w:val="000000"/>
                <w:sz w:val="22"/>
                <w:szCs w:val="22"/>
                <w:lang w:val="de-CH"/>
              </w:rPr>
            </w:pPr>
            <w:r w:rsidRPr="004C2A59">
              <w:rPr>
                <w:color w:val="000000"/>
                <w:sz w:val="22"/>
                <w:szCs w:val="22"/>
                <w:lang w:val="de-CH"/>
              </w:rPr>
              <w:t>Novartis Pharma GmbH</w:t>
            </w:r>
          </w:p>
          <w:p w14:paraId="0BA10CFE" w14:textId="77777777" w:rsidR="00312C59" w:rsidRPr="004C2A59" w:rsidRDefault="00312C59" w:rsidP="00421681">
            <w:pPr>
              <w:rPr>
                <w:color w:val="000000"/>
                <w:sz w:val="22"/>
                <w:szCs w:val="22"/>
                <w:lang w:val="de-CH"/>
              </w:rPr>
            </w:pPr>
            <w:r w:rsidRPr="004C2A59">
              <w:rPr>
                <w:color w:val="000000"/>
                <w:sz w:val="22"/>
                <w:szCs w:val="22"/>
                <w:lang w:val="de-CH"/>
              </w:rPr>
              <w:t>Tel: +49 911 273 0</w:t>
            </w:r>
          </w:p>
          <w:p w14:paraId="3C7C3362" w14:textId="77777777" w:rsidR="00312C59" w:rsidRPr="004C2A59" w:rsidRDefault="00312C59" w:rsidP="00421681">
            <w:pPr>
              <w:rPr>
                <w:b/>
                <w:color w:val="000000"/>
                <w:sz w:val="22"/>
                <w:szCs w:val="22"/>
                <w:lang w:val="de-CH"/>
              </w:rPr>
            </w:pPr>
          </w:p>
        </w:tc>
        <w:tc>
          <w:tcPr>
            <w:tcW w:w="4650" w:type="dxa"/>
          </w:tcPr>
          <w:p w14:paraId="03CBF88B" w14:textId="77777777" w:rsidR="00312C59" w:rsidRPr="004C2A59" w:rsidRDefault="00312C59" w:rsidP="00421681">
            <w:pPr>
              <w:rPr>
                <w:b/>
                <w:color w:val="000000"/>
                <w:sz w:val="22"/>
                <w:szCs w:val="22"/>
                <w:lang w:val="da-DK"/>
              </w:rPr>
            </w:pPr>
            <w:r w:rsidRPr="004C2A59">
              <w:rPr>
                <w:b/>
                <w:color w:val="000000"/>
                <w:sz w:val="22"/>
                <w:szCs w:val="22"/>
                <w:lang w:val="da-DK"/>
              </w:rPr>
              <w:t>Nederland</w:t>
            </w:r>
          </w:p>
          <w:p w14:paraId="430A99FA" w14:textId="77777777" w:rsidR="00312C59" w:rsidRPr="004C2A59" w:rsidRDefault="00312C59" w:rsidP="00421681">
            <w:pPr>
              <w:rPr>
                <w:color w:val="000000"/>
                <w:sz w:val="22"/>
                <w:szCs w:val="22"/>
                <w:lang w:val="da-DK"/>
              </w:rPr>
            </w:pPr>
            <w:r w:rsidRPr="004C2A59">
              <w:rPr>
                <w:color w:val="000000"/>
                <w:sz w:val="22"/>
                <w:szCs w:val="22"/>
                <w:lang w:val="da-DK"/>
              </w:rPr>
              <w:t>Novartis Pharma B.V.</w:t>
            </w:r>
          </w:p>
          <w:p w14:paraId="08C1EF7B" w14:textId="502A41A7" w:rsidR="00312C59" w:rsidRPr="004C2A59" w:rsidRDefault="00312C59" w:rsidP="00A20DFD">
            <w:pPr>
              <w:rPr>
                <w:color w:val="000000"/>
                <w:sz w:val="22"/>
                <w:szCs w:val="22"/>
              </w:rPr>
            </w:pPr>
            <w:r w:rsidRPr="004C2A59">
              <w:rPr>
                <w:color w:val="000000"/>
                <w:sz w:val="22"/>
                <w:szCs w:val="22"/>
              </w:rPr>
              <w:t xml:space="preserve">Tel: +31 </w:t>
            </w:r>
            <w:r w:rsidR="00A20DFD">
              <w:rPr>
                <w:color w:val="000000"/>
                <w:sz w:val="22"/>
                <w:szCs w:val="22"/>
              </w:rPr>
              <w:t>88 04 52</w:t>
            </w:r>
            <w:r w:rsidRPr="004C2A59">
              <w:rPr>
                <w:color w:val="000000"/>
                <w:sz w:val="22"/>
                <w:szCs w:val="22"/>
              </w:rPr>
              <w:t xml:space="preserve"> </w:t>
            </w:r>
            <w:r w:rsidR="0040342D" w:rsidRPr="004C2A59">
              <w:rPr>
                <w:color w:val="000000"/>
                <w:sz w:val="22"/>
                <w:szCs w:val="22"/>
              </w:rPr>
              <w:t>555</w:t>
            </w:r>
          </w:p>
        </w:tc>
      </w:tr>
      <w:tr w:rsidR="00312C59" w:rsidRPr="004C2A59" w14:paraId="6353FF24" w14:textId="77777777" w:rsidTr="00C93654">
        <w:trPr>
          <w:cantSplit/>
        </w:trPr>
        <w:tc>
          <w:tcPr>
            <w:tcW w:w="4650" w:type="dxa"/>
          </w:tcPr>
          <w:p w14:paraId="70BED33D" w14:textId="77777777" w:rsidR="00312C59" w:rsidRPr="00F852D1" w:rsidRDefault="00312C59" w:rsidP="00421681">
            <w:pPr>
              <w:rPr>
                <w:b/>
                <w:color w:val="000000"/>
                <w:sz w:val="22"/>
                <w:szCs w:val="22"/>
                <w:lang w:val="it-IT"/>
              </w:rPr>
            </w:pPr>
            <w:r w:rsidRPr="00F852D1">
              <w:rPr>
                <w:b/>
                <w:color w:val="000000"/>
                <w:sz w:val="22"/>
                <w:szCs w:val="22"/>
                <w:lang w:val="it-IT"/>
              </w:rPr>
              <w:t>Eesti</w:t>
            </w:r>
          </w:p>
          <w:p w14:paraId="63BACA76" w14:textId="77777777" w:rsidR="00312C59" w:rsidRPr="00F852D1" w:rsidRDefault="0057786A" w:rsidP="00421681">
            <w:pPr>
              <w:rPr>
                <w:color w:val="000000"/>
                <w:sz w:val="22"/>
                <w:szCs w:val="22"/>
                <w:lang w:val="it-IT"/>
              </w:rPr>
            </w:pPr>
            <w:r w:rsidRPr="00F852D1">
              <w:rPr>
                <w:color w:val="000000"/>
                <w:sz w:val="22"/>
                <w:szCs w:val="22"/>
                <w:lang w:val="it-IT"/>
              </w:rPr>
              <w:t>SIA Novartis Baltics Eesti filiaal</w:t>
            </w:r>
          </w:p>
          <w:p w14:paraId="0FF60216" w14:textId="77777777" w:rsidR="00312C59" w:rsidRPr="004C2A59" w:rsidRDefault="00312C59" w:rsidP="00421681">
            <w:pPr>
              <w:rPr>
                <w:color w:val="000000"/>
                <w:sz w:val="22"/>
                <w:szCs w:val="22"/>
              </w:rPr>
            </w:pPr>
            <w:r w:rsidRPr="004C2A59">
              <w:rPr>
                <w:color w:val="000000"/>
                <w:sz w:val="22"/>
                <w:szCs w:val="22"/>
              </w:rPr>
              <w:t>Tel: +372 66 30 810</w:t>
            </w:r>
          </w:p>
          <w:p w14:paraId="6BBACB13" w14:textId="77777777" w:rsidR="00312C59" w:rsidRPr="004C2A59" w:rsidRDefault="00312C59" w:rsidP="00421681">
            <w:pPr>
              <w:rPr>
                <w:b/>
                <w:color w:val="000000"/>
                <w:sz w:val="22"/>
                <w:szCs w:val="22"/>
              </w:rPr>
            </w:pPr>
          </w:p>
        </w:tc>
        <w:tc>
          <w:tcPr>
            <w:tcW w:w="4650" w:type="dxa"/>
          </w:tcPr>
          <w:p w14:paraId="780D83DF" w14:textId="77777777" w:rsidR="00312C59" w:rsidRPr="004C2A59" w:rsidRDefault="00312C59" w:rsidP="00421681">
            <w:pPr>
              <w:rPr>
                <w:b/>
                <w:color w:val="000000"/>
                <w:sz w:val="22"/>
                <w:szCs w:val="22"/>
                <w:lang w:val="pt-BR"/>
              </w:rPr>
            </w:pPr>
            <w:r w:rsidRPr="004C2A59">
              <w:rPr>
                <w:b/>
                <w:color w:val="000000"/>
                <w:sz w:val="22"/>
                <w:szCs w:val="22"/>
                <w:lang w:val="pt-BR"/>
              </w:rPr>
              <w:t>Norge</w:t>
            </w:r>
          </w:p>
          <w:p w14:paraId="3988F879" w14:textId="77777777" w:rsidR="00312C59" w:rsidRPr="004C2A59" w:rsidRDefault="00312C59" w:rsidP="00421681">
            <w:pPr>
              <w:rPr>
                <w:color w:val="000000"/>
                <w:sz w:val="22"/>
                <w:szCs w:val="22"/>
                <w:lang w:val="pt-BR"/>
              </w:rPr>
            </w:pPr>
            <w:r w:rsidRPr="004C2A59">
              <w:rPr>
                <w:color w:val="000000"/>
                <w:sz w:val="22"/>
                <w:szCs w:val="22"/>
                <w:lang w:val="pt-BR"/>
              </w:rPr>
              <w:t>Novartis Norge AS</w:t>
            </w:r>
          </w:p>
          <w:p w14:paraId="56B11A8A" w14:textId="77777777" w:rsidR="00312C59" w:rsidRPr="004C2A59" w:rsidRDefault="00312C59" w:rsidP="00421681">
            <w:pPr>
              <w:rPr>
                <w:color w:val="000000"/>
                <w:sz w:val="22"/>
                <w:szCs w:val="22"/>
                <w:lang w:val="pt-BR"/>
              </w:rPr>
            </w:pPr>
            <w:r w:rsidRPr="004C2A59">
              <w:rPr>
                <w:color w:val="000000"/>
                <w:sz w:val="22"/>
                <w:szCs w:val="22"/>
                <w:lang w:val="pt-BR"/>
              </w:rPr>
              <w:t>Tlf: +47 23 05 20 00</w:t>
            </w:r>
          </w:p>
        </w:tc>
      </w:tr>
      <w:tr w:rsidR="00312C59" w:rsidRPr="00F852D1" w14:paraId="60600212" w14:textId="77777777" w:rsidTr="00C93654">
        <w:trPr>
          <w:cantSplit/>
        </w:trPr>
        <w:tc>
          <w:tcPr>
            <w:tcW w:w="4650" w:type="dxa"/>
          </w:tcPr>
          <w:p w14:paraId="286FEE35" w14:textId="77777777" w:rsidR="00312C59" w:rsidRPr="004C2A59" w:rsidRDefault="00312C59" w:rsidP="00421681">
            <w:pPr>
              <w:rPr>
                <w:b/>
                <w:color w:val="000000"/>
                <w:sz w:val="22"/>
                <w:szCs w:val="22"/>
                <w:lang w:val="pt-BR"/>
              </w:rPr>
            </w:pPr>
            <w:r w:rsidRPr="004C2A59">
              <w:rPr>
                <w:b/>
                <w:color w:val="000000"/>
                <w:sz w:val="22"/>
                <w:szCs w:val="22"/>
              </w:rPr>
              <w:t>Ελλάδα</w:t>
            </w:r>
          </w:p>
          <w:p w14:paraId="691230D5" w14:textId="77777777" w:rsidR="00312C59" w:rsidRPr="004C2A59" w:rsidRDefault="00312C59" w:rsidP="00421681">
            <w:pPr>
              <w:rPr>
                <w:color w:val="000000"/>
                <w:sz w:val="22"/>
                <w:szCs w:val="22"/>
                <w:lang w:val="pt-BR"/>
              </w:rPr>
            </w:pPr>
            <w:r w:rsidRPr="004C2A59">
              <w:rPr>
                <w:color w:val="000000"/>
                <w:sz w:val="22"/>
                <w:szCs w:val="22"/>
                <w:lang w:val="pt-BR"/>
              </w:rPr>
              <w:t>Novartis (Hellas) A.E.B.E.</w:t>
            </w:r>
          </w:p>
          <w:p w14:paraId="79E84373" w14:textId="77777777" w:rsidR="00312C59" w:rsidRPr="004C2A59" w:rsidRDefault="00312C59" w:rsidP="00421681">
            <w:pPr>
              <w:rPr>
                <w:color w:val="000000"/>
                <w:sz w:val="22"/>
                <w:szCs w:val="22"/>
                <w:lang w:val="pt-BR"/>
              </w:rPr>
            </w:pPr>
            <w:r w:rsidRPr="004C2A59">
              <w:rPr>
                <w:color w:val="000000"/>
                <w:sz w:val="22"/>
                <w:szCs w:val="22"/>
              </w:rPr>
              <w:t>Τηλ</w:t>
            </w:r>
            <w:r w:rsidRPr="004C2A59">
              <w:rPr>
                <w:color w:val="000000"/>
                <w:sz w:val="22"/>
                <w:szCs w:val="22"/>
                <w:lang w:val="pt-BR"/>
              </w:rPr>
              <w:t>: +30 210 281 17 12</w:t>
            </w:r>
          </w:p>
          <w:p w14:paraId="5E709E71" w14:textId="77777777" w:rsidR="00312C59" w:rsidRPr="004C2A59" w:rsidRDefault="00312C59" w:rsidP="00421681">
            <w:pPr>
              <w:rPr>
                <w:b/>
                <w:color w:val="000000"/>
                <w:sz w:val="22"/>
                <w:szCs w:val="22"/>
                <w:lang w:val="pt-BR"/>
              </w:rPr>
            </w:pPr>
          </w:p>
        </w:tc>
        <w:tc>
          <w:tcPr>
            <w:tcW w:w="4650" w:type="dxa"/>
          </w:tcPr>
          <w:p w14:paraId="217B4512" w14:textId="77777777" w:rsidR="00312C59" w:rsidRPr="004C2A59" w:rsidRDefault="00312C59" w:rsidP="00421681">
            <w:pPr>
              <w:rPr>
                <w:b/>
                <w:color w:val="000000"/>
                <w:sz w:val="22"/>
                <w:szCs w:val="22"/>
                <w:lang w:val="de-CH"/>
              </w:rPr>
            </w:pPr>
            <w:r w:rsidRPr="004C2A59">
              <w:rPr>
                <w:b/>
                <w:color w:val="000000"/>
                <w:sz w:val="22"/>
                <w:szCs w:val="22"/>
                <w:lang w:val="de-CH"/>
              </w:rPr>
              <w:t>Österreich</w:t>
            </w:r>
          </w:p>
          <w:p w14:paraId="11158C39" w14:textId="77777777" w:rsidR="00312C59" w:rsidRPr="004C2A59" w:rsidRDefault="00312C59" w:rsidP="00421681">
            <w:pPr>
              <w:rPr>
                <w:color w:val="000000"/>
                <w:sz w:val="22"/>
                <w:szCs w:val="22"/>
                <w:lang w:val="de-CH"/>
              </w:rPr>
            </w:pPr>
            <w:r w:rsidRPr="004C2A59">
              <w:rPr>
                <w:color w:val="000000"/>
                <w:sz w:val="22"/>
                <w:szCs w:val="22"/>
                <w:lang w:val="de-CH"/>
              </w:rPr>
              <w:t>Novartis Pharma GmbH</w:t>
            </w:r>
          </w:p>
          <w:p w14:paraId="02B12188" w14:textId="77777777" w:rsidR="00312C59" w:rsidRPr="004C2A59" w:rsidRDefault="00312C59" w:rsidP="00421681">
            <w:pPr>
              <w:rPr>
                <w:color w:val="000000"/>
                <w:sz w:val="22"/>
                <w:szCs w:val="22"/>
                <w:lang w:val="de-CH"/>
              </w:rPr>
            </w:pPr>
            <w:r w:rsidRPr="004C2A59">
              <w:rPr>
                <w:color w:val="000000"/>
                <w:sz w:val="22"/>
                <w:szCs w:val="22"/>
                <w:lang w:val="de-CH"/>
              </w:rPr>
              <w:t>Tel: +43 1 86 6570</w:t>
            </w:r>
          </w:p>
        </w:tc>
      </w:tr>
      <w:tr w:rsidR="00312C59" w:rsidRPr="00A74F61" w14:paraId="34729B81" w14:textId="77777777" w:rsidTr="00C93654">
        <w:trPr>
          <w:cantSplit/>
        </w:trPr>
        <w:tc>
          <w:tcPr>
            <w:tcW w:w="4650" w:type="dxa"/>
          </w:tcPr>
          <w:p w14:paraId="5E3C5810" w14:textId="77777777" w:rsidR="00312C59" w:rsidRPr="00F852D1" w:rsidRDefault="00312C59" w:rsidP="00421681">
            <w:pPr>
              <w:rPr>
                <w:b/>
                <w:color w:val="000000"/>
                <w:sz w:val="22"/>
                <w:szCs w:val="22"/>
                <w:lang w:val="es-ES_tradnl"/>
              </w:rPr>
            </w:pPr>
            <w:r w:rsidRPr="00F852D1">
              <w:rPr>
                <w:b/>
                <w:color w:val="000000"/>
                <w:sz w:val="22"/>
                <w:szCs w:val="22"/>
                <w:lang w:val="es-ES_tradnl"/>
              </w:rPr>
              <w:t>España</w:t>
            </w:r>
          </w:p>
          <w:p w14:paraId="4C0B4164" w14:textId="77777777" w:rsidR="00312C59" w:rsidRPr="00F852D1" w:rsidRDefault="00312C59" w:rsidP="00421681">
            <w:pPr>
              <w:rPr>
                <w:color w:val="000000"/>
                <w:sz w:val="22"/>
                <w:szCs w:val="22"/>
                <w:lang w:val="es-ES_tradnl"/>
              </w:rPr>
            </w:pPr>
            <w:r w:rsidRPr="00F852D1">
              <w:rPr>
                <w:color w:val="000000"/>
                <w:sz w:val="22"/>
                <w:szCs w:val="22"/>
                <w:lang w:val="es-ES_tradnl"/>
              </w:rPr>
              <w:t>Novartis Farmacéutica, S.A.</w:t>
            </w:r>
          </w:p>
          <w:p w14:paraId="66D88287" w14:textId="77777777" w:rsidR="00312C59" w:rsidRPr="004C2A59" w:rsidRDefault="00312C59" w:rsidP="00421681">
            <w:pPr>
              <w:rPr>
                <w:color w:val="000000"/>
                <w:sz w:val="22"/>
                <w:szCs w:val="22"/>
              </w:rPr>
            </w:pPr>
            <w:r w:rsidRPr="004C2A59">
              <w:rPr>
                <w:color w:val="000000"/>
                <w:sz w:val="22"/>
                <w:szCs w:val="22"/>
              </w:rPr>
              <w:t>Tel: +34 93 306 42 00</w:t>
            </w:r>
          </w:p>
          <w:p w14:paraId="1B144FC9" w14:textId="77777777" w:rsidR="00312C59" w:rsidRPr="004C2A59" w:rsidRDefault="00312C59" w:rsidP="00421681">
            <w:pPr>
              <w:rPr>
                <w:b/>
                <w:color w:val="000000"/>
                <w:sz w:val="22"/>
                <w:szCs w:val="22"/>
              </w:rPr>
            </w:pPr>
          </w:p>
        </w:tc>
        <w:tc>
          <w:tcPr>
            <w:tcW w:w="4650" w:type="dxa"/>
          </w:tcPr>
          <w:p w14:paraId="75458438" w14:textId="77777777" w:rsidR="00312C59" w:rsidRPr="00F852D1" w:rsidRDefault="00312C59" w:rsidP="00421681">
            <w:pPr>
              <w:rPr>
                <w:b/>
                <w:color w:val="000000"/>
                <w:sz w:val="22"/>
                <w:szCs w:val="22"/>
                <w:lang w:val="pl-PL"/>
              </w:rPr>
            </w:pPr>
            <w:r w:rsidRPr="00F852D1">
              <w:rPr>
                <w:b/>
                <w:color w:val="000000"/>
                <w:sz w:val="22"/>
                <w:szCs w:val="22"/>
                <w:lang w:val="pl-PL"/>
              </w:rPr>
              <w:t>Polska</w:t>
            </w:r>
          </w:p>
          <w:p w14:paraId="06EE4D03" w14:textId="77777777" w:rsidR="00312C59" w:rsidRPr="00F852D1" w:rsidRDefault="00312C59" w:rsidP="00421681">
            <w:pPr>
              <w:rPr>
                <w:color w:val="000000"/>
                <w:sz w:val="22"/>
                <w:szCs w:val="22"/>
                <w:lang w:val="pl-PL"/>
              </w:rPr>
            </w:pPr>
            <w:r w:rsidRPr="00F852D1">
              <w:rPr>
                <w:color w:val="000000"/>
                <w:sz w:val="22"/>
                <w:szCs w:val="22"/>
                <w:lang w:val="pl-PL"/>
              </w:rPr>
              <w:t>Novartis Poland Sp. z o.o.</w:t>
            </w:r>
          </w:p>
          <w:p w14:paraId="7F0D1885" w14:textId="77777777" w:rsidR="00312C59" w:rsidRPr="004C2A59" w:rsidRDefault="00312C59" w:rsidP="00421681">
            <w:pPr>
              <w:rPr>
                <w:color w:val="000000"/>
                <w:sz w:val="22"/>
                <w:szCs w:val="22"/>
                <w:lang w:val="pt-BR"/>
              </w:rPr>
            </w:pPr>
            <w:r w:rsidRPr="004C2A59">
              <w:rPr>
                <w:color w:val="000000"/>
                <w:sz w:val="22"/>
                <w:szCs w:val="22"/>
                <w:lang w:val="pt-BR"/>
              </w:rPr>
              <w:t xml:space="preserve">Tel.: +48 22 </w:t>
            </w:r>
            <w:r w:rsidRPr="00F93637">
              <w:rPr>
                <w:sz w:val="22"/>
                <w:szCs w:val="22"/>
                <w:lang w:val="fr-CH"/>
              </w:rPr>
              <w:t>375 4888</w:t>
            </w:r>
          </w:p>
        </w:tc>
      </w:tr>
      <w:tr w:rsidR="00312C59" w:rsidRPr="004C2A59" w14:paraId="28908188" w14:textId="77777777" w:rsidTr="00C93654">
        <w:trPr>
          <w:cantSplit/>
        </w:trPr>
        <w:tc>
          <w:tcPr>
            <w:tcW w:w="4650" w:type="dxa"/>
          </w:tcPr>
          <w:p w14:paraId="2BC48100" w14:textId="77777777" w:rsidR="00312C59" w:rsidRPr="004C2A59" w:rsidRDefault="00312C59" w:rsidP="00421681">
            <w:pPr>
              <w:rPr>
                <w:b/>
                <w:color w:val="000000"/>
                <w:sz w:val="22"/>
                <w:szCs w:val="22"/>
                <w:lang w:val="fr-FR"/>
              </w:rPr>
            </w:pPr>
            <w:r w:rsidRPr="004C2A59">
              <w:rPr>
                <w:b/>
                <w:color w:val="000000"/>
                <w:sz w:val="22"/>
                <w:szCs w:val="22"/>
                <w:lang w:val="fr-FR"/>
              </w:rPr>
              <w:t>France</w:t>
            </w:r>
          </w:p>
          <w:p w14:paraId="2C95AE60" w14:textId="77777777" w:rsidR="00312C59" w:rsidRPr="004C2A59" w:rsidRDefault="00312C59" w:rsidP="00421681">
            <w:pPr>
              <w:rPr>
                <w:color w:val="000000"/>
                <w:sz w:val="22"/>
                <w:szCs w:val="22"/>
                <w:lang w:val="fr-FR"/>
              </w:rPr>
            </w:pPr>
            <w:r w:rsidRPr="004C2A59">
              <w:rPr>
                <w:color w:val="000000"/>
                <w:sz w:val="22"/>
                <w:szCs w:val="22"/>
                <w:lang w:val="fr-FR"/>
              </w:rPr>
              <w:t>Novartis Pharma S.A.S.</w:t>
            </w:r>
          </w:p>
          <w:p w14:paraId="054F5665" w14:textId="77777777" w:rsidR="00312C59" w:rsidRPr="004C2A59" w:rsidRDefault="00312C59" w:rsidP="00421681">
            <w:pPr>
              <w:rPr>
                <w:color w:val="000000"/>
                <w:sz w:val="22"/>
                <w:szCs w:val="22"/>
                <w:lang w:val="fr-FR"/>
              </w:rPr>
            </w:pPr>
            <w:r w:rsidRPr="004C2A59">
              <w:rPr>
                <w:color w:val="000000"/>
                <w:sz w:val="22"/>
                <w:szCs w:val="22"/>
                <w:lang w:val="fr-FR"/>
              </w:rPr>
              <w:t>Tél: +33 1 55 47 66 00</w:t>
            </w:r>
          </w:p>
          <w:p w14:paraId="4FB21909" w14:textId="77777777" w:rsidR="00312C59" w:rsidRPr="004C2A59" w:rsidRDefault="00312C59" w:rsidP="00421681">
            <w:pPr>
              <w:rPr>
                <w:b/>
                <w:color w:val="000000"/>
                <w:sz w:val="22"/>
                <w:szCs w:val="22"/>
                <w:lang w:val="fr-FR"/>
              </w:rPr>
            </w:pPr>
          </w:p>
        </w:tc>
        <w:tc>
          <w:tcPr>
            <w:tcW w:w="4650" w:type="dxa"/>
          </w:tcPr>
          <w:p w14:paraId="7E775EE2" w14:textId="77777777" w:rsidR="00312C59" w:rsidRPr="004C2A59" w:rsidRDefault="00312C59" w:rsidP="00421681">
            <w:pPr>
              <w:rPr>
                <w:b/>
                <w:color w:val="000000"/>
                <w:sz w:val="22"/>
                <w:szCs w:val="22"/>
                <w:lang w:val="pt-BR"/>
              </w:rPr>
            </w:pPr>
            <w:r w:rsidRPr="004C2A59">
              <w:rPr>
                <w:b/>
                <w:color w:val="000000"/>
                <w:sz w:val="22"/>
                <w:szCs w:val="22"/>
                <w:lang w:val="pt-BR"/>
              </w:rPr>
              <w:t>Portugal</w:t>
            </w:r>
          </w:p>
          <w:p w14:paraId="44800487" w14:textId="77777777" w:rsidR="00312C59" w:rsidRPr="004C2A59" w:rsidRDefault="00312C59" w:rsidP="00421681">
            <w:pPr>
              <w:rPr>
                <w:color w:val="000000"/>
                <w:sz w:val="22"/>
                <w:szCs w:val="22"/>
                <w:lang w:val="pt-BR"/>
              </w:rPr>
            </w:pPr>
            <w:r w:rsidRPr="004C2A59">
              <w:rPr>
                <w:color w:val="000000"/>
                <w:sz w:val="22"/>
                <w:szCs w:val="22"/>
                <w:lang w:val="pt-BR"/>
              </w:rPr>
              <w:t>Novartis Farma - Produtos Farmacêuticos, S.A.</w:t>
            </w:r>
          </w:p>
          <w:p w14:paraId="7E3A95C4" w14:textId="77777777" w:rsidR="00312C59" w:rsidRPr="004C2A59" w:rsidRDefault="00312C59" w:rsidP="00421681">
            <w:pPr>
              <w:rPr>
                <w:color w:val="000000"/>
                <w:sz w:val="22"/>
                <w:szCs w:val="22"/>
              </w:rPr>
            </w:pPr>
            <w:r w:rsidRPr="004C2A59">
              <w:rPr>
                <w:color w:val="000000"/>
                <w:sz w:val="22"/>
                <w:szCs w:val="22"/>
              </w:rPr>
              <w:t>Tel: +351 21 000 8600</w:t>
            </w:r>
          </w:p>
        </w:tc>
      </w:tr>
      <w:tr w:rsidR="00312C59" w:rsidRPr="004C2A59" w14:paraId="1CFC16A6" w14:textId="77777777" w:rsidTr="00C93654">
        <w:trPr>
          <w:cantSplit/>
        </w:trPr>
        <w:tc>
          <w:tcPr>
            <w:tcW w:w="4650" w:type="dxa"/>
          </w:tcPr>
          <w:p w14:paraId="4AC605AA" w14:textId="77777777" w:rsidR="00312C59" w:rsidRPr="00F852D1" w:rsidRDefault="00312C59" w:rsidP="00421681">
            <w:pPr>
              <w:rPr>
                <w:rFonts w:eastAsia="PMingLiU"/>
                <w:b/>
                <w:sz w:val="22"/>
                <w:szCs w:val="22"/>
                <w:lang w:val="sv-SE"/>
              </w:rPr>
            </w:pPr>
            <w:r w:rsidRPr="00F852D1">
              <w:rPr>
                <w:rFonts w:eastAsia="PMingLiU"/>
                <w:b/>
                <w:sz w:val="22"/>
                <w:szCs w:val="22"/>
                <w:lang w:val="sv-SE"/>
              </w:rPr>
              <w:t>Hrvatska</w:t>
            </w:r>
          </w:p>
          <w:p w14:paraId="29D41AA2" w14:textId="77777777" w:rsidR="00312C59" w:rsidRPr="00F852D1" w:rsidRDefault="00312C59" w:rsidP="00421681">
            <w:pPr>
              <w:rPr>
                <w:sz w:val="22"/>
                <w:szCs w:val="22"/>
                <w:lang w:val="sv-SE"/>
              </w:rPr>
            </w:pPr>
            <w:r w:rsidRPr="00F852D1">
              <w:rPr>
                <w:sz w:val="22"/>
                <w:szCs w:val="22"/>
                <w:lang w:val="sv-SE"/>
              </w:rPr>
              <w:t>Novartis Hrvatska d.o.o.</w:t>
            </w:r>
          </w:p>
          <w:p w14:paraId="490E8474" w14:textId="77777777" w:rsidR="00312C59" w:rsidRPr="004C2A59" w:rsidRDefault="00312C59" w:rsidP="00421681">
            <w:pPr>
              <w:rPr>
                <w:sz w:val="22"/>
                <w:szCs w:val="22"/>
              </w:rPr>
            </w:pPr>
            <w:r w:rsidRPr="004C2A59">
              <w:rPr>
                <w:sz w:val="22"/>
                <w:szCs w:val="22"/>
              </w:rPr>
              <w:t>Tel. +385 1 6274 220</w:t>
            </w:r>
          </w:p>
          <w:p w14:paraId="4CFC3A8B" w14:textId="77777777" w:rsidR="00312C59" w:rsidRPr="004C2A59" w:rsidRDefault="00312C59" w:rsidP="00421681">
            <w:pPr>
              <w:rPr>
                <w:b/>
                <w:color w:val="000000"/>
                <w:sz w:val="22"/>
                <w:szCs w:val="22"/>
                <w:lang w:val="fr-FR"/>
              </w:rPr>
            </w:pPr>
          </w:p>
        </w:tc>
        <w:tc>
          <w:tcPr>
            <w:tcW w:w="4650" w:type="dxa"/>
          </w:tcPr>
          <w:p w14:paraId="035ECFA0" w14:textId="77777777" w:rsidR="00312C59" w:rsidRPr="004C2A59" w:rsidRDefault="00312C59" w:rsidP="00421681">
            <w:pPr>
              <w:rPr>
                <w:b/>
                <w:noProof/>
                <w:color w:val="000000"/>
                <w:sz w:val="22"/>
                <w:szCs w:val="22"/>
                <w:lang w:val="it-IT"/>
              </w:rPr>
            </w:pPr>
            <w:r w:rsidRPr="004C2A59">
              <w:rPr>
                <w:b/>
                <w:noProof/>
                <w:color w:val="000000"/>
                <w:sz w:val="22"/>
                <w:szCs w:val="22"/>
                <w:lang w:val="it-IT"/>
              </w:rPr>
              <w:t>România</w:t>
            </w:r>
          </w:p>
          <w:p w14:paraId="674FDA88" w14:textId="77777777" w:rsidR="00312C59" w:rsidRPr="004C2A59" w:rsidRDefault="00312C59" w:rsidP="00421681">
            <w:pPr>
              <w:rPr>
                <w:noProof/>
                <w:color w:val="000000"/>
                <w:sz w:val="22"/>
                <w:szCs w:val="22"/>
                <w:lang w:val="it-IT"/>
              </w:rPr>
            </w:pPr>
            <w:r w:rsidRPr="004C2A59">
              <w:rPr>
                <w:noProof/>
                <w:color w:val="000000"/>
                <w:sz w:val="22"/>
                <w:szCs w:val="22"/>
                <w:lang w:val="it-IT"/>
              </w:rPr>
              <w:t xml:space="preserve">Novartis Pharma Services </w:t>
            </w:r>
            <w:r w:rsidRPr="004C2A59">
              <w:rPr>
                <w:color w:val="2F2F2F"/>
                <w:sz w:val="22"/>
                <w:szCs w:val="22"/>
              </w:rPr>
              <w:t>Romania SRL</w:t>
            </w:r>
          </w:p>
          <w:p w14:paraId="7D7F7017" w14:textId="77777777" w:rsidR="00312C59" w:rsidRPr="004C2A59" w:rsidRDefault="00312C59" w:rsidP="00421681">
            <w:pPr>
              <w:rPr>
                <w:color w:val="000000"/>
                <w:sz w:val="22"/>
                <w:szCs w:val="22"/>
              </w:rPr>
            </w:pPr>
            <w:r w:rsidRPr="004C2A59">
              <w:rPr>
                <w:noProof/>
                <w:color w:val="000000"/>
                <w:sz w:val="22"/>
                <w:szCs w:val="22"/>
                <w:lang w:val="it-IT"/>
              </w:rPr>
              <w:t>Tel: +40 21 31299 01</w:t>
            </w:r>
          </w:p>
        </w:tc>
      </w:tr>
      <w:tr w:rsidR="00312C59" w:rsidRPr="004C2A59" w14:paraId="18C96E81" w14:textId="77777777" w:rsidTr="00C93654">
        <w:trPr>
          <w:cantSplit/>
        </w:trPr>
        <w:tc>
          <w:tcPr>
            <w:tcW w:w="4650" w:type="dxa"/>
          </w:tcPr>
          <w:p w14:paraId="0DFD8E30" w14:textId="77777777" w:rsidR="00312C59" w:rsidRPr="004C2A59" w:rsidRDefault="00312C59" w:rsidP="00421681">
            <w:pPr>
              <w:rPr>
                <w:b/>
                <w:color w:val="000000"/>
                <w:sz w:val="22"/>
                <w:szCs w:val="22"/>
              </w:rPr>
            </w:pPr>
            <w:r w:rsidRPr="004C2A59">
              <w:rPr>
                <w:b/>
                <w:color w:val="000000"/>
                <w:sz w:val="22"/>
                <w:szCs w:val="22"/>
              </w:rPr>
              <w:t>Ireland</w:t>
            </w:r>
          </w:p>
          <w:p w14:paraId="53447D89" w14:textId="77777777" w:rsidR="00312C59" w:rsidRPr="004C2A59" w:rsidRDefault="00312C59" w:rsidP="00421681">
            <w:pPr>
              <w:rPr>
                <w:color w:val="000000"/>
                <w:sz w:val="22"/>
                <w:szCs w:val="22"/>
              </w:rPr>
            </w:pPr>
            <w:r w:rsidRPr="004C2A59">
              <w:rPr>
                <w:color w:val="000000"/>
                <w:sz w:val="22"/>
                <w:szCs w:val="22"/>
              </w:rPr>
              <w:t>Novartis Ireland Limited</w:t>
            </w:r>
          </w:p>
          <w:p w14:paraId="0590D028" w14:textId="77777777" w:rsidR="00312C59" w:rsidRPr="004C2A59" w:rsidRDefault="00312C59" w:rsidP="00421681">
            <w:pPr>
              <w:rPr>
                <w:color w:val="000000"/>
                <w:sz w:val="22"/>
                <w:szCs w:val="22"/>
              </w:rPr>
            </w:pPr>
            <w:r w:rsidRPr="004C2A59">
              <w:rPr>
                <w:color w:val="000000"/>
                <w:sz w:val="22"/>
                <w:szCs w:val="22"/>
              </w:rPr>
              <w:t>Tel: +353 1 260 12 55</w:t>
            </w:r>
          </w:p>
          <w:p w14:paraId="1F8E4AC7" w14:textId="77777777" w:rsidR="00312C59" w:rsidRPr="004C2A59" w:rsidRDefault="00312C59" w:rsidP="00421681">
            <w:pPr>
              <w:rPr>
                <w:b/>
                <w:color w:val="000000"/>
                <w:sz w:val="22"/>
                <w:szCs w:val="22"/>
              </w:rPr>
            </w:pPr>
          </w:p>
        </w:tc>
        <w:tc>
          <w:tcPr>
            <w:tcW w:w="4650" w:type="dxa"/>
          </w:tcPr>
          <w:p w14:paraId="30D76945" w14:textId="77777777" w:rsidR="00312C59" w:rsidRPr="004C2A59" w:rsidRDefault="00312C59" w:rsidP="00421681">
            <w:pPr>
              <w:rPr>
                <w:b/>
                <w:color w:val="000000"/>
                <w:sz w:val="22"/>
                <w:szCs w:val="22"/>
                <w:lang w:val="fr-FR"/>
              </w:rPr>
            </w:pPr>
            <w:r w:rsidRPr="004C2A59">
              <w:rPr>
                <w:b/>
                <w:color w:val="000000"/>
                <w:sz w:val="22"/>
                <w:szCs w:val="22"/>
                <w:lang w:val="fr-FR"/>
              </w:rPr>
              <w:t>Slovenija</w:t>
            </w:r>
          </w:p>
          <w:p w14:paraId="52EE3FA7" w14:textId="77777777" w:rsidR="00312C59" w:rsidRPr="004C2A59" w:rsidRDefault="00312C59" w:rsidP="00421681">
            <w:pPr>
              <w:rPr>
                <w:color w:val="000000"/>
                <w:sz w:val="22"/>
                <w:szCs w:val="22"/>
                <w:lang w:val="fr-FR"/>
              </w:rPr>
            </w:pPr>
            <w:r w:rsidRPr="004C2A59">
              <w:rPr>
                <w:color w:val="000000"/>
                <w:sz w:val="22"/>
                <w:szCs w:val="22"/>
                <w:lang w:val="fr-FR"/>
              </w:rPr>
              <w:t>Novartis Pharma Services Inc.</w:t>
            </w:r>
          </w:p>
          <w:p w14:paraId="190CBD5E" w14:textId="77777777" w:rsidR="00312C59" w:rsidRPr="004C2A59" w:rsidRDefault="00312C59" w:rsidP="00421681">
            <w:pPr>
              <w:rPr>
                <w:color w:val="000000"/>
                <w:sz w:val="22"/>
                <w:szCs w:val="22"/>
                <w:lang w:val="fr-FR"/>
              </w:rPr>
            </w:pPr>
            <w:r w:rsidRPr="004C2A59">
              <w:rPr>
                <w:color w:val="000000"/>
                <w:sz w:val="22"/>
                <w:szCs w:val="22"/>
                <w:lang w:val="fr-FR"/>
              </w:rPr>
              <w:t>Tel: +386 1 300 75 50</w:t>
            </w:r>
          </w:p>
        </w:tc>
      </w:tr>
      <w:tr w:rsidR="00312C59" w:rsidRPr="004C2A59" w14:paraId="0E74724E" w14:textId="77777777" w:rsidTr="00C93654">
        <w:trPr>
          <w:cantSplit/>
        </w:trPr>
        <w:tc>
          <w:tcPr>
            <w:tcW w:w="4650" w:type="dxa"/>
          </w:tcPr>
          <w:p w14:paraId="02A11CEA" w14:textId="77777777" w:rsidR="00312C59" w:rsidRPr="004C2A59" w:rsidRDefault="00312C59" w:rsidP="00421681">
            <w:pPr>
              <w:rPr>
                <w:b/>
                <w:color w:val="000000"/>
                <w:sz w:val="22"/>
                <w:szCs w:val="22"/>
              </w:rPr>
            </w:pPr>
            <w:r w:rsidRPr="004C2A59">
              <w:rPr>
                <w:b/>
                <w:color w:val="000000"/>
                <w:sz w:val="22"/>
                <w:szCs w:val="22"/>
              </w:rPr>
              <w:t>Ísland</w:t>
            </w:r>
          </w:p>
          <w:p w14:paraId="79DEEC82" w14:textId="77777777" w:rsidR="00312C59" w:rsidRPr="004C2A59" w:rsidRDefault="00312C59" w:rsidP="00421681">
            <w:pPr>
              <w:rPr>
                <w:color w:val="000000"/>
                <w:sz w:val="22"/>
                <w:szCs w:val="22"/>
              </w:rPr>
            </w:pPr>
            <w:r w:rsidRPr="004C2A59">
              <w:rPr>
                <w:color w:val="000000"/>
                <w:sz w:val="22"/>
                <w:szCs w:val="22"/>
              </w:rPr>
              <w:t>Vistor hf.</w:t>
            </w:r>
          </w:p>
          <w:p w14:paraId="78243D92" w14:textId="77777777" w:rsidR="00312C59" w:rsidRPr="004C2A59" w:rsidRDefault="00312C59" w:rsidP="00421681">
            <w:pPr>
              <w:rPr>
                <w:color w:val="000000"/>
                <w:sz w:val="22"/>
                <w:szCs w:val="22"/>
              </w:rPr>
            </w:pPr>
            <w:r w:rsidRPr="004C2A59">
              <w:rPr>
                <w:noProof/>
                <w:color w:val="000000"/>
                <w:sz w:val="22"/>
                <w:szCs w:val="22"/>
                <w:lang w:val="it-IT"/>
              </w:rPr>
              <w:t>S</w:t>
            </w:r>
            <w:r w:rsidRPr="004C2A59">
              <w:rPr>
                <w:noProof/>
                <w:color w:val="000000"/>
                <w:sz w:val="22"/>
                <w:szCs w:val="22"/>
                <w:lang w:val="cs-CZ"/>
              </w:rPr>
              <w:t>í</w:t>
            </w:r>
            <w:r w:rsidRPr="004C2A59">
              <w:rPr>
                <w:noProof/>
                <w:color w:val="000000"/>
                <w:sz w:val="22"/>
                <w:szCs w:val="22"/>
                <w:lang w:val="it-IT"/>
              </w:rPr>
              <w:t>mi</w:t>
            </w:r>
            <w:r w:rsidRPr="004C2A59">
              <w:rPr>
                <w:color w:val="000000"/>
                <w:sz w:val="22"/>
                <w:szCs w:val="22"/>
              </w:rPr>
              <w:t>: +354 535 7000</w:t>
            </w:r>
          </w:p>
          <w:p w14:paraId="215B1509" w14:textId="77777777" w:rsidR="00312C59" w:rsidRPr="004C2A59" w:rsidRDefault="00312C59" w:rsidP="00421681">
            <w:pPr>
              <w:rPr>
                <w:b/>
                <w:color w:val="000000"/>
                <w:sz w:val="22"/>
                <w:szCs w:val="22"/>
              </w:rPr>
            </w:pPr>
          </w:p>
        </w:tc>
        <w:tc>
          <w:tcPr>
            <w:tcW w:w="4650" w:type="dxa"/>
          </w:tcPr>
          <w:p w14:paraId="3E42ABA6" w14:textId="77777777" w:rsidR="00312C59" w:rsidRPr="00F852D1" w:rsidRDefault="00312C59" w:rsidP="00421681">
            <w:pPr>
              <w:rPr>
                <w:b/>
                <w:color w:val="000000"/>
                <w:sz w:val="22"/>
                <w:szCs w:val="22"/>
              </w:rPr>
            </w:pPr>
            <w:r w:rsidRPr="00F852D1">
              <w:rPr>
                <w:b/>
                <w:color w:val="000000"/>
                <w:sz w:val="22"/>
                <w:szCs w:val="22"/>
              </w:rPr>
              <w:t>Slovenská republika</w:t>
            </w:r>
          </w:p>
          <w:p w14:paraId="1EBFCDAF" w14:textId="77777777" w:rsidR="00312C59" w:rsidRPr="00F852D1" w:rsidRDefault="00312C59" w:rsidP="00421681">
            <w:pPr>
              <w:rPr>
                <w:color w:val="000000"/>
                <w:sz w:val="22"/>
                <w:szCs w:val="22"/>
              </w:rPr>
            </w:pPr>
            <w:r w:rsidRPr="00F852D1">
              <w:rPr>
                <w:color w:val="000000"/>
                <w:sz w:val="22"/>
                <w:szCs w:val="22"/>
              </w:rPr>
              <w:t>Novartis Slovakia s.r.o.</w:t>
            </w:r>
          </w:p>
          <w:p w14:paraId="3F4265E7" w14:textId="77777777" w:rsidR="00312C59" w:rsidRPr="004C2A59" w:rsidRDefault="00312C59" w:rsidP="00421681">
            <w:pPr>
              <w:rPr>
                <w:color w:val="000000"/>
                <w:sz w:val="22"/>
                <w:szCs w:val="22"/>
              </w:rPr>
            </w:pPr>
            <w:r w:rsidRPr="004C2A59">
              <w:rPr>
                <w:color w:val="000000"/>
                <w:sz w:val="22"/>
                <w:szCs w:val="22"/>
              </w:rPr>
              <w:t>Tel: +421 2 5542 5439</w:t>
            </w:r>
          </w:p>
          <w:p w14:paraId="714C12A7" w14:textId="77777777" w:rsidR="00312C59" w:rsidRPr="004C2A59" w:rsidRDefault="00312C59" w:rsidP="00421681">
            <w:pPr>
              <w:rPr>
                <w:color w:val="000000"/>
                <w:sz w:val="22"/>
                <w:szCs w:val="22"/>
              </w:rPr>
            </w:pPr>
          </w:p>
        </w:tc>
      </w:tr>
      <w:tr w:rsidR="00312C59" w:rsidRPr="00F852D1" w14:paraId="3BBF4F73" w14:textId="77777777" w:rsidTr="00C93654">
        <w:trPr>
          <w:cantSplit/>
        </w:trPr>
        <w:tc>
          <w:tcPr>
            <w:tcW w:w="4650" w:type="dxa"/>
          </w:tcPr>
          <w:p w14:paraId="2451C187" w14:textId="77777777" w:rsidR="00312C59" w:rsidRPr="004C2A59" w:rsidRDefault="00312C59" w:rsidP="00421681">
            <w:pPr>
              <w:rPr>
                <w:b/>
                <w:color w:val="000000"/>
                <w:sz w:val="22"/>
                <w:szCs w:val="22"/>
                <w:lang w:val="pt-BR"/>
              </w:rPr>
            </w:pPr>
            <w:r w:rsidRPr="004C2A59">
              <w:rPr>
                <w:b/>
                <w:color w:val="000000"/>
                <w:sz w:val="22"/>
                <w:szCs w:val="22"/>
                <w:lang w:val="pt-BR"/>
              </w:rPr>
              <w:t>Italia</w:t>
            </w:r>
          </w:p>
          <w:p w14:paraId="6F7A0B71" w14:textId="77777777" w:rsidR="00312C59" w:rsidRPr="004C2A59" w:rsidRDefault="00312C59" w:rsidP="00421681">
            <w:pPr>
              <w:rPr>
                <w:color w:val="000000"/>
                <w:sz w:val="22"/>
                <w:szCs w:val="22"/>
                <w:lang w:val="pt-BR"/>
              </w:rPr>
            </w:pPr>
            <w:r w:rsidRPr="004C2A59">
              <w:rPr>
                <w:color w:val="000000"/>
                <w:sz w:val="22"/>
                <w:szCs w:val="22"/>
                <w:lang w:val="pt-BR"/>
              </w:rPr>
              <w:t>Novartis Farma S.p.A.</w:t>
            </w:r>
          </w:p>
          <w:p w14:paraId="3815DF1E" w14:textId="77777777" w:rsidR="00312C59" w:rsidRPr="004C2A59" w:rsidRDefault="00312C59" w:rsidP="00421681">
            <w:pPr>
              <w:rPr>
                <w:b/>
                <w:color w:val="000000"/>
                <w:sz w:val="22"/>
                <w:szCs w:val="22"/>
              </w:rPr>
            </w:pPr>
            <w:r w:rsidRPr="004C2A59">
              <w:rPr>
                <w:color w:val="000000"/>
                <w:sz w:val="22"/>
                <w:szCs w:val="22"/>
              </w:rPr>
              <w:t>Tel: +39 02 96 54 1</w:t>
            </w:r>
          </w:p>
        </w:tc>
        <w:tc>
          <w:tcPr>
            <w:tcW w:w="4650" w:type="dxa"/>
          </w:tcPr>
          <w:p w14:paraId="3A1D5F7C" w14:textId="77777777" w:rsidR="00312C59" w:rsidRPr="00F852D1" w:rsidRDefault="00312C59" w:rsidP="00421681">
            <w:pPr>
              <w:rPr>
                <w:b/>
                <w:color w:val="000000"/>
                <w:sz w:val="22"/>
                <w:szCs w:val="22"/>
                <w:lang w:val="sv-SE"/>
              </w:rPr>
            </w:pPr>
            <w:r w:rsidRPr="00F852D1">
              <w:rPr>
                <w:b/>
                <w:color w:val="000000"/>
                <w:sz w:val="22"/>
                <w:szCs w:val="22"/>
                <w:lang w:val="sv-SE"/>
              </w:rPr>
              <w:t>Suomi/Finland</w:t>
            </w:r>
          </w:p>
          <w:p w14:paraId="13E4ECDE" w14:textId="77777777" w:rsidR="00312C59" w:rsidRPr="00F852D1" w:rsidRDefault="00312C59" w:rsidP="00421681">
            <w:pPr>
              <w:rPr>
                <w:color w:val="000000"/>
                <w:sz w:val="22"/>
                <w:szCs w:val="22"/>
                <w:lang w:val="sv-SE"/>
              </w:rPr>
            </w:pPr>
            <w:r w:rsidRPr="00F852D1">
              <w:rPr>
                <w:color w:val="000000"/>
                <w:sz w:val="22"/>
                <w:szCs w:val="22"/>
                <w:lang w:val="sv-SE"/>
              </w:rPr>
              <w:t>Novartis Finland Oy</w:t>
            </w:r>
          </w:p>
          <w:p w14:paraId="505FCBCD" w14:textId="77777777" w:rsidR="00312C59" w:rsidRPr="00F852D1" w:rsidRDefault="00312C59" w:rsidP="00421681">
            <w:pPr>
              <w:rPr>
                <w:color w:val="000000"/>
                <w:sz w:val="22"/>
                <w:szCs w:val="22"/>
                <w:lang w:val="sv-SE"/>
              </w:rPr>
            </w:pPr>
            <w:r w:rsidRPr="00F852D1">
              <w:rPr>
                <w:color w:val="000000"/>
                <w:sz w:val="22"/>
                <w:szCs w:val="22"/>
                <w:lang w:val="sv-SE"/>
              </w:rPr>
              <w:t xml:space="preserve">Puh/Tel: </w:t>
            </w:r>
            <w:r w:rsidRPr="00F852D1">
              <w:rPr>
                <w:color w:val="000000"/>
                <w:sz w:val="22"/>
                <w:szCs w:val="22"/>
                <w:lang w:val="sv-SE" w:bidi="he-IL"/>
              </w:rPr>
              <w:t>+358 (0)10 6133 200</w:t>
            </w:r>
          </w:p>
          <w:p w14:paraId="061A586F" w14:textId="77777777" w:rsidR="00312C59" w:rsidRPr="00F852D1" w:rsidRDefault="00312C59" w:rsidP="00421681">
            <w:pPr>
              <w:rPr>
                <w:color w:val="000000"/>
                <w:sz w:val="22"/>
                <w:szCs w:val="22"/>
                <w:lang w:val="sv-SE"/>
              </w:rPr>
            </w:pPr>
          </w:p>
        </w:tc>
      </w:tr>
      <w:tr w:rsidR="00312C59" w:rsidRPr="00DA2798" w14:paraId="4F0DE283" w14:textId="77777777" w:rsidTr="00C93654">
        <w:trPr>
          <w:cantSplit/>
        </w:trPr>
        <w:tc>
          <w:tcPr>
            <w:tcW w:w="4650" w:type="dxa"/>
          </w:tcPr>
          <w:p w14:paraId="3557C04D" w14:textId="77777777" w:rsidR="00312C59" w:rsidRPr="004C2A59" w:rsidRDefault="00312C59" w:rsidP="00421681">
            <w:pPr>
              <w:rPr>
                <w:b/>
                <w:color w:val="000000"/>
                <w:sz w:val="22"/>
                <w:szCs w:val="22"/>
                <w:lang w:val="fr-FR"/>
              </w:rPr>
            </w:pPr>
            <w:r w:rsidRPr="004C2A59">
              <w:rPr>
                <w:b/>
                <w:color w:val="000000"/>
                <w:sz w:val="22"/>
                <w:szCs w:val="22"/>
              </w:rPr>
              <w:t>Κύπρος</w:t>
            </w:r>
          </w:p>
          <w:p w14:paraId="0279156E" w14:textId="77777777" w:rsidR="00312C59" w:rsidRPr="004C2A59" w:rsidRDefault="00312C59" w:rsidP="00421681">
            <w:pPr>
              <w:rPr>
                <w:color w:val="000000"/>
                <w:sz w:val="22"/>
                <w:szCs w:val="22"/>
                <w:lang w:val="fr-FR"/>
              </w:rPr>
            </w:pPr>
            <w:r w:rsidRPr="004C2A59">
              <w:rPr>
                <w:color w:val="000000"/>
                <w:sz w:val="22"/>
                <w:szCs w:val="22"/>
                <w:lang w:val="fr-FR" w:bidi="he-IL"/>
              </w:rPr>
              <w:t>Novartis Pharma Services Inc.</w:t>
            </w:r>
          </w:p>
          <w:p w14:paraId="7A37CD10" w14:textId="77777777" w:rsidR="00312C59" w:rsidRPr="004C2A59" w:rsidRDefault="00312C59" w:rsidP="00421681">
            <w:pPr>
              <w:rPr>
                <w:color w:val="000000"/>
                <w:sz w:val="22"/>
                <w:szCs w:val="22"/>
                <w:lang w:val="fr-FR"/>
              </w:rPr>
            </w:pPr>
            <w:r w:rsidRPr="004C2A59">
              <w:rPr>
                <w:color w:val="000000"/>
                <w:sz w:val="22"/>
                <w:szCs w:val="22"/>
              </w:rPr>
              <w:t>Τηλ</w:t>
            </w:r>
            <w:r w:rsidRPr="004C2A59">
              <w:rPr>
                <w:color w:val="000000"/>
                <w:sz w:val="22"/>
                <w:szCs w:val="22"/>
                <w:lang w:val="fr-FR"/>
              </w:rPr>
              <w:t>: +357 22 690 690</w:t>
            </w:r>
          </w:p>
          <w:p w14:paraId="49C2D02E" w14:textId="77777777" w:rsidR="00312C59" w:rsidRPr="004C2A59" w:rsidRDefault="00312C59" w:rsidP="00421681">
            <w:pPr>
              <w:rPr>
                <w:b/>
                <w:color w:val="000000"/>
                <w:sz w:val="22"/>
                <w:szCs w:val="22"/>
                <w:lang w:val="fr-FR"/>
              </w:rPr>
            </w:pPr>
          </w:p>
        </w:tc>
        <w:tc>
          <w:tcPr>
            <w:tcW w:w="4650" w:type="dxa"/>
          </w:tcPr>
          <w:p w14:paraId="51B95EBC" w14:textId="77777777" w:rsidR="00312C59" w:rsidRPr="004C2A59" w:rsidRDefault="00312C59" w:rsidP="00421681">
            <w:pPr>
              <w:rPr>
                <w:b/>
                <w:color w:val="000000"/>
                <w:sz w:val="22"/>
                <w:szCs w:val="22"/>
                <w:lang w:val="de-CH"/>
              </w:rPr>
            </w:pPr>
            <w:r w:rsidRPr="004C2A59">
              <w:rPr>
                <w:b/>
                <w:color w:val="000000"/>
                <w:sz w:val="22"/>
                <w:szCs w:val="22"/>
                <w:lang w:val="de-CH"/>
              </w:rPr>
              <w:t>Sverige</w:t>
            </w:r>
          </w:p>
          <w:p w14:paraId="4F742CF6" w14:textId="77777777" w:rsidR="00312C59" w:rsidRPr="004C2A59" w:rsidRDefault="00312C59" w:rsidP="00421681">
            <w:pPr>
              <w:rPr>
                <w:color w:val="000000"/>
                <w:sz w:val="22"/>
                <w:szCs w:val="22"/>
                <w:lang w:val="de-CH"/>
              </w:rPr>
            </w:pPr>
            <w:r w:rsidRPr="004C2A59">
              <w:rPr>
                <w:color w:val="000000"/>
                <w:sz w:val="22"/>
                <w:szCs w:val="22"/>
                <w:lang w:val="de-CH"/>
              </w:rPr>
              <w:t>Novartis Sverige AB</w:t>
            </w:r>
          </w:p>
          <w:p w14:paraId="36EDAAF7" w14:textId="77777777" w:rsidR="00312C59" w:rsidRPr="004C2A59" w:rsidRDefault="00312C59" w:rsidP="00421681">
            <w:pPr>
              <w:rPr>
                <w:color w:val="000000"/>
                <w:sz w:val="22"/>
                <w:szCs w:val="22"/>
                <w:lang w:val="de-CH"/>
              </w:rPr>
            </w:pPr>
            <w:r w:rsidRPr="004C2A59">
              <w:rPr>
                <w:color w:val="000000"/>
                <w:sz w:val="22"/>
                <w:szCs w:val="22"/>
                <w:lang w:val="de-CH"/>
              </w:rPr>
              <w:t>Tel: +46 8 732 32 00</w:t>
            </w:r>
          </w:p>
          <w:p w14:paraId="56C49827" w14:textId="77777777" w:rsidR="00312C59" w:rsidRPr="004C2A59" w:rsidRDefault="00312C59" w:rsidP="00421681">
            <w:pPr>
              <w:rPr>
                <w:color w:val="000000"/>
                <w:sz w:val="22"/>
                <w:szCs w:val="22"/>
                <w:lang w:val="de-CH"/>
              </w:rPr>
            </w:pPr>
          </w:p>
        </w:tc>
      </w:tr>
      <w:tr w:rsidR="00312C59" w:rsidRPr="004C2A59" w14:paraId="1135BF7C" w14:textId="77777777" w:rsidTr="00C93654">
        <w:trPr>
          <w:cantSplit/>
        </w:trPr>
        <w:tc>
          <w:tcPr>
            <w:tcW w:w="4650" w:type="dxa"/>
          </w:tcPr>
          <w:p w14:paraId="62B7AD54" w14:textId="77777777" w:rsidR="00312C59" w:rsidRPr="00F852D1" w:rsidRDefault="00312C59" w:rsidP="00421681">
            <w:pPr>
              <w:rPr>
                <w:b/>
                <w:color w:val="000000"/>
                <w:sz w:val="22"/>
                <w:szCs w:val="22"/>
                <w:lang w:val="it-IT"/>
              </w:rPr>
            </w:pPr>
            <w:r w:rsidRPr="00F852D1">
              <w:rPr>
                <w:b/>
                <w:color w:val="000000"/>
                <w:sz w:val="22"/>
                <w:szCs w:val="22"/>
                <w:lang w:val="it-IT"/>
              </w:rPr>
              <w:t>Latvija</w:t>
            </w:r>
          </w:p>
          <w:p w14:paraId="3B816561" w14:textId="384CE169" w:rsidR="00312C59" w:rsidRPr="00F852D1" w:rsidRDefault="004A67C6" w:rsidP="00421681">
            <w:pPr>
              <w:rPr>
                <w:color w:val="000000"/>
                <w:sz w:val="22"/>
                <w:szCs w:val="22"/>
                <w:lang w:val="it-IT" w:bidi="he-IL"/>
              </w:rPr>
            </w:pPr>
            <w:r w:rsidRPr="00B42099">
              <w:rPr>
                <w:color w:val="000000"/>
                <w:sz w:val="22"/>
                <w:szCs w:val="22"/>
                <w:lang w:val="it-IT" w:bidi="he-IL"/>
              </w:rPr>
              <w:t>SI</w:t>
            </w:r>
            <w:r w:rsidRPr="00F852D1">
              <w:rPr>
                <w:color w:val="000000"/>
                <w:sz w:val="22"/>
                <w:szCs w:val="22"/>
                <w:lang w:val="it-IT" w:bidi="he-IL"/>
              </w:rPr>
              <w:t>A Novartis Baltics</w:t>
            </w:r>
          </w:p>
          <w:p w14:paraId="6E1B095C" w14:textId="77777777" w:rsidR="00312C59" w:rsidRPr="00F852D1" w:rsidRDefault="00312C59" w:rsidP="00421681">
            <w:pPr>
              <w:rPr>
                <w:color w:val="000000"/>
                <w:sz w:val="22"/>
                <w:szCs w:val="22"/>
                <w:lang w:val="it-IT"/>
              </w:rPr>
            </w:pPr>
            <w:r w:rsidRPr="00F852D1">
              <w:rPr>
                <w:color w:val="000000"/>
                <w:sz w:val="22"/>
                <w:szCs w:val="22"/>
                <w:lang w:val="it-IT"/>
              </w:rPr>
              <w:t>Tel: +371 67 887 070</w:t>
            </w:r>
          </w:p>
          <w:p w14:paraId="1E43076F" w14:textId="77777777" w:rsidR="00312C59" w:rsidRPr="00F852D1" w:rsidRDefault="00312C59" w:rsidP="00421681">
            <w:pPr>
              <w:rPr>
                <w:b/>
                <w:color w:val="000000"/>
                <w:sz w:val="22"/>
                <w:szCs w:val="22"/>
                <w:lang w:val="it-IT"/>
              </w:rPr>
            </w:pPr>
          </w:p>
        </w:tc>
        <w:tc>
          <w:tcPr>
            <w:tcW w:w="4650" w:type="dxa"/>
          </w:tcPr>
          <w:p w14:paraId="0C80EE4A" w14:textId="77777777" w:rsidR="00312C59" w:rsidRPr="00F852D1" w:rsidRDefault="00312C59" w:rsidP="00421681">
            <w:pPr>
              <w:rPr>
                <w:b/>
                <w:color w:val="000000"/>
                <w:sz w:val="22"/>
                <w:szCs w:val="22"/>
                <w:lang w:val="it-IT"/>
              </w:rPr>
            </w:pPr>
            <w:r w:rsidRPr="00F852D1">
              <w:rPr>
                <w:b/>
                <w:color w:val="000000"/>
                <w:sz w:val="22"/>
                <w:szCs w:val="22"/>
                <w:lang w:val="it-IT"/>
              </w:rPr>
              <w:t>United Kingdom</w:t>
            </w:r>
          </w:p>
          <w:p w14:paraId="494252DE" w14:textId="77777777" w:rsidR="00312C59" w:rsidRPr="00F852D1" w:rsidRDefault="00312C59" w:rsidP="00421681">
            <w:pPr>
              <w:rPr>
                <w:color w:val="000000"/>
                <w:sz w:val="22"/>
                <w:szCs w:val="22"/>
                <w:lang w:val="it-IT"/>
              </w:rPr>
            </w:pPr>
            <w:r w:rsidRPr="00F852D1">
              <w:rPr>
                <w:color w:val="000000"/>
                <w:sz w:val="22"/>
                <w:szCs w:val="22"/>
                <w:lang w:val="it-IT"/>
              </w:rPr>
              <w:t>Novartis Pharmaceuticals UK Ltd.</w:t>
            </w:r>
          </w:p>
          <w:p w14:paraId="1071DB27" w14:textId="77777777" w:rsidR="00312C59" w:rsidRPr="004C2A59" w:rsidRDefault="00312C59" w:rsidP="00421681">
            <w:pPr>
              <w:rPr>
                <w:color w:val="000000"/>
                <w:sz w:val="22"/>
                <w:szCs w:val="22"/>
              </w:rPr>
            </w:pPr>
            <w:r w:rsidRPr="004C2A59">
              <w:rPr>
                <w:color w:val="000000"/>
                <w:sz w:val="22"/>
                <w:szCs w:val="22"/>
              </w:rPr>
              <w:t>Tel: +44 1276 698370</w:t>
            </w:r>
          </w:p>
          <w:p w14:paraId="7AF12C19" w14:textId="77777777" w:rsidR="00312C59" w:rsidRPr="004C2A59" w:rsidRDefault="00312C59" w:rsidP="00421681">
            <w:pPr>
              <w:rPr>
                <w:color w:val="000000"/>
                <w:sz w:val="22"/>
                <w:szCs w:val="22"/>
              </w:rPr>
            </w:pPr>
          </w:p>
        </w:tc>
      </w:tr>
    </w:tbl>
    <w:p w14:paraId="55FFAA06" w14:textId="77777777" w:rsidR="00312C59" w:rsidRPr="004C2A59" w:rsidRDefault="00312C59" w:rsidP="00421681">
      <w:pPr>
        <w:widowControl w:val="0"/>
        <w:ind w:right="-449"/>
        <w:rPr>
          <w:color w:val="000000"/>
          <w:sz w:val="22"/>
          <w:szCs w:val="22"/>
        </w:rPr>
      </w:pPr>
    </w:p>
    <w:p w14:paraId="4C2A87F0" w14:textId="77777777" w:rsidR="006F7492" w:rsidRPr="004C2A59" w:rsidRDefault="006F7492" w:rsidP="00421681">
      <w:pPr>
        <w:pStyle w:val="BodyText3"/>
        <w:widowControl w:val="0"/>
        <w:tabs>
          <w:tab w:val="clear" w:pos="-720"/>
        </w:tabs>
        <w:suppressAutoHyphens w:val="0"/>
        <w:rPr>
          <w:color w:val="000000"/>
          <w:szCs w:val="22"/>
        </w:rPr>
      </w:pPr>
      <w:r w:rsidRPr="004C2A59">
        <w:rPr>
          <w:color w:val="000000"/>
          <w:szCs w:val="22"/>
        </w:rPr>
        <w:t xml:space="preserve">Denne indlægsseddel blev senest </w:t>
      </w:r>
      <w:r w:rsidR="00935627" w:rsidRPr="004C2A59">
        <w:rPr>
          <w:color w:val="000000"/>
          <w:szCs w:val="22"/>
        </w:rPr>
        <w:t>ændret</w:t>
      </w:r>
    </w:p>
    <w:p w14:paraId="16ADE146" w14:textId="77777777" w:rsidR="006F7492" w:rsidRPr="004C2A59" w:rsidRDefault="006F7492" w:rsidP="00421681">
      <w:pPr>
        <w:rPr>
          <w:sz w:val="22"/>
          <w:szCs w:val="22"/>
          <w:lang w:val="da-DK"/>
        </w:rPr>
      </w:pPr>
    </w:p>
    <w:p w14:paraId="27A8012A" w14:textId="77777777" w:rsidR="00935627" w:rsidRPr="004C2A59" w:rsidRDefault="00935627" w:rsidP="00C93654">
      <w:pPr>
        <w:keepNext/>
        <w:rPr>
          <w:b/>
          <w:sz w:val="22"/>
          <w:szCs w:val="22"/>
          <w:lang w:val="da-DK"/>
        </w:rPr>
      </w:pPr>
      <w:r w:rsidRPr="004C2A59">
        <w:rPr>
          <w:b/>
          <w:sz w:val="22"/>
          <w:szCs w:val="22"/>
          <w:lang w:val="da-DK"/>
        </w:rPr>
        <w:t>Andre informationskilder</w:t>
      </w:r>
    </w:p>
    <w:p w14:paraId="73416DB7" w14:textId="77777777" w:rsidR="006F7492" w:rsidRPr="004C2A59" w:rsidRDefault="006F7492" w:rsidP="00421681">
      <w:pPr>
        <w:pStyle w:val="Heading1"/>
        <w:keepNext w:val="0"/>
        <w:widowControl w:val="0"/>
        <w:numPr>
          <w:ilvl w:val="0"/>
          <w:numId w:val="0"/>
        </w:numPr>
        <w:tabs>
          <w:tab w:val="clear" w:pos="-720"/>
        </w:tabs>
        <w:jc w:val="left"/>
        <w:rPr>
          <w:b w:val="0"/>
          <w:bCs/>
          <w:color w:val="000000"/>
          <w:lang w:val="da-DK"/>
        </w:rPr>
      </w:pPr>
      <w:r w:rsidRPr="004C2A59">
        <w:rPr>
          <w:b w:val="0"/>
          <w:szCs w:val="22"/>
          <w:lang w:val="da-DK"/>
        </w:rPr>
        <w:t xml:space="preserve">Du kan finde yderligere </w:t>
      </w:r>
      <w:r w:rsidR="00935627" w:rsidRPr="004C2A59">
        <w:rPr>
          <w:b w:val="0"/>
          <w:szCs w:val="22"/>
          <w:lang w:val="da-DK"/>
        </w:rPr>
        <w:t>oplysninger</w:t>
      </w:r>
      <w:r w:rsidRPr="004C2A59">
        <w:rPr>
          <w:b w:val="0"/>
          <w:szCs w:val="22"/>
          <w:lang w:val="da-DK"/>
        </w:rPr>
        <w:t xml:space="preserve"> om </w:t>
      </w:r>
      <w:r w:rsidR="00935627" w:rsidRPr="004C2A59">
        <w:rPr>
          <w:b w:val="0"/>
          <w:szCs w:val="22"/>
          <w:lang w:val="da-DK"/>
        </w:rPr>
        <w:t>dette lægemiddel</w:t>
      </w:r>
      <w:r w:rsidRPr="004C2A59">
        <w:rPr>
          <w:b w:val="0"/>
          <w:szCs w:val="22"/>
          <w:lang w:val="da-DK"/>
        </w:rPr>
        <w:t xml:space="preserve"> på Det Europæiske Lægemiddelagenturs hjemmeside http://www.ema.europa.eu</w:t>
      </w:r>
    </w:p>
    <w:p w14:paraId="301AEDEF" w14:textId="77777777" w:rsidR="006F7492" w:rsidRPr="004C2A59" w:rsidRDefault="006F7492" w:rsidP="00421681">
      <w:pPr>
        <w:pStyle w:val="Heading1"/>
        <w:keepNext w:val="0"/>
        <w:widowControl w:val="0"/>
        <w:numPr>
          <w:ilvl w:val="0"/>
          <w:numId w:val="0"/>
        </w:numPr>
        <w:tabs>
          <w:tab w:val="clear" w:pos="-720"/>
        </w:tabs>
        <w:jc w:val="center"/>
        <w:rPr>
          <w:noProof w:val="0"/>
          <w:color w:val="000000"/>
          <w:szCs w:val="22"/>
          <w:lang w:val="da-DK"/>
        </w:rPr>
      </w:pPr>
      <w:r w:rsidRPr="004C2A59">
        <w:rPr>
          <w:color w:val="000000"/>
          <w:szCs w:val="22"/>
          <w:lang w:val="da-DK"/>
        </w:rPr>
        <w:br w:type="page"/>
      </w:r>
      <w:r w:rsidR="00CB20E5" w:rsidRPr="004C2A59">
        <w:rPr>
          <w:noProof w:val="0"/>
          <w:color w:val="000000"/>
          <w:szCs w:val="22"/>
          <w:lang w:val="da-DK"/>
        </w:rPr>
        <w:lastRenderedPageBreak/>
        <w:t>Indlægsseddel: Information til brugeren</w:t>
      </w:r>
    </w:p>
    <w:p w14:paraId="1426A565" w14:textId="77777777" w:rsidR="006F7492" w:rsidRPr="004C2A59" w:rsidRDefault="006F7492" w:rsidP="00421681">
      <w:pPr>
        <w:widowControl w:val="0"/>
        <w:jc w:val="center"/>
        <w:rPr>
          <w:color w:val="000000"/>
          <w:sz w:val="22"/>
          <w:szCs w:val="22"/>
          <w:lang w:val="da-DK"/>
        </w:rPr>
      </w:pPr>
    </w:p>
    <w:p w14:paraId="29A3D6AE" w14:textId="3DC12E51" w:rsidR="006F7492" w:rsidRDefault="006F7492" w:rsidP="00421681">
      <w:pPr>
        <w:jc w:val="center"/>
        <w:rPr>
          <w:b/>
          <w:bCs/>
          <w:color w:val="000000"/>
          <w:sz w:val="22"/>
          <w:szCs w:val="22"/>
          <w:lang w:val="da-DK"/>
        </w:rPr>
      </w:pPr>
      <w:r w:rsidRPr="004C2A59">
        <w:rPr>
          <w:b/>
          <w:bCs/>
          <w:color w:val="000000"/>
          <w:sz w:val="22"/>
          <w:szCs w:val="22"/>
          <w:lang w:val="da-DK"/>
        </w:rPr>
        <w:t>Glivec 100 mg filmovertrukne tabletter</w:t>
      </w:r>
    </w:p>
    <w:p w14:paraId="3DAB0E64" w14:textId="77777777" w:rsidR="00A20DFD" w:rsidRPr="004C2A59" w:rsidRDefault="00A20DFD" w:rsidP="00A20DFD">
      <w:pPr>
        <w:jc w:val="center"/>
        <w:rPr>
          <w:b/>
          <w:bCs/>
          <w:color w:val="000000"/>
          <w:sz w:val="22"/>
          <w:szCs w:val="22"/>
          <w:lang w:val="da-DK"/>
        </w:rPr>
      </w:pPr>
      <w:r w:rsidRPr="004C2A59">
        <w:rPr>
          <w:b/>
          <w:bCs/>
          <w:color w:val="000000"/>
          <w:sz w:val="22"/>
          <w:szCs w:val="22"/>
          <w:lang w:val="da-DK"/>
        </w:rPr>
        <w:t>Glivec 400 mg filmovertrukne tabletter</w:t>
      </w:r>
    </w:p>
    <w:p w14:paraId="371AC09A" w14:textId="77777777" w:rsidR="00A20DFD" w:rsidRPr="004C2A59" w:rsidRDefault="00A20DFD" w:rsidP="00421681">
      <w:pPr>
        <w:jc w:val="center"/>
        <w:rPr>
          <w:b/>
          <w:bCs/>
          <w:color w:val="000000"/>
          <w:sz w:val="22"/>
          <w:szCs w:val="22"/>
          <w:lang w:val="da-DK"/>
        </w:rPr>
      </w:pPr>
    </w:p>
    <w:p w14:paraId="0D6F9387" w14:textId="77777777" w:rsidR="006F7492" w:rsidRPr="004C2A59" w:rsidRDefault="00AD0987" w:rsidP="00421681">
      <w:pPr>
        <w:jc w:val="center"/>
        <w:rPr>
          <w:color w:val="000000"/>
          <w:sz w:val="22"/>
          <w:szCs w:val="22"/>
          <w:lang w:val="da-DK"/>
        </w:rPr>
      </w:pPr>
      <w:r>
        <w:rPr>
          <w:color w:val="000000"/>
          <w:sz w:val="22"/>
          <w:szCs w:val="22"/>
          <w:lang w:val="da-DK"/>
        </w:rPr>
        <w:t>i</w:t>
      </w:r>
      <w:r w:rsidR="006F7492" w:rsidRPr="004C2A59">
        <w:rPr>
          <w:color w:val="000000"/>
          <w:sz w:val="22"/>
          <w:szCs w:val="22"/>
          <w:lang w:val="da-DK"/>
        </w:rPr>
        <w:t>matinib</w:t>
      </w:r>
    </w:p>
    <w:p w14:paraId="0C7B4C02" w14:textId="77777777" w:rsidR="006F7492" w:rsidRPr="004C2A59" w:rsidRDefault="006F7492" w:rsidP="00421681">
      <w:pPr>
        <w:widowControl w:val="0"/>
        <w:rPr>
          <w:color w:val="000000"/>
          <w:sz w:val="22"/>
          <w:szCs w:val="22"/>
          <w:lang w:val="da-DK"/>
        </w:rPr>
      </w:pPr>
    </w:p>
    <w:p w14:paraId="711F9169" w14:textId="77777777" w:rsidR="005C71E8" w:rsidRPr="004C2A59" w:rsidRDefault="00127CCC" w:rsidP="00421681">
      <w:pPr>
        <w:suppressAutoHyphens/>
        <w:rPr>
          <w:sz w:val="22"/>
          <w:szCs w:val="22"/>
          <w:lang w:val="da-DK"/>
        </w:rPr>
      </w:pPr>
      <w:r w:rsidRPr="004C2A59">
        <w:rPr>
          <w:noProof/>
          <w:sz w:val="22"/>
          <w:lang w:val="en-GB" w:eastAsia="en-GB"/>
        </w:rPr>
        <w:drawing>
          <wp:inline distT="0" distB="0" distL="0" distR="0" wp14:anchorId="5437CB96" wp14:editId="7B8A1427">
            <wp:extent cx="198755" cy="174625"/>
            <wp:effectExtent l="0" t="0" r="0" b="0"/>
            <wp:docPr id="9" name="Picture 3"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5C71E8" w:rsidRPr="004C2A59">
        <w:rPr>
          <w:noProof/>
          <w:sz w:val="22"/>
          <w:szCs w:val="22"/>
          <w:lang w:val="da-DK"/>
        </w:rPr>
        <w:t>D</w:t>
      </w:r>
      <w:r w:rsidR="005C71E8" w:rsidRPr="004C2A59">
        <w:rPr>
          <w:sz w:val="22"/>
          <w:lang w:val="da-DK"/>
        </w:rPr>
        <w:t>ette</w:t>
      </w:r>
      <w:r w:rsidR="005C71E8" w:rsidRPr="004C2A59">
        <w:rPr>
          <w:noProof/>
          <w:sz w:val="22"/>
          <w:szCs w:val="22"/>
          <w:lang w:val="da-DK"/>
        </w:rPr>
        <w:t xml:space="preserve"> lægemiddel er underlagt supplerende overvågning. Dermed kan der hurtigt tilvejebringes nye oplysninger om sikkerheden. Du kan hjælpe ved at indberette alle de bivirkninger, du får. Se sidst i afsnit 4, hvordan du indberetter bivirkninger.</w:t>
      </w:r>
    </w:p>
    <w:p w14:paraId="631A5B2F" w14:textId="77777777" w:rsidR="006F7492" w:rsidRPr="004C2A59" w:rsidRDefault="006F7492" w:rsidP="00421681">
      <w:pPr>
        <w:widowControl w:val="0"/>
        <w:rPr>
          <w:color w:val="000000"/>
          <w:sz w:val="22"/>
          <w:szCs w:val="22"/>
          <w:lang w:val="da-DK"/>
        </w:rPr>
      </w:pPr>
    </w:p>
    <w:p w14:paraId="0529059A" w14:textId="77777777" w:rsidR="00152279" w:rsidRPr="004C2A59" w:rsidRDefault="00152279" w:rsidP="00421681">
      <w:pPr>
        <w:widowControl w:val="0"/>
        <w:ind w:right="-2"/>
        <w:rPr>
          <w:b/>
          <w:color w:val="000000"/>
          <w:sz w:val="22"/>
          <w:szCs w:val="22"/>
          <w:lang w:val="da-DK"/>
        </w:rPr>
      </w:pPr>
      <w:r w:rsidRPr="004C2A59">
        <w:rPr>
          <w:b/>
          <w:color w:val="000000"/>
          <w:sz w:val="22"/>
          <w:szCs w:val="22"/>
          <w:lang w:val="da-DK"/>
        </w:rPr>
        <w:t>Læs denne indlægsseddel grundigt, inden du begynder at tage dette lægemiddel, da den indeholder vigtige oplysninger.</w:t>
      </w:r>
    </w:p>
    <w:p w14:paraId="11C88B29" w14:textId="77777777" w:rsidR="0040342D" w:rsidRPr="004C2A59" w:rsidRDefault="0040342D" w:rsidP="00421681">
      <w:pPr>
        <w:widowControl w:val="0"/>
        <w:numPr>
          <w:ilvl w:val="0"/>
          <w:numId w:val="7"/>
        </w:numPr>
        <w:tabs>
          <w:tab w:val="clear" w:pos="927"/>
        </w:tabs>
        <w:ind w:left="567" w:right="-2" w:hanging="567"/>
        <w:rPr>
          <w:color w:val="000000"/>
          <w:sz w:val="22"/>
          <w:szCs w:val="22"/>
          <w:lang w:val="da-DK"/>
        </w:rPr>
      </w:pPr>
      <w:r w:rsidRPr="004C2A59">
        <w:rPr>
          <w:color w:val="000000"/>
          <w:sz w:val="22"/>
          <w:szCs w:val="22"/>
          <w:lang w:val="da-DK"/>
        </w:rPr>
        <w:t>Gem indlægssedlen. Du kan få brug for at læse den igen.</w:t>
      </w:r>
    </w:p>
    <w:p w14:paraId="558F6FCC" w14:textId="77777777" w:rsidR="0040342D" w:rsidRPr="004C2A59" w:rsidRDefault="0040342D" w:rsidP="00421681">
      <w:pPr>
        <w:widowControl w:val="0"/>
        <w:numPr>
          <w:ilvl w:val="0"/>
          <w:numId w:val="7"/>
        </w:numPr>
        <w:tabs>
          <w:tab w:val="clear" w:pos="927"/>
        </w:tabs>
        <w:ind w:left="567" w:right="-2" w:hanging="567"/>
        <w:rPr>
          <w:color w:val="000000"/>
          <w:sz w:val="22"/>
          <w:szCs w:val="22"/>
          <w:lang w:val="da-DK"/>
        </w:rPr>
      </w:pPr>
      <w:r w:rsidRPr="004C2A59">
        <w:rPr>
          <w:color w:val="000000"/>
          <w:sz w:val="22"/>
          <w:szCs w:val="22"/>
          <w:lang w:val="da-DK"/>
        </w:rPr>
        <w:t>Spørg lægen, apotekspersonalet eller sundhedspersonalet, hvis der er mere, du vil vide.</w:t>
      </w:r>
    </w:p>
    <w:p w14:paraId="7AC0BF05" w14:textId="77777777" w:rsidR="0040342D" w:rsidRPr="004C2A59" w:rsidRDefault="0040342D" w:rsidP="00421681">
      <w:pPr>
        <w:widowControl w:val="0"/>
        <w:numPr>
          <w:ilvl w:val="0"/>
          <w:numId w:val="7"/>
        </w:numPr>
        <w:tabs>
          <w:tab w:val="clear" w:pos="927"/>
        </w:tabs>
        <w:ind w:left="567" w:right="-2" w:hanging="567"/>
        <w:rPr>
          <w:color w:val="000000"/>
          <w:sz w:val="22"/>
          <w:szCs w:val="22"/>
          <w:lang w:val="da-DK"/>
        </w:rPr>
      </w:pPr>
      <w:r w:rsidRPr="004C2A59">
        <w:rPr>
          <w:color w:val="000000"/>
          <w:sz w:val="22"/>
          <w:szCs w:val="22"/>
          <w:lang w:val="da-DK"/>
        </w:rPr>
        <w:t>Lægen har ordineret dette lægemiddel til dig personligt. Lad derfor være med at give medicinen til andre. Det kan være skadeligt for andre, selvom de har de samme symptomer, som du har.</w:t>
      </w:r>
    </w:p>
    <w:p w14:paraId="4F6D21D2" w14:textId="77777777" w:rsidR="0040342D" w:rsidRPr="004C2A59" w:rsidRDefault="0040342D" w:rsidP="00421681">
      <w:pPr>
        <w:widowControl w:val="0"/>
        <w:numPr>
          <w:ilvl w:val="0"/>
          <w:numId w:val="7"/>
        </w:numPr>
        <w:tabs>
          <w:tab w:val="clear" w:pos="927"/>
        </w:tabs>
        <w:ind w:left="567" w:right="-2" w:hanging="567"/>
        <w:rPr>
          <w:color w:val="000000"/>
          <w:sz w:val="22"/>
          <w:szCs w:val="22"/>
          <w:lang w:val="da-DK"/>
        </w:rPr>
      </w:pPr>
      <w:r w:rsidRPr="004C2A59">
        <w:rPr>
          <w:color w:val="000000"/>
          <w:sz w:val="22"/>
          <w:szCs w:val="22"/>
          <w:lang w:val="da-DK"/>
        </w:rPr>
        <w:t xml:space="preserve">Kontakt lægen, apotekspersonalet eller sundhedspersonalet, hvis du får bivirkninger, </w:t>
      </w:r>
      <w:r w:rsidR="001C6000">
        <w:rPr>
          <w:color w:val="000000"/>
          <w:sz w:val="22"/>
          <w:szCs w:val="22"/>
          <w:lang w:val="da-DK"/>
        </w:rPr>
        <w:t xml:space="preserve">herunder bivirkninger, </w:t>
      </w:r>
      <w:r w:rsidRPr="004C2A59">
        <w:rPr>
          <w:color w:val="000000"/>
          <w:sz w:val="22"/>
          <w:szCs w:val="22"/>
          <w:lang w:val="da-DK"/>
        </w:rPr>
        <w:t>som ikke er nævnt her. Se afsnit 4.</w:t>
      </w:r>
    </w:p>
    <w:p w14:paraId="28B74AA2" w14:textId="77777777" w:rsidR="00152279" w:rsidRPr="004C2A59" w:rsidRDefault="00152279" w:rsidP="00421681">
      <w:pPr>
        <w:widowControl w:val="0"/>
        <w:ind w:right="-2"/>
        <w:rPr>
          <w:color w:val="000000"/>
          <w:sz w:val="22"/>
          <w:szCs w:val="22"/>
          <w:lang w:val="da-DK"/>
        </w:rPr>
      </w:pPr>
    </w:p>
    <w:p w14:paraId="1AB6FE6C" w14:textId="77777777" w:rsidR="00152279" w:rsidRDefault="00A43774" w:rsidP="00421681">
      <w:pPr>
        <w:widowControl w:val="0"/>
        <w:ind w:right="-2"/>
        <w:rPr>
          <w:rStyle w:val="Hyperlink"/>
          <w:sz w:val="22"/>
          <w:szCs w:val="22"/>
          <w:lang w:val="da-DK"/>
        </w:rPr>
      </w:pPr>
      <w:r w:rsidRPr="00A43774">
        <w:rPr>
          <w:sz w:val="22"/>
          <w:szCs w:val="22"/>
          <w:lang w:val="da-DK"/>
        </w:rPr>
        <w:t xml:space="preserve">Se den nyeste indlægsseddel på </w:t>
      </w:r>
      <w:hyperlink r:id="rId18" w:history="1">
        <w:r w:rsidRPr="00A43774">
          <w:rPr>
            <w:rStyle w:val="Hyperlink"/>
            <w:sz w:val="22"/>
            <w:szCs w:val="22"/>
            <w:lang w:val="da-DK"/>
          </w:rPr>
          <w:t>www.indlaegsseddel.dk</w:t>
        </w:r>
      </w:hyperlink>
      <w:r w:rsidRPr="00A43774">
        <w:rPr>
          <w:rStyle w:val="Hyperlink"/>
          <w:sz w:val="22"/>
          <w:szCs w:val="22"/>
          <w:lang w:val="da-DK"/>
        </w:rPr>
        <w:t>.</w:t>
      </w:r>
    </w:p>
    <w:p w14:paraId="794B3957" w14:textId="77777777" w:rsidR="00A43774" w:rsidRPr="00A43774" w:rsidRDefault="00A43774" w:rsidP="00421681">
      <w:pPr>
        <w:widowControl w:val="0"/>
        <w:ind w:right="-2"/>
        <w:rPr>
          <w:color w:val="000000"/>
          <w:sz w:val="22"/>
          <w:szCs w:val="22"/>
          <w:lang w:val="da-DK"/>
        </w:rPr>
      </w:pPr>
    </w:p>
    <w:p w14:paraId="55E3C314" w14:textId="77777777" w:rsidR="00152279" w:rsidRPr="004C2A59" w:rsidRDefault="00152279" w:rsidP="00421681">
      <w:pPr>
        <w:widowControl w:val="0"/>
        <w:ind w:right="-2"/>
        <w:rPr>
          <w:color w:val="000000"/>
          <w:sz w:val="22"/>
          <w:szCs w:val="22"/>
          <w:lang w:val="da-DK"/>
        </w:rPr>
      </w:pPr>
      <w:r w:rsidRPr="004C2A59">
        <w:rPr>
          <w:b/>
          <w:color w:val="000000"/>
          <w:sz w:val="22"/>
          <w:szCs w:val="22"/>
          <w:lang w:val="da-DK"/>
        </w:rPr>
        <w:t>Oversigt over indlægssedlen</w:t>
      </w:r>
    </w:p>
    <w:p w14:paraId="1DBFB580" w14:textId="77777777" w:rsidR="00152279" w:rsidRPr="004C2A59" w:rsidRDefault="00152279" w:rsidP="00421681">
      <w:pPr>
        <w:widowControl w:val="0"/>
        <w:ind w:left="567" w:right="-29" w:hanging="567"/>
        <w:rPr>
          <w:color w:val="000000"/>
          <w:sz w:val="22"/>
          <w:szCs w:val="22"/>
          <w:lang w:val="da-DK"/>
        </w:rPr>
      </w:pPr>
      <w:r w:rsidRPr="004C2A59">
        <w:rPr>
          <w:color w:val="000000"/>
          <w:sz w:val="22"/>
          <w:szCs w:val="22"/>
          <w:lang w:val="da-DK"/>
        </w:rPr>
        <w:t>1.</w:t>
      </w:r>
      <w:r w:rsidRPr="004C2A59">
        <w:rPr>
          <w:color w:val="000000"/>
          <w:sz w:val="22"/>
          <w:szCs w:val="22"/>
          <w:lang w:val="da-DK"/>
        </w:rPr>
        <w:tab/>
        <w:t>Virkning og anvendelse</w:t>
      </w:r>
    </w:p>
    <w:p w14:paraId="5EA2C42B" w14:textId="77777777" w:rsidR="00152279" w:rsidRPr="004C2A59" w:rsidRDefault="00152279" w:rsidP="00421681">
      <w:pPr>
        <w:widowControl w:val="0"/>
        <w:ind w:left="567" w:right="-29" w:hanging="567"/>
        <w:rPr>
          <w:color w:val="000000"/>
          <w:sz w:val="22"/>
          <w:szCs w:val="22"/>
          <w:lang w:val="da-DK"/>
        </w:rPr>
      </w:pPr>
      <w:r w:rsidRPr="004C2A59">
        <w:rPr>
          <w:color w:val="000000"/>
          <w:sz w:val="22"/>
          <w:szCs w:val="22"/>
          <w:lang w:val="da-DK"/>
        </w:rPr>
        <w:t>2.</w:t>
      </w:r>
      <w:r w:rsidRPr="004C2A59">
        <w:rPr>
          <w:color w:val="000000"/>
          <w:sz w:val="22"/>
          <w:szCs w:val="22"/>
          <w:lang w:val="da-DK"/>
        </w:rPr>
        <w:tab/>
        <w:t>Det skal du vide, før du begynder at tage Glivec</w:t>
      </w:r>
    </w:p>
    <w:p w14:paraId="254C8934" w14:textId="77777777" w:rsidR="00152279" w:rsidRPr="004C2A59" w:rsidRDefault="00152279" w:rsidP="00421681">
      <w:pPr>
        <w:widowControl w:val="0"/>
        <w:ind w:left="567" w:right="-29" w:hanging="567"/>
        <w:rPr>
          <w:color w:val="000000"/>
          <w:sz w:val="22"/>
          <w:szCs w:val="22"/>
          <w:lang w:val="da-DK"/>
        </w:rPr>
      </w:pPr>
      <w:r w:rsidRPr="004C2A59">
        <w:rPr>
          <w:color w:val="000000"/>
          <w:sz w:val="22"/>
          <w:szCs w:val="22"/>
          <w:lang w:val="da-DK"/>
        </w:rPr>
        <w:t>3.</w:t>
      </w:r>
      <w:r w:rsidRPr="004C2A59">
        <w:rPr>
          <w:color w:val="000000"/>
          <w:sz w:val="22"/>
          <w:szCs w:val="22"/>
          <w:lang w:val="da-DK"/>
        </w:rPr>
        <w:tab/>
        <w:t>Sådan skal du tage Glivec</w:t>
      </w:r>
    </w:p>
    <w:p w14:paraId="043852BB" w14:textId="77777777" w:rsidR="00152279" w:rsidRPr="004C2A59" w:rsidRDefault="00152279" w:rsidP="00421681">
      <w:pPr>
        <w:widowControl w:val="0"/>
        <w:ind w:left="567" w:right="-29" w:hanging="567"/>
        <w:rPr>
          <w:color w:val="000000"/>
          <w:sz w:val="22"/>
          <w:szCs w:val="22"/>
          <w:lang w:val="da-DK"/>
        </w:rPr>
      </w:pPr>
      <w:r w:rsidRPr="004C2A59">
        <w:rPr>
          <w:color w:val="000000"/>
          <w:sz w:val="22"/>
          <w:szCs w:val="22"/>
          <w:lang w:val="da-DK"/>
        </w:rPr>
        <w:t>4.</w:t>
      </w:r>
      <w:r w:rsidRPr="004C2A59">
        <w:rPr>
          <w:color w:val="000000"/>
          <w:sz w:val="22"/>
          <w:szCs w:val="22"/>
          <w:lang w:val="da-DK"/>
        </w:rPr>
        <w:tab/>
        <w:t>Bivirkninger</w:t>
      </w:r>
    </w:p>
    <w:p w14:paraId="7FCA844E" w14:textId="77777777" w:rsidR="00152279" w:rsidRPr="004C2A59" w:rsidRDefault="00152279" w:rsidP="00421681">
      <w:pPr>
        <w:widowControl w:val="0"/>
        <w:ind w:left="567" w:right="-29" w:hanging="567"/>
        <w:rPr>
          <w:color w:val="000000"/>
          <w:sz w:val="22"/>
          <w:szCs w:val="22"/>
          <w:lang w:val="da-DK"/>
        </w:rPr>
      </w:pPr>
      <w:r w:rsidRPr="004C2A59">
        <w:rPr>
          <w:color w:val="000000"/>
          <w:sz w:val="22"/>
          <w:szCs w:val="22"/>
          <w:lang w:val="da-DK"/>
        </w:rPr>
        <w:t>5.</w:t>
      </w:r>
      <w:r w:rsidRPr="004C2A59">
        <w:rPr>
          <w:color w:val="000000"/>
          <w:sz w:val="22"/>
          <w:szCs w:val="22"/>
          <w:lang w:val="da-DK"/>
        </w:rPr>
        <w:tab/>
        <w:t>Opbevaring</w:t>
      </w:r>
    </w:p>
    <w:p w14:paraId="1742A344" w14:textId="77777777" w:rsidR="00152279" w:rsidRPr="004C2A59" w:rsidRDefault="00152279" w:rsidP="00421681">
      <w:pPr>
        <w:pStyle w:val="EndnoteText"/>
        <w:tabs>
          <w:tab w:val="clear" w:pos="567"/>
        </w:tabs>
        <w:rPr>
          <w:color w:val="000000"/>
        </w:rPr>
      </w:pPr>
      <w:r w:rsidRPr="004C2A59">
        <w:rPr>
          <w:color w:val="000000"/>
          <w:szCs w:val="22"/>
        </w:rPr>
        <w:t>6.</w:t>
      </w:r>
      <w:r w:rsidRPr="004C2A59">
        <w:rPr>
          <w:color w:val="000000"/>
          <w:szCs w:val="22"/>
        </w:rPr>
        <w:tab/>
        <w:t>Pakningsstørrelser og yderligere oplysninger</w:t>
      </w:r>
    </w:p>
    <w:p w14:paraId="727E3626" w14:textId="77777777" w:rsidR="00152279" w:rsidRPr="004C2A59" w:rsidRDefault="00152279" w:rsidP="00421681">
      <w:pPr>
        <w:widowControl w:val="0"/>
        <w:suppressAutoHyphens/>
        <w:rPr>
          <w:color w:val="000000"/>
          <w:sz w:val="22"/>
          <w:szCs w:val="22"/>
          <w:lang w:val="da-DK"/>
        </w:rPr>
      </w:pPr>
    </w:p>
    <w:p w14:paraId="6EF056D3" w14:textId="77777777" w:rsidR="00152279" w:rsidRPr="004C2A59" w:rsidRDefault="00152279" w:rsidP="00421681">
      <w:pPr>
        <w:widowControl w:val="0"/>
        <w:suppressAutoHyphens/>
        <w:rPr>
          <w:color w:val="000000"/>
          <w:sz w:val="22"/>
          <w:szCs w:val="22"/>
          <w:lang w:val="da-DK"/>
        </w:rPr>
      </w:pPr>
    </w:p>
    <w:p w14:paraId="153FC2C8" w14:textId="77777777" w:rsidR="00152279" w:rsidRPr="004C2A59" w:rsidRDefault="00152279" w:rsidP="00C93654">
      <w:pPr>
        <w:keepNext/>
        <w:widowControl w:val="0"/>
        <w:suppressAutoHyphens/>
        <w:ind w:left="567" w:hanging="567"/>
        <w:rPr>
          <w:b/>
          <w:color w:val="000000"/>
          <w:sz w:val="22"/>
          <w:szCs w:val="22"/>
          <w:lang w:val="da-DK"/>
        </w:rPr>
      </w:pPr>
      <w:r w:rsidRPr="004C2A59">
        <w:rPr>
          <w:b/>
          <w:color w:val="000000"/>
          <w:sz w:val="22"/>
          <w:szCs w:val="22"/>
          <w:lang w:val="da-DK"/>
        </w:rPr>
        <w:t>1.</w:t>
      </w:r>
      <w:r w:rsidRPr="004C2A59">
        <w:rPr>
          <w:b/>
          <w:color w:val="000000"/>
          <w:sz w:val="22"/>
          <w:szCs w:val="22"/>
          <w:lang w:val="da-DK"/>
        </w:rPr>
        <w:tab/>
        <w:t>Virkning og anvendelse</w:t>
      </w:r>
    </w:p>
    <w:p w14:paraId="4A203C4F" w14:textId="77777777" w:rsidR="00152279" w:rsidRPr="004C2A59" w:rsidRDefault="00152279" w:rsidP="00C93654">
      <w:pPr>
        <w:keepNext/>
        <w:widowControl w:val="0"/>
        <w:suppressAutoHyphens/>
        <w:ind w:left="567" w:hanging="567"/>
        <w:rPr>
          <w:color w:val="000000"/>
          <w:sz w:val="22"/>
          <w:szCs w:val="22"/>
          <w:lang w:val="da-DK"/>
        </w:rPr>
      </w:pPr>
    </w:p>
    <w:p w14:paraId="51B691BE" w14:textId="77777777" w:rsidR="00152279" w:rsidRPr="004C2A59" w:rsidRDefault="00152279" w:rsidP="00421681">
      <w:pPr>
        <w:widowControl w:val="0"/>
        <w:suppressAutoHyphens/>
        <w:rPr>
          <w:color w:val="000000"/>
          <w:sz w:val="22"/>
          <w:szCs w:val="22"/>
          <w:lang w:val="da-DK"/>
        </w:rPr>
      </w:pPr>
      <w:r w:rsidRPr="004C2A59">
        <w:rPr>
          <w:color w:val="000000"/>
          <w:sz w:val="22"/>
          <w:szCs w:val="22"/>
          <w:lang w:val="da-DK"/>
        </w:rPr>
        <w:t>Glivec er et lægemiddel, der indeholder et aktivt stof kaldet imatinib. Dette lægemiddel virker ved at hæmme væksten af unormale celler ved de sygdomme, der er nævnt nedenfor. Disse omfatter nogle former for kræft.</w:t>
      </w:r>
    </w:p>
    <w:p w14:paraId="64020734" w14:textId="77777777" w:rsidR="00152279" w:rsidRPr="004C2A59" w:rsidRDefault="00152279" w:rsidP="00421681">
      <w:pPr>
        <w:widowControl w:val="0"/>
        <w:suppressAutoHyphens/>
        <w:rPr>
          <w:color w:val="000000"/>
          <w:sz w:val="22"/>
          <w:szCs w:val="22"/>
          <w:lang w:val="da-DK"/>
        </w:rPr>
      </w:pPr>
    </w:p>
    <w:p w14:paraId="3CDB4649" w14:textId="77777777" w:rsidR="00152279" w:rsidRPr="004C2A59" w:rsidRDefault="00152279" w:rsidP="00C93654">
      <w:pPr>
        <w:keepNext/>
        <w:widowControl w:val="0"/>
        <w:suppressAutoHyphens/>
        <w:rPr>
          <w:b/>
          <w:color w:val="000000"/>
          <w:sz w:val="22"/>
          <w:szCs w:val="22"/>
          <w:lang w:val="da-DK"/>
        </w:rPr>
      </w:pPr>
      <w:r w:rsidRPr="004C2A59">
        <w:rPr>
          <w:b/>
          <w:color w:val="000000"/>
          <w:sz w:val="22"/>
          <w:szCs w:val="22"/>
          <w:lang w:val="da-DK"/>
        </w:rPr>
        <w:t>Glivec er en behandling til voksne og børn mod:</w:t>
      </w:r>
    </w:p>
    <w:p w14:paraId="432423AE" w14:textId="77777777" w:rsidR="00152279" w:rsidRPr="004C2A59" w:rsidRDefault="00152279" w:rsidP="00C93654">
      <w:pPr>
        <w:keepNext/>
        <w:widowControl w:val="0"/>
        <w:suppressAutoHyphens/>
        <w:rPr>
          <w:color w:val="000000"/>
          <w:sz w:val="22"/>
          <w:szCs w:val="22"/>
          <w:lang w:val="da-DK"/>
        </w:rPr>
      </w:pPr>
    </w:p>
    <w:p w14:paraId="5C7996C9" w14:textId="77777777" w:rsidR="00152279" w:rsidRPr="004C2A59" w:rsidRDefault="00152279" w:rsidP="00421681">
      <w:pPr>
        <w:widowControl w:val="0"/>
        <w:suppressAutoHyphens/>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r>
      <w:r w:rsidRPr="004C2A59">
        <w:rPr>
          <w:b/>
          <w:color w:val="000000"/>
          <w:sz w:val="22"/>
          <w:szCs w:val="22"/>
          <w:lang w:val="da-DK"/>
        </w:rPr>
        <w:t>Kronisk myeloid leukæmi (CML).</w:t>
      </w:r>
      <w:r w:rsidRPr="004C2A59">
        <w:rPr>
          <w:color w:val="000000"/>
          <w:sz w:val="22"/>
          <w:szCs w:val="22"/>
          <w:lang w:val="da-DK"/>
        </w:rPr>
        <w:t xml:space="preserve"> Leukæmi er kræft i de hvide blodlegemer. Hvide blodlegemer hjælper som regel kroppen med at bekæmpe infektioner. Kronisk myeloid leukæmi er en type leukæmi, hvor nogle bestemte unormale hvide blodlegemer (der kaldes myeloide celler) vokser ukontrolleret.</w:t>
      </w:r>
    </w:p>
    <w:p w14:paraId="3F9A8F49" w14:textId="77777777" w:rsidR="003778CF" w:rsidRPr="004C2A59" w:rsidRDefault="003778CF" w:rsidP="00421681">
      <w:pPr>
        <w:widowControl w:val="0"/>
        <w:suppressAutoHyphens/>
        <w:ind w:left="567" w:hanging="567"/>
        <w:rPr>
          <w:color w:val="000000"/>
          <w:sz w:val="22"/>
          <w:szCs w:val="22"/>
          <w:lang w:val="da-DK"/>
        </w:rPr>
      </w:pPr>
      <w:r w:rsidRPr="004C2A59">
        <w:rPr>
          <w:b/>
          <w:color w:val="000000"/>
          <w:sz w:val="22"/>
          <w:szCs w:val="22"/>
          <w:lang w:val="da-DK"/>
        </w:rPr>
        <w:t>-</w:t>
      </w:r>
      <w:r w:rsidRPr="004C2A59">
        <w:rPr>
          <w:b/>
          <w:color w:val="000000"/>
          <w:sz w:val="22"/>
          <w:szCs w:val="22"/>
          <w:lang w:val="da-DK"/>
        </w:rPr>
        <w:tab/>
        <w:t xml:space="preserve">Philadelphia-kromosom-positiv akut lymfoblastær leukæmi (Ph-positiv </w:t>
      </w:r>
      <w:smartTag w:uri="urn:schemas-microsoft-com:office:smarttags" w:element="metricconverter">
        <w:r w:rsidRPr="004C2A59">
          <w:rPr>
            <w:b/>
            <w:color w:val="000000"/>
            <w:sz w:val="22"/>
            <w:szCs w:val="22"/>
            <w:lang w:val="da-DK"/>
          </w:rPr>
          <w:t>ALL</w:t>
        </w:r>
      </w:smartTag>
      <w:r w:rsidRPr="004C2A59">
        <w:rPr>
          <w:b/>
          <w:color w:val="000000"/>
          <w:sz w:val="22"/>
          <w:szCs w:val="22"/>
          <w:lang w:val="da-DK"/>
        </w:rPr>
        <w:t>).</w:t>
      </w:r>
      <w:r w:rsidRPr="004C2A59">
        <w:rPr>
          <w:color w:val="000000"/>
          <w:sz w:val="22"/>
          <w:szCs w:val="22"/>
          <w:lang w:val="da-DK"/>
        </w:rPr>
        <w:t xml:space="preserve"> Leukæmi er kræft i de hvide blodlegemer. Hvide blodlegemer hjælper som regel kroppen med at bekæmpe infektioner. Akut lymfoblastær leukæmi er en form af leukæmi, hvor visse abnorme hvide blodlegemer (kaldet lymfoblaster) vokser ukontrolleret. Glivec hæmmer væksten af disse celler.</w:t>
      </w:r>
    </w:p>
    <w:p w14:paraId="2777BD6F" w14:textId="77777777" w:rsidR="00152279" w:rsidRPr="004C2A59" w:rsidRDefault="00152279" w:rsidP="00421681">
      <w:pPr>
        <w:widowControl w:val="0"/>
        <w:suppressAutoHyphens/>
        <w:rPr>
          <w:color w:val="000000"/>
          <w:sz w:val="22"/>
          <w:szCs w:val="22"/>
          <w:lang w:val="da-DK"/>
        </w:rPr>
      </w:pPr>
    </w:p>
    <w:p w14:paraId="37AB23F7" w14:textId="77777777" w:rsidR="00152279" w:rsidRPr="004C2A59" w:rsidRDefault="00152279" w:rsidP="00C93654">
      <w:pPr>
        <w:keepNext/>
        <w:widowControl w:val="0"/>
        <w:suppressAutoHyphens/>
        <w:rPr>
          <w:b/>
          <w:color w:val="000000"/>
          <w:sz w:val="22"/>
          <w:szCs w:val="22"/>
          <w:lang w:val="da-DK"/>
        </w:rPr>
      </w:pPr>
      <w:r w:rsidRPr="004C2A59">
        <w:rPr>
          <w:b/>
          <w:color w:val="000000"/>
          <w:sz w:val="22"/>
          <w:szCs w:val="22"/>
          <w:lang w:val="da-DK"/>
        </w:rPr>
        <w:t>Glivec anvendes også til behandling af voksne med:</w:t>
      </w:r>
    </w:p>
    <w:p w14:paraId="3B8F9000" w14:textId="77777777" w:rsidR="00152279" w:rsidRPr="004C2A59" w:rsidRDefault="00152279" w:rsidP="00C93654">
      <w:pPr>
        <w:keepNext/>
        <w:widowControl w:val="0"/>
        <w:suppressAutoHyphens/>
        <w:rPr>
          <w:color w:val="000000"/>
          <w:sz w:val="22"/>
          <w:szCs w:val="22"/>
          <w:lang w:val="da-DK"/>
        </w:rPr>
      </w:pPr>
    </w:p>
    <w:p w14:paraId="0D941E9A" w14:textId="77777777" w:rsidR="00152279" w:rsidRPr="004C2A59" w:rsidRDefault="00152279" w:rsidP="00421681">
      <w:pPr>
        <w:widowControl w:val="0"/>
        <w:suppressAutoHyphens/>
        <w:ind w:left="567" w:hanging="567"/>
        <w:rPr>
          <w:color w:val="000000"/>
          <w:sz w:val="22"/>
          <w:szCs w:val="22"/>
          <w:lang w:val="da-DK"/>
        </w:rPr>
      </w:pPr>
      <w:r w:rsidRPr="00F852D1">
        <w:rPr>
          <w:color w:val="000000"/>
          <w:sz w:val="22"/>
          <w:szCs w:val="22"/>
          <w:lang w:val="nb-NO"/>
        </w:rPr>
        <w:t>-</w:t>
      </w:r>
      <w:r w:rsidRPr="00F852D1">
        <w:rPr>
          <w:color w:val="000000"/>
          <w:sz w:val="22"/>
          <w:szCs w:val="22"/>
          <w:lang w:val="nb-NO"/>
        </w:rPr>
        <w:tab/>
      </w:r>
      <w:r w:rsidRPr="00F852D1">
        <w:rPr>
          <w:b/>
          <w:color w:val="000000"/>
          <w:sz w:val="22"/>
          <w:szCs w:val="22"/>
          <w:lang w:val="nb-NO"/>
        </w:rPr>
        <w:t>Myelodysplastiske/myeloproliferative sygdomme (</w:t>
      </w:r>
      <w:smartTag w:uri="urn:schemas-microsoft-com:office:smarttags" w:element="metricconverter">
        <w:r w:rsidRPr="00F852D1">
          <w:rPr>
            <w:b/>
            <w:color w:val="000000"/>
            <w:sz w:val="22"/>
            <w:szCs w:val="22"/>
            <w:lang w:val="nb-NO"/>
          </w:rPr>
          <w:t>MDS</w:t>
        </w:r>
      </w:smartTag>
      <w:r w:rsidRPr="00F852D1">
        <w:rPr>
          <w:b/>
          <w:color w:val="000000"/>
          <w:sz w:val="22"/>
          <w:szCs w:val="22"/>
          <w:lang w:val="nb-NO"/>
        </w:rPr>
        <w:t>/</w:t>
      </w:r>
      <w:smartTag w:uri="urn:schemas-microsoft-com:office:smarttags" w:element="metricconverter">
        <w:r w:rsidRPr="00F852D1">
          <w:rPr>
            <w:b/>
            <w:color w:val="000000"/>
            <w:sz w:val="22"/>
            <w:szCs w:val="22"/>
            <w:lang w:val="nb-NO"/>
          </w:rPr>
          <w:t>MDP</w:t>
        </w:r>
      </w:smartTag>
      <w:r w:rsidRPr="00F852D1">
        <w:rPr>
          <w:b/>
          <w:color w:val="000000"/>
          <w:sz w:val="22"/>
          <w:szCs w:val="22"/>
          <w:lang w:val="nb-NO"/>
        </w:rPr>
        <w:t>).</w:t>
      </w:r>
      <w:r w:rsidRPr="00F852D1">
        <w:rPr>
          <w:color w:val="000000"/>
          <w:sz w:val="22"/>
          <w:szCs w:val="22"/>
          <w:lang w:val="nb-NO"/>
        </w:rPr>
        <w:t xml:space="preserve"> </w:t>
      </w:r>
      <w:r w:rsidRPr="004C2A59">
        <w:rPr>
          <w:color w:val="000000"/>
          <w:sz w:val="22"/>
          <w:szCs w:val="22"/>
          <w:lang w:val="da-DK"/>
        </w:rPr>
        <w:t>Disse er en gruppe af sygdomme i blodet, hvor nogle blodlegemer begynder at vokse ukontrolleret. Glivec hæmmer væksten af disse blodlegemer i en vis undergruppe af disse sygdomme.</w:t>
      </w:r>
    </w:p>
    <w:p w14:paraId="0666C22E" w14:textId="77777777" w:rsidR="00152279" w:rsidRPr="004C2A59" w:rsidRDefault="00152279" w:rsidP="00421681">
      <w:pPr>
        <w:widowControl w:val="0"/>
        <w:suppressAutoHyphens/>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r>
      <w:r w:rsidRPr="004C2A59">
        <w:rPr>
          <w:b/>
          <w:color w:val="000000"/>
          <w:sz w:val="22"/>
          <w:szCs w:val="22"/>
          <w:lang w:val="da-DK"/>
        </w:rPr>
        <w:t>Hypereosinofil syndrom (HES) og/eller kronisk eosinofil leukæmi (</w:t>
      </w:r>
      <w:smartTag w:uri="urn:schemas-microsoft-com:office:smarttags" w:element="metricconverter">
        <w:r w:rsidRPr="004C2A59">
          <w:rPr>
            <w:b/>
            <w:color w:val="000000"/>
            <w:sz w:val="22"/>
            <w:szCs w:val="22"/>
            <w:lang w:val="da-DK"/>
          </w:rPr>
          <w:t>CEL</w:t>
        </w:r>
      </w:smartTag>
      <w:r w:rsidRPr="004C2A59">
        <w:rPr>
          <w:b/>
          <w:color w:val="000000"/>
          <w:sz w:val="22"/>
          <w:szCs w:val="22"/>
          <w:lang w:val="da-DK"/>
        </w:rPr>
        <w:t>).</w:t>
      </w:r>
      <w:r w:rsidRPr="004C2A59">
        <w:rPr>
          <w:color w:val="000000"/>
          <w:sz w:val="22"/>
          <w:szCs w:val="22"/>
          <w:lang w:val="da-DK"/>
        </w:rPr>
        <w:t xml:space="preserve"> Disse er sygdomme i blodet, i hvilke visse blodlegemer (kaldet eosinofile celler) begynder at vokse ukontrolleret. Glivec hæmmer væksten af disse celler i en vis undergruppe af disse sygdomme.</w:t>
      </w:r>
    </w:p>
    <w:p w14:paraId="2F341616" w14:textId="77777777" w:rsidR="00152279" w:rsidRPr="004C2A59" w:rsidRDefault="00152279" w:rsidP="00421681">
      <w:pPr>
        <w:widowControl w:val="0"/>
        <w:suppressAutoHyphens/>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r>
      <w:r w:rsidRPr="004C2A59">
        <w:rPr>
          <w:b/>
          <w:color w:val="000000"/>
          <w:sz w:val="22"/>
          <w:szCs w:val="22"/>
          <w:lang w:val="da-DK"/>
        </w:rPr>
        <w:t xml:space="preserve">Ondartede bindevævstumorer i mavetarmsystemet (gastrointestinale stromal tumorer </w:t>
      </w:r>
      <w:r w:rsidRPr="004C2A59">
        <w:rPr>
          <w:b/>
          <w:color w:val="000000"/>
          <w:sz w:val="22"/>
          <w:szCs w:val="22"/>
          <w:lang w:val="da-DK"/>
        </w:rPr>
        <w:lastRenderedPageBreak/>
        <w:t>(GIST)).</w:t>
      </w:r>
      <w:r w:rsidRPr="004C2A59">
        <w:rPr>
          <w:color w:val="000000"/>
          <w:sz w:val="22"/>
          <w:szCs w:val="22"/>
          <w:lang w:val="da-DK"/>
        </w:rPr>
        <w:t xml:space="preserve"> GIST er en kræftform i mavesækken og tarmen. Den opstår ved en ukontrolleret cellevækst af disse organers bindevæv.</w:t>
      </w:r>
    </w:p>
    <w:p w14:paraId="7C400662" w14:textId="77777777" w:rsidR="00152279" w:rsidRPr="004C2A59" w:rsidRDefault="00152279" w:rsidP="00C93654">
      <w:pPr>
        <w:keepNext/>
        <w:keepLines/>
        <w:widowControl w:val="0"/>
        <w:suppressAutoHyphens/>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r>
      <w:r w:rsidRPr="004C2A59">
        <w:rPr>
          <w:b/>
          <w:color w:val="000000"/>
          <w:sz w:val="22"/>
          <w:szCs w:val="22"/>
          <w:lang w:val="da-DK"/>
        </w:rPr>
        <w:t xml:space="preserve">Dermatofibrosarkom protuberans (DFSP). </w:t>
      </w:r>
      <w:r w:rsidRPr="004C2A59">
        <w:rPr>
          <w:color w:val="000000"/>
          <w:sz w:val="22"/>
          <w:szCs w:val="22"/>
          <w:lang w:val="da-DK"/>
        </w:rPr>
        <w:t>DFSP er en kræftform i vævet under huden, hvor visse celler vokser ukontrolleret. Glivec hæmmer væksten af disse celler.</w:t>
      </w:r>
    </w:p>
    <w:p w14:paraId="3F41C6E0" w14:textId="77777777" w:rsidR="00152279" w:rsidRPr="004C2A59" w:rsidRDefault="00152279" w:rsidP="00421681">
      <w:pPr>
        <w:widowControl w:val="0"/>
        <w:suppressAutoHyphens/>
        <w:rPr>
          <w:color w:val="000000"/>
          <w:sz w:val="22"/>
          <w:szCs w:val="22"/>
          <w:lang w:val="da-DK"/>
        </w:rPr>
      </w:pPr>
      <w:r w:rsidRPr="004C2A59">
        <w:rPr>
          <w:color w:val="000000"/>
          <w:sz w:val="22"/>
          <w:szCs w:val="22"/>
          <w:lang w:val="da-DK"/>
        </w:rPr>
        <w:t>I resten af denne indlægsseddel vil vi bruge forkortelserne, når vi omtaler disse sygdomme.</w:t>
      </w:r>
    </w:p>
    <w:p w14:paraId="59776128" w14:textId="77777777" w:rsidR="00152279" w:rsidRPr="004C2A59" w:rsidRDefault="00152279" w:rsidP="00421681">
      <w:pPr>
        <w:widowControl w:val="0"/>
        <w:suppressAutoHyphens/>
        <w:rPr>
          <w:color w:val="000000"/>
          <w:sz w:val="22"/>
          <w:szCs w:val="22"/>
          <w:lang w:val="da-DK"/>
        </w:rPr>
      </w:pPr>
    </w:p>
    <w:p w14:paraId="53D716F1" w14:textId="77777777" w:rsidR="00152279" w:rsidRPr="004C2A59" w:rsidRDefault="00152279" w:rsidP="00421681">
      <w:pPr>
        <w:widowControl w:val="0"/>
        <w:suppressAutoHyphens/>
        <w:rPr>
          <w:color w:val="000000"/>
          <w:sz w:val="22"/>
          <w:szCs w:val="22"/>
          <w:lang w:val="da-DK"/>
        </w:rPr>
      </w:pPr>
      <w:r w:rsidRPr="004C2A59">
        <w:rPr>
          <w:color w:val="000000"/>
          <w:sz w:val="22"/>
          <w:szCs w:val="22"/>
          <w:lang w:val="da-DK"/>
        </w:rPr>
        <w:t>Hvis du har spørgsmål om, hvordan Glivec virker, eller hvorfor du har fået ordineret dette lægemiddel, kontakt din læge.</w:t>
      </w:r>
    </w:p>
    <w:p w14:paraId="7D980C77" w14:textId="77777777" w:rsidR="00152279" w:rsidRPr="004C2A59" w:rsidRDefault="00152279" w:rsidP="00421681">
      <w:pPr>
        <w:widowControl w:val="0"/>
        <w:suppressAutoHyphens/>
        <w:rPr>
          <w:color w:val="000000"/>
          <w:sz w:val="22"/>
          <w:szCs w:val="22"/>
          <w:lang w:val="da-DK"/>
        </w:rPr>
      </w:pPr>
    </w:p>
    <w:p w14:paraId="4D23272B" w14:textId="77777777" w:rsidR="00152279" w:rsidRPr="004C2A59" w:rsidRDefault="00152279" w:rsidP="00421681">
      <w:pPr>
        <w:widowControl w:val="0"/>
        <w:suppressAutoHyphens/>
        <w:rPr>
          <w:color w:val="000000"/>
          <w:sz w:val="22"/>
          <w:szCs w:val="22"/>
          <w:lang w:val="da-DK"/>
        </w:rPr>
      </w:pPr>
    </w:p>
    <w:p w14:paraId="58A272DD" w14:textId="77777777" w:rsidR="00152279" w:rsidRPr="004C2A59" w:rsidRDefault="00152279" w:rsidP="00C93654">
      <w:pPr>
        <w:keepNext/>
        <w:widowControl w:val="0"/>
        <w:suppressAutoHyphens/>
        <w:ind w:left="567" w:hanging="567"/>
        <w:rPr>
          <w:b/>
          <w:color w:val="000000"/>
          <w:sz w:val="22"/>
          <w:szCs w:val="22"/>
          <w:lang w:val="da-DK"/>
        </w:rPr>
      </w:pPr>
      <w:r w:rsidRPr="004C2A59">
        <w:rPr>
          <w:b/>
          <w:color w:val="000000"/>
          <w:sz w:val="22"/>
          <w:szCs w:val="22"/>
          <w:lang w:val="da-DK"/>
        </w:rPr>
        <w:t>2.</w:t>
      </w:r>
      <w:r w:rsidRPr="004C2A59">
        <w:rPr>
          <w:b/>
          <w:color w:val="000000"/>
          <w:sz w:val="22"/>
          <w:szCs w:val="22"/>
          <w:lang w:val="da-DK"/>
        </w:rPr>
        <w:tab/>
        <w:t>Det skal du vide, før du begynder at tage Glivec</w:t>
      </w:r>
    </w:p>
    <w:p w14:paraId="6B1D64BF" w14:textId="77777777" w:rsidR="00152279" w:rsidRPr="004C2A59" w:rsidRDefault="00152279" w:rsidP="00C93654">
      <w:pPr>
        <w:keepNext/>
        <w:widowControl w:val="0"/>
        <w:suppressAutoHyphens/>
        <w:ind w:left="567" w:hanging="567"/>
        <w:rPr>
          <w:color w:val="000000"/>
          <w:sz w:val="22"/>
          <w:szCs w:val="22"/>
          <w:lang w:val="da-DK"/>
        </w:rPr>
      </w:pPr>
    </w:p>
    <w:p w14:paraId="61AED2C5" w14:textId="77777777" w:rsidR="00152279" w:rsidRPr="004C2A59" w:rsidRDefault="00152279" w:rsidP="00421681">
      <w:pPr>
        <w:widowControl w:val="0"/>
        <w:suppressAutoHyphens/>
        <w:rPr>
          <w:color w:val="000000"/>
          <w:sz w:val="22"/>
          <w:szCs w:val="22"/>
          <w:lang w:val="da-DK"/>
        </w:rPr>
      </w:pPr>
      <w:r w:rsidRPr="004C2A59">
        <w:rPr>
          <w:color w:val="000000"/>
          <w:sz w:val="22"/>
          <w:szCs w:val="22"/>
          <w:lang w:val="da-DK"/>
        </w:rPr>
        <w:t>Glivec vil kun blive ordineret til dig af en læge med erfaring i behandlingen af kræft i blodet eller kræftknuder.</w:t>
      </w:r>
    </w:p>
    <w:p w14:paraId="0AD8B240" w14:textId="77777777" w:rsidR="00152279" w:rsidRPr="004C2A59" w:rsidRDefault="00152279" w:rsidP="00421681">
      <w:pPr>
        <w:widowControl w:val="0"/>
        <w:suppressAutoHyphens/>
        <w:ind w:left="567" w:hanging="567"/>
        <w:rPr>
          <w:color w:val="000000"/>
          <w:sz w:val="22"/>
          <w:szCs w:val="22"/>
          <w:lang w:val="da-DK"/>
        </w:rPr>
      </w:pPr>
    </w:p>
    <w:p w14:paraId="363AFD32" w14:textId="77777777" w:rsidR="00152279" w:rsidRPr="004C2A59" w:rsidRDefault="00152279" w:rsidP="00421681">
      <w:pPr>
        <w:widowControl w:val="0"/>
        <w:suppressAutoHyphens/>
        <w:rPr>
          <w:color w:val="000000"/>
          <w:sz w:val="22"/>
          <w:szCs w:val="22"/>
          <w:lang w:val="da-DK"/>
        </w:rPr>
      </w:pPr>
      <w:r w:rsidRPr="004C2A59">
        <w:rPr>
          <w:color w:val="000000"/>
          <w:sz w:val="22"/>
          <w:szCs w:val="22"/>
          <w:lang w:val="da-DK"/>
        </w:rPr>
        <w:t>Følg omhyggeligt din læges anvisninger, selvom de er forskellige fra den generelle information i denne indlægsseddel.</w:t>
      </w:r>
    </w:p>
    <w:p w14:paraId="101026A2" w14:textId="77777777" w:rsidR="00152279" w:rsidRPr="004C2A59" w:rsidRDefault="00152279" w:rsidP="00421681">
      <w:pPr>
        <w:widowControl w:val="0"/>
        <w:suppressAutoHyphens/>
        <w:ind w:left="567" w:hanging="567"/>
        <w:rPr>
          <w:color w:val="000000"/>
          <w:sz w:val="22"/>
          <w:szCs w:val="22"/>
          <w:lang w:val="da-DK"/>
        </w:rPr>
      </w:pPr>
    </w:p>
    <w:p w14:paraId="56A6C28F" w14:textId="77777777" w:rsidR="00152279" w:rsidRPr="004C2A59" w:rsidRDefault="00152279" w:rsidP="00C93654">
      <w:pPr>
        <w:pStyle w:val="Heading2"/>
        <w:widowControl w:val="0"/>
        <w:numPr>
          <w:ilvl w:val="0"/>
          <w:numId w:val="0"/>
        </w:numPr>
        <w:tabs>
          <w:tab w:val="clear" w:pos="-720"/>
          <w:tab w:val="clear" w:pos="567"/>
        </w:tabs>
        <w:rPr>
          <w:noProof w:val="0"/>
          <w:color w:val="000000"/>
          <w:szCs w:val="22"/>
          <w:lang w:val="da-DK"/>
        </w:rPr>
      </w:pPr>
      <w:r w:rsidRPr="004C2A59">
        <w:rPr>
          <w:noProof w:val="0"/>
          <w:color w:val="000000"/>
          <w:szCs w:val="22"/>
          <w:lang w:val="da-DK"/>
        </w:rPr>
        <w:t>Tag ikke Glivec:</w:t>
      </w:r>
    </w:p>
    <w:p w14:paraId="5682BA25" w14:textId="77777777" w:rsidR="00152279" w:rsidRPr="004C2A59" w:rsidRDefault="00152279" w:rsidP="00C93654">
      <w:pPr>
        <w:keepNext/>
        <w:keepLines/>
        <w:widowControl w:val="0"/>
        <w:numPr>
          <w:ilvl w:val="0"/>
          <w:numId w:val="1"/>
        </w:numPr>
        <w:tabs>
          <w:tab w:val="clear" w:pos="927"/>
        </w:tabs>
        <w:ind w:left="567" w:hanging="567"/>
        <w:rPr>
          <w:color w:val="000000"/>
          <w:sz w:val="22"/>
          <w:szCs w:val="22"/>
          <w:lang w:val="da-DK"/>
        </w:rPr>
      </w:pPr>
      <w:r w:rsidRPr="004C2A59">
        <w:rPr>
          <w:color w:val="000000"/>
          <w:sz w:val="22"/>
          <w:szCs w:val="22"/>
          <w:lang w:val="da-DK"/>
        </w:rPr>
        <w:t xml:space="preserve">hvis du er allergisk over for imatinib eller et af de øvrige indholdsstoffer i Glivec (angivet i </w:t>
      </w:r>
      <w:r w:rsidR="005853AA" w:rsidRPr="004C2A59">
        <w:rPr>
          <w:color w:val="000000"/>
          <w:sz w:val="22"/>
          <w:szCs w:val="22"/>
          <w:lang w:val="da-DK"/>
        </w:rPr>
        <w:t>afsnit </w:t>
      </w:r>
      <w:r w:rsidRPr="004C2A59">
        <w:rPr>
          <w:color w:val="000000"/>
          <w:sz w:val="22"/>
          <w:szCs w:val="22"/>
          <w:lang w:val="da-DK"/>
        </w:rPr>
        <w:t>6).</w:t>
      </w:r>
    </w:p>
    <w:p w14:paraId="702C013E" w14:textId="77777777" w:rsidR="00152279" w:rsidRPr="004C2A59" w:rsidRDefault="00152279" w:rsidP="00421681">
      <w:pPr>
        <w:pStyle w:val="BodyText22"/>
        <w:widowControl w:val="0"/>
        <w:tabs>
          <w:tab w:val="clear" w:pos="-720"/>
        </w:tabs>
        <w:rPr>
          <w:i w:val="0"/>
          <w:color w:val="000000"/>
          <w:szCs w:val="22"/>
        </w:rPr>
      </w:pPr>
      <w:r w:rsidRPr="004C2A59">
        <w:rPr>
          <w:i w:val="0"/>
          <w:color w:val="000000"/>
          <w:szCs w:val="22"/>
        </w:rPr>
        <w:t xml:space="preserve">Hvis dette gælder for dig, </w:t>
      </w:r>
      <w:r w:rsidRPr="004C2A59">
        <w:rPr>
          <w:b/>
          <w:i w:val="0"/>
          <w:color w:val="000000"/>
          <w:szCs w:val="22"/>
        </w:rPr>
        <w:t>skal du fortælle din læge det, før du tager Glivec</w:t>
      </w:r>
      <w:r w:rsidRPr="004C2A59">
        <w:rPr>
          <w:i w:val="0"/>
          <w:color w:val="000000"/>
          <w:szCs w:val="22"/>
        </w:rPr>
        <w:t>.</w:t>
      </w:r>
    </w:p>
    <w:p w14:paraId="6338A5A0" w14:textId="77777777" w:rsidR="00152279" w:rsidRPr="004C2A59" w:rsidRDefault="00152279" w:rsidP="00421681">
      <w:pPr>
        <w:widowControl w:val="0"/>
        <w:rPr>
          <w:color w:val="000000"/>
          <w:sz w:val="22"/>
          <w:szCs w:val="22"/>
          <w:lang w:val="da-DK"/>
        </w:rPr>
      </w:pPr>
    </w:p>
    <w:p w14:paraId="0F36DFF1" w14:textId="77777777" w:rsidR="00152279" w:rsidRPr="004C2A59" w:rsidRDefault="00152279" w:rsidP="00421681">
      <w:pPr>
        <w:widowControl w:val="0"/>
        <w:rPr>
          <w:color w:val="000000"/>
          <w:sz w:val="22"/>
          <w:szCs w:val="22"/>
          <w:lang w:val="da-DK"/>
        </w:rPr>
      </w:pPr>
      <w:r w:rsidRPr="004C2A59">
        <w:rPr>
          <w:color w:val="000000"/>
          <w:sz w:val="22"/>
          <w:szCs w:val="22"/>
          <w:lang w:val="da-DK"/>
        </w:rPr>
        <w:t>Hvis du tror, du er allergisk, men ikke er sikker, skal du kontakte din læge for at få rådgivning.</w:t>
      </w:r>
    </w:p>
    <w:p w14:paraId="4739DAD8" w14:textId="77777777" w:rsidR="00152279" w:rsidRPr="004C2A59" w:rsidRDefault="00152279" w:rsidP="00421681">
      <w:pPr>
        <w:widowControl w:val="0"/>
        <w:rPr>
          <w:color w:val="000000"/>
          <w:sz w:val="22"/>
          <w:szCs w:val="22"/>
          <w:lang w:val="da-DK"/>
        </w:rPr>
      </w:pPr>
    </w:p>
    <w:p w14:paraId="118D7673" w14:textId="77777777" w:rsidR="00152279" w:rsidRPr="004C2A59" w:rsidRDefault="00152279" w:rsidP="00C93654">
      <w:pPr>
        <w:keepNext/>
        <w:widowControl w:val="0"/>
        <w:suppressAutoHyphens/>
        <w:ind w:left="426" w:hanging="426"/>
        <w:rPr>
          <w:b/>
          <w:color w:val="000000"/>
          <w:sz w:val="22"/>
          <w:szCs w:val="22"/>
          <w:lang w:val="da-DK"/>
        </w:rPr>
      </w:pPr>
      <w:r w:rsidRPr="004C2A59">
        <w:rPr>
          <w:b/>
          <w:color w:val="000000"/>
          <w:sz w:val="22"/>
          <w:szCs w:val="22"/>
          <w:lang w:val="da-DK"/>
        </w:rPr>
        <w:t>Advarsler og forsigtighedsregler</w:t>
      </w:r>
    </w:p>
    <w:p w14:paraId="7B05D56B" w14:textId="77777777" w:rsidR="00152279" w:rsidRPr="004C2A59" w:rsidRDefault="00152279" w:rsidP="00C93654">
      <w:pPr>
        <w:keepNext/>
        <w:widowControl w:val="0"/>
        <w:suppressAutoHyphens/>
        <w:ind w:left="426" w:hanging="426"/>
        <w:rPr>
          <w:color w:val="000000"/>
          <w:sz w:val="22"/>
          <w:szCs w:val="22"/>
          <w:lang w:val="da-DK"/>
        </w:rPr>
      </w:pPr>
      <w:r w:rsidRPr="004C2A59">
        <w:rPr>
          <w:color w:val="000000"/>
          <w:sz w:val="22"/>
          <w:szCs w:val="22"/>
          <w:lang w:val="da-DK"/>
        </w:rPr>
        <w:t>Kontakt lægen, før du tager Glivec:</w:t>
      </w:r>
    </w:p>
    <w:p w14:paraId="29D95A31" w14:textId="77777777" w:rsidR="00152279" w:rsidRPr="004C2A59" w:rsidRDefault="00152279" w:rsidP="00421681">
      <w:pPr>
        <w:widowControl w:val="0"/>
        <w:numPr>
          <w:ilvl w:val="0"/>
          <w:numId w:val="1"/>
        </w:numPr>
        <w:tabs>
          <w:tab w:val="clear" w:pos="927"/>
        </w:tabs>
        <w:ind w:left="567" w:hanging="567"/>
        <w:rPr>
          <w:color w:val="000000"/>
          <w:sz w:val="22"/>
          <w:szCs w:val="22"/>
          <w:lang w:val="da-DK"/>
        </w:rPr>
      </w:pPr>
      <w:r w:rsidRPr="004C2A59">
        <w:rPr>
          <w:color w:val="000000"/>
          <w:sz w:val="22"/>
          <w:szCs w:val="22"/>
          <w:lang w:val="da-DK"/>
        </w:rPr>
        <w:t>hvis du har eller har haft lever-, nyre- eller hjerteproblemer.</w:t>
      </w:r>
    </w:p>
    <w:p w14:paraId="1265C812" w14:textId="77777777" w:rsidR="00152279" w:rsidRDefault="00152279" w:rsidP="00421681">
      <w:pPr>
        <w:widowControl w:val="0"/>
        <w:numPr>
          <w:ilvl w:val="0"/>
          <w:numId w:val="1"/>
        </w:numPr>
        <w:tabs>
          <w:tab w:val="clear" w:pos="927"/>
        </w:tabs>
        <w:ind w:left="567" w:hanging="567"/>
        <w:rPr>
          <w:color w:val="000000"/>
          <w:sz w:val="22"/>
          <w:szCs w:val="22"/>
          <w:lang w:val="da-DK"/>
        </w:rPr>
      </w:pPr>
      <w:r w:rsidRPr="004C2A59">
        <w:rPr>
          <w:color w:val="000000"/>
          <w:sz w:val="22"/>
          <w:szCs w:val="22"/>
          <w:lang w:val="da-DK"/>
        </w:rPr>
        <w:t>hvis du tager medicin indeholdende levothyroxin, fordi din skjoldbruskkirtel er blevet fjernet.</w:t>
      </w:r>
    </w:p>
    <w:p w14:paraId="65B90BD7" w14:textId="77777777" w:rsidR="00DC6B8A" w:rsidRDefault="00DC6B8A" w:rsidP="00421681">
      <w:pPr>
        <w:widowControl w:val="0"/>
        <w:numPr>
          <w:ilvl w:val="0"/>
          <w:numId w:val="1"/>
        </w:numPr>
        <w:tabs>
          <w:tab w:val="clear" w:pos="927"/>
        </w:tabs>
        <w:ind w:left="567" w:hanging="567"/>
        <w:rPr>
          <w:color w:val="000000"/>
          <w:sz w:val="22"/>
          <w:szCs w:val="22"/>
          <w:lang w:val="da-DK"/>
        </w:rPr>
      </w:pPr>
      <w:r w:rsidRPr="00DC6B8A">
        <w:rPr>
          <w:color w:val="000000"/>
          <w:sz w:val="22"/>
          <w:szCs w:val="22"/>
          <w:lang w:val="da-DK"/>
        </w:rPr>
        <w:t>hvis du nogensinde har været eller måske er smittet med hepatitis B-v</w:t>
      </w:r>
      <w:r w:rsidRPr="00144B22">
        <w:rPr>
          <w:color w:val="000000"/>
          <w:sz w:val="22"/>
          <w:szCs w:val="22"/>
          <w:lang w:val="da-DK"/>
        </w:rPr>
        <w:t>irus. Dette s</w:t>
      </w:r>
      <w:r w:rsidRPr="00636691">
        <w:rPr>
          <w:color w:val="000000"/>
          <w:sz w:val="22"/>
          <w:szCs w:val="22"/>
          <w:lang w:val="da-DK"/>
        </w:rPr>
        <w:t xml:space="preserve">kyldes, at </w:t>
      </w:r>
      <w:r w:rsidRPr="007F2E31">
        <w:rPr>
          <w:color w:val="000000"/>
          <w:sz w:val="22"/>
          <w:szCs w:val="22"/>
          <w:lang w:val="da-DK"/>
        </w:rPr>
        <w:t>Glivec kan forårsage, at hepatitis B-infektionen bliver aktiv igen, hvilket undertiden kan være dødeligt. Lægen vil omhyggeligt kontrollere dig for tegn på denne infektion, før behandlingen påbegyndes.</w:t>
      </w:r>
    </w:p>
    <w:p w14:paraId="070824E1" w14:textId="77777777" w:rsidR="009A38E5" w:rsidRPr="009A38E5" w:rsidRDefault="009A38E5" w:rsidP="00C93654">
      <w:pPr>
        <w:keepNext/>
        <w:keepLines/>
        <w:widowControl w:val="0"/>
        <w:numPr>
          <w:ilvl w:val="0"/>
          <w:numId w:val="1"/>
        </w:numPr>
        <w:tabs>
          <w:tab w:val="clear" w:pos="927"/>
          <w:tab w:val="num" w:pos="567"/>
        </w:tabs>
        <w:ind w:left="567" w:hanging="567"/>
        <w:rPr>
          <w:color w:val="000000"/>
          <w:sz w:val="22"/>
          <w:szCs w:val="22"/>
          <w:lang w:val="da-DK"/>
        </w:rPr>
      </w:pPr>
      <w:r>
        <w:rPr>
          <w:color w:val="000000"/>
          <w:sz w:val="22"/>
          <w:szCs w:val="22"/>
          <w:lang w:val="da-DK"/>
        </w:rPr>
        <w:t xml:space="preserve">hvis du får blå mærker, blødninger, feber, træthed og </w:t>
      </w:r>
      <w:r w:rsidR="00B65BAC">
        <w:rPr>
          <w:color w:val="000000"/>
          <w:sz w:val="22"/>
          <w:szCs w:val="22"/>
          <w:lang w:val="da-DK"/>
        </w:rPr>
        <w:t xml:space="preserve">oplever </w:t>
      </w:r>
      <w:r>
        <w:rPr>
          <w:color w:val="000000"/>
          <w:sz w:val="22"/>
          <w:szCs w:val="22"/>
          <w:lang w:val="da-DK"/>
        </w:rPr>
        <w:t>forvirring, mens du tager Glivec, skal du kontakte din læge. Dette kan være tegn på beskadigelse af dine blodkar, hvilket kaldes trombotisk mikroangiopati (TMA).</w:t>
      </w:r>
    </w:p>
    <w:p w14:paraId="5E7B832F" w14:textId="77777777" w:rsidR="00152279" w:rsidRPr="004C2A59" w:rsidRDefault="00152279" w:rsidP="00421681">
      <w:pPr>
        <w:pStyle w:val="BodyText22"/>
        <w:widowControl w:val="0"/>
        <w:tabs>
          <w:tab w:val="clear" w:pos="-720"/>
        </w:tabs>
        <w:rPr>
          <w:i w:val="0"/>
          <w:color w:val="000000"/>
          <w:szCs w:val="22"/>
        </w:rPr>
      </w:pPr>
      <w:r w:rsidRPr="004C2A59">
        <w:rPr>
          <w:i w:val="0"/>
          <w:color w:val="000000"/>
          <w:szCs w:val="22"/>
        </w:rPr>
        <w:t xml:space="preserve">Hvis noget af det ovenstående gælder for dig, </w:t>
      </w:r>
      <w:r w:rsidRPr="004C2A59">
        <w:rPr>
          <w:b/>
          <w:i w:val="0"/>
          <w:color w:val="000000"/>
          <w:szCs w:val="22"/>
        </w:rPr>
        <w:t>skal du fortælle din læge det, før du tager Glivec</w:t>
      </w:r>
      <w:r w:rsidRPr="004C2A59">
        <w:rPr>
          <w:i w:val="0"/>
          <w:color w:val="000000"/>
          <w:szCs w:val="22"/>
        </w:rPr>
        <w:t>.</w:t>
      </w:r>
    </w:p>
    <w:p w14:paraId="43648BCC" w14:textId="77777777" w:rsidR="00152279" w:rsidRPr="004C2A59" w:rsidRDefault="00152279" w:rsidP="00421681">
      <w:pPr>
        <w:pStyle w:val="BodyText22"/>
        <w:widowControl w:val="0"/>
        <w:tabs>
          <w:tab w:val="clear" w:pos="-720"/>
        </w:tabs>
        <w:rPr>
          <w:i w:val="0"/>
          <w:color w:val="000000"/>
          <w:szCs w:val="22"/>
        </w:rPr>
      </w:pPr>
    </w:p>
    <w:p w14:paraId="0353F644" w14:textId="77777777" w:rsidR="0057786A" w:rsidRDefault="0057786A" w:rsidP="00421681">
      <w:pPr>
        <w:pStyle w:val="BodyText22"/>
        <w:widowControl w:val="0"/>
        <w:tabs>
          <w:tab w:val="clear" w:pos="-720"/>
        </w:tabs>
        <w:rPr>
          <w:i w:val="0"/>
          <w:color w:val="000000"/>
          <w:szCs w:val="22"/>
        </w:rPr>
      </w:pPr>
      <w:r>
        <w:rPr>
          <w:i w:val="0"/>
          <w:color w:val="000000"/>
          <w:szCs w:val="22"/>
        </w:rPr>
        <w:t xml:space="preserve">Du kan blive mere følsom overfor sollys, når du tager Glivec. Det er vigtigt at dække </w:t>
      </w:r>
      <w:r w:rsidR="006A1028">
        <w:rPr>
          <w:i w:val="0"/>
          <w:color w:val="000000"/>
          <w:szCs w:val="22"/>
        </w:rPr>
        <w:t xml:space="preserve">de </w:t>
      </w:r>
      <w:r>
        <w:rPr>
          <w:i w:val="0"/>
          <w:color w:val="000000"/>
          <w:szCs w:val="22"/>
        </w:rPr>
        <w:t>områder af huden, som udsættes for solen, og at bruge solcreme med høj solbeskyttelsesfaktor (SPF). Disse forholdsregler gælder også for børn.</w:t>
      </w:r>
    </w:p>
    <w:p w14:paraId="471B4A6C" w14:textId="77777777" w:rsidR="0057786A" w:rsidRPr="00566D32" w:rsidRDefault="0057786A" w:rsidP="00421681">
      <w:pPr>
        <w:pStyle w:val="BodyText22"/>
        <w:widowControl w:val="0"/>
        <w:tabs>
          <w:tab w:val="clear" w:pos="-720"/>
        </w:tabs>
        <w:rPr>
          <w:i w:val="0"/>
          <w:color w:val="000000"/>
          <w:szCs w:val="22"/>
        </w:rPr>
      </w:pPr>
    </w:p>
    <w:p w14:paraId="7D02E228" w14:textId="77777777" w:rsidR="00152279" w:rsidRPr="004C2A59" w:rsidRDefault="00152279" w:rsidP="00421681">
      <w:pPr>
        <w:pStyle w:val="BodyText22"/>
        <w:widowControl w:val="0"/>
        <w:tabs>
          <w:tab w:val="clear" w:pos="-720"/>
        </w:tabs>
        <w:rPr>
          <w:i w:val="0"/>
          <w:color w:val="000000"/>
          <w:szCs w:val="22"/>
        </w:rPr>
      </w:pPr>
      <w:r w:rsidRPr="004C2A59">
        <w:rPr>
          <w:b/>
          <w:i w:val="0"/>
          <w:color w:val="000000"/>
          <w:szCs w:val="22"/>
        </w:rPr>
        <w:t>Du skal straks fortælle din læge,</w:t>
      </w:r>
      <w:r w:rsidRPr="004C2A59">
        <w:rPr>
          <w:i w:val="0"/>
          <w:color w:val="000000"/>
          <w:szCs w:val="22"/>
        </w:rPr>
        <w:t xml:space="preserve"> hvis du meget hurtigt tager på i vægt, </w:t>
      </w:r>
      <w:r w:rsidRPr="004C2A59">
        <w:rPr>
          <w:b/>
          <w:i w:val="0"/>
          <w:color w:val="000000"/>
          <w:szCs w:val="22"/>
        </w:rPr>
        <w:t>mens du er i behandling med Glivec.</w:t>
      </w:r>
      <w:r w:rsidRPr="004C2A59">
        <w:rPr>
          <w:i w:val="0"/>
          <w:color w:val="000000"/>
          <w:szCs w:val="22"/>
        </w:rPr>
        <w:t xml:space="preserve"> Glivec kan forårsage, at din krop begynder at ophobe væske (svær væskeretention).</w:t>
      </w:r>
    </w:p>
    <w:p w14:paraId="72AB0FF7" w14:textId="77777777" w:rsidR="00152279" w:rsidRPr="004C2A59" w:rsidRDefault="00152279" w:rsidP="00421681">
      <w:pPr>
        <w:pStyle w:val="BodyText22"/>
        <w:widowControl w:val="0"/>
        <w:tabs>
          <w:tab w:val="clear" w:pos="-720"/>
        </w:tabs>
        <w:rPr>
          <w:i w:val="0"/>
          <w:color w:val="000000"/>
          <w:szCs w:val="22"/>
        </w:rPr>
      </w:pPr>
    </w:p>
    <w:p w14:paraId="27906540" w14:textId="77777777" w:rsidR="00152279" w:rsidRPr="004C2A59" w:rsidRDefault="00152279" w:rsidP="00421681">
      <w:pPr>
        <w:pStyle w:val="BodyText22"/>
        <w:widowControl w:val="0"/>
        <w:tabs>
          <w:tab w:val="clear" w:pos="-720"/>
        </w:tabs>
        <w:rPr>
          <w:i w:val="0"/>
          <w:color w:val="000000"/>
          <w:szCs w:val="22"/>
        </w:rPr>
      </w:pPr>
      <w:r w:rsidRPr="004C2A59">
        <w:rPr>
          <w:i w:val="0"/>
          <w:color w:val="000000"/>
          <w:szCs w:val="22"/>
        </w:rPr>
        <w:t>Mens du tager Glivec, vil din læge regelmæssigt kontrollere, om lægemidlet virker. Du vil også få taget blodprøver og blive vejet regelmæssigt.</w:t>
      </w:r>
    </w:p>
    <w:p w14:paraId="69891F17" w14:textId="77777777" w:rsidR="00152279" w:rsidRPr="004C2A59" w:rsidRDefault="00152279" w:rsidP="00421681">
      <w:pPr>
        <w:pStyle w:val="BodyText22"/>
        <w:widowControl w:val="0"/>
        <w:tabs>
          <w:tab w:val="clear" w:pos="-720"/>
        </w:tabs>
        <w:rPr>
          <w:i w:val="0"/>
          <w:color w:val="000000"/>
          <w:szCs w:val="22"/>
        </w:rPr>
      </w:pPr>
    </w:p>
    <w:p w14:paraId="4C7AA333" w14:textId="77777777" w:rsidR="00152279" w:rsidRPr="004C2A59" w:rsidRDefault="00152279" w:rsidP="00C93654">
      <w:pPr>
        <w:keepNext/>
        <w:rPr>
          <w:b/>
          <w:sz w:val="22"/>
          <w:szCs w:val="22"/>
          <w:lang w:val="da-DK"/>
        </w:rPr>
      </w:pPr>
      <w:r w:rsidRPr="004C2A59">
        <w:rPr>
          <w:b/>
          <w:sz w:val="22"/>
          <w:szCs w:val="22"/>
          <w:lang w:val="da-DK"/>
        </w:rPr>
        <w:t xml:space="preserve">Børn og </w:t>
      </w:r>
      <w:r w:rsidR="005853AA" w:rsidRPr="004C2A59">
        <w:rPr>
          <w:b/>
          <w:sz w:val="22"/>
          <w:szCs w:val="22"/>
          <w:lang w:val="da-DK"/>
        </w:rPr>
        <w:t>unge</w:t>
      </w:r>
    </w:p>
    <w:p w14:paraId="17D3C04F" w14:textId="77777777" w:rsidR="00C405F6" w:rsidRPr="004C2A59" w:rsidRDefault="00152279" w:rsidP="00421681">
      <w:pPr>
        <w:widowControl w:val="0"/>
        <w:rPr>
          <w:color w:val="000000"/>
          <w:sz w:val="22"/>
          <w:szCs w:val="22"/>
          <w:lang w:val="da-DK"/>
        </w:rPr>
      </w:pPr>
      <w:r w:rsidRPr="004C2A59">
        <w:rPr>
          <w:color w:val="000000"/>
          <w:sz w:val="22"/>
          <w:szCs w:val="22"/>
          <w:lang w:val="da-DK"/>
        </w:rPr>
        <w:t>Glivec bruges også til behandling af børn med CML. Der er ingen erfaring med behandling af CML hos børn under 2 år. Der er begrænset erfaring hos børn og Ph-positiv ALL</w:t>
      </w:r>
      <w:r w:rsidR="00C405F6" w:rsidRPr="004C2A59">
        <w:rPr>
          <w:color w:val="000000"/>
          <w:sz w:val="22"/>
          <w:szCs w:val="22"/>
          <w:lang w:val="da-DK"/>
        </w:rPr>
        <w:t xml:space="preserve"> og meget begrænset erfaring med børn med MDS/MPD, DFSP, GIST og HEL/CEL.</w:t>
      </w:r>
    </w:p>
    <w:p w14:paraId="318555F1" w14:textId="77777777" w:rsidR="00152279" w:rsidRPr="004C2A59" w:rsidRDefault="00152279" w:rsidP="00421681">
      <w:pPr>
        <w:widowControl w:val="0"/>
        <w:rPr>
          <w:color w:val="000000"/>
          <w:sz w:val="22"/>
          <w:szCs w:val="22"/>
          <w:lang w:val="da-DK"/>
        </w:rPr>
      </w:pPr>
    </w:p>
    <w:p w14:paraId="633EBDB7" w14:textId="77777777" w:rsidR="00152279" w:rsidRPr="004C2A59" w:rsidRDefault="00152279" w:rsidP="00421681">
      <w:pPr>
        <w:widowControl w:val="0"/>
        <w:rPr>
          <w:color w:val="000000"/>
          <w:sz w:val="22"/>
          <w:szCs w:val="22"/>
          <w:lang w:val="da-DK"/>
        </w:rPr>
      </w:pPr>
      <w:r w:rsidRPr="004C2A59">
        <w:rPr>
          <w:color w:val="000000"/>
          <w:sz w:val="22"/>
          <w:szCs w:val="22"/>
          <w:lang w:val="da-DK"/>
        </w:rPr>
        <w:t>Nogle børn og unge, der får Glivec, kan vokse langsommere end normalt. Lægen vil kontrollere væksten ved regelmæssige besøg.</w:t>
      </w:r>
    </w:p>
    <w:p w14:paraId="7900F409" w14:textId="77777777" w:rsidR="00152279" w:rsidRPr="004C2A59" w:rsidRDefault="00152279" w:rsidP="00421681">
      <w:pPr>
        <w:widowControl w:val="0"/>
        <w:rPr>
          <w:color w:val="000000"/>
          <w:sz w:val="22"/>
          <w:szCs w:val="22"/>
          <w:lang w:val="da-DK"/>
        </w:rPr>
      </w:pPr>
    </w:p>
    <w:p w14:paraId="349F0650" w14:textId="77777777" w:rsidR="005853AA" w:rsidRPr="004C2A59" w:rsidRDefault="005853AA" w:rsidP="00C93654">
      <w:pPr>
        <w:keepNext/>
        <w:widowControl w:val="0"/>
        <w:suppressAutoHyphens/>
        <w:rPr>
          <w:color w:val="000000"/>
          <w:sz w:val="22"/>
          <w:szCs w:val="22"/>
          <w:lang w:val="da-DK"/>
        </w:rPr>
      </w:pPr>
      <w:r w:rsidRPr="004C2A59">
        <w:rPr>
          <w:b/>
          <w:color w:val="000000"/>
          <w:sz w:val="22"/>
          <w:szCs w:val="22"/>
          <w:lang w:val="da-DK"/>
        </w:rPr>
        <w:lastRenderedPageBreak/>
        <w:t>Brug af anden medicin sammen med Glivec</w:t>
      </w:r>
    </w:p>
    <w:p w14:paraId="53C20D71" w14:textId="77777777" w:rsidR="005853AA" w:rsidRPr="004C2A59" w:rsidRDefault="005853AA" w:rsidP="00421681">
      <w:pPr>
        <w:widowControl w:val="0"/>
        <w:numPr>
          <w:ilvl w:val="12"/>
          <w:numId w:val="0"/>
        </w:numPr>
        <w:ind w:right="-2"/>
        <w:rPr>
          <w:color w:val="000000"/>
          <w:sz w:val="22"/>
          <w:szCs w:val="22"/>
          <w:lang w:val="da-DK"/>
        </w:rPr>
      </w:pPr>
      <w:r w:rsidRPr="004C2A59">
        <w:rPr>
          <w:color w:val="000000"/>
          <w:sz w:val="22"/>
          <w:szCs w:val="22"/>
          <w:lang w:val="da-DK"/>
        </w:rPr>
        <w:t>Fortæl altid lægen eller apotekspersonalet, hvis du tager anden medicin eller har gjort det for nylig. Dette gælder også medicin, som ikke er købt på recept (såsom paracetamol), inklusive naturlægemidler (såsom perikon). Nogle lægemidler kan påvirke virkningen af Glivec, når de bruges samtidigt. De kan enten øge eller nedsætte virkningen af Glivec, hvilket kan resultere i enten flere bivirkninger, eller de kan gøre Glivec mindre virksomt. Glivec kan gøre det samme ved andre lægemidler.</w:t>
      </w:r>
    </w:p>
    <w:p w14:paraId="568A94D8" w14:textId="77777777" w:rsidR="00020D2E" w:rsidRPr="004C2A59" w:rsidRDefault="00020D2E" w:rsidP="00421681">
      <w:pPr>
        <w:widowControl w:val="0"/>
        <w:rPr>
          <w:color w:val="000000"/>
          <w:sz w:val="22"/>
          <w:szCs w:val="22"/>
          <w:lang w:val="da-DK"/>
        </w:rPr>
      </w:pPr>
    </w:p>
    <w:p w14:paraId="1D7D18C8" w14:textId="77777777" w:rsidR="00C76D42" w:rsidRPr="004C2A59" w:rsidRDefault="00C76D42" w:rsidP="00421681">
      <w:pPr>
        <w:widowControl w:val="0"/>
        <w:rPr>
          <w:color w:val="000000"/>
          <w:sz w:val="22"/>
          <w:szCs w:val="22"/>
          <w:lang w:val="da-DK"/>
        </w:rPr>
      </w:pPr>
      <w:r w:rsidRPr="004C2A59">
        <w:rPr>
          <w:color w:val="000000"/>
          <w:sz w:val="22"/>
          <w:szCs w:val="22"/>
          <w:lang w:val="da-DK"/>
        </w:rPr>
        <w:t>Fortæl din læge</w:t>
      </w:r>
      <w:r w:rsidR="00994379" w:rsidRPr="004C2A59">
        <w:rPr>
          <w:color w:val="000000"/>
          <w:sz w:val="22"/>
          <w:szCs w:val="22"/>
          <w:lang w:val="da-DK"/>
        </w:rPr>
        <w:t>,</w:t>
      </w:r>
      <w:r w:rsidRPr="004C2A59">
        <w:rPr>
          <w:color w:val="000000"/>
          <w:sz w:val="22"/>
          <w:szCs w:val="22"/>
          <w:lang w:val="da-DK"/>
        </w:rPr>
        <w:t xml:space="preserve"> hvis du tager medicin, der forebygger dannelsen af blodpropper.</w:t>
      </w:r>
    </w:p>
    <w:p w14:paraId="632C833A" w14:textId="77777777" w:rsidR="00C76D42" w:rsidRPr="004C2A59" w:rsidRDefault="00C76D42" w:rsidP="00421681">
      <w:pPr>
        <w:widowControl w:val="0"/>
        <w:rPr>
          <w:color w:val="000000"/>
          <w:sz w:val="22"/>
          <w:szCs w:val="22"/>
          <w:lang w:val="da-DK"/>
        </w:rPr>
      </w:pPr>
    </w:p>
    <w:p w14:paraId="3DB3285B" w14:textId="77777777" w:rsidR="00152279" w:rsidRPr="004C2A59" w:rsidRDefault="00152279" w:rsidP="00C93654">
      <w:pPr>
        <w:keepNext/>
        <w:widowControl w:val="0"/>
        <w:rPr>
          <w:color w:val="000000"/>
          <w:sz w:val="22"/>
          <w:szCs w:val="22"/>
          <w:lang w:val="da-DK"/>
        </w:rPr>
      </w:pPr>
      <w:r w:rsidRPr="004C2A59">
        <w:rPr>
          <w:b/>
          <w:color w:val="000000"/>
          <w:sz w:val="22"/>
          <w:szCs w:val="22"/>
          <w:lang w:val="da-DK"/>
        </w:rPr>
        <w:t>Graviditet, amning og frugtbarhed</w:t>
      </w:r>
    </w:p>
    <w:p w14:paraId="1D1FEE32" w14:textId="77777777" w:rsidR="00152279" w:rsidRPr="004C2A59" w:rsidRDefault="00152279" w:rsidP="00421681">
      <w:pPr>
        <w:widowControl w:val="0"/>
        <w:suppressAutoHyphens/>
        <w:ind w:left="567" w:hanging="567"/>
        <w:rPr>
          <w:color w:val="000000"/>
          <w:sz w:val="22"/>
          <w:szCs w:val="22"/>
          <w:lang w:val="da-DK"/>
        </w:rPr>
      </w:pPr>
      <w:r w:rsidRPr="004C2A59">
        <w:rPr>
          <w:b/>
          <w:color w:val="000000"/>
          <w:sz w:val="22"/>
          <w:szCs w:val="22"/>
          <w:lang w:val="da-DK"/>
        </w:rPr>
        <w:t>-</w:t>
      </w:r>
      <w:r w:rsidRPr="004C2A59">
        <w:rPr>
          <w:b/>
          <w:color w:val="000000"/>
          <w:sz w:val="22"/>
          <w:szCs w:val="22"/>
          <w:lang w:val="da-DK"/>
        </w:rPr>
        <w:tab/>
      </w:r>
      <w:r w:rsidRPr="004C2A59">
        <w:rPr>
          <w:color w:val="000000"/>
          <w:sz w:val="22"/>
          <w:szCs w:val="22"/>
          <w:lang w:val="da-DK"/>
        </w:rPr>
        <w:t>Hvis du er gravid eller ammer, har mistanke om, at du er gravid, eller planlægger at blive gravid, skal du spørge din læge til råds, før du tager dette lægemiddel.</w:t>
      </w:r>
    </w:p>
    <w:p w14:paraId="6D01C469" w14:textId="77777777" w:rsidR="00152279" w:rsidRPr="004C2A59" w:rsidRDefault="00152279" w:rsidP="00421681">
      <w:pPr>
        <w:widowControl w:val="0"/>
        <w:suppressAutoHyphens/>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t>Glivec anbefales ikke under graviditeten, medmindre det er strengt nødvendigt, da det kan skade din baby. Din læge vil fortælle dig om de mulige risici, der er forbundet med brug af Glivec under graviditeten.</w:t>
      </w:r>
    </w:p>
    <w:p w14:paraId="77D8DE96" w14:textId="77777777" w:rsidR="00152279" w:rsidRPr="004C2A59" w:rsidRDefault="00152279" w:rsidP="00421681">
      <w:pPr>
        <w:widowControl w:val="0"/>
        <w:suppressAutoHyphens/>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t xml:space="preserve">Under behandlingen </w:t>
      </w:r>
      <w:r w:rsidR="00530D5B">
        <w:rPr>
          <w:color w:val="000000"/>
          <w:sz w:val="22"/>
          <w:szCs w:val="22"/>
          <w:lang w:val="da-DK"/>
        </w:rPr>
        <w:t>og i 15 dage efter ophør af behandlingen</w:t>
      </w:r>
      <w:r w:rsidR="00530D5B" w:rsidRPr="004C2A59">
        <w:rPr>
          <w:color w:val="000000"/>
          <w:sz w:val="22"/>
          <w:szCs w:val="22"/>
          <w:lang w:val="da-DK"/>
        </w:rPr>
        <w:t xml:space="preserve"> </w:t>
      </w:r>
      <w:r w:rsidRPr="004C2A59">
        <w:rPr>
          <w:color w:val="000000"/>
          <w:sz w:val="22"/>
          <w:szCs w:val="22"/>
          <w:lang w:val="da-DK"/>
        </w:rPr>
        <w:t>anbefales det, at kvinder som kan blive gravide, anvender effektiv beskyttelse mod graviditet.</w:t>
      </w:r>
    </w:p>
    <w:p w14:paraId="55E016CE" w14:textId="77777777" w:rsidR="00152279" w:rsidRPr="004C2A59" w:rsidRDefault="00152279" w:rsidP="00421681">
      <w:pPr>
        <w:widowControl w:val="0"/>
        <w:suppressAutoHyphens/>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t xml:space="preserve">Du må ikke amme, mens du er i behandling </w:t>
      </w:r>
      <w:r w:rsidR="00094D3A">
        <w:rPr>
          <w:color w:val="000000"/>
          <w:sz w:val="22"/>
          <w:szCs w:val="22"/>
          <w:lang w:val="da-DK"/>
        </w:rPr>
        <w:t xml:space="preserve">og i 15 dage efter ophør af behandling </w:t>
      </w:r>
      <w:r w:rsidRPr="004C2A59">
        <w:rPr>
          <w:color w:val="000000"/>
          <w:sz w:val="22"/>
          <w:szCs w:val="22"/>
          <w:lang w:val="da-DK"/>
        </w:rPr>
        <w:t>med Glivec</w:t>
      </w:r>
      <w:r w:rsidR="00094D3A">
        <w:rPr>
          <w:color w:val="000000"/>
          <w:sz w:val="22"/>
          <w:szCs w:val="22"/>
          <w:lang w:val="da-DK"/>
        </w:rPr>
        <w:t>, da det kan skade din baby</w:t>
      </w:r>
      <w:r w:rsidRPr="004C2A59">
        <w:rPr>
          <w:color w:val="000000"/>
          <w:sz w:val="22"/>
          <w:szCs w:val="22"/>
          <w:lang w:val="da-DK"/>
        </w:rPr>
        <w:t>.</w:t>
      </w:r>
    </w:p>
    <w:p w14:paraId="10D7AF7C" w14:textId="77777777" w:rsidR="00152279" w:rsidRPr="004C2A59" w:rsidRDefault="00152279" w:rsidP="00421681">
      <w:pPr>
        <w:widowControl w:val="0"/>
        <w:suppressAutoHyphens/>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t>Hvis du er bekymret for din frugtbarhed, mens du tager Glivec, skal du kontakte din læge.</w:t>
      </w:r>
    </w:p>
    <w:p w14:paraId="3D73E8EF" w14:textId="77777777" w:rsidR="00152279" w:rsidRPr="004C2A59" w:rsidRDefault="00152279" w:rsidP="00421681">
      <w:pPr>
        <w:widowControl w:val="0"/>
        <w:rPr>
          <w:color w:val="000000"/>
          <w:sz w:val="22"/>
          <w:szCs w:val="22"/>
          <w:lang w:val="da-DK"/>
        </w:rPr>
      </w:pPr>
    </w:p>
    <w:p w14:paraId="22BBFE34" w14:textId="77777777" w:rsidR="00152279" w:rsidRPr="004C2A59" w:rsidRDefault="00152279" w:rsidP="00C93654">
      <w:pPr>
        <w:pStyle w:val="BodyText3"/>
        <w:keepNext/>
        <w:widowControl w:val="0"/>
        <w:tabs>
          <w:tab w:val="clear" w:pos="-720"/>
        </w:tabs>
        <w:rPr>
          <w:b w:val="0"/>
          <w:color w:val="000000"/>
          <w:szCs w:val="22"/>
        </w:rPr>
      </w:pPr>
      <w:r w:rsidRPr="004C2A59">
        <w:rPr>
          <w:color w:val="000000"/>
          <w:szCs w:val="22"/>
        </w:rPr>
        <w:t>Trafik- og arbejdssikkerhed</w:t>
      </w:r>
    </w:p>
    <w:p w14:paraId="2113E184" w14:textId="77777777" w:rsidR="00152279" w:rsidRPr="004C2A59" w:rsidRDefault="00152279" w:rsidP="00421681">
      <w:pPr>
        <w:widowControl w:val="0"/>
        <w:suppressAutoHyphens/>
        <w:rPr>
          <w:color w:val="000000"/>
          <w:sz w:val="22"/>
          <w:szCs w:val="22"/>
          <w:lang w:val="da-DK"/>
        </w:rPr>
      </w:pPr>
      <w:r w:rsidRPr="004C2A59">
        <w:rPr>
          <w:color w:val="000000"/>
          <w:sz w:val="22"/>
          <w:szCs w:val="22"/>
          <w:lang w:val="da-DK"/>
        </w:rPr>
        <w:t>Du kan blive svimmel eller søvnig eller få sløret syn, mens du tager dette lægemiddel. Hvis dette sker, bør du ikke køre bil eller bruge værktøj og maskiner, før du føler dig godt tilpas igen.</w:t>
      </w:r>
    </w:p>
    <w:p w14:paraId="12BF4984" w14:textId="77777777" w:rsidR="00152279" w:rsidRPr="004C2A59" w:rsidRDefault="00152279" w:rsidP="00421681">
      <w:pPr>
        <w:widowControl w:val="0"/>
        <w:suppressAutoHyphens/>
        <w:rPr>
          <w:color w:val="000000"/>
          <w:sz w:val="22"/>
          <w:szCs w:val="22"/>
          <w:lang w:val="da-DK"/>
        </w:rPr>
      </w:pPr>
    </w:p>
    <w:p w14:paraId="4F740825" w14:textId="77777777" w:rsidR="00152279" w:rsidRPr="004C2A59" w:rsidRDefault="00152279" w:rsidP="00421681">
      <w:pPr>
        <w:widowControl w:val="0"/>
        <w:suppressAutoHyphens/>
        <w:rPr>
          <w:color w:val="000000"/>
          <w:sz w:val="22"/>
          <w:szCs w:val="22"/>
          <w:lang w:val="da-DK"/>
        </w:rPr>
      </w:pPr>
    </w:p>
    <w:p w14:paraId="31696050" w14:textId="77777777" w:rsidR="00CB20E5" w:rsidRPr="004C2A59" w:rsidRDefault="006F7492" w:rsidP="00C93654">
      <w:pPr>
        <w:keepNext/>
        <w:widowControl w:val="0"/>
        <w:suppressAutoHyphens/>
        <w:ind w:left="567" w:hanging="567"/>
        <w:rPr>
          <w:color w:val="000000"/>
          <w:sz w:val="22"/>
          <w:szCs w:val="22"/>
          <w:lang w:val="da-DK"/>
        </w:rPr>
      </w:pPr>
      <w:r w:rsidRPr="004C2A59">
        <w:rPr>
          <w:b/>
          <w:color w:val="000000"/>
          <w:sz w:val="22"/>
          <w:szCs w:val="22"/>
          <w:lang w:val="da-DK"/>
        </w:rPr>
        <w:t>3.</w:t>
      </w:r>
      <w:r w:rsidRPr="004C2A59">
        <w:rPr>
          <w:b/>
          <w:color w:val="000000"/>
          <w:sz w:val="22"/>
          <w:szCs w:val="22"/>
          <w:lang w:val="da-DK"/>
        </w:rPr>
        <w:tab/>
      </w:r>
      <w:r w:rsidR="00CB20E5" w:rsidRPr="004C2A59">
        <w:rPr>
          <w:b/>
          <w:color w:val="000000"/>
          <w:sz w:val="22"/>
          <w:szCs w:val="22"/>
          <w:lang w:val="da-DK"/>
        </w:rPr>
        <w:t>Sådan skal du tage Glivec</w:t>
      </w:r>
    </w:p>
    <w:p w14:paraId="32A0B3FB" w14:textId="77777777" w:rsidR="006F7492" w:rsidRPr="004C2A59" w:rsidRDefault="006F7492" w:rsidP="00C93654">
      <w:pPr>
        <w:keepNext/>
        <w:widowControl w:val="0"/>
        <w:suppressAutoHyphens/>
        <w:ind w:left="567" w:hanging="567"/>
        <w:rPr>
          <w:bCs/>
          <w:color w:val="000000"/>
          <w:sz w:val="22"/>
          <w:szCs w:val="22"/>
          <w:lang w:val="da-DK"/>
        </w:rPr>
      </w:pPr>
    </w:p>
    <w:p w14:paraId="5A2572A2"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Din læge har udskrevet Glivec, fordi du lider af en alvorlig sygdom. Glivec kan hjælpe dig med at bekæmpe denne tilstand.</w:t>
      </w:r>
    </w:p>
    <w:p w14:paraId="69AB9182" w14:textId="77777777" w:rsidR="006F7492" w:rsidRPr="004C2A59" w:rsidRDefault="006F7492" w:rsidP="00421681">
      <w:pPr>
        <w:pStyle w:val="EndnoteText"/>
        <w:numPr>
          <w:ilvl w:val="12"/>
          <w:numId w:val="0"/>
        </w:numPr>
        <w:tabs>
          <w:tab w:val="clear" w:pos="567"/>
        </w:tabs>
        <w:rPr>
          <w:color w:val="000000"/>
          <w:szCs w:val="22"/>
        </w:rPr>
      </w:pPr>
    </w:p>
    <w:p w14:paraId="75FA0E33" w14:textId="77777777" w:rsidR="006F7492" w:rsidRPr="004C2A59" w:rsidRDefault="006F7492" w:rsidP="00421681">
      <w:pPr>
        <w:pStyle w:val="EndnoteText"/>
        <w:numPr>
          <w:ilvl w:val="12"/>
          <w:numId w:val="0"/>
        </w:numPr>
        <w:tabs>
          <w:tab w:val="clear" w:pos="567"/>
        </w:tabs>
        <w:rPr>
          <w:color w:val="000000"/>
          <w:szCs w:val="22"/>
        </w:rPr>
      </w:pPr>
      <w:r w:rsidRPr="004C2A59">
        <w:rPr>
          <w:color w:val="000000"/>
          <w:szCs w:val="22"/>
        </w:rPr>
        <w:t xml:space="preserve">Tag altid </w:t>
      </w:r>
      <w:r w:rsidR="00A43774">
        <w:rPr>
          <w:color w:val="000000"/>
          <w:szCs w:val="22"/>
        </w:rPr>
        <w:t>lægemidlet</w:t>
      </w:r>
      <w:r w:rsidR="00CB20E5" w:rsidRPr="004C2A59">
        <w:rPr>
          <w:color w:val="000000"/>
          <w:szCs w:val="22"/>
        </w:rPr>
        <w:t xml:space="preserve"> </w:t>
      </w:r>
      <w:r w:rsidRPr="004C2A59">
        <w:rPr>
          <w:color w:val="000000"/>
          <w:szCs w:val="22"/>
        </w:rPr>
        <w:t xml:space="preserve">nøjagtigt efter lægens </w:t>
      </w:r>
      <w:r w:rsidR="00CB20E5" w:rsidRPr="004C2A59">
        <w:rPr>
          <w:color w:val="000000"/>
          <w:szCs w:val="22"/>
        </w:rPr>
        <w:t xml:space="preserve">eller apotekspersonalets </w:t>
      </w:r>
      <w:r w:rsidRPr="004C2A59">
        <w:rPr>
          <w:color w:val="000000"/>
          <w:szCs w:val="22"/>
        </w:rPr>
        <w:t>anvisning. Det er vigtigt</w:t>
      </w:r>
      <w:r w:rsidR="00CB20E5" w:rsidRPr="004C2A59">
        <w:rPr>
          <w:color w:val="000000"/>
          <w:szCs w:val="22"/>
        </w:rPr>
        <w:t>,</w:t>
      </w:r>
      <w:r w:rsidRPr="004C2A59">
        <w:rPr>
          <w:color w:val="000000"/>
          <w:szCs w:val="22"/>
        </w:rPr>
        <w:t xml:space="preserve"> at du </w:t>
      </w:r>
      <w:r w:rsidR="00CB20E5" w:rsidRPr="004C2A59">
        <w:rPr>
          <w:color w:val="000000"/>
          <w:szCs w:val="22"/>
        </w:rPr>
        <w:t>tager det</w:t>
      </w:r>
      <w:r w:rsidRPr="004C2A59">
        <w:rPr>
          <w:color w:val="000000"/>
          <w:szCs w:val="22"/>
        </w:rPr>
        <w:t xml:space="preserve"> så længe</w:t>
      </w:r>
      <w:r w:rsidR="00CB20E5" w:rsidRPr="004C2A59">
        <w:rPr>
          <w:color w:val="000000"/>
          <w:szCs w:val="22"/>
        </w:rPr>
        <w:t>,</w:t>
      </w:r>
      <w:r w:rsidRPr="004C2A59">
        <w:rPr>
          <w:color w:val="000000"/>
          <w:szCs w:val="22"/>
        </w:rPr>
        <w:t xml:space="preserve"> lægen</w:t>
      </w:r>
      <w:r w:rsidR="00CB20E5" w:rsidRPr="004C2A59">
        <w:rPr>
          <w:color w:val="000000"/>
          <w:szCs w:val="22"/>
        </w:rPr>
        <w:t xml:space="preserve"> eller apotekspersonalet</w:t>
      </w:r>
      <w:r w:rsidRPr="004C2A59">
        <w:rPr>
          <w:color w:val="000000"/>
          <w:szCs w:val="22"/>
        </w:rPr>
        <w:t xml:space="preserve"> fortæller dig, at du skal. Er du i tvivl, så spørg lægen eller apotek</w:t>
      </w:r>
      <w:r w:rsidR="005853AA" w:rsidRPr="004C2A59">
        <w:rPr>
          <w:color w:val="000000"/>
          <w:szCs w:val="22"/>
        </w:rPr>
        <w:t>spersonalet</w:t>
      </w:r>
      <w:r w:rsidRPr="004C2A59">
        <w:rPr>
          <w:color w:val="000000"/>
          <w:szCs w:val="22"/>
        </w:rPr>
        <w:t>.</w:t>
      </w:r>
    </w:p>
    <w:p w14:paraId="14FFC2E6" w14:textId="77777777" w:rsidR="006F7492" w:rsidRPr="004C2A59" w:rsidRDefault="006F7492" w:rsidP="00421681">
      <w:pPr>
        <w:pStyle w:val="EndnoteText"/>
        <w:numPr>
          <w:ilvl w:val="12"/>
          <w:numId w:val="0"/>
        </w:numPr>
        <w:tabs>
          <w:tab w:val="clear" w:pos="567"/>
        </w:tabs>
        <w:rPr>
          <w:color w:val="000000"/>
          <w:szCs w:val="22"/>
        </w:rPr>
      </w:pPr>
    </w:p>
    <w:p w14:paraId="32E4BB83" w14:textId="77777777" w:rsidR="006F7492" w:rsidRPr="004C2A59" w:rsidRDefault="006F7492" w:rsidP="00421681">
      <w:pPr>
        <w:pStyle w:val="EndnoteText"/>
        <w:numPr>
          <w:ilvl w:val="12"/>
          <w:numId w:val="0"/>
        </w:numPr>
        <w:tabs>
          <w:tab w:val="clear" w:pos="567"/>
        </w:tabs>
        <w:rPr>
          <w:color w:val="000000"/>
          <w:szCs w:val="22"/>
        </w:rPr>
      </w:pPr>
      <w:r w:rsidRPr="004C2A59">
        <w:rPr>
          <w:color w:val="000000"/>
          <w:szCs w:val="22"/>
        </w:rPr>
        <w:t>Du må ikke stoppe med at tage Glivec, medmindre din læge fortæller dig det. Hvis du ikke er i stand til at tage medicinen, som din læge har foreskrevet, eller hvis du føler, at du ikke længere behøver den, skal du kontakte din læge med det samme.</w:t>
      </w:r>
    </w:p>
    <w:p w14:paraId="0BFA4EC9" w14:textId="77777777" w:rsidR="006F7492" w:rsidRPr="004C2A59" w:rsidRDefault="006F7492" w:rsidP="00421681">
      <w:pPr>
        <w:pStyle w:val="EndnoteText"/>
        <w:numPr>
          <w:ilvl w:val="12"/>
          <w:numId w:val="0"/>
        </w:numPr>
        <w:tabs>
          <w:tab w:val="clear" w:pos="567"/>
        </w:tabs>
        <w:rPr>
          <w:color w:val="000000"/>
          <w:szCs w:val="22"/>
        </w:rPr>
      </w:pPr>
    </w:p>
    <w:p w14:paraId="1CAD1F5B" w14:textId="77777777" w:rsidR="006F7492" w:rsidRPr="004C2A59" w:rsidRDefault="006F7492" w:rsidP="00C93654">
      <w:pPr>
        <w:pStyle w:val="EndnoteText"/>
        <w:keepNext/>
        <w:numPr>
          <w:ilvl w:val="12"/>
          <w:numId w:val="0"/>
        </w:numPr>
        <w:tabs>
          <w:tab w:val="clear" w:pos="567"/>
        </w:tabs>
        <w:rPr>
          <w:b/>
          <w:color w:val="000000"/>
          <w:szCs w:val="22"/>
        </w:rPr>
      </w:pPr>
      <w:r w:rsidRPr="004C2A59">
        <w:rPr>
          <w:b/>
          <w:color w:val="000000"/>
          <w:szCs w:val="22"/>
        </w:rPr>
        <w:t xml:space="preserve">Den sædvanlige dosis </w:t>
      </w:r>
      <w:r w:rsidR="00CB20E5" w:rsidRPr="004C2A59">
        <w:rPr>
          <w:b/>
          <w:color w:val="000000"/>
          <w:szCs w:val="22"/>
        </w:rPr>
        <w:t xml:space="preserve">af Glivec </w:t>
      </w:r>
      <w:r w:rsidRPr="004C2A59">
        <w:rPr>
          <w:b/>
          <w:color w:val="000000"/>
          <w:szCs w:val="22"/>
        </w:rPr>
        <w:t>er</w:t>
      </w:r>
    </w:p>
    <w:p w14:paraId="3898B196" w14:textId="77777777" w:rsidR="006F7492" w:rsidRPr="004C2A59" w:rsidRDefault="006F7492" w:rsidP="00C93654">
      <w:pPr>
        <w:pStyle w:val="EndnoteText"/>
        <w:keepNext/>
        <w:numPr>
          <w:ilvl w:val="12"/>
          <w:numId w:val="0"/>
        </w:numPr>
        <w:tabs>
          <w:tab w:val="clear" w:pos="567"/>
        </w:tabs>
        <w:rPr>
          <w:bCs/>
          <w:color w:val="000000"/>
          <w:szCs w:val="22"/>
        </w:rPr>
      </w:pPr>
    </w:p>
    <w:p w14:paraId="54E1A4ED" w14:textId="77777777" w:rsidR="006F7492" w:rsidRPr="004C2A59" w:rsidRDefault="006F7492" w:rsidP="00C93654">
      <w:pPr>
        <w:pStyle w:val="EndnoteText"/>
        <w:keepNext/>
        <w:numPr>
          <w:ilvl w:val="12"/>
          <w:numId w:val="0"/>
        </w:numPr>
        <w:tabs>
          <w:tab w:val="clear" w:pos="567"/>
        </w:tabs>
        <w:rPr>
          <w:b/>
          <w:color w:val="000000"/>
          <w:szCs w:val="22"/>
        </w:rPr>
      </w:pPr>
      <w:r w:rsidRPr="004C2A59">
        <w:rPr>
          <w:b/>
          <w:color w:val="000000"/>
          <w:szCs w:val="22"/>
        </w:rPr>
        <w:t>Brug til voksne</w:t>
      </w:r>
    </w:p>
    <w:p w14:paraId="6F810557" w14:textId="77777777" w:rsidR="006F7492" w:rsidRPr="004C2A59" w:rsidRDefault="006F7492" w:rsidP="00421681">
      <w:pPr>
        <w:pStyle w:val="EndnoteText"/>
        <w:numPr>
          <w:ilvl w:val="12"/>
          <w:numId w:val="0"/>
        </w:numPr>
        <w:tabs>
          <w:tab w:val="clear" w:pos="567"/>
        </w:tabs>
        <w:rPr>
          <w:color w:val="000000"/>
          <w:szCs w:val="22"/>
        </w:rPr>
      </w:pPr>
      <w:r w:rsidRPr="004C2A59">
        <w:rPr>
          <w:color w:val="000000"/>
          <w:szCs w:val="22"/>
        </w:rPr>
        <w:t>Din læge vil fortælle dig, præcis hvor mange Glivec-tabletter, du skal tage.</w:t>
      </w:r>
    </w:p>
    <w:p w14:paraId="43B6D45D" w14:textId="77777777" w:rsidR="006F7492" w:rsidRPr="004C2A59" w:rsidRDefault="006F7492" w:rsidP="00421681">
      <w:pPr>
        <w:pStyle w:val="EndnoteText"/>
        <w:numPr>
          <w:ilvl w:val="12"/>
          <w:numId w:val="0"/>
        </w:numPr>
        <w:tabs>
          <w:tab w:val="clear" w:pos="567"/>
        </w:tabs>
        <w:rPr>
          <w:color w:val="000000"/>
          <w:szCs w:val="22"/>
        </w:rPr>
      </w:pPr>
    </w:p>
    <w:p w14:paraId="57FDD411" w14:textId="77777777" w:rsidR="006F7492" w:rsidRPr="004C2A59" w:rsidRDefault="006F7492" w:rsidP="00C93654">
      <w:pPr>
        <w:pStyle w:val="Text"/>
        <w:keepNext/>
        <w:widowControl w:val="0"/>
        <w:numPr>
          <w:ilvl w:val="0"/>
          <w:numId w:val="18"/>
        </w:numPr>
        <w:tabs>
          <w:tab w:val="clear" w:pos="927"/>
        </w:tabs>
        <w:spacing w:before="0"/>
        <w:ind w:left="567" w:hanging="567"/>
        <w:jc w:val="left"/>
        <w:rPr>
          <w:color w:val="000000"/>
          <w:sz w:val="22"/>
          <w:szCs w:val="22"/>
          <w:lang w:val="da-DK"/>
        </w:rPr>
      </w:pPr>
      <w:r w:rsidRPr="004C2A59">
        <w:rPr>
          <w:b/>
          <w:sz w:val="22"/>
          <w:szCs w:val="22"/>
          <w:lang w:val="da-DK"/>
        </w:rPr>
        <w:t>Hvis du er i behandling for CML:</w:t>
      </w:r>
    </w:p>
    <w:p w14:paraId="3FBD79AD" w14:textId="787041AC" w:rsidR="006F7492" w:rsidRPr="004C2A59" w:rsidRDefault="006F7492" w:rsidP="00F852D1">
      <w:pPr>
        <w:pStyle w:val="EndnoteText"/>
        <w:keepNext/>
        <w:numPr>
          <w:ilvl w:val="12"/>
          <w:numId w:val="0"/>
        </w:numPr>
        <w:tabs>
          <w:tab w:val="clear" w:pos="567"/>
        </w:tabs>
        <w:ind w:left="567"/>
        <w:rPr>
          <w:b/>
          <w:color w:val="000000"/>
          <w:szCs w:val="22"/>
        </w:rPr>
      </w:pPr>
      <w:r w:rsidRPr="004C2A59">
        <w:rPr>
          <w:color w:val="000000"/>
          <w:szCs w:val="22"/>
        </w:rPr>
        <w:t xml:space="preserve">Afhængigt af din tilstand er den almindelige startdosis </w:t>
      </w:r>
      <w:r w:rsidRPr="0053670A">
        <w:rPr>
          <w:color w:val="000000"/>
          <w:szCs w:val="22"/>
        </w:rPr>
        <w:t>enten</w:t>
      </w:r>
      <w:r w:rsidRPr="00F852D1">
        <w:rPr>
          <w:b/>
          <w:color w:val="000000"/>
          <w:szCs w:val="22"/>
        </w:rPr>
        <w:t xml:space="preserve"> 400 mg</w:t>
      </w:r>
      <w:r w:rsidRPr="004C2A59">
        <w:rPr>
          <w:color w:val="000000"/>
          <w:szCs w:val="22"/>
        </w:rPr>
        <w:t xml:space="preserve"> eller </w:t>
      </w:r>
      <w:r w:rsidRPr="00F852D1">
        <w:rPr>
          <w:b/>
          <w:color w:val="000000"/>
          <w:szCs w:val="22"/>
        </w:rPr>
        <w:t>600 mg</w:t>
      </w:r>
      <w:r w:rsidR="00535CCC" w:rsidRPr="00F852D1">
        <w:rPr>
          <w:color w:val="000000"/>
          <w:szCs w:val="22"/>
        </w:rPr>
        <w:t xml:space="preserve"> </w:t>
      </w:r>
      <w:r w:rsidR="00535CCC">
        <w:rPr>
          <w:color w:val="000000"/>
          <w:szCs w:val="22"/>
        </w:rPr>
        <w:t xml:space="preserve">og skal </w:t>
      </w:r>
      <w:r w:rsidR="00A20DFD">
        <w:rPr>
          <w:color w:val="000000"/>
          <w:szCs w:val="22"/>
        </w:rPr>
        <w:t xml:space="preserve">tages </w:t>
      </w:r>
      <w:r w:rsidR="00A20DFD" w:rsidRPr="00AA642A">
        <w:rPr>
          <w:b/>
          <w:color w:val="000000"/>
          <w:szCs w:val="22"/>
        </w:rPr>
        <w:t>én</w:t>
      </w:r>
      <w:r w:rsidR="00A20DFD">
        <w:rPr>
          <w:color w:val="000000"/>
          <w:szCs w:val="22"/>
        </w:rPr>
        <w:t xml:space="preserve"> </w:t>
      </w:r>
      <w:r w:rsidR="00A20DFD" w:rsidRPr="00AA642A">
        <w:rPr>
          <w:b/>
          <w:color w:val="000000"/>
          <w:szCs w:val="22"/>
        </w:rPr>
        <w:t xml:space="preserve">gang </w:t>
      </w:r>
      <w:r w:rsidR="00A20DFD">
        <w:rPr>
          <w:color w:val="000000"/>
          <w:szCs w:val="22"/>
        </w:rPr>
        <w:t>daglig.</w:t>
      </w:r>
    </w:p>
    <w:p w14:paraId="524CE80E" w14:textId="77777777" w:rsidR="006F7492" w:rsidRPr="004C2A59" w:rsidRDefault="006F7492" w:rsidP="00421681">
      <w:pPr>
        <w:pStyle w:val="EndnoteText"/>
        <w:numPr>
          <w:ilvl w:val="12"/>
          <w:numId w:val="0"/>
        </w:numPr>
        <w:tabs>
          <w:tab w:val="clear" w:pos="567"/>
        </w:tabs>
        <w:rPr>
          <w:color w:val="000000"/>
          <w:szCs w:val="22"/>
        </w:rPr>
      </w:pPr>
    </w:p>
    <w:p w14:paraId="6B6F4C28" w14:textId="77777777" w:rsidR="006F7492" w:rsidRPr="004C2A59" w:rsidRDefault="006F7492" w:rsidP="00C93654">
      <w:pPr>
        <w:pStyle w:val="Text"/>
        <w:keepNext/>
        <w:widowControl w:val="0"/>
        <w:numPr>
          <w:ilvl w:val="0"/>
          <w:numId w:val="18"/>
        </w:numPr>
        <w:tabs>
          <w:tab w:val="clear" w:pos="927"/>
        </w:tabs>
        <w:spacing w:before="0"/>
        <w:ind w:left="567" w:hanging="567"/>
        <w:jc w:val="left"/>
        <w:rPr>
          <w:color w:val="000000"/>
          <w:sz w:val="22"/>
          <w:szCs w:val="22"/>
          <w:lang w:val="da-DK"/>
        </w:rPr>
      </w:pPr>
      <w:r w:rsidRPr="004C2A59">
        <w:rPr>
          <w:b/>
          <w:sz w:val="22"/>
          <w:szCs w:val="22"/>
          <w:lang w:val="da-DK"/>
        </w:rPr>
        <w:t>Hvis du er i behandling for GIST:</w:t>
      </w:r>
    </w:p>
    <w:p w14:paraId="27C98A07" w14:textId="12583324" w:rsidR="006F7492" w:rsidRPr="004C2A59" w:rsidRDefault="006F7492" w:rsidP="00421681">
      <w:pPr>
        <w:pStyle w:val="EndnoteText"/>
        <w:numPr>
          <w:ilvl w:val="12"/>
          <w:numId w:val="0"/>
        </w:numPr>
        <w:tabs>
          <w:tab w:val="clear" w:pos="567"/>
        </w:tabs>
        <w:ind w:left="567"/>
        <w:rPr>
          <w:color w:val="000000"/>
          <w:szCs w:val="22"/>
        </w:rPr>
      </w:pPr>
      <w:r w:rsidRPr="004C2A59">
        <w:rPr>
          <w:color w:val="000000"/>
          <w:szCs w:val="22"/>
        </w:rPr>
        <w:t xml:space="preserve">Startdosis er 400 mg, som tages </w:t>
      </w:r>
      <w:r w:rsidRPr="004C2A59">
        <w:rPr>
          <w:b/>
          <w:color w:val="000000"/>
          <w:szCs w:val="22"/>
        </w:rPr>
        <w:t>én gang</w:t>
      </w:r>
      <w:r w:rsidRPr="004C2A59">
        <w:rPr>
          <w:color w:val="000000"/>
          <w:szCs w:val="22"/>
        </w:rPr>
        <w:t xml:space="preserve"> daglig.</w:t>
      </w:r>
    </w:p>
    <w:p w14:paraId="79C0ECCE" w14:textId="77777777" w:rsidR="006F7492" w:rsidRPr="004C2A59" w:rsidRDefault="006F7492" w:rsidP="00421681">
      <w:pPr>
        <w:pStyle w:val="EndnoteText"/>
        <w:numPr>
          <w:ilvl w:val="12"/>
          <w:numId w:val="0"/>
        </w:numPr>
        <w:tabs>
          <w:tab w:val="clear" w:pos="567"/>
        </w:tabs>
        <w:rPr>
          <w:color w:val="000000"/>
          <w:szCs w:val="22"/>
        </w:rPr>
      </w:pPr>
    </w:p>
    <w:p w14:paraId="794998DD" w14:textId="2FF04098" w:rsidR="006F7492" w:rsidRPr="004C2A59" w:rsidRDefault="006F7492" w:rsidP="00421681">
      <w:pPr>
        <w:pStyle w:val="EndnoteText"/>
        <w:numPr>
          <w:ilvl w:val="12"/>
          <w:numId w:val="0"/>
        </w:numPr>
        <w:tabs>
          <w:tab w:val="clear" w:pos="567"/>
        </w:tabs>
        <w:rPr>
          <w:color w:val="000000"/>
          <w:szCs w:val="22"/>
        </w:rPr>
      </w:pPr>
      <w:r w:rsidRPr="004C2A59">
        <w:rPr>
          <w:color w:val="000000"/>
          <w:szCs w:val="22"/>
        </w:rPr>
        <w:t xml:space="preserve">For CML og GIST kan din læge foreskrive højere eller lavere dosis afhængigt af, hvordan du reagerer på behandlingen. Hvis din daglige dosis er 800 mg, skal du tage </w:t>
      </w:r>
      <w:r w:rsidR="00A20DFD">
        <w:rPr>
          <w:color w:val="000000"/>
          <w:szCs w:val="22"/>
        </w:rPr>
        <w:t xml:space="preserve">400 mg </w:t>
      </w:r>
      <w:r w:rsidRPr="004C2A59">
        <w:rPr>
          <w:color w:val="000000"/>
          <w:szCs w:val="22"/>
        </w:rPr>
        <w:t xml:space="preserve">om morgenen og </w:t>
      </w:r>
      <w:r w:rsidR="00A20DFD">
        <w:rPr>
          <w:color w:val="000000"/>
          <w:szCs w:val="22"/>
        </w:rPr>
        <w:t>400 mg</w:t>
      </w:r>
      <w:r w:rsidRPr="004C2A59">
        <w:rPr>
          <w:color w:val="000000"/>
          <w:szCs w:val="22"/>
        </w:rPr>
        <w:t xml:space="preserve"> om aftenen.</w:t>
      </w:r>
    </w:p>
    <w:p w14:paraId="177A4435" w14:textId="77777777" w:rsidR="006F7492" w:rsidRPr="004C2A59" w:rsidRDefault="006F7492" w:rsidP="00421681">
      <w:pPr>
        <w:pStyle w:val="EndnoteText"/>
        <w:numPr>
          <w:ilvl w:val="12"/>
          <w:numId w:val="0"/>
        </w:numPr>
        <w:tabs>
          <w:tab w:val="clear" w:pos="567"/>
          <w:tab w:val="left" w:pos="0"/>
        </w:tabs>
        <w:rPr>
          <w:color w:val="000000"/>
          <w:szCs w:val="22"/>
        </w:rPr>
      </w:pPr>
    </w:p>
    <w:p w14:paraId="48976AB6" w14:textId="77777777" w:rsidR="006F7492" w:rsidRPr="00F852D1" w:rsidRDefault="006F7492" w:rsidP="00C93654">
      <w:pPr>
        <w:pStyle w:val="EndnoteText"/>
        <w:keepNext/>
        <w:numPr>
          <w:ilvl w:val="0"/>
          <w:numId w:val="18"/>
        </w:numPr>
        <w:tabs>
          <w:tab w:val="clear" w:pos="567"/>
          <w:tab w:val="clear" w:pos="927"/>
        </w:tabs>
        <w:ind w:left="567" w:hanging="567"/>
        <w:rPr>
          <w:color w:val="000000"/>
          <w:szCs w:val="22"/>
          <w:lang w:val="nb-NO"/>
        </w:rPr>
      </w:pPr>
      <w:r w:rsidRPr="00F852D1">
        <w:rPr>
          <w:b/>
          <w:color w:val="000000"/>
          <w:szCs w:val="22"/>
          <w:lang w:val="nb-NO"/>
        </w:rPr>
        <w:lastRenderedPageBreak/>
        <w:t xml:space="preserve">Hvis du behandles for Ph-positiv </w:t>
      </w:r>
      <w:smartTag w:uri="urn:schemas-microsoft-com:office:smarttags" w:element="metricconverter">
        <w:r w:rsidRPr="00F852D1">
          <w:rPr>
            <w:b/>
            <w:color w:val="000000"/>
            <w:szCs w:val="22"/>
            <w:lang w:val="nb-NO"/>
          </w:rPr>
          <w:t>ALL</w:t>
        </w:r>
      </w:smartTag>
      <w:r w:rsidRPr="00F852D1">
        <w:rPr>
          <w:b/>
          <w:color w:val="000000"/>
          <w:szCs w:val="22"/>
          <w:lang w:val="nb-NO"/>
        </w:rPr>
        <w:t>:</w:t>
      </w:r>
    </w:p>
    <w:p w14:paraId="73E5B090" w14:textId="2EEACFE7" w:rsidR="006F7492" w:rsidRPr="004C2A59" w:rsidRDefault="006F7492" w:rsidP="00421681">
      <w:pPr>
        <w:pStyle w:val="EndnoteText"/>
        <w:numPr>
          <w:ilvl w:val="12"/>
          <w:numId w:val="0"/>
        </w:numPr>
        <w:tabs>
          <w:tab w:val="clear" w:pos="567"/>
        </w:tabs>
        <w:ind w:left="567"/>
        <w:rPr>
          <w:color w:val="000000"/>
          <w:szCs w:val="22"/>
        </w:rPr>
      </w:pPr>
      <w:r w:rsidRPr="004C2A59">
        <w:rPr>
          <w:color w:val="000000"/>
          <w:szCs w:val="22"/>
        </w:rPr>
        <w:t xml:space="preserve">Startdosis er 600 mg, som skal tages </w:t>
      </w:r>
      <w:r w:rsidRPr="004C2A59">
        <w:rPr>
          <w:b/>
          <w:color w:val="000000"/>
          <w:szCs w:val="22"/>
        </w:rPr>
        <w:t>én gang</w:t>
      </w:r>
      <w:r w:rsidRPr="004C2A59">
        <w:rPr>
          <w:color w:val="000000"/>
          <w:szCs w:val="22"/>
        </w:rPr>
        <w:t xml:space="preserve"> daglig.</w:t>
      </w:r>
    </w:p>
    <w:p w14:paraId="4DB38C75" w14:textId="77777777" w:rsidR="006F7492" w:rsidRPr="004C2A59" w:rsidRDefault="006F7492" w:rsidP="00421681">
      <w:pPr>
        <w:pStyle w:val="EndnoteText"/>
        <w:numPr>
          <w:ilvl w:val="12"/>
          <w:numId w:val="0"/>
        </w:numPr>
        <w:tabs>
          <w:tab w:val="clear" w:pos="567"/>
          <w:tab w:val="left" w:pos="0"/>
        </w:tabs>
        <w:rPr>
          <w:color w:val="000000"/>
          <w:szCs w:val="22"/>
        </w:rPr>
      </w:pPr>
    </w:p>
    <w:p w14:paraId="7C203FFD" w14:textId="77777777" w:rsidR="006F7492" w:rsidRPr="004C2A59" w:rsidRDefault="006F7492" w:rsidP="00C93654">
      <w:pPr>
        <w:pStyle w:val="EndnoteText"/>
        <w:keepNext/>
        <w:numPr>
          <w:ilvl w:val="0"/>
          <w:numId w:val="18"/>
        </w:numPr>
        <w:tabs>
          <w:tab w:val="clear" w:pos="567"/>
          <w:tab w:val="clear" w:pos="927"/>
        </w:tabs>
        <w:ind w:left="567" w:hanging="567"/>
        <w:rPr>
          <w:color w:val="000000"/>
          <w:szCs w:val="22"/>
        </w:rPr>
      </w:pPr>
      <w:r w:rsidRPr="004C2A59">
        <w:rPr>
          <w:b/>
          <w:color w:val="000000"/>
          <w:szCs w:val="22"/>
        </w:rPr>
        <w:t xml:space="preserve">Hvis du behandles for </w:t>
      </w:r>
      <w:smartTag w:uri="urn:schemas-microsoft-com:office:smarttags" w:element="metricconverter">
        <w:r w:rsidRPr="004C2A59">
          <w:rPr>
            <w:b/>
            <w:color w:val="000000"/>
            <w:szCs w:val="22"/>
          </w:rPr>
          <w:t>MDS</w:t>
        </w:r>
      </w:smartTag>
      <w:r w:rsidRPr="004C2A59">
        <w:rPr>
          <w:b/>
          <w:color w:val="000000"/>
          <w:szCs w:val="22"/>
        </w:rPr>
        <w:t>/MPD:</w:t>
      </w:r>
    </w:p>
    <w:p w14:paraId="7C43C4CB" w14:textId="01368BBE" w:rsidR="006F7492" w:rsidRPr="004C2A59" w:rsidRDefault="006F7492" w:rsidP="00421681">
      <w:pPr>
        <w:pStyle w:val="EndnoteText"/>
        <w:numPr>
          <w:ilvl w:val="12"/>
          <w:numId w:val="0"/>
        </w:numPr>
        <w:tabs>
          <w:tab w:val="clear" w:pos="567"/>
        </w:tabs>
        <w:ind w:left="567"/>
        <w:rPr>
          <w:color w:val="000000"/>
          <w:szCs w:val="22"/>
        </w:rPr>
      </w:pPr>
      <w:r w:rsidRPr="004C2A59">
        <w:rPr>
          <w:color w:val="000000"/>
          <w:szCs w:val="22"/>
        </w:rPr>
        <w:t xml:space="preserve">Startdosis er 400 mg, som skal tages </w:t>
      </w:r>
      <w:r w:rsidRPr="004C2A59">
        <w:rPr>
          <w:b/>
          <w:color w:val="000000"/>
          <w:szCs w:val="22"/>
        </w:rPr>
        <w:t xml:space="preserve">én gang </w:t>
      </w:r>
      <w:r w:rsidRPr="004C2A59">
        <w:rPr>
          <w:color w:val="000000"/>
          <w:szCs w:val="22"/>
        </w:rPr>
        <w:t>daglig.</w:t>
      </w:r>
    </w:p>
    <w:p w14:paraId="4EE19190" w14:textId="77777777" w:rsidR="006F7492" w:rsidRPr="004C2A59" w:rsidRDefault="006F7492" w:rsidP="00421681">
      <w:pPr>
        <w:pStyle w:val="EndnoteText"/>
        <w:numPr>
          <w:ilvl w:val="12"/>
          <w:numId w:val="0"/>
        </w:numPr>
        <w:tabs>
          <w:tab w:val="clear" w:pos="567"/>
          <w:tab w:val="left" w:pos="0"/>
        </w:tabs>
        <w:rPr>
          <w:color w:val="000000"/>
          <w:szCs w:val="22"/>
        </w:rPr>
      </w:pPr>
    </w:p>
    <w:p w14:paraId="3E9A17DB" w14:textId="77777777" w:rsidR="006F7492" w:rsidRPr="004C2A59" w:rsidRDefault="006F7492" w:rsidP="00C93654">
      <w:pPr>
        <w:pStyle w:val="EndnoteText"/>
        <w:keepNext/>
        <w:numPr>
          <w:ilvl w:val="0"/>
          <w:numId w:val="18"/>
        </w:numPr>
        <w:tabs>
          <w:tab w:val="clear" w:pos="567"/>
          <w:tab w:val="clear" w:pos="927"/>
        </w:tabs>
        <w:ind w:left="567" w:hanging="567"/>
        <w:rPr>
          <w:color w:val="000000"/>
          <w:szCs w:val="22"/>
        </w:rPr>
      </w:pPr>
      <w:r w:rsidRPr="004C2A59">
        <w:rPr>
          <w:b/>
          <w:color w:val="000000"/>
          <w:szCs w:val="22"/>
        </w:rPr>
        <w:t>Hvis du behandles for HES/</w:t>
      </w:r>
      <w:smartTag w:uri="urn:schemas-microsoft-com:office:smarttags" w:element="metricconverter">
        <w:r w:rsidRPr="004C2A59">
          <w:rPr>
            <w:b/>
            <w:color w:val="000000"/>
            <w:szCs w:val="22"/>
          </w:rPr>
          <w:t>CEL</w:t>
        </w:r>
      </w:smartTag>
      <w:r w:rsidRPr="004C2A59">
        <w:rPr>
          <w:b/>
          <w:color w:val="000000"/>
          <w:szCs w:val="22"/>
        </w:rPr>
        <w:t>:</w:t>
      </w:r>
    </w:p>
    <w:p w14:paraId="3891FE88" w14:textId="00B09A77" w:rsidR="006F7492" w:rsidRPr="004C2A59" w:rsidRDefault="006F7492" w:rsidP="00421681">
      <w:pPr>
        <w:pStyle w:val="EndnoteText"/>
        <w:numPr>
          <w:ilvl w:val="12"/>
          <w:numId w:val="0"/>
        </w:numPr>
        <w:tabs>
          <w:tab w:val="clear" w:pos="567"/>
          <w:tab w:val="left" w:pos="0"/>
        </w:tabs>
        <w:ind w:left="567"/>
        <w:rPr>
          <w:color w:val="000000"/>
          <w:szCs w:val="22"/>
        </w:rPr>
      </w:pPr>
      <w:r w:rsidRPr="004C2A59">
        <w:rPr>
          <w:color w:val="000000"/>
          <w:szCs w:val="22"/>
        </w:rPr>
        <w:t xml:space="preserve">Startdosis er 100 mg, som skal tages </w:t>
      </w:r>
      <w:r w:rsidRPr="004C2A59">
        <w:rPr>
          <w:b/>
          <w:color w:val="000000"/>
          <w:szCs w:val="22"/>
        </w:rPr>
        <w:t>én gang</w:t>
      </w:r>
      <w:r w:rsidRPr="004C2A59">
        <w:rPr>
          <w:color w:val="000000"/>
          <w:szCs w:val="22"/>
        </w:rPr>
        <w:t xml:space="preserve"> daglig. Din læge kan beslutte at øge dosis til 400 mg, som skal tages </w:t>
      </w:r>
      <w:r w:rsidRPr="004C2A59">
        <w:rPr>
          <w:b/>
          <w:color w:val="000000"/>
          <w:szCs w:val="22"/>
        </w:rPr>
        <w:t>én gang</w:t>
      </w:r>
      <w:r w:rsidRPr="004C2A59">
        <w:rPr>
          <w:color w:val="000000"/>
          <w:szCs w:val="22"/>
        </w:rPr>
        <w:t xml:space="preserve"> daglig afhængig af, hvordan du responderer på behandlingen.</w:t>
      </w:r>
    </w:p>
    <w:p w14:paraId="53DE764E" w14:textId="77777777" w:rsidR="006F7492" w:rsidRPr="004C2A59" w:rsidRDefault="006F7492" w:rsidP="00421681">
      <w:pPr>
        <w:pStyle w:val="EndnoteText"/>
        <w:numPr>
          <w:ilvl w:val="12"/>
          <w:numId w:val="0"/>
        </w:numPr>
        <w:tabs>
          <w:tab w:val="clear" w:pos="567"/>
        </w:tabs>
        <w:rPr>
          <w:color w:val="000000"/>
          <w:szCs w:val="22"/>
        </w:rPr>
      </w:pPr>
    </w:p>
    <w:p w14:paraId="186D7271" w14:textId="77777777" w:rsidR="006F7492" w:rsidRPr="004C2A59" w:rsidRDefault="006F7492" w:rsidP="00C93654">
      <w:pPr>
        <w:pStyle w:val="EndnoteText"/>
        <w:keepNext/>
        <w:numPr>
          <w:ilvl w:val="0"/>
          <w:numId w:val="18"/>
        </w:numPr>
        <w:tabs>
          <w:tab w:val="clear" w:pos="567"/>
          <w:tab w:val="clear" w:pos="927"/>
        </w:tabs>
        <w:ind w:left="567" w:hanging="567"/>
        <w:rPr>
          <w:color w:val="000000"/>
          <w:szCs w:val="22"/>
        </w:rPr>
      </w:pPr>
      <w:r w:rsidRPr="004C2A59">
        <w:rPr>
          <w:b/>
          <w:color w:val="000000"/>
          <w:szCs w:val="22"/>
        </w:rPr>
        <w:t>Hvis du behandles for DSFP:</w:t>
      </w:r>
    </w:p>
    <w:p w14:paraId="39CC264D" w14:textId="7E12D90E" w:rsidR="006F7492" w:rsidRDefault="006F7492" w:rsidP="00421681">
      <w:pPr>
        <w:pStyle w:val="EndnoteText"/>
        <w:numPr>
          <w:ilvl w:val="12"/>
          <w:numId w:val="0"/>
        </w:numPr>
        <w:tabs>
          <w:tab w:val="clear" w:pos="567"/>
        </w:tabs>
        <w:ind w:left="567"/>
        <w:rPr>
          <w:color w:val="000000"/>
          <w:szCs w:val="22"/>
        </w:rPr>
      </w:pPr>
      <w:r w:rsidRPr="004C2A59">
        <w:rPr>
          <w:color w:val="000000"/>
          <w:szCs w:val="22"/>
        </w:rPr>
        <w:t xml:space="preserve">Dosis er 800 mg pr. dag. Du skal tage </w:t>
      </w:r>
      <w:r w:rsidR="00A20DFD">
        <w:rPr>
          <w:color w:val="000000"/>
          <w:szCs w:val="22"/>
        </w:rPr>
        <w:t>400 mg</w:t>
      </w:r>
      <w:r w:rsidRPr="004C2A59">
        <w:rPr>
          <w:color w:val="000000"/>
          <w:szCs w:val="22"/>
        </w:rPr>
        <w:t xml:space="preserve"> om morgenen og </w:t>
      </w:r>
      <w:r w:rsidR="00A20DFD">
        <w:rPr>
          <w:color w:val="000000"/>
          <w:szCs w:val="22"/>
        </w:rPr>
        <w:t>400 mg</w:t>
      </w:r>
      <w:r w:rsidRPr="004C2A59">
        <w:rPr>
          <w:color w:val="000000"/>
          <w:szCs w:val="22"/>
        </w:rPr>
        <w:t xml:space="preserve"> om aftenen.</w:t>
      </w:r>
    </w:p>
    <w:p w14:paraId="538C10F9" w14:textId="1E5641A8" w:rsidR="00A20DFD" w:rsidRDefault="00A20DFD" w:rsidP="00B1729B">
      <w:pPr>
        <w:pStyle w:val="EndnoteText"/>
        <w:numPr>
          <w:ilvl w:val="12"/>
          <w:numId w:val="0"/>
        </w:numPr>
        <w:tabs>
          <w:tab w:val="clear" w:pos="567"/>
        </w:tabs>
        <w:rPr>
          <w:color w:val="000000"/>
          <w:szCs w:val="22"/>
        </w:rPr>
      </w:pPr>
    </w:p>
    <w:p w14:paraId="6E21800D" w14:textId="453B0F9B" w:rsidR="00A20DFD" w:rsidRDefault="00A20DFD" w:rsidP="00AA642A">
      <w:pPr>
        <w:pStyle w:val="EndnoteText"/>
        <w:numPr>
          <w:ilvl w:val="12"/>
          <w:numId w:val="0"/>
        </w:numPr>
        <w:tabs>
          <w:tab w:val="clear" w:pos="567"/>
        </w:tabs>
        <w:rPr>
          <w:color w:val="000000"/>
          <w:szCs w:val="22"/>
        </w:rPr>
      </w:pPr>
      <w:r>
        <w:rPr>
          <w:color w:val="000000"/>
          <w:szCs w:val="22"/>
        </w:rPr>
        <w:t>Én dosis på 400 mg kan tages enten som 1 tablet på 400 mg eller 4 tabletter på 100 mg.</w:t>
      </w:r>
    </w:p>
    <w:p w14:paraId="05D29157" w14:textId="7C5855EE" w:rsidR="00A20DFD" w:rsidRPr="004C2A59" w:rsidRDefault="00A20DFD" w:rsidP="00AA642A">
      <w:pPr>
        <w:pStyle w:val="EndnoteText"/>
        <w:numPr>
          <w:ilvl w:val="12"/>
          <w:numId w:val="0"/>
        </w:numPr>
        <w:tabs>
          <w:tab w:val="clear" w:pos="567"/>
        </w:tabs>
        <w:rPr>
          <w:color w:val="000000"/>
          <w:szCs w:val="22"/>
        </w:rPr>
      </w:pPr>
      <w:r>
        <w:rPr>
          <w:color w:val="000000"/>
          <w:szCs w:val="22"/>
        </w:rPr>
        <w:t xml:space="preserve">Én dosis </w:t>
      </w:r>
      <w:r w:rsidR="007F6FD1">
        <w:rPr>
          <w:color w:val="000000"/>
          <w:szCs w:val="22"/>
        </w:rPr>
        <w:t xml:space="preserve">på 600 mg </w:t>
      </w:r>
      <w:r w:rsidR="00535CCC">
        <w:rPr>
          <w:color w:val="000000"/>
          <w:szCs w:val="22"/>
        </w:rPr>
        <w:t>skal</w:t>
      </w:r>
      <w:r w:rsidR="007F6FD1">
        <w:rPr>
          <w:color w:val="000000"/>
          <w:szCs w:val="22"/>
        </w:rPr>
        <w:t xml:space="preserve"> tages som 1 tablet på 400 mg samt 2 tabletter på 100 mg.</w:t>
      </w:r>
    </w:p>
    <w:p w14:paraId="67E63C39" w14:textId="77777777" w:rsidR="006F7492" w:rsidRPr="004C2A59" w:rsidRDefault="006F7492" w:rsidP="00421681">
      <w:pPr>
        <w:pStyle w:val="EndnoteText"/>
        <w:numPr>
          <w:ilvl w:val="12"/>
          <w:numId w:val="0"/>
        </w:numPr>
        <w:tabs>
          <w:tab w:val="clear" w:pos="567"/>
        </w:tabs>
        <w:rPr>
          <w:color w:val="000000"/>
          <w:szCs w:val="22"/>
        </w:rPr>
      </w:pPr>
    </w:p>
    <w:p w14:paraId="06A15843" w14:textId="77777777" w:rsidR="006F7492" w:rsidRPr="004C2A59" w:rsidRDefault="006F7492" w:rsidP="00C93654">
      <w:pPr>
        <w:pStyle w:val="EndnoteText"/>
        <w:keepNext/>
        <w:numPr>
          <w:ilvl w:val="12"/>
          <w:numId w:val="0"/>
        </w:numPr>
        <w:tabs>
          <w:tab w:val="clear" w:pos="567"/>
        </w:tabs>
        <w:rPr>
          <w:b/>
          <w:color w:val="000000"/>
          <w:szCs w:val="22"/>
        </w:rPr>
      </w:pPr>
      <w:r w:rsidRPr="004C2A59">
        <w:rPr>
          <w:b/>
          <w:color w:val="000000"/>
          <w:szCs w:val="22"/>
        </w:rPr>
        <w:t>Brug til børn</w:t>
      </w:r>
      <w:r w:rsidR="00CB20E5" w:rsidRPr="004C2A59">
        <w:rPr>
          <w:b/>
          <w:color w:val="000000"/>
          <w:szCs w:val="22"/>
        </w:rPr>
        <w:t xml:space="preserve"> og </w:t>
      </w:r>
      <w:r w:rsidR="005853AA" w:rsidRPr="004C2A59">
        <w:rPr>
          <w:b/>
          <w:color w:val="000000"/>
          <w:szCs w:val="22"/>
        </w:rPr>
        <w:t>unge</w:t>
      </w:r>
    </w:p>
    <w:p w14:paraId="76C3B7FC" w14:textId="77777777" w:rsidR="006F7492" w:rsidRPr="004C2A59" w:rsidRDefault="006F7492" w:rsidP="00421681">
      <w:pPr>
        <w:pStyle w:val="Text"/>
        <w:widowControl w:val="0"/>
        <w:spacing w:before="0"/>
        <w:jc w:val="left"/>
        <w:rPr>
          <w:color w:val="000000"/>
          <w:sz w:val="22"/>
          <w:szCs w:val="22"/>
          <w:lang w:val="da-DK"/>
        </w:rPr>
      </w:pPr>
      <w:r w:rsidRPr="004C2A59">
        <w:rPr>
          <w:color w:val="000000"/>
          <w:sz w:val="22"/>
          <w:szCs w:val="22"/>
          <w:lang w:val="da-DK"/>
        </w:rPr>
        <w:t>Lægen vil fortælle dig, hvor mange Glivec-tabletter, du skal give dit barn. Antallet af Glivec-tabletter afhænger af barnets tilstand, kropsvægt og højde. Den totale daglige dosis til børn må ikke overstige 800 mg</w:t>
      </w:r>
      <w:r w:rsidR="00997C39" w:rsidRPr="004C2A59">
        <w:rPr>
          <w:color w:val="000000"/>
          <w:sz w:val="22"/>
          <w:szCs w:val="22"/>
          <w:lang w:val="da-DK"/>
        </w:rPr>
        <w:t xml:space="preserve"> for CML-patienter og 600 mg for Ph+ALL-patienter</w:t>
      </w:r>
      <w:r w:rsidRPr="004C2A59">
        <w:rPr>
          <w:color w:val="000000"/>
          <w:sz w:val="22"/>
          <w:szCs w:val="22"/>
          <w:lang w:val="da-DK"/>
        </w:rPr>
        <w:t>. Behandlingen kan enten gives til dit barn som én daglig dosis eller alternativt kan den daglige dosis deles og gives to gange (halvdelen om morgenen og den anden halvdel om aftenen).</w:t>
      </w:r>
    </w:p>
    <w:p w14:paraId="4D7640D9" w14:textId="77777777" w:rsidR="006F7492" w:rsidRPr="004C2A59" w:rsidRDefault="006F7492" w:rsidP="00421681">
      <w:pPr>
        <w:pStyle w:val="EndnoteText"/>
        <w:numPr>
          <w:ilvl w:val="12"/>
          <w:numId w:val="0"/>
        </w:numPr>
        <w:tabs>
          <w:tab w:val="clear" w:pos="567"/>
        </w:tabs>
        <w:rPr>
          <w:color w:val="000000"/>
          <w:szCs w:val="22"/>
        </w:rPr>
      </w:pPr>
    </w:p>
    <w:p w14:paraId="4CA299E0" w14:textId="77777777" w:rsidR="006F7492" w:rsidRPr="004C2A59" w:rsidRDefault="006F7492" w:rsidP="00C93654">
      <w:pPr>
        <w:pStyle w:val="EndnoteText"/>
        <w:keepNext/>
        <w:numPr>
          <w:ilvl w:val="12"/>
          <w:numId w:val="0"/>
        </w:numPr>
        <w:tabs>
          <w:tab w:val="clear" w:pos="567"/>
        </w:tabs>
        <w:rPr>
          <w:b/>
          <w:color w:val="000000"/>
          <w:szCs w:val="22"/>
        </w:rPr>
      </w:pPr>
      <w:r w:rsidRPr="004C2A59">
        <w:rPr>
          <w:b/>
          <w:color w:val="000000"/>
          <w:szCs w:val="22"/>
        </w:rPr>
        <w:t>Hvornår og hvordan skal du tage Glivec</w:t>
      </w:r>
    </w:p>
    <w:p w14:paraId="14F60670" w14:textId="77777777" w:rsidR="006F7492" w:rsidRPr="004C2A59" w:rsidRDefault="006F7492" w:rsidP="00C93654">
      <w:pPr>
        <w:keepNext/>
        <w:keepLines/>
        <w:widowControl w:val="0"/>
        <w:numPr>
          <w:ilvl w:val="1"/>
          <w:numId w:val="19"/>
        </w:numPr>
        <w:tabs>
          <w:tab w:val="clear" w:pos="1440"/>
        </w:tabs>
        <w:suppressAutoHyphens/>
        <w:ind w:left="567" w:hanging="567"/>
        <w:rPr>
          <w:bCs/>
          <w:color w:val="000000"/>
          <w:sz w:val="22"/>
          <w:szCs w:val="22"/>
          <w:lang w:val="da-DK"/>
        </w:rPr>
      </w:pPr>
      <w:r w:rsidRPr="004C2A59">
        <w:rPr>
          <w:b/>
          <w:color w:val="000000"/>
          <w:sz w:val="22"/>
          <w:szCs w:val="22"/>
          <w:lang w:val="da-DK"/>
        </w:rPr>
        <w:t xml:space="preserve">Tag Glivec sammen med et måltid. </w:t>
      </w:r>
      <w:r w:rsidRPr="004C2A59">
        <w:rPr>
          <w:color w:val="000000"/>
          <w:sz w:val="22"/>
          <w:szCs w:val="22"/>
          <w:lang w:val="da-DK"/>
        </w:rPr>
        <w:t>Dette vil hjælpe med at beskytte dig mod maveproblemer, når du tager Glivec.</w:t>
      </w:r>
    </w:p>
    <w:p w14:paraId="3D61A4EB" w14:textId="77777777" w:rsidR="006F7492" w:rsidRPr="004C2A59" w:rsidRDefault="006F7492" w:rsidP="00421681">
      <w:pPr>
        <w:widowControl w:val="0"/>
        <w:numPr>
          <w:ilvl w:val="1"/>
          <w:numId w:val="19"/>
        </w:numPr>
        <w:tabs>
          <w:tab w:val="clear" w:pos="1440"/>
        </w:tabs>
        <w:suppressAutoHyphens/>
        <w:ind w:left="567" w:hanging="567"/>
        <w:rPr>
          <w:b/>
          <w:color w:val="000000"/>
          <w:sz w:val="22"/>
          <w:szCs w:val="22"/>
          <w:lang w:val="da-DK"/>
        </w:rPr>
      </w:pPr>
      <w:r w:rsidRPr="004C2A59">
        <w:rPr>
          <w:b/>
          <w:color w:val="000000"/>
          <w:sz w:val="22"/>
          <w:szCs w:val="22"/>
          <w:lang w:val="da-DK"/>
        </w:rPr>
        <w:t>Synk tabletterne hele med et stort glas vand.</w:t>
      </w:r>
    </w:p>
    <w:p w14:paraId="6600A7FB" w14:textId="77777777" w:rsidR="006F7492" w:rsidRPr="004C2A59" w:rsidRDefault="006F7492" w:rsidP="00421681">
      <w:pPr>
        <w:pStyle w:val="Text"/>
        <w:widowControl w:val="0"/>
        <w:spacing w:before="0"/>
        <w:jc w:val="left"/>
        <w:rPr>
          <w:color w:val="000000"/>
          <w:sz w:val="22"/>
          <w:szCs w:val="22"/>
          <w:lang w:val="da-DK"/>
        </w:rPr>
      </w:pPr>
    </w:p>
    <w:p w14:paraId="42393581" w14:textId="77777777" w:rsidR="006F7492" w:rsidRPr="004C2A59" w:rsidRDefault="006F7492" w:rsidP="00C93654">
      <w:pPr>
        <w:keepNext/>
        <w:widowControl w:val="0"/>
        <w:suppressAutoHyphens/>
        <w:rPr>
          <w:sz w:val="22"/>
          <w:szCs w:val="22"/>
          <w:lang w:val="da-DK"/>
        </w:rPr>
      </w:pPr>
      <w:r w:rsidRPr="004C2A59">
        <w:rPr>
          <w:sz w:val="22"/>
          <w:szCs w:val="22"/>
          <w:lang w:val="da-DK"/>
        </w:rPr>
        <w:t>Hvis du ikke kan synke tabletterne, kan du opløse dem i et glas almindeligt vand eller æblejuice:</w:t>
      </w:r>
    </w:p>
    <w:p w14:paraId="27C6703B" w14:textId="57A957E3" w:rsidR="006F7492" w:rsidRPr="004C2A59" w:rsidRDefault="006F7492" w:rsidP="00421681">
      <w:pPr>
        <w:pStyle w:val="Text"/>
        <w:widowControl w:val="0"/>
        <w:numPr>
          <w:ilvl w:val="0"/>
          <w:numId w:val="4"/>
        </w:numPr>
        <w:tabs>
          <w:tab w:val="clear" w:pos="360"/>
        </w:tabs>
        <w:spacing w:before="0"/>
        <w:ind w:left="567" w:hanging="567"/>
        <w:jc w:val="left"/>
        <w:rPr>
          <w:color w:val="000000"/>
          <w:sz w:val="22"/>
          <w:szCs w:val="22"/>
          <w:lang w:val="da-DK"/>
        </w:rPr>
      </w:pPr>
      <w:r w:rsidRPr="004C2A59">
        <w:rPr>
          <w:color w:val="000000"/>
          <w:sz w:val="22"/>
          <w:szCs w:val="22"/>
          <w:lang w:val="da-DK"/>
        </w:rPr>
        <w:t>Brug ca. 50 ml til hver 100 mg tablet</w:t>
      </w:r>
      <w:r w:rsidR="007F6FD1">
        <w:rPr>
          <w:color w:val="000000"/>
          <w:sz w:val="22"/>
          <w:szCs w:val="22"/>
          <w:lang w:val="da-DK"/>
        </w:rPr>
        <w:t xml:space="preserve"> eller 200 ml til hver 400 mg tablet</w:t>
      </w:r>
      <w:r w:rsidRPr="004C2A59">
        <w:rPr>
          <w:color w:val="000000"/>
          <w:sz w:val="22"/>
          <w:szCs w:val="22"/>
          <w:lang w:val="da-DK"/>
        </w:rPr>
        <w:t>.</w:t>
      </w:r>
    </w:p>
    <w:p w14:paraId="02CC3D29" w14:textId="77777777" w:rsidR="006F7492" w:rsidRPr="004C2A59" w:rsidRDefault="006F7492" w:rsidP="00421681">
      <w:pPr>
        <w:pStyle w:val="Text"/>
        <w:widowControl w:val="0"/>
        <w:numPr>
          <w:ilvl w:val="0"/>
          <w:numId w:val="4"/>
        </w:numPr>
        <w:tabs>
          <w:tab w:val="clear" w:pos="360"/>
        </w:tabs>
        <w:spacing w:before="0"/>
        <w:ind w:left="567" w:hanging="567"/>
        <w:jc w:val="left"/>
        <w:rPr>
          <w:color w:val="000000"/>
          <w:sz w:val="22"/>
          <w:szCs w:val="22"/>
          <w:lang w:val="da-DK"/>
        </w:rPr>
      </w:pPr>
      <w:r w:rsidRPr="004C2A59">
        <w:rPr>
          <w:color w:val="000000"/>
          <w:sz w:val="22"/>
          <w:szCs w:val="22"/>
          <w:lang w:val="da-DK"/>
        </w:rPr>
        <w:t>Omrør med en ske indtil tabletterne er opløst fuldstændig.</w:t>
      </w:r>
    </w:p>
    <w:p w14:paraId="70530A6F" w14:textId="77777777" w:rsidR="006F7492" w:rsidRPr="004C2A59" w:rsidRDefault="006F7492" w:rsidP="00421681">
      <w:pPr>
        <w:pStyle w:val="Text"/>
        <w:widowControl w:val="0"/>
        <w:numPr>
          <w:ilvl w:val="0"/>
          <w:numId w:val="4"/>
        </w:numPr>
        <w:tabs>
          <w:tab w:val="clear" w:pos="360"/>
        </w:tabs>
        <w:spacing w:before="0"/>
        <w:ind w:left="567" w:hanging="567"/>
        <w:jc w:val="left"/>
        <w:rPr>
          <w:color w:val="000000"/>
          <w:sz w:val="22"/>
          <w:szCs w:val="22"/>
          <w:lang w:val="da-DK"/>
        </w:rPr>
      </w:pPr>
      <w:r w:rsidRPr="004C2A59">
        <w:rPr>
          <w:color w:val="000000"/>
          <w:sz w:val="22"/>
          <w:szCs w:val="22"/>
          <w:lang w:val="da-DK"/>
        </w:rPr>
        <w:t>Når tabletten er opløst, så drik hele glassets indhold med det samme. Spor af de opløste tabletter kan blive tilbage i glasset.</w:t>
      </w:r>
    </w:p>
    <w:p w14:paraId="3CC43B8A" w14:textId="77777777" w:rsidR="006F7492" w:rsidRPr="004C2A59" w:rsidRDefault="006F7492" w:rsidP="00C93654">
      <w:pPr>
        <w:pStyle w:val="Heading9"/>
        <w:keepNext w:val="0"/>
        <w:widowControl w:val="0"/>
        <w:numPr>
          <w:ilvl w:val="0"/>
          <w:numId w:val="0"/>
        </w:numPr>
        <w:rPr>
          <w:b w:val="0"/>
          <w:color w:val="000000"/>
          <w:szCs w:val="22"/>
        </w:rPr>
      </w:pPr>
    </w:p>
    <w:p w14:paraId="4F2CE73C" w14:textId="77777777" w:rsidR="006F7492" w:rsidRPr="004C2A59" w:rsidRDefault="006F7492" w:rsidP="00421681">
      <w:pPr>
        <w:pStyle w:val="Heading9"/>
        <w:widowControl w:val="0"/>
        <w:numPr>
          <w:ilvl w:val="0"/>
          <w:numId w:val="0"/>
        </w:numPr>
        <w:rPr>
          <w:color w:val="000000"/>
          <w:szCs w:val="22"/>
        </w:rPr>
      </w:pPr>
      <w:r w:rsidRPr="004C2A59">
        <w:rPr>
          <w:color w:val="000000"/>
          <w:szCs w:val="22"/>
        </w:rPr>
        <w:t>Hvor længe skal du tage Glivec</w:t>
      </w:r>
    </w:p>
    <w:p w14:paraId="08AFDB4A" w14:textId="77777777" w:rsidR="006F7492" w:rsidRPr="004C2A59" w:rsidRDefault="006F7492" w:rsidP="00421681">
      <w:pPr>
        <w:widowControl w:val="0"/>
        <w:suppressAutoHyphens/>
        <w:rPr>
          <w:color w:val="000000"/>
          <w:sz w:val="22"/>
          <w:szCs w:val="22"/>
          <w:lang w:val="da-DK"/>
        </w:rPr>
      </w:pPr>
      <w:r w:rsidRPr="004C2A59">
        <w:rPr>
          <w:color w:val="000000"/>
          <w:sz w:val="22"/>
          <w:szCs w:val="22"/>
          <w:lang w:val="da-DK"/>
        </w:rPr>
        <w:t>Bliv ved med at tage Glivec hver dag, så længe som lægen har foreskevet det.</w:t>
      </w:r>
    </w:p>
    <w:p w14:paraId="5D7C6E56" w14:textId="77777777" w:rsidR="006F7492" w:rsidRPr="004C2A59" w:rsidRDefault="006F7492" w:rsidP="00421681">
      <w:pPr>
        <w:widowControl w:val="0"/>
        <w:suppressAutoHyphens/>
        <w:rPr>
          <w:color w:val="000000"/>
          <w:sz w:val="22"/>
          <w:szCs w:val="22"/>
          <w:lang w:val="da-DK"/>
        </w:rPr>
      </w:pPr>
    </w:p>
    <w:p w14:paraId="09A1CBE3" w14:textId="77777777" w:rsidR="006F7492" w:rsidRPr="004C2A59" w:rsidRDefault="006F7492" w:rsidP="00C93654">
      <w:pPr>
        <w:pStyle w:val="BodyText3"/>
        <w:keepNext/>
        <w:widowControl w:val="0"/>
        <w:tabs>
          <w:tab w:val="clear" w:pos="-720"/>
        </w:tabs>
        <w:rPr>
          <w:b w:val="0"/>
          <w:color w:val="000000"/>
          <w:szCs w:val="22"/>
        </w:rPr>
      </w:pPr>
      <w:r w:rsidRPr="004C2A59">
        <w:rPr>
          <w:color w:val="000000"/>
          <w:szCs w:val="22"/>
        </w:rPr>
        <w:t>Hvis du har taget for meget Glivec</w:t>
      </w:r>
    </w:p>
    <w:p w14:paraId="1F17737F" w14:textId="77777777" w:rsidR="006F7492" w:rsidRPr="004C2A59" w:rsidRDefault="006F7492" w:rsidP="00421681">
      <w:pPr>
        <w:widowControl w:val="0"/>
        <w:rPr>
          <w:color w:val="000000"/>
          <w:sz w:val="22"/>
          <w:szCs w:val="22"/>
          <w:lang w:val="da-DK"/>
        </w:rPr>
      </w:pPr>
      <w:r w:rsidRPr="004C2A59">
        <w:rPr>
          <w:color w:val="000000"/>
          <w:sz w:val="22"/>
          <w:szCs w:val="22"/>
          <w:lang w:val="da-DK"/>
        </w:rPr>
        <w:t xml:space="preserve">Hvis du ved et uheld har indtaget for mange tabletter, skal du kontakte din læge </w:t>
      </w:r>
      <w:r w:rsidRPr="004C2A59">
        <w:rPr>
          <w:b/>
          <w:color w:val="000000"/>
          <w:sz w:val="22"/>
          <w:szCs w:val="22"/>
          <w:lang w:val="da-DK"/>
        </w:rPr>
        <w:t>med det samme</w:t>
      </w:r>
      <w:r w:rsidRPr="004C2A59">
        <w:rPr>
          <w:color w:val="000000"/>
          <w:sz w:val="22"/>
          <w:szCs w:val="22"/>
          <w:lang w:val="da-DK"/>
        </w:rPr>
        <w:t>. Lægebehandling kan være nødvendig. Tag pakningen med dig.</w:t>
      </w:r>
    </w:p>
    <w:p w14:paraId="61B6932B" w14:textId="77777777" w:rsidR="006F7492" w:rsidRPr="004C2A59" w:rsidRDefault="006F7492" w:rsidP="00421681">
      <w:pPr>
        <w:pStyle w:val="BodyText3"/>
        <w:widowControl w:val="0"/>
        <w:tabs>
          <w:tab w:val="clear" w:pos="-720"/>
        </w:tabs>
        <w:rPr>
          <w:b w:val="0"/>
          <w:color w:val="000000"/>
          <w:szCs w:val="22"/>
        </w:rPr>
      </w:pPr>
    </w:p>
    <w:p w14:paraId="3438D621" w14:textId="77777777" w:rsidR="006F7492" w:rsidRPr="004C2A59" w:rsidRDefault="006F7492" w:rsidP="00C93654">
      <w:pPr>
        <w:pStyle w:val="BodyText3"/>
        <w:keepNext/>
        <w:widowControl w:val="0"/>
        <w:tabs>
          <w:tab w:val="clear" w:pos="-720"/>
        </w:tabs>
        <w:rPr>
          <w:b w:val="0"/>
          <w:color w:val="000000"/>
          <w:szCs w:val="22"/>
        </w:rPr>
      </w:pPr>
      <w:r w:rsidRPr="004C2A59">
        <w:rPr>
          <w:color w:val="000000"/>
          <w:szCs w:val="22"/>
        </w:rPr>
        <w:t>Hvis du har glemt at tage Glivec</w:t>
      </w:r>
    </w:p>
    <w:p w14:paraId="037B6CFC" w14:textId="77777777" w:rsidR="006F7492" w:rsidRPr="004C2A59" w:rsidRDefault="006F7492" w:rsidP="00421681">
      <w:pPr>
        <w:widowControl w:val="0"/>
        <w:numPr>
          <w:ilvl w:val="0"/>
          <w:numId w:val="20"/>
        </w:numPr>
        <w:tabs>
          <w:tab w:val="clear" w:pos="927"/>
        </w:tabs>
        <w:ind w:left="567" w:hanging="567"/>
        <w:rPr>
          <w:color w:val="000000"/>
          <w:sz w:val="22"/>
          <w:szCs w:val="22"/>
          <w:lang w:val="da-DK"/>
        </w:rPr>
      </w:pPr>
      <w:r w:rsidRPr="004C2A59">
        <w:rPr>
          <w:color w:val="000000"/>
          <w:sz w:val="22"/>
          <w:szCs w:val="22"/>
          <w:lang w:val="da-DK"/>
        </w:rPr>
        <w:t>Hvis du glemmer at tage en dosis, så tag den, så snart du kommer i tanker om det. Men hvis det næsten er tid til at tage den næste dosis, skal du springe den glemte dosis over.</w:t>
      </w:r>
    </w:p>
    <w:p w14:paraId="3110AD7B" w14:textId="77777777" w:rsidR="006F7492" w:rsidRPr="004C2A59" w:rsidRDefault="006F7492" w:rsidP="00421681">
      <w:pPr>
        <w:widowControl w:val="0"/>
        <w:numPr>
          <w:ilvl w:val="0"/>
          <w:numId w:val="20"/>
        </w:numPr>
        <w:tabs>
          <w:tab w:val="clear" w:pos="927"/>
        </w:tabs>
        <w:ind w:left="567" w:hanging="567"/>
        <w:rPr>
          <w:color w:val="000000"/>
          <w:sz w:val="22"/>
          <w:szCs w:val="22"/>
          <w:lang w:val="da-DK"/>
        </w:rPr>
      </w:pPr>
      <w:r w:rsidRPr="004C2A59">
        <w:rPr>
          <w:color w:val="000000"/>
          <w:sz w:val="22"/>
          <w:szCs w:val="22"/>
          <w:lang w:val="da-DK"/>
        </w:rPr>
        <w:t>Fortsæt derefter med den planlagte dosering.</w:t>
      </w:r>
    </w:p>
    <w:p w14:paraId="67DC086B" w14:textId="77777777" w:rsidR="006F7492" w:rsidRPr="004C2A59" w:rsidRDefault="006F7492" w:rsidP="00421681">
      <w:pPr>
        <w:widowControl w:val="0"/>
        <w:numPr>
          <w:ilvl w:val="0"/>
          <w:numId w:val="20"/>
        </w:numPr>
        <w:tabs>
          <w:tab w:val="clear" w:pos="927"/>
        </w:tabs>
        <w:ind w:left="567" w:hanging="567"/>
        <w:rPr>
          <w:color w:val="000000"/>
          <w:sz w:val="22"/>
          <w:szCs w:val="22"/>
          <w:lang w:val="da-DK"/>
        </w:rPr>
      </w:pPr>
      <w:r w:rsidRPr="004C2A59">
        <w:rPr>
          <w:color w:val="000000"/>
          <w:sz w:val="22"/>
          <w:szCs w:val="22"/>
          <w:lang w:val="da-DK"/>
        </w:rPr>
        <w:t>Du må ikke tage en dobbeltdosis som erstatning for den glemte dosis.</w:t>
      </w:r>
    </w:p>
    <w:p w14:paraId="7F3BEEAC" w14:textId="77777777" w:rsidR="006F7492" w:rsidRPr="004C2A59" w:rsidRDefault="006F7492" w:rsidP="00421681">
      <w:pPr>
        <w:pStyle w:val="BodyText3"/>
        <w:widowControl w:val="0"/>
        <w:tabs>
          <w:tab w:val="clear" w:pos="-720"/>
        </w:tabs>
        <w:rPr>
          <w:b w:val="0"/>
          <w:color w:val="000000"/>
          <w:szCs w:val="22"/>
        </w:rPr>
      </w:pPr>
    </w:p>
    <w:p w14:paraId="39403BB7" w14:textId="77777777" w:rsidR="006F7492" w:rsidRPr="004C2A59" w:rsidRDefault="006F7492" w:rsidP="00421681">
      <w:pPr>
        <w:widowControl w:val="0"/>
        <w:suppressAutoHyphens/>
        <w:ind w:left="567" w:hanging="567"/>
        <w:rPr>
          <w:color w:val="000000"/>
          <w:sz w:val="22"/>
          <w:szCs w:val="22"/>
          <w:lang w:val="da-DK"/>
        </w:rPr>
      </w:pPr>
      <w:r w:rsidRPr="004C2A59">
        <w:rPr>
          <w:color w:val="000000"/>
          <w:sz w:val="22"/>
          <w:szCs w:val="22"/>
          <w:lang w:val="da-DK"/>
        </w:rPr>
        <w:t>Spørg lægen</w:t>
      </w:r>
      <w:r w:rsidR="00CB20E5" w:rsidRPr="004C2A59">
        <w:rPr>
          <w:color w:val="000000"/>
          <w:sz w:val="22"/>
          <w:szCs w:val="22"/>
          <w:lang w:val="da-DK"/>
        </w:rPr>
        <w:t>,</w:t>
      </w:r>
      <w:r w:rsidRPr="004C2A59">
        <w:rPr>
          <w:color w:val="000000"/>
          <w:sz w:val="22"/>
          <w:szCs w:val="22"/>
          <w:lang w:val="da-DK"/>
        </w:rPr>
        <w:t xml:space="preserve"> apotek</w:t>
      </w:r>
      <w:r w:rsidR="005853AA" w:rsidRPr="004C2A59">
        <w:rPr>
          <w:color w:val="000000"/>
          <w:sz w:val="22"/>
          <w:szCs w:val="22"/>
          <w:lang w:val="da-DK"/>
        </w:rPr>
        <w:t>spersonalet</w:t>
      </w:r>
      <w:r w:rsidR="00CB20E5" w:rsidRPr="004C2A59">
        <w:rPr>
          <w:color w:val="000000"/>
          <w:sz w:val="22"/>
          <w:szCs w:val="22"/>
          <w:lang w:val="da-DK"/>
        </w:rPr>
        <w:t xml:space="preserve"> eller sundhedspersonalet</w:t>
      </w:r>
      <w:r w:rsidRPr="004C2A59">
        <w:rPr>
          <w:color w:val="000000"/>
          <w:sz w:val="22"/>
          <w:szCs w:val="22"/>
          <w:lang w:val="da-DK"/>
        </w:rPr>
        <w:t>, hvis der er noget, du er i tvivl om.</w:t>
      </w:r>
    </w:p>
    <w:p w14:paraId="703F9F70" w14:textId="77777777" w:rsidR="006F7492" w:rsidRPr="004C2A59" w:rsidRDefault="006F7492" w:rsidP="00421681">
      <w:pPr>
        <w:pStyle w:val="BodyText3"/>
        <w:widowControl w:val="0"/>
        <w:tabs>
          <w:tab w:val="clear" w:pos="-720"/>
        </w:tabs>
        <w:rPr>
          <w:b w:val="0"/>
          <w:color w:val="000000"/>
          <w:szCs w:val="22"/>
        </w:rPr>
      </w:pPr>
    </w:p>
    <w:p w14:paraId="53D48239" w14:textId="77777777" w:rsidR="006F7492" w:rsidRPr="004C2A59" w:rsidRDefault="006F7492" w:rsidP="00421681">
      <w:pPr>
        <w:widowControl w:val="0"/>
        <w:suppressAutoHyphens/>
        <w:ind w:left="567" w:hanging="567"/>
        <w:rPr>
          <w:color w:val="000000"/>
          <w:sz w:val="22"/>
          <w:szCs w:val="22"/>
          <w:lang w:val="da-DK"/>
        </w:rPr>
      </w:pPr>
    </w:p>
    <w:p w14:paraId="1A94AC56" w14:textId="77777777" w:rsidR="00A573B3" w:rsidRPr="004C2A59" w:rsidRDefault="00A573B3" w:rsidP="00C93654">
      <w:pPr>
        <w:keepNext/>
        <w:widowControl w:val="0"/>
        <w:suppressAutoHyphens/>
        <w:ind w:left="567" w:hanging="567"/>
        <w:rPr>
          <w:color w:val="000000"/>
          <w:sz w:val="22"/>
          <w:szCs w:val="22"/>
          <w:lang w:val="da-DK"/>
        </w:rPr>
      </w:pPr>
      <w:r w:rsidRPr="004C2A59">
        <w:rPr>
          <w:b/>
          <w:color w:val="000000"/>
          <w:sz w:val="22"/>
          <w:szCs w:val="22"/>
          <w:lang w:val="da-DK"/>
        </w:rPr>
        <w:t>4.</w:t>
      </w:r>
      <w:r w:rsidRPr="004C2A59">
        <w:rPr>
          <w:b/>
          <w:color w:val="000000"/>
          <w:sz w:val="22"/>
          <w:szCs w:val="22"/>
          <w:lang w:val="da-DK"/>
        </w:rPr>
        <w:tab/>
        <w:t>Bivirkninger</w:t>
      </w:r>
    </w:p>
    <w:p w14:paraId="54A41ABC" w14:textId="77777777" w:rsidR="00A573B3" w:rsidRPr="004C2A59" w:rsidRDefault="00A573B3" w:rsidP="00C93654">
      <w:pPr>
        <w:keepNext/>
        <w:widowControl w:val="0"/>
        <w:suppressAutoHyphens/>
        <w:rPr>
          <w:color w:val="000000"/>
          <w:sz w:val="22"/>
          <w:szCs w:val="22"/>
          <w:lang w:val="da-DK"/>
        </w:rPr>
      </w:pPr>
    </w:p>
    <w:p w14:paraId="36A280AE" w14:textId="77777777" w:rsidR="00A573B3" w:rsidRPr="004C2A59" w:rsidRDefault="00A573B3" w:rsidP="00421681">
      <w:pPr>
        <w:widowControl w:val="0"/>
        <w:suppressAutoHyphens/>
        <w:rPr>
          <w:color w:val="000000"/>
          <w:sz w:val="22"/>
          <w:szCs w:val="22"/>
          <w:lang w:val="da-DK"/>
        </w:rPr>
      </w:pPr>
      <w:r w:rsidRPr="004C2A59">
        <w:rPr>
          <w:color w:val="000000"/>
          <w:sz w:val="22"/>
          <w:szCs w:val="22"/>
          <w:lang w:val="da-DK"/>
        </w:rPr>
        <w:t>Dette lægemiddel kan som al anden medicin give bivirkninger, men ikke alle får bivirkninger. De er som regel lette til moderate.</w:t>
      </w:r>
    </w:p>
    <w:p w14:paraId="132F59A6" w14:textId="77777777" w:rsidR="00A573B3" w:rsidRPr="004C2A59" w:rsidRDefault="00A573B3" w:rsidP="00421681">
      <w:pPr>
        <w:widowControl w:val="0"/>
        <w:suppressAutoHyphens/>
        <w:rPr>
          <w:color w:val="000000"/>
          <w:sz w:val="22"/>
          <w:szCs w:val="22"/>
          <w:lang w:val="da-DK"/>
        </w:rPr>
      </w:pPr>
    </w:p>
    <w:p w14:paraId="1A8EDEE4" w14:textId="77777777" w:rsidR="00A573B3" w:rsidRPr="004C2A59" w:rsidRDefault="00A573B3" w:rsidP="00C93654">
      <w:pPr>
        <w:keepNext/>
        <w:keepLines/>
        <w:widowControl w:val="0"/>
        <w:suppressAutoHyphens/>
        <w:rPr>
          <w:b/>
          <w:sz w:val="22"/>
          <w:szCs w:val="22"/>
          <w:lang w:val="da-DK"/>
        </w:rPr>
      </w:pPr>
      <w:r w:rsidRPr="004C2A59">
        <w:rPr>
          <w:b/>
          <w:sz w:val="22"/>
          <w:szCs w:val="22"/>
          <w:lang w:val="da-DK"/>
        </w:rPr>
        <w:lastRenderedPageBreak/>
        <w:t>Nogle bivirkninger kan være alvorlige. Kontakt din læge med det samme, hvis du oplever nogle af de følgende bivirkninger:</w:t>
      </w:r>
    </w:p>
    <w:p w14:paraId="7609A365" w14:textId="77777777" w:rsidR="00A573B3" w:rsidRPr="004C2A59" w:rsidRDefault="00A573B3" w:rsidP="00C93654">
      <w:pPr>
        <w:pStyle w:val="BodyText3"/>
        <w:keepNext/>
        <w:widowControl w:val="0"/>
        <w:tabs>
          <w:tab w:val="clear" w:pos="-720"/>
        </w:tabs>
        <w:rPr>
          <w:b w:val="0"/>
          <w:bCs/>
          <w:i/>
          <w:iCs/>
          <w:color w:val="000000"/>
          <w:szCs w:val="22"/>
        </w:rPr>
      </w:pPr>
    </w:p>
    <w:p w14:paraId="6ACE6056" w14:textId="77777777" w:rsidR="00A573B3" w:rsidRPr="004C2A59" w:rsidRDefault="00A573B3" w:rsidP="00C93654">
      <w:pPr>
        <w:pStyle w:val="BodyText3"/>
        <w:keepNext/>
        <w:keepLines/>
        <w:widowControl w:val="0"/>
        <w:tabs>
          <w:tab w:val="clear" w:pos="-720"/>
        </w:tabs>
        <w:rPr>
          <w:b w:val="0"/>
          <w:bCs/>
          <w:iCs/>
          <w:color w:val="000000"/>
          <w:szCs w:val="22"/>
        </w:rPr>
      </w:pPr>
      <w:r w:rsidRPr="004C2A59">
        <w:rPr>
          <w:bCs/>
          <w:iCs/>
          <w:color w:val="000000"/>
          <w:szCs w:val="22"/>
        </w:rPr>
        <w:t>Meget almindelige</w:t>
      </w:r>
      <w:r w:rsidRPr="004C2A59">
        <w:rPr>
          <w:b w:val="0"/>
          <w:bCs/>
          <w:iCs/>
          <w:color w:val="000000"/>
          <w:szCs w:val="22"/>
        </w:rPr>
        <w:t xml:space="preserve"> (kan forekomme hos flere end 1 ud af 10 patienter) </w:t>
      </w:r>
      <w:r w:rsidRPr="004C2A59">
        <w:rPr>
          <w:bCs/>
          <w:iCs/>
          <w:color w:val="000000"/>
          <w:szCs w:val="22"/>
        </w:rPr>
        <w:t>eller almindelige</w:t>
      </w:r>
      <w:r w:rsidRPr="004C2A59">
        <w:rPr>
          <w:b w:val="0"/>
          <w:bCs/>
          <w:iCs/>
          <w:color w:val="000000"/>
          <w:szCs w:val="22"/>
        </w:rPr>
        <w:t xml:space="preserve"> (kan forekomme hos op til 1 ud af 10 patienter):</w:t>
      </w:r>
    </w:p>
    <w:p w14:paraId="0A52ACD2" w14:textId="77777777" w:rsidR="00A573B3" w:rsidRPr="004C2A59" w:rsidRDefault="00A573B3" w:rsidP="00C93654">
      <w:pPr>
        <w:keepLines/>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Hurtig vægtøgning. Glivec kan føre til, at din krop kan begynde at ophobe væske (svære ødemer).</w:t>
      </w:r>
    </w:p>
    <w:p w14:paraId="20BCA538"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Symptomer på infektioner såsom feber, kraftige kulderystelser, ondt i halsen eller sår i munden. Glivec kan nedsætte antallet af hvide blodlegemer, så du lettere kan få infektioner.</w:t>
      </w:r>
    </w:p>
    <w:p w14:paraId="001B2047"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Hvis du oplever uventede blødninger eller blå mærker (når du ikke er kommet til skade).</w:t>
      </w:r>
    </w:p>
    <w:p w14:paraId="2BB1E97C" w14:textId="77777777" w:rsidR="00A573B3" w:rsidRPr="004C2A59" w:rsidRDefault="00A573B3" w:rsidP="00421681">
      <w:pPr>
        <w:widowControl w:val="0"/>
        <w:suppressAutoHyphens/>
        <w:rPr>
          <w:color w:val="000000"/>
          <w:sz w:val="22"/>
          <w:szCs w:val="22"/>
          <w:lang w:val="da-DK"/>
        </w:rPr>
      </w:pPr>
    </w:p>
    <w:p w14:paraId="6356FB89" w14:textId="77777777" w:rsidR="00A573B3" w:rsidRPr="004C2A59" w:rsidRDefault="00A573B3" w:rsidP="00C93654">
      <w:pPr>
        <w:keepNext/>
        <w:keepLines/>
        <w:widowControl w:val="0"/>
        <w:suppressAutoHyphens/>
        <w:rPr>
          <w:iCs/>
          <w:color w:val="000000"/>
          <w:sz w:val="22"/>
          <w:szCs w:val="22"/>
          <w:lang w:val="da-DK"/>
        </w:rPr>
      </w:pPr>
      <w:r w:rsidRPr="004C2A59">
        <w:rPr>
          <w:b/>
          <w:iCs/>
          <w:color w:val="000000"/>
          <w:sz w:val="22"/>
          <w:szCs w:val="22"/>
          <w:lang w:val="da-DK"/>
        </w:rPr>
        <w:t>Ikke almindelige</w:t>
      </w:r>
      <w:r w:rsidRPr="004C2A59">
        <w:rPr>
          <w:iCs/>
          <w:color w:val="000000"/>
          <w:sz w:val="22"/>
          <w:szCs w:val="22"/>
          <w:lang w:val="da-DK"/>
        </w:rPr>
        <w:t xml:space="preserve"> (kan forekomme hos op til 1 ud af 100 patienter) </w:t>
      </w:r>
      <w:r w:rsidRPr="004C2A59">
        <w:rPr>
          <w:b/>
          <w:iCs/>
          <w:color w:val="000000"/>
          <w:sz w:val="22"/>
          <w:szCs w:val="22"/>
          <w:lang w:val="da-DK"/>
        </w:rPr>
        <w:t>til sjældne</w:t>
      </w:r>
      <w:r w:rsidRPr="004C2A59">
        <w:rPr>
          <w:iCs/>
          <w:color w:val="000000"/>
          <w:sz w:val="22"/>
          <w:szCs w:val="22"/>
          <w:lang w:val="da-DK"/>
        </w:rPr>
        <w:t xml:space="preserve"> (kan forekomme hos op til 1 ud af 1.000 patienter):</w:t>
      </w:r>
    </w:p>
    <w:p w14:paraId="1AFC958E"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Brystsmerter, uregelmæssig hjerterytme (tegn på hjerteproblemer).</w:t>
      </w:r>
    </w:p>
    <w:p w14:paraId="670239CE"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Hoste, åndedrætsbesvær eller smerter ved vejrtrækning (tegn på lungeproblemer).</w:t>
      </w:r>
    </w:p>
    <w:p w14:paraId="5B709024"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Føle sig svimmel eller besvime (tegn på lavt blodtryk).</w:t>
      </w:r>
    </w:p>
    <w:p w14:paraId="08569C09"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Have kvalme med tab af appetitten, mørk urin, gul hud eller øjne (tegn på leverproblemer).</w:t>
      </w:r>
    </w:p>
    <w:p w14:paraId="7DACA868"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Udslæt, rød hud med små blærer på læber, øjne, hud eller mund, afskallet hud, feber, hævede røde eller lilla hudområder, kløe, brændende fornemmelse, pustuløst udslæt (tegn på hudproblemer).</w:t>
      </w:r>
    </w:p>
    <w:p w14:paraId="63C5A540"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Kraftige mavesmerter, blod i opkast, afføring eller urin, sortfarvet afføring (tegn på mave-tarm-sygdomme).</w:t>
      </w:r>
    </w:p>
    <w:p w14:paraId="306171AD"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Kraftigt nedsat urinmængde, følelse af tørst (tegn på nyreproblemer).</w:t>
      </w:r>
    </w:p>
    <w:p w14:paraId="2552C321"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Have kvalme med diarré og opkastning, mavesmerter eller feber (tegn på tarmproblemer).</w:t>
      </w:r>
    </w:p>
    <w:p w14:paraId="73149530"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Kraftig hovedpine, svækkelse eller lammelser af lemmer eller ansigt, talebesvær, pludseligt bevidsthedstab (tegn på problemer med nervesystemet såsom blødning eller hævelse i kranie/hjerne).</w:t>
      </w:r>
    </w:p>
    <w:p w14:paraId="77AC4839"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Bleghed, føle sig træt og stakåndet og have mørk urin (tegn på lavt antal røde blodceller).</w:t>
      </w:r>
    </w:p>
    <w:p w14:paraId="275BA13A"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Øjensmerter eller svækkelse af dit syn, blødning i øjnene.</w:t>
      </w:r>
    </w:p>
    <w:p w14:paraId="014504EB"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Smerte i hoften eller svært ved at gå.</w:t>
      </w:r>
    </w:p>
    <w:p w14:paraId="4FDA4C7D"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Følelsesløse eller kolde tæer og fingre (tegn på Raynaud´s syndrom).</w:t>
      </w:r>
    </w:p>
    <w:p w14:paraId="04B53C32"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Pludselig hævelse og rødme af huden (tegn på en hudinfektion kaldet cellulitis).</w:t>
      </w:r>
    </w:p>
    <w:p w14:paraId="37D2EE81"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Hørebesvær.</w:t>
      </w:r>
    </w:p>
    <w:p w14:paraId="3214A860"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Muskelsvaghed, kramper og en unormal hjerterytme (tegn på ændringer i mængden af kalium i dit blod).</w:t>
      </w:r>
    </w:p>
    <w:p w14:paraId="5D8C38B9"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Let ved at få blå mærker.</w:t>
      </w:r>
    </w:p>
    <w:p w14:paraId="676906D8"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Mavesmerter med kvalme.</w:t>
      </w:r>
    </w:p>
    <w:p w14:paraId="43386D0D"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Muskelkramper med feber, rød-brun urin, smerter eller svaghed i dine muskler (tegn på muskelproblemer).</w:t>
      </w:r>
    </w:p>
    <w:p w14:paraId="66BC6ABB" w14:textId="77777777" w:rsidR="00A573B3" w:rsidRPr="004C2A59" w:rsidRDefault="00A573B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Bækkensmerter, nogle gange med kvalme og opkastninger med uventet vaginalblødning, føle sig svimmel eller besvime pga. nedsat blodtryk (tegn på problemer med dine æggestokke eller livmoder).</w:t>
      </w:r>
    </w:p>
    <w:p w14:paraId="65576E0F" w14:textId="77777777" w:rsidR="00FF5453" w:rsidRDefault="00FF5453" w:rsidP="00421681">
      <w:pPr>
        <w:widowControl w:val="0"/>
        <w:numPr>
          <w:ilvl w:val="0"/>
          <w:numId w:val="6"/>
        </w:numPr>
        <w:tabs>
          <w:tab w:val="clear" w:pos="360"/>
        </w:tabs>
        <w:suppressAutoHyphens/>
        <w:ind w:left="567" w:hanging="567"/>
        <w:rPr>
          <w:color w:val="000000"/>
          <w:sz w:val="22"/>
          <w:szCs w:val="22"/>
          <w:lang w:val="da-DK"/>
        </w:rPr>
      </w:pPr>
      <w:r w:rsidRPr="004C2A59">
        <w:rPr>
          <w:color w:val="000000"/>
          <w:sz w:val="22"/>
          <w:szCs w:val="22"/>
          <w:lang w:val="da-DK"/>
        </w:rPr>
        <w:t>Kvalme, åndenød, uregelmæssig hjerterytme (puls), uklar urin, træthed og/eller ubehag forbundet med abnorme resultater af laboratorieprøver (f.eks. højt indhold af kalium, urinsyre og calcium i blodet og lavt indhold af fosfor i blodet).</w:t>
      </w:r>
    </w:p>
    <w:p w14:paraId="66262564" w14:textId="77777777" w:rsidR="009A38E5" w:rsidRPr="00F852D1" w:rsidRDefault="009A38E5" w:rsidP="00421681">
      <w:pPr>
        <w:widowControl w:val="0"/>
        <w:numPr>
          <w:ilvl w:val="0"/>
          <w:numId w:val="6"/>
        </w:numPr>
        <w:tabs>
          <w:tab w:val="clear" w:pos="360"/>
        </w:tabs>
        <w:suppressAutoHyphens/>
        <w:ind w:left="567" w:hanging="567"/>
        <w:rPr>
          <w:color w:val="000000"/>
          <w:sz w:val="22"/>
          <w:szCs w:val="22"/>
          <w:lang w:val="sv-SE"/>
        </w:rPr>
      </w:pPr>
      <w:r w:rsidRPr="00F852D1">
        <w:rPr>
          <w:color w:val="000000"/>
          <w:sz w:val="22"/>
          <w:szCs w:val="22"/>
          <w:lang w:val="sv-SE"/>
        </w:rPr>
        <w:t>Blodpropper i små blodkar (trombotisk mikroangiopati).</w:t>
      </w:r>
    </w:p>
    <w:p w14:paraId="60755567" w14:textId="77777777" w:rsidR="00FF5453" w:rsidRPr="00F852D1" w:rsidRDefault="00FF5453" w:rsidP="00421681">
      <w:pPr>
        <w:widowControl w:val="0"/>
        <w:suppressAutoHyphens/>
        <w:rPr>
          <w:color w:val="000000"/>
          <w:sz w:val="22"/>
          <w:szCs w:val="22"/>
          <w:lang w:val="sv-SE"/>
        </w:rPr>
      </w:pPr>
    </w:p>
    <w:p w14:paraId="105A35B9" w14:textId="77777777" w:rsidR="00FF5453" w:rsidRPr="004C2A59" w:rsidRDefault="00FF5453" w:rsidP="00C93654">
      <w:pPr>
        <w:keepNext/>
        <w:widowControl w:val="0"/>
        <w:suppressAutoHyphens/>
        <w:rPr>
          <w:color w:val="000000"/>
          <w:sz w:val="22"/>
          <w:szCs w:val="22"/>
          <w:lang w:val="da-DK"/>
        </w:rPr>
      </w:pPr>
      <w:r w:rsidRPr="004C2A59">
        <w:rPr>
          <w:b/>
          <w:color w:val="000000"/>
          <w:sz w:val="22"/>
          <w:szCs w:val="22"/>
          <w:lang w:val="da-DK"/>
        </w:rPr>
        <w:t xml:space="preserve">Ikke kendt </w:t>
      </w:r>
      <w:r w:rsidRPr="004C2A59">
        <w:rPr>
          <w:bCs/>
          <w:color w:val="000000"/>
          <w:sz w:val="22"/>
          <w:szCs w:val="22"/>
          <w:lang w:val="da-DK"/>
        </w:rPr>
        <w:t>(kan ikke vurderes ud fra tilgængelige data):</w:t>
      </w:r>
    </w:p>
    <w:p w14:paraId="6FCBC3DC" w14:textId="77777777" w:rsidR="00FF5453" w:rsidRDefault="00FF5453" w:rsidP="00421681">
      <w:pPr>
        <w:widowControl w:val="0"/>
        <w:numPr>
          <w:ilvl w:val="0"/>
          <w:numId w:val="27"/>
        </w:numPr>
        <w:suppressAutoHyphens/>
        <w:ind w:left="567" w:hanging="567"/>
        <w:rPr>
          <w:color w:val="000000"/>
          <w:sz w:val="22"/>
          <w:szCs w:val="22"/>
          <w:lang w:val="da-DK"/>
        </w:rPr>
      </w:pPr>
      <w:r w:rsidRPr="004C2A59">
        <w:rPr>
          <w:color w:val="000000"/>
          <w:sz w:val="22"/>
          <w:szCs w:val="22"/>
          <w:lang w:val="da-DK"/>
        </w:rPr>
        <w:t>Kombination af omfattende svært udslæt, følelse af at være syg, feber, højt indhold af visse hvide blodlegemer eller gul hud eller øjne (tegn på gulsot) med stakåndethed, brystsmerter/ubehag, svært nedsat urinproduktion og tørst osv. (tegn på en behandlingsrelateret allergisk reaktion).</w:t>
      </w:r>
    </w:p>
    <w:p w14:paraId="7725BDF6" w14:textId="77777777" w:rsidR="00DC6B8A" w:rsidRDefault="00EF73D1" w:rsidP="00421681">
      <w:pPr>
        <w:widowControl w:val="0"/>
        <w:numPr>
          <w:ilvl w:val="0"/>
          <w:numId w:val="27"/>
        </w:numPr>
        <w:suppressAutoHyphens/>
        <w:ind w:left="567" w:hanging="567"/>
        <w:rPr>
          <w:color w:val="000000"/>
          <w:sz w:val="22"/>
          <w:szCs w:val="22"/>
          <w:lang w:val="da-DK"/>
        </w:rPr>
      </w:pPr>
      <w:r>
        <w:rPr>
          <w:color w:val="000000"/>
          <w:sz w:val="22"/>
          <w:szCs w:val="22"/>
          <w:lang w:val="da-DK"/>
        </w:rPr>
        <w:t>Kronisk nyresvigt</w:t>
      </w:r>
      <w:r w:rsidR="00C0617B">
        <w:rPr>
          <w:color w:val="000000"/>
          <w:sz w:val="22"/>
          <w:szCs w:val="22"/>
          <w:lang w:val="da-DK"/>
        </w:rPr>
        <w:t>.</w:t>
      </w:r>
    </w:p>
    <w:p w14:paraId="7DF58E0F" w14:textId="77777777" w:rsidR="00EF73D1" w:rsidRPr="00636691" w:rsidRDefault="00DC6B8A" w:rsidP="00421681">
      <w:pPr>
        <w:widowControl w:val="0"/>
        <w:numPr>
          <w:ilvl w:val="0"/>
          <w:numId w:val="27"/>
        </w:numPr>
        <w:suppressAutoHyphens/>
        <w:ind w:left="567" w:hanging="567"/>
        <w:rPr>
          <w:color w:val="000000"/>
          <w:sz w:val="22"/>
          <w:szCs w:val="22"/>
          <w:lang w:val="da-DK"/>
        </w:rPr>
      </w:pPr>
      <w:r w:rsidRPr="00DC6B8A">
        <w:rPr>
          <w:color w:val="000000"/>
          <w:sz w:val="22"/>
          <w:szCs w:val="22"/>
          <w:lang w:val="da-DK"/>
        </w:rPr>
        <w:t>G</w:t>
      </w:r>
      <w:r w:rsidRPr="00144B22">
        <w:rPr>
          <w:color w:val="000000"/>
          <w:sz w:val="22"/>
          <w:szCs w:val="22"/>
          <w:lang w:val="da-DK"/>
        </w:rPr>
        <w:t>enopblussen (reaktivering) af hepatitis B-infektion, hvis du tidligere har haft hepatitis B (leverbetændelse type B).</w:t>
      </w:r>
    </w:p>
    <w:p w14:paraId="5057D3DA" w14:textId="77777777" w:rsidR="00F25F99" w:rsidRPr="004C2A59" w:rsidRDefault="00F25F99" w:rsidP="00421681">
      <w:pPr>
        <w:widowControl w:val="0"/>
        <w:suppressAutoHyphens/>
        <w:rPr>
          <w:color w:val="000000"/>
          <w:sz w:val="22"/>
          <w:szCs w:val="22"/>
          <w:lang w:val="da-DK"/>
        </w:rPr>
      </w:pPr>
    </w:p>
    <w:p w14:paraId="54673C85" w14:textId="77777777" w:rsidR="00A573B3" w:rsidRPr="004C2A59" w:rsidRDefault="00A573B3" w:rsidP="00421681">
      <w:pPr>
        <w:widowControl w:val="0"/>
        <w:suppressAutoHyphens/>
        <w:rPr>
          <w:sz w:val="22"/>
          <w:szCs w:val="22"/>
          <w:lang w:val="da-DK"/>
        </w:rPr>
      </w:pPr>
      <w:r w:rsidRPr="004C2A59">
        <w:rPr>
          <w:b/>
          <w:sz w:val="22"/>
          <w:szCs w:val="22"/>
          <w:lang w:val="da-DK"/>
        </w:rPr>
        <w:t xml:space="preserve">Kontakt din læge med det samme, </w:t>
      </w:r>
      <w:r w:rsidRPr="004C2A59">
        <w:rPr>
          <w:sz w:val="22"/>
          <w:szCs w:val="22"/>
          <w:lang w:val="da-DK"/>
        </w:rPr>
        <w:t>hvis du oplever en af ovenstående bivirkninger.</w:t>
      </w:r>
    </w:p>
    <w:p w14:paraId="17898A7E" w14:textId="77777777" w:rsidR="00A573B3" w:rsidRPr="004C2A59" w:rsidRDefault="00A573B3" w:rsidP="00421681">
      <w:pPr>
        <w:widowControl w:val="0"/>
        <w:suppressAutoHyphens/>
        <w:rPr>
          <w:color w:val="000000"/>
          <w:sz w:val="22"/>
          <w:szCs w:val="22"/>
          <w:lang w:val="da-DK"/>
        </w:rPr>
      </w:pPr>
    </w:p>
    <w:p w14:paraId="1292C4E4" w14:textId="77777777" w:rsidR="00A573B3" w:rsidRPr="004C2A59" w:rsidRDefault="00A573B3" w:rsidP="00C93654">
      <w:pPr>
        <w:keepNext/>
        <w:widowControl w:val="0"/>
        <w:suppressAutoHyphens/>
        <w:rPr>
          <w:b/>
          <w:color w:val="000000"/>
          <w:sz w:val="22"/>
          <w:szCs w:val="22"/>
          <w:lang w:val="da-DK"/>
        </w:rPr>
      </w:pPr>
      <w:r w:rsidRPr="004C2A59">
        <w:rPr>
          <w:b/>
          <w:color w:val="000000"/>
          <w:sz w:val="22"/>
          <w:szCs w:val="22"/>
          <w:lang w:val="da-DK"/>
        </w:rPr>
        <w:t>Andre bivirkninger kan omfatte:</w:t>
      </w:r>
    </w:p>
    <w:p w14:paraId="23980C63" w14:textId="77777777" w:rsidR="00A573B3" w:rsidRPr="004C2A59" w:rsidRDefault="00A573B3" w:rsidP="00C93654">
      <w:pPr>
        <w:keepNext/>
        <w:widowControl w:val="0"/>
        <w:suppressAutoHyphens/>
        <w:rPr>
          <w:bCs/>
          <w:i/>
          <w:iCs/>
          <w:color w:val="000000"/>
          <w:sz w:val="22"/>
          <w:szCs w:val="22"/>
          <w:lang w:val="da-DK"/>
        </w:rPr>
      </w:pPr>
    </w:p>
    <w:p w14:paraId="1B1FF63A" w14:textId="77777777" w:rsidR="00A573B3" w:rsidRPr="004C2A59" w:rsidRDefault="00A573B3" w:rsidP="00C93654">
      <w:pPr>
        <w:keepNext/>
        <w:widowControl w:val="0"/>
        <w:suppressAutoHyphens/>
        <w:rPr>
          <w:bCs/>
          <w:iCs/>
          <w:color w:val="000000"/>
          <w:sz w:val="22"/>
          <w:szCs w:val="22"/>
          <w:lang w:val="da-DK"/>
        </w:rPr>
      </w:pPr>
      <w:r w:rsidRPr="004C2A59">
        <w:rPr>
          <w:b/>
          <w:bCs/>
          <w:iCs/>
          <w:color w:val="000000"/>
          <w:sz w:val="22"/>
          <w:szCs w:val="22"/>
          <w:lang w:val="da-DK"/>
        </w:rPr>
        <w:t>Meget almindelige</w:t>
      </w:r>
      <w:r w:rsidRPr="004C2A59">
        <w:rPr>
          <w:bCs/>
          <w:iCs/>
          <w:color w:val="000000"/>
          <w:sz w:val="22"/>
          <w:szCs w:val="22"/>
          <w:lang w:val="da-DK"/>
        </w:rPr>
        <w:t xml:space="preserve"> (kan forekomme hos flere end 1 ud af 10 patienter):</w:t>
      </w:r>
    </w:p>
    <w:p w14:paraId="3435D4C1" w14:textId="77777777" w:rsidR="00A573B3" w:rsidRPr="004C2A59" w:rsidRDefault="00A573B3" w:rsidP="00421681">
      <w:pPr>
        <w:widowControl w:val="0"/>
        <w:numPr>
          <w:ilvl w:val="0"/>
          <w:numId w:val="13"/>
        </w:numPr>
        <w:tabs>
          <w:tab w:val="clear" w:pos="720"/>
        </w:tabs>
        <w:suppressAutoHyphens/>
        <w:ind w:left="567" w:hanging="567"/>
        <w:rPr>
          <w:color w:val="000000"/>
          <w:sz w:val="22"/>
          <w:szCs w:val="22"/>
          <w:lang w:val="da-DK"/>
        </w:rPr>
      </w:pPr>
      <w:r w:rsidRPr="004C2A59">
        <w:rPr>
          <w:color w:val="000000"/>
          <w:sz w:val="22"/>
          <w:szCs w:val="22"/>
          <w:lang w:val="da-DK"/>
        </w:rPr>
        <w:t>Hovedpine eller følelse af træthed.</w:t>
      </w:r>
    </w:p>
    <w:p w14:paraId="102FC71C" w14:textId="77777777" w:rsidR="00A573B3" w:rsidRPr="004C2A59" w:rsidRDefault="00A573B3" w:rsidP="00421681">
      <w:pPr>
        <w:widowControl w:val="0"/>
        <w:numPr>
          <w:ilvl w:val="0"/>
          <w:numId w:val="13"/>
        </w:numPr>
        <w:tabs>
          <w:tab w:val="clear" w:pos="720"/>
        </w:tabs>
        <w:suppressAutoHyphens/>
        <w:ind w:left="567" w:hanging="567"/>
        <w:rPr>
          <w:color w:val="000000"/>
          <w:sz w:val="22"/>
          <w:szCs w:val="22"/>
          <w:lang w:val="da-DK"/>
        </w:rPr>
      </w:pPr>
      <w:r w:rsidRPr="004C2A59">
        <w:rPr>
          <w:color w:val="000000"/>
          <w:sz w:val="22"/>
          <w:szCs w:val="22"/>
          <w:lang w:val="da-DK"/>
        </w:rPr>
        <w:t>Kvalme opkastninger, diarré eller fordøjelsesbesvær.</w:t>
      </w:r>
    </w:p>
    <w:p w14:paraId="13F62C3B" w14:textId="77777777" w:rsidR="00A573B3" w:rsidRPr="004C2A59" w:rsidRDefault="00A573B3" w:rsidP="00421681">
      <w:pPr>
        <w:widowControl w:val="0"/>
        <w:numPr>
          <w:ilvl w:val="0"/>
          <w:numId w:val="13"/>
        </w:numPr>
        <w:tabs>
          <w:tab w:val="clear" w:pos="720"/>
        </w:tabs>
        <w:suppressAutoHyphens/>
        <w:ind w:left="567" w:hanging="567"/>
        <w:rPr>
          <w:color w:val="000000"/>
          <w:sz w:val="22"/>
          <w:szCs w:val="22"/>
          <w:lang w:val="da-DK"/>
        </w:rPr>
      </w:pPr>
      <w:r w:rsidRPr="004C2A59">
        <w:rPr>
          <w:color w:val="000000"/>
          <w:sz w:val="22"/>
          <w:szCs w:val="22"/>
          <w:lang w:val="da-DK"/>
        </w:rPr>
        <w:t>Udslæt.</w:t>
      </w:r>
    </w:p>
    <w:p w14:paraId="660B899B" w14:textId="77777777" w:rsidR="00A573B3" w:rsidRPr="004C2A59" w:rsidRDefault="00A573B3" w:rsidP="00421681">
      <w:pPr>
        <w:widowControl w:val="0"/>
        <w:numPr>
          <w:ilvl w:val="0"/>
          <w:numId w:val="13"/>
        </w:numPr>
        <w:tabs>
          <w:tab w:val="clear" w:pos="720"/>
        </w:tabs>
        <w:suppressAutoHyphens/>
        <w:ind w:left="567" w:hanging="567"/>
        <w:rPr>
          <w:color w:val="000000"/>
          <w:sz w:val="22"/>
          <w:szCs w:val="22"/>
          <w:lang w:val="da-DK"/>
        </w:rPr>
      </w:pPr>
      <w:r w:rsidRPr="004C2A59">
        <w:rPr>
          <w:color w:val="000000"/>
          <w:sz w:val="22"/>
          <w:szCs w:val="22"/>
          <w:lang w:val="da-DK"/>
        </w:rPr>
        <w:t>Muskelkramper eller led-, muskel- eller knoglesmerter</w:t>
      </w:r>
      <w:r w:rsidR="00A43774" w:rsidRPr="00A43774">
        <w:rPr>
          <w:color w:val="000000"/>
          <w:sz w:val="22"/>
          <w:szCs w:val="22"/>
          <w:lang w:val="da-DK"/>
        </w:rPr>
        <w:t xml:space="preserve"> </w:t>
      </w:r>
      <w:r w:rsidR="005A146B">
        <w:rPr>
          <w:color w:val="000000"/>
          <w:sz w:val="22"/>
          <w:szCs w:val="22"/>
          <w:lang w:val="da-DK"/>
        </w:rPr>
        <w:t>mens du er i behandling med Glivec, eller efter du er stoppe</w:t>
      </w:r>
      <w:r w:rsidR="006B7873">
        <w:rPr>
          <w:color w:val="000000"/>
          <w:sz w:val="22"/>
          <w:szCs w:val="22"/>
          <w:lang w:val="da-DK"/>
        </w:rPr>
        <w:t>t</w:t>
      </w:r>
      <w:r w:rsidR="005A146B">
        <w:rPr>
          <w:color w:val="000000"/>
          <w:sz w:val="22"/>
          <w:szCs w:val="22"/>
          <w:lang w:val="da-DK"/>
        </w:rPr>
        <w:t xml:space="preserve"> med at tage Glivec</w:t>
      </w:r>
      <w:r w:rsidRPr="004C2A59">
        <w:rPr>
          <w:color w:val="000000"/>
          <w:sz w:val="22"/>
          <w:szCs w:val="22"/>
          <w:lang w:val="da-DK"/>
        </w:rPr>
        <w:t>.</w:t>
      </w:r>
    </w:p>
    <w:p w14:paraId="63AAE5A9" w14:textId="77777777" w:rsidR="00A573B3" w:rsidRPr="004C2A59" w:rsidRDefault="00A573B3" w:rsidP="00421681">
      <w:pPr>
        <w:widowControl w:val="0"/>
        <w:numPr>
          <w:ilvl w:val="0"/>
          <w:numId w:val="13"/>
        </w:numPr>
        <w:tabs>
          <w:tab w:val="clear" w:pos="720"/>
        </w:tabs>
        <w:suppressAutoHyphens/>
        <w:ind w:left="567" w:hanging="567"/>
        <w:rPr>
          <w:color w:val="000000"/>
          <w:sz w:val="22"/>
          <w:szCs w:val="22"/>
          <w:lang w:val="da-DK"/>
        </w:rPr>
      </w:pPr>
      <w:r w:rsidRPr="004C2A59">
        <w:rPr>
          <w:color w:val="000000"/>
          <w:sz w:val="22"/>
          <w:szCs w:val="22"/>
          <w:lang w:val="da-DK"/>
        </w:rPr>
        <w:t>Hævelse, som fx af anklerne eller omkring øjnene.</w:t>
      </w:r>
    </w:p>
    <w:p w14:paraId="2E3962E1" w14:textId="77777777" w:rsidR="00A573B3" w:rsidRPr="004C2A59" w:rsidRDefault="00A573B3" w:rsidP="00C93654">
      <w:pPr>
        <w:keepNext/>
        <w:widowControl w:val="0"/>
        <w:numPr>
          <w:ilvl w:val="0"/>
          <w:numId w:val="13"/>
        </w:numPr>
        <w:tabs>
          <w:tab w:val="clear" w:pos="720"/>
        </w:tabs>
        <w:suppressAutoHyphens/>
        <w:ind w:left="567" w:hanging="567"/>
        <w:rPr>
          <w:color w:val="000000"/>
          <w:sz w:val="22"/>
          <w:szCs w:val="22"/>
          <w:lang w:val="da-DK"/>
        </w:rPr>
      </w:pPr>
      <w:r w:rsidRPr="004C2A59">
        <w:rPr>
          <w:color w:val="000000"/>
          <w:sz w:val="22"/>
          <w:szCs w:val="22"/>
          <w:lang w:val="da-DK"/>
        </w:rPr>
        <w:t>Vægtøgning.</w:t>
      </w:r>
    </w:p>
    <w:p w14:paraId="6A932D73" w14:textId="77777777" w:rsidR="00A573B3" w:rsidRPr="004C2A59" w:rsidRDefault="00A573B3" w:rsidP="00421681">
      <w:pPr>
        <w:widowControl w:val="0"/>
        <w:suppressAutoHyphens/>
        <w:rPr>
          <w:color w:val="000000"/>
          <w:sz w:val="22"/>
          <w:szCs w:val="22"/>
          <w:lang w:val="da-DK"/>
        </w:rPr>
      </w:pPr>
      <w:r w:rsidRPr="004C2A59">
        <w:rPr>
          <w:b/>
          <w:color w:val="000000"/>
          <w:sz w:val="22"/>
          <w:szCs w:val="22"/>
          <w:lang w:val="da-DK"/>
        </w:rPr>
        <w:t>Fortæl din læge</w:t>
      </w:r>
      <w:r w:rsidRPr="004C2A59">
        <w:rPr>
          <w:color w:val="000000"/>
          <w:sz w:val="22"/>
          <w:szCs w:val="22"/>
          <w:lang w:val="da-DK"/>
        </w:rPr>
        <w:t>, hvis du er meget påvirket af nogle af ovenstående symptomer.</w:t>
      </w:r>
    </w:p>
    <w:p w14:paraId="2B437B35" w14:textId="77777777" w:rsidR="00A573B3" w:rsidRPr="004C2A59" w:rsidRDefault="00A573B3" w:rsidP="00421681">
      <w:pPr>
        <w:widowControl w:val="0"/>
        <w:suppressAutoHyphens/>
        <w:rPr>
          <w:color w:val="000000"/>
          <w:sz w:val="22"/>
          <w:szCs w:val="22"/>
          <w:lang w:val="da-DK"/>
        </w:rPr>
      </w:pPr>
    </w:p>
    <w:p w14:paraId="56DA5F58" w14:textId="77777777" w:rsidR="00A573B3" w:rsidRPr="004C2A59" w:rsidRDefault="00A573B3" w:rsidP="00C93654">
      <w:pPr>
        <w:keepNext/>
        <w:widowControl w:val="0"/>
        <w:suppressAutoHyphens/>
        <w:rPr>
          <w:color w:val="000000"/>
          <w:sz w:val="22"/>
          <w:szCs w:val="22"/>
          <w:lang w:val="da-DK"/>
        </w:rPr>
      </w:pPr>
      <w:r w:rsidRPr="004C2A59">
        <w:rPr>
          <w:b/>
          <w:color w:val="000000"/>
          <w:sz w:val="22"/>
          <w:szCs w:val="22"/>
          <w:lang w:val="da-DK"/>
        </w:rPr>
        <w:t>Almindelige</w:t>
      </w:r>
      <w:r w:rsidRPr="004C2A59">
        <w:rPr>
          <w:color w:val="000000"/>
          <w:sz w:val="22"/>
          <w:szCs w:val="22"/>
          <w:lang w:val="da-DK"/>
        </w:rPr>
        <w:t xml:space="preserve"> (kan forekomme hos op til 1 ud af 10 patienter):</w:t>
      </w:r>
    </w:p>
    <w:p w14:paraId="12888A90"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Appetitløshed, vægttab eller smagsforstyrrelser.</w:t>
      </w:r>
    </w:p>
    <w:p w14:paraId="1B3876C1"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Føle sig svimmel eller svag.</w:t>
      </w:r>
    </w:p>
    <w:p w14:paraId="603085AE"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Svært ved at sove (søvnløshed).</w:t>
      </w:r>
    </w:p>
    <w:p w14:paraId="40854D8F"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Flåd fra øjet med kløe, rødme og hævelse (betændelse af øjets bindehinde), øget tåreflåd eller sløret syn.</w:t>
      </w:r>
    </w:p>
    <w:p w14:paraId="54FD4FA0"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Næseblod.</w:t>
      </w:r>
    </w:p>
    <w:p w14:paraId="14E47D73"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Smerte eller oppustning af maven, luft i maven, halsbrand eller forstoppelse.</w:t>
      </w:r>
    </w:p>
    <w:p w14:paraId="1CAD73D4"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Kløe.</w:t>
      </w:r>
    </w:p>
    <w:p w14:paraId="454157B1"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Usædvanligt hårtab eller udtyndning af håret.</w:t>
      </w:r>
    </w:p>
    <w:p w14:paraId="76CE0CAC"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Følelsesløshed i hænder eller fødder.</w:t>
      </w:r>
    </w:p>
    <w:p w14:paraId="59C9077D"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Sår i munden.</w:t>
      </w:r>
    </w:p>
    <w:p w14:paraId="10311A8F"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Hævede led og ledsmerter</w:t>
      </w:r>
    </w:p>
    <w:p w14:paraId="46D492C0"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Mundtørhed, tør hud eller tørre øjne.</w:t>
      </w:r>
    </w:p>
    <w:p w14:paraId="640EAF6E" w14:textId="77777777" w:rsidR="00A573B3" w:rsidRPr="004C2A59" w:rsidRDefault="00A573B3" w:rsidP="00421681">
      <w:pPr>
        <w:pStyle w:val="T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Nedsat eller øget følsomhed i huden.</w:t>
      </w:r>
    </w:p>
    <w:p w14:paraId="226D0D71" w14:textId="77777777" w:rsidR="00A573B3" w:rsidRPr="004C2A59" w:rsidRDefault="00A573B3" w:rsidP="00C93654">
      <w:pPr>
        <w:pStyle w:val="Text"/>
        <w:keepNext/>
        <w:widowControl w:val="0"/>
        <w:numPr>
          <w:ilvl w:val="0"/>
          <w:numId w:val="14"/>
        </w:numPr>
        <w:tabs>
          <w:tab w:val="clear" w:pos="720"/>
        </w:tabs>
        <w:spacing w:before="0"/>
        <w:ind w:left="567" w:hanging="567"/>
        <w:jc w:val="left"/>
        <w:rPr>
          <w:color w:val="000000"/>
          <w:sz w:val="22"/>
          <w:szCs w:val="22"/>
          <w:lang w:val="da-DK"/>
        </w:rPr>
      </w:pPr>
      <w:r w:rsidRPr="004C2A59">
        <w:rPr>
          <w:color w:val="000000"/>
          <w:sz w:val="22"/>
          <w:szCs w:val="22"/>
          <w:lang w:val="da-DK"/>
        </w:rPr>
        <w:t>Hedeture, kulderystelser eller natlig svedtendens.</w:t>
      </w:r>
    </w:p>
    <w:p w14:paraId="4CA972E7" w14:textId="77777777" w:rsidR="00A573B3" w:rsidRPr="004C2A59" w:rsidRDefault="00A573B3" w:rsidP="00421681">
      <w:pPr>
        <w:widowControl w:val="0"/>
        <w:suppressAutoHyphens/>
        <w:rPr>
          <w:color w:val="000000"/>
          <w:sz w:val="22"/>
          <w:szCs w:val="22"/>
          <w:lang w:val="da-DK"/>
        </w:rPr>
      </w:pPr>
      <w:r w:rsidRPr="004C2A59">
        <w:rPr>
          <w:b/>
          <w:color w:val="000000"/>
          <w:sz w:val="22"/>
          <w:szCs w:val="22"/>
          <w:lang w:val="da-DK"/>
        </w:rPr>
        <w:t>Fortæl din læge</w:t>
      </w:r>
      <w:r w:rsidRPr="004C2A59">
        <w:rPr>
          <w:color w:val="000000"/>
          <w:sz w:val="22"/>
          <w:szCs w:val="22"/>
          <w:lang w:val="da-DK"/>
        </w:rPr>
        <w:t>, hvis du er meget påvirket af nogle af ovenstående symptomer.</w:t>
      </w:r>
    </w:p>
    <w:p w14:paraId="1BA9F35E" w14:textId="77777777" w:rsidR="00A573B3" w:rsidRPr="004C2A59" w:rsidRDefault="00A573B3" w:rsidP="00421681">
      <w:pPr>
        <w:widowControl w:val="0"/>
        <w:suppressAutoHyphens/>
        <w:rPr>
          <w:color w:val="000000"/>
          <w:sz w:val="22"/>
          <w:szCs w:val="22"/>
          <w:lang w:val="da-DK"/>
        </w:rPr>
      </w:pPr>
    </w:p>
    <w:p w14:paraId="61EA22C1" w14:textId="77777777" w:rsidR="00A573B3" w:rsidRPr="004C2A59" w:rsidRDefault="00A573B3" w:rsidP="00C93654">
      <w:pPr>
        <w:keepNext/>
        <w:widowControl w:val="0"/>
        <w:suppressAutoHyphens/>
        <w:rPr>
          <w:bCs/>
          <w:color w:val="000000"/>
          <w:sz w:val="22"/>
          <w:szCs w:val="22"/>
          <w:lang w:val="da-DK"/>
        </w:rPr>
      </w:pPr>
      <w:r w:rsidRPr="004C2A59">
        <w:rPr>
          <w:b/>
          <w:bCs/>
          <w:color w:val="000000"/>
          <w:sz w:val="22"/>
          <w:szCs w:val="22"/>
          <w:lang w:val="da-DK"/>
        </w:rPr>
        <w:t>Ikke kendt</w:t>
      </w:r>
      <w:r w:rsidRPr="004C2A59">
        <w:rPr>
          <w:bCs/>
          <w:color w:val="000000"/>
          <w:sz w:val="22"/>
          <w:szCs w:val="22"/>
          <w:lang w:val="da-DK"/>
        </w:rPr>
        <w:t xml:space="preserve"> (kan ikke vurderes ud fra tilgængelige data):</w:t>
      </w:r>
    </w:p>
    <w:p w14:paraId="6E443C7F" w14:textId="77777777" w:rsidR="00C50FC1" w:rsidRPr="00017E58" w:rsidRDefault="00A573B3" w:rsidP="00421681">
      <w:pPr>
        <w:pStyle w:val="Text"/>
        <w:widowControl w:val="0"/>
        <w:numPr>
          <w:ilvl w:val="0"/>
          <w:numId w:val="29"/>
        </w:numPr>
        <w:tabs>
          <w:tab w:val="clear" w:pos="357"/>
          <w:tab w:val="num" w:pos="567"/>
        </w:tabs>
        <w:spacing w:before="0"/>
        <w:ind w:left="567" w:hanging="567"/>
        <w:jc w:val="left"/>
        <w:rPr>
          <w:color w:val="000000"/>
          <w:sz w:val="22"/>
          <w:szCs w:val="22"/>
          <w:lang w:val="da-DK"/>
        </w:rPr>
      </w:pPr>
      <w:r w:rsidRPr="004C2A59">
        <w:rPr>
          <w:color w:val="000000"/>
          <w:sz w:val="22"/>
          <w:szCs w:val="22"/>
          <w:lang w:val="da-DK"/>
        </w:rPr>
        <w:t>Rødmen og/eller hævelse af håndflader eller fodsåler, hvilket kan være ledsaget af en prikkende følelse eller brændende smerte.</w:t>
      </w:r>
    </w:p>
    <w:p w14:paraId="4AD1D40A" w14:textId="77777777" w:rsidR="00A573B3" w:rsidRPr="004C2A59" w:rsidRDefault="00C50FC1" w:rsidP="00421681">
      <w:pPr>
        <w:widowControl w:val="0"/>
        <w:numPr>
          <w:ilvl w:val="0"/>
          <w:numId w:val="15"/>
        </w:numPr>
        <w:tabs>
          <w:tab w:val="clear" w:pos="720"/>
        </w:tabs>
        <w:suppressAutoHyphens/>
        <w:ind w:left="567" w:hanging="567"/>
        <w:rPr>
          <w:color w:val="000000"/>
          <w:sz w:val="22"/>
          <w:szCs w:val="22"/>
          <w:lang w:val="da-DK"/>
        </w:rPr>
      </w:pPr>
      <w:r w:rsidRPr="00C50FC1">
        <w:rPr>
          <w:color w:val="000000"/>
          <w:sz w:val="22"/>
          <w:szCs w:val="22"/>
          <w:lang w:val="da-DK"/>
        </w:rPr>
        <w:t xml:space="preserve">Smertefulde </w:t>
      </w:r>
      <w:r>
        <w:rPr>
          <w:color w:val="000000"/>
          <w:sz w:val="22"/>
          <w:szCs w:val="22"/>
          <w:lang w:val="da-DK"/>
        </w:rPr>
        <w:t>og</w:t>
      </w:r>
      <w:r w:rsidRPr="00C50FC1">
        <w:rPr>
          <w:color w:val="000000"/>
          <w:sz w:val="22"/>
          <w:szCs w:val="22"/>
          <w:lang w:val="da-DK"/>
        </w:rPr>
        <w:t>/</w:t>
      </w:r>
      <w:r>
        <w:rPr>
          <w:color w:val="000000"/>
          <w:sz w:val="22"/>
          <w:szCs w:val="22"/>
          <w:lang w:val="da-DK"/>
        </w:rPr>
        <w:t>elle</w:t>
      </w:r>
      <w:r w:rsidRPr="00C50FC1">
        <w:rPr>
          <w:color w:val="000000"/>
          <w:sz w:val="22"/>
          <w:szCs w:val="22"/>
          <w:lang w:val="da-DK"/>
        </w:rPr>
        <w:t xml:space="preserve">r </w:t>
      </w:r>
      <w:r>
        <w:rPr>
          <w:color w:val="000000"/>
          <w:sz w:val="22"/>
          <w:szCs w:val="22"/>
          <w:lang w:val="da-DK"/>
        </w:rPr>
        <w:t>blære</w:t>
      </w:r>
      <w:r w:rsidR="008358C6">
        <w:rPr>
          <w:color w:val="000000"/>
          <w:sz w:val="22"/>
          <w:szCs w:val="22"/>
          <w:lang w:val="da-DK"/>
        </w:rPr>
        <w:t>dannende</w:t>
      </w:r>
      <w:r w:rsidRPr="00C50FC1">
        <w:rPr>
          <w:color w:val="000000"/>
          <w:sz w:val="22"/>
          <w:szCs w:val="22"/>
          <w:lang w:val="da-DK"/>
        </w:rPr>
        <w:t xml:space="preserve"> </w:t>
      </w:r>
      <w:r>
        <w:rPr>
          <w:color w:val="000000"/>
          <w:sz w:val="22"/>
          <w:szCs w:val="22"/>
          <w:lang w:val="da-DK"/>
        </w:rPr>
        <w:t>hud</w:t>
      </w:r>
      <w:r w:rsidR="008358C6">
        <w:rPr>
          <w:color w:val="000000"/>
          <w:sz w:val="22"/>
          <w:szCs w:val="22"/>
          <w:lang w:val="da-DK"/>
        </w:rPr>
        <w:t>læsioner</w:t>
      </w:r>
      <w:r>
        <w:rPr>
          <w:color w:val="000000"/>
          <w:sz w:val="22"/>
          <w:szCs w:val="22"/>
          <w:lang w:val="da-DK"/>
        </w:rPr>
        <w:t>.</w:t>
      </w:r>
    </w:p>
    <w:p w14:paraId="6EC05FDE" w14:textId="77777777" w:rsidR="00A573B3" w:rsidRPr="004C2A59" w:rsidRDefault="00A573B3" w:rsidP="00421681">
      <w:pPr>
        <w:widowControl w:val="0"/>
        <w:numPr>
          <w:ilvl w:val="0"/>
          <w:numId w:val="15"/>
        </w:numPr>
        <w:tabs>
          <w:tab w:val="clear" w:pos="720"/>
        </w:tabs>
        <w:suppressAutoHyphens/>
        <w:ind w:left="567" w:hanging="567"/>
        <w:rPr>
          <w:color w:val="000000"/>
          <w:sz w:val="22"/>
          <w:szCs w:val="22"/>
          <w:lang w:val="da-DK"/>
        </w:rPr>
      </w:pPr>
      <w:r w:rsidRPr="004C2A59">
        <w:rPr>
          <w:color w:val="000000"/>
          <w:sz w:val="22"/>
          <w:szCs w:val="22"/>
          <w:lang w:val="da-DK"/>
        </w:rPr>
        <w:t>Langsommere vækst hos børn og unge.</w:t>
      </w:r>
    </w:p>
    <w:p w14:paraId="652AB87D" w14:textId="77777777" w:rsidR="00A573B3" w:rsidRPr="004C2A59" w:rsidRDefault="00A573B3" w:rsidP="00C93654">
      <w:pPr>
        <w:keepNext/>
        <w:widowControl w:val="0"/>
        <w:suppressAutoHyphens/>
        <w:rPr>
          <w:color w:val="000000"/>
          <w:sz w:val="22"/>
          <w:szCs w:val="22"/>
          <w:lang w:val="da-DK"/>
        </w:rPr>
      </w:pPr>
      <w:r w:rsidRPr="004C2A59">
        <w:rPr>
          <w:b/>
          <w:color w:val="000000"/>
          <w:sz w:val="22"/>
          <w:szCs w:val="22"/>
          <w:lang w:val="da-DK"/>
        </w:rPr>
        <w:t>Fortæl din læge</w:t>
      </w:r>
      <w:r w:rsidRPr="004C2A59">
        <w:rPr>
          <w:color w:val="000000"/>
          <w:sz w:val="22"/>
          <w:szCs w:val="22"/>
          <w:lang w:val="da-DK"/>
        </w:rPr>
        <w:t>, hvis du er meget påvirket af nogle af ovenstående symptomer.</w:t>
      </w:r>
    </w:p>
    <w:p w14:paraId="32F48288" w14:textId="77777777" w:rsidR="00A573B3" w:rsidRPr="004C2A59" w:rsidRDefault="00A573B3" w:rsidP="00421681">
      <w:pPr>
        <w:pStyle w:val="EndnoteText"/>
        <w:tabs>
          <w:tab w:val="clear" w:pos="567"/>
        </w:tabs>
        <w:rPr>
          <w:color w:val="000000"/>
          <w:szCs w:val="22"/>
        </w:rPr>
      </w:pPr>
    </w:p>
    <w:p w14:paraId="69405D31" w14:textId="77777777" w:rsidR="00A573B3" w:rsidRPr="004C2A59" w:rsidRDefault="00A573B3" w:rsidP="00C93654">
      <w:pPr>
        <w:keepNext/>
        <w:numPr>
          <w:ilvl w:val="12"/>
          <w:numId w:val="0"/>
        </w:numPr>
        <w:outlineLvl w:val="0"/>
        <w:rPr>
          <w:b/>
          <w:noProof/>
          <w:sz w:val="22"/>
          <w:szCs w:val="22"/>
          <w:lang w:val="da-DK"/>
        </w:rPr>
      </w:pPr>
      <w:r w:rsidRPr="004C2A59">
        <w:rPr>
          <w:b/>
          <w:noProof/>
          <w:sz w:val="22"/>
          <w:szCs w:val="22"/>
          <w:lang w:val="da-DK"/>
        </w:rPr>
        <w:t xml:space="preserve">Indberetning af </w:t>
      </w:r>
      <w:r w:rsidRPr="004C2A59">
        <w:rPr>
          <w:b/>
          <w:sz w:val="22"/>
          <w:szCs w:val="22"/>
          <w:lang w:val="da-DK"/>
        </w:rPr>
        <w:t>bivirkninger</w:t>
      </w:r>
    </w:p>
    <w:p w14:paraId="65440D12" w14:textId="77777777" w:rsidR="00A573B3" w:rsidRPr="004C2A59" w:rsidRDefault="00A573B3" w:rsidP="00421681">
      <w:pPr>
        <w:suppressAutoHyphens/>
        <w:rPr>
          <w:color w:val="000000"/>
          <w:sz w:val="22"/>
          <w:szCs w:val="22"/>
          <w:lang w:val="da-DK"/>
        </w:rPr>
      </w:pPr>
      <w:r w:rsidRPr="004C2A59">
        <w:rPr>
          <w:color w:val="000000"/>
          <w:sz w:val="22"/>
          <w:szCs w:val="22"/>
          <w:lang w:val="da-DK"/>
        </w:rPr>
        <w:t xml:space="preserve">Hvis du oplever bivirkninger, bør du tale med din læge, sygeplejerske eller </w:t>
      </w:r>
      <w:r w:rsidRPr="004C2A59">
        <w:rPr>
          <w:noProof/>
          <w:sz w:val="22"/>
          <w:szCs w:val="22"/>
          <w:lang w:val="da-DK"/>
        </w:rPr>
        <w:t>apoteket</w:t>
      </w:r>
      <w:r w:rsidRPr="004C2A59">
        <w:rPr>
          <w:color w:val="000000"/>
          <w:sz w:val="22"/>
          <w:szCs w:val="22"/>
          <w:lang w:val="da-DK"/>
        </w:rPr>
        <w:t xml:space="preserve">. Dette gælder også mulige bivirkninger, som ikke er medtaget i denne indlægsseddel. Du eller dine pårørende kan også indberette bivirkninger direkte til </w:t>
      </w:r>
      <w:r w:rsidR="00705B31">
        <w:rPr>
          <w:color w:val="000000"/>
          <w:sz w:val="22"/>
          <w:szCs w:val="22"/>
          <w:lang w:val="da-DK"/>
        </w:rPr>
        <w:t>Lægemiddelstyrelsen</w:t>
      </w:r>
      <w:r w:rsidR="00705B31" w:rsidRPr="004C2A59">
        <w:rPr>
          <w:color w:val="000000"/>
          <w:sz w:val="22"/>
          <w:szCs w:val="22"/>
          <w:lang w:val="da-DK"/>
        </w:rPr>
        <w:t xml:space="preserve"> </w:t>
      </w:r>
      <w:r w:rsidRPr="004C2A59">
        <w:rPr>
          <w:color w:val="000000"/>
          <w:sz w:val="22"/>
          <w:szCs w:val="22"/>
          <w:shd w:val="clear" w:color="auto" w:fill="D9D9D9"/>
          <w:lang w:val="da-DK"/>
        </w:rPr>
        <w:t xml:space="preserve">via det nationale rapporteringssystem anført i </w:t>
      </w:r>
      <w:hyperlink r:id="rId19" w:history="1">
        <w:r w:rsidRPr="004C2A59">
          <w:rPr>
            <w:rStyle w:val="Hyperlink"/>
            <w:sz w:val="22"/>
            <w:szCs w:val="22"/>
            <w:shd w:val="clear" w:color="auto" w:fill="D9D9D9"/>
            <w:lang w:val="da-DK"/>
          </w:rPr>
          <w:t>Appendiks V</w:t>
        </w:r>
      </w:hyperlink>
      <w:r w:rsidRPr="004C2A59">
        <w:rPr>
          <w:color w:val="000000"/>
          <w:sz w:val="22"/>
          <w:szCs w:val="22"/>
          <w:lang w:val="da-DK"/>
        </w:rPr>
        <w:t>. Ved at indrapportere bivirkninger kan du hjælpe med at fremskaffe mere information om sikkerheden af dette lægemiddel.</w:t>
      </w:r>
    </w:p>
    <w:p w14:paraId="7EB6576F" w14:textId="77777777" w:rsidR="00A573B3" w:rsidRPr="004C2A59" w:rsidRDefault="00A573B3" w:rsidP="00421681">
      <w:pPr>
        <w:widowControl w:val="0"/>
        <w:suppressAutoHyphens/>
        <w:rPr>
          <w:color w:val="000000"/>
          <w:sz w:val="22"/>
          <w:szCs w:val="22"/>
          <w:lang w:val="da-DK"/>
        </w:rPr>
      </w:pPr>
    </w:p>
    <w:p w14:paraId="34452CBE" w14:textId="77777777" w:rsidR="00A573B3" w:rsidRPr="004C2A59" w:rsidRDefault="00A573B3" w:rsidP="00421681">
      <w:pPr>
        <w:widowControl w:val="0"/>
        <w:suppressAutoHyphens/>
        <w:ind w:left="567" w:hanging="567"/>
        <w:rPr>
          <w:color w:val="000000"/>
          <w:sz w:val="22"/>
          <w:szCs w:val="22"/>
          <w:lang w:val="da-DK"/>
        </w:rPr>
      </w:pPr>
    </w:p>
    <w:p w14:paraId="5CD252C2" w14:textId="77777777" w:rsidR="00152279" w:rsidRPr="004C2A59" w:rsidRDefault="00152279" w:rsidP="00C93654">
      <w:pPr>
        <w:keepNext/>
        <w:widowControl w:val="0"/>
        <w:suppressAutoHyphens/>
        <w:rPr>
          <w:color w:val="000000"/>
          <w:sz w:val="22"/>
          <w:szCs w:val="22"/>
          <w:lang w:val="da-DK"/>
        </w:rPr>
      </w:pPr>
      <w:r w:rsidRPr="004C2A59">
        <w:rPr>
          <w:b/>
          <w:color w:val="000000"/>
          <w:sz w:val="22"/>
          <w:szCs w:val="22"/>
          <w:lang w:val="da-DK"/>
        </w:rPr>
        <w:t>5.</w:t>
      </w:r>
      <w:r w:rsidRPr="004C2A59">
        <w:rPr>
          <w:b/>
          <w:color w:val="000000"/>
          <w:sz w:val="22"/>
          <w:szCs w:val="22"/>
          <w:lang w:val="da-DK"/>
        </w:rPr>
        <w:tab/>
        <w:t>Opbevaring</w:t>
      </w:r>
    </w:p>
    <w:p w14:paraId="0BBDBF3C" w14:textId="77777777" w:rsidR="00152279" w:rsidRPr="004C2A59" w:rsidRDefault="00152279" w:rsidP="00C93654">
      <w:pPr>
        <w:keepNext/>
        <w:widowControl w:val="0"/>
        <w:suppressAutoHyphens/>
        <w:rPr>
          <w:color w:val="000000"/>
          <w:sz w:val="22"/>
          <w:szCs w:val="22"/>
          <w:lang w:val="da-DK"/>
        </w:rPr>
      </w:pPr>
    </w:p>
    <w:p w14:paraId="095E23B6" w14:textId="77777777" w:rsidR="00152279" w:rsidRPr="004C2A59" w:rsidRDefault="00152279" w:rsidP="00421681">
      <w:pPr>
        <w:widowControl w:val="0"/>
        <w:numPr>
          <w:ilvl w:val="0"/>
          <w:numId w:val="2"/>
        </w:numPr>
        <w:tabs>
          <w:tab w:val="clear" w:pos="360"/>
        </w:tabs>
        <w:suppressAutoHyphens/>
        <w:ind w:left="567" w:hanging="567"/>
        <w:rPr>
          <w:color w:val="000000"/>
          <w:sz w:val="22"/>
          <w:szCs w:val="22"/>
          <w:lang w:val="da-DK"/>
        </w:rPr>
      </w:pPr>
      <w:r w:rsidRPr="004C2A59">
        <w:rPr>
          <w:color w:val="000000"/>
          <w:sz w:val="22"/>
          <w:szCs w:val="22"/>
          <w:lang w:val="da-DK"/>
        </w:rPr>
        <w:t xml:space="preserve">Opbevar </w:t>
      </w:r>
      <w:r w:rsidR="00A43774">
        <w:rPr>
          <w:color w:val="000000"/>
          <w:sz w:val="22"/>
          <w:szCs w:val="22"/>
          <w:lang w:val="da-DK"/>
        </w:rPr>
        <w:t>lægemidlet</w:t>
      </w:r>
      <w:r w:rsidRPr="004C2A59">
        <w:rPr>
          <w:color w:val="000000"/>
          <w:sz w:val="22"/>
          <w:szCs w:val="22"/>
          <w:lang w:val="da-DK"/>
        </w:rPr>
        <w:t xml:space="preserve"> utilgængeligt for børn.</w:t>
      </w:r>
    </w:p>
    <w:p w14:paraId="7B8CB875" w14:textId="77777777" w:rsidR="00152279" w:rsidRPr="004C2A59" w:rsidRDefault="00152279" w:rsidP="00421681">
      <w:pPr>
        <w:widowControl w:val="0"/>
        <w:numPr>
          <w:ilvl w:val="0"/>
          <w:numId w:val="2"/>
        </w:numPr>
        <w:tabs>
          <w:tab w:val="clear" w:pos="360"/>
        </w:tabs>
        <w:suppressAutoHyphens/>
        <w:ind w:left="567" w:hanging="567"/>
        <w:rPr>
          <w:color w:val="000000"/>
          <w:sz w:val="22"/>
          <w:szCs w:val="22"/>
          <w:lang w:val="da-DK"/>
        </w:rPr>
      </w:pPr>
      <w:r w:rsidRPr="004C2A59">
        <w:rPr>
          <w:color w:val="000000"/>
          <w:sz w:val="22"/>
          <w:szCs w:val="22"/>
          <w:lang w:val="da-DK"/>
        </w:rPr>
        <w:t xml:space="preserve">Brug ikke </w:t>
      </w:r>
      <w:r w:rsidR="00A43774">
        <w:rPr>
          <w:color w:val="000000"/>
          <w:sz w:val="22"/>
          <w:szCs w:val="22"/>
          <w:lang w:val="da-DK"/>
        </w:rPr>
        <w:t>lægemidlet</w:t>
      </w:r>
      <w:r w:rsidRPr="004C2A59">
        <w:rPr>
          <w:color w:val="000000"/>
          <w:sz w:val="22"/>
          <w:szCs w:val="22"/>
          <w:lang w:val="da-DK"/>
        </w:rPr>
        <w:t xml:space="preserve"> efter den udløbsdato, der står på pakningen</w:t>
      </w:r>
      <w:r w:rsidR="005607AC">
        <w:rPr>
          <w:color w:val="000000"/>
          <w:sz w:val="22"/>
          <w:szCs w:val="22"/>
          <w:lang w:val="da-DK"/>
        </w:rPr>
        <w:t xml:space="preserve"> efter EXP</w:t>
      </w:r>
      <w:r w:rsidRPr="004C2A59">
        <w:rPr>
          <w:color w:val="000000"/>
          <w:sz w:val="22"/>
          <w:szCs w:val="22"/>
          <w:lang w:val="da-DK"/>
        </w:rPr>
        <w:t>.</w:t>
      </w:r>
    </w:p>
    <w:p w14:paraId="608D5B4F" w14:textId="77777777" w:rsidR="00152279" w:rsidRPr="004C2A59" w:rsidRDefault="00152279" w:rsidP="00421681">
      <w:pPr>
        <w:widowControl w:val="0"/>
        <w:numPr>
          <w:ilvl w:val="0"/>
          <w:numId w:val="2"/>
        </w:numPr>
        <w:tabs>
          <w:tab w:val="clear" w:pos="360"/>
        </w:tabs>
        <w:ind w:left="567" w:hanging="567"/>
        <w:rPr>
          <w:color w:val="000000"/>
          <w:sz w:val="22"/>
          <w:szCs w:val="22"/>
          <w:lang w:val="da-DK"/>
        </w:rPr>
      </w:pPr>
      <w:r w:rsidRPr="004C2A59">
        <w:rPr>
          <w:color w:val="000000"/>
          <w:sz w:val="22"/>
          <w:szCs w:val="22"/>
          <w:lang w:val="da-DK"/>
        </w:rPr>
        <w:t>Må ikke opbevares ved temperaturer over 30°C.</w:t>
      </w:r>
    </w:p>
    <w:p w14:paraId="29F4DAD0" w14:textId="77777777" w:rsidR="00152279" w:rsidRPr="004C2A59" w:rsidRDefault="00152279" w:rsidP="00421681">
      <w:pPr>
        <w:widowControl w:val="0"/>
        <w:numPr>
          <w:ilvl w:val="0"/>
          <w:numId w:val="2"/>
        </w:numPr>
        <w:tabs>
          <w:tab w:val="clear" w:pos="360"/>
        </w:tabs>
        <w:suppressAutoHyphens/>
        <w:ind w:left="567" w:hanging="567"/>
        <w:rPr>
          <w:color w:val="000000"/>
          <w:sz w:val="22"/>
          <w:szCs w:val="22"/>
          <w:lang w:val="da-DK"/>
        </w:rPr>
      </w:pPr>
      <w:r w:rsidRPr="004C2A59">
        <w:rPr>
          <w:color w:val="000000"/>
          <w:sz w:val="22"/>
          <w:szCs w:val="22"/>
          <w:lang w:val="da-DK"/>
        </w:rPr>
        <w:t>Opbevares i den originale yderpakning for at beskytte mod fugt.</w:t>
      </w:r>
    </w:p>
    <w:p w14:paraId="317B33BB" w14:textId="77777777" w:rsidR="00152279" w:rsidRPr="004C2A59" w:rsidRDefault="00152279" w:rsidP="00C93654">
      <w:pPr>
        <w:keepLines/>
        <w:widowControl w:val="0"/>
        <w:numPr>
          <w:ilvl w:val="0"/>
          <w:numId w:val="2"/>
        </w:numPr>
        <w:tabs>
          <w:tab w:val="clear" w:pos="360"/>
        </w:tabs>
        <w:suppressAutoHyphens/>
        <w:ind w:left="567" w:hanging="567"/>
        <w:rPr>
          <w:color w:val="000000"/>
          <w:sz w:val="22"/>
          <w:szCs w:val="22"/>
          <w:lang w:val="da-DK"/>
        </w:rPr>
      </w:pPr>
      <w:r w:rsidRPr="004C2A59">
        <w:rPr>
          <w:color w:val="000000"/>
          <w:sz w:val="22"/>
          <w:szCs w:val="22"/>
          <w:lang w:val="da-DK"/>
        </w:rPr>
        <w:lastRenderedPageBreak/>
        <w:t>Pakningen må ikke anvendes, hvis den er beskadiget, eller der er tegn på, at pakningen har været åbnet.</w:t>
      </w:r>
    </w:p>
    <w:p w14:paraId="5E7C626D" w14:textId="77777777" w:rsidR="00994379" w:rsidRPr="004C2A59" w:rsidRDefault="00994379" w:rsidP="00421681">
      <w:pPr>
        <w:widowControl w:val="0"/>
        <w:numPr>
          <w:ilvl w:val="0"/>
          <w:numId w:val="2"/>
        </w:numPr>
        <w:tabs>
          <w:tab w:val="clear" w:pos="360"/>
        </w:tabs>
        <w:suppressAutoHyphens/>
        <w:ind w:left="567" w:hanging="567"/>
        <w:rPr>
          <w:color w:val="000000"/>
          <w:sz w:val="22"/>
          <w:szCs w:val="22"/>
          <w:lang w:val="da-DK"/>
        </w:rPr>
      </w:pPr>
      <w:r w:rsidRPr="004C2A59">
        <w:rPr>
          <w:noProof/>
          <w:sz w:val="22"/>
          <w:szCs w:val="22"/>
          <w:lang w:val="da-DK"/>
        </w:rPr>
        <w:t>Spørg på apoteket, hvordan du skal bortskaffe medicinrester.</w:t>
      </w:r>
      <w:r w:rsidRPr="004C2A59">
        <w:rPr>
          <w:sz w:val="22"/>
          <w:szCs w:val="22"/>
          <w:lang w:val="da-DK"/>
        </w:rPr>
        <w:t xml:space="preserve"> </w:t>
      </w:r>
      <w:r w:rsidRPr="004C2A59">
        <w:rPr>
          <w:noProof/>
          <w:sz w:val="22"/>
          <w:szCs w:val="22"/>
          <w:lang w:val="da-DK"/>
        </w:rPr>
        <w:t>Af hensyn til miljøet må du ikke smide medicinrester i afløbet, toilettet eller skraldespanden.</w:t>
      </w:r>
    </w:p>
    <w:p w14:paraId="64D8D31A" w14:textId="77777777" w:rsidR="00152279" w:rsidRPr="004C2A59" w:rsidRDefault="00152279" w:rsidP="00421681">
      <w:pPr>
        <w:widowControl w:val="0"/>
        <w:suppressAutoHyphens/>
        <w:rPr>
          <w:color w:val="000000"/>
          <w:sz w:val="22"/>
          <w:szCs w:val="22"/>
          <w:lang w:val="da-DK"/>
        </w:rPr>
      </w:pPr>
    </w:p>
    <w:p w14:paraId="6D276EAD" w14:textId="77777777" w:rsidR="00152279" w:rsidRPr="004C2A59" w:rsidRDefault="00152279" w:rsidP="00421681">
      <w:pPr>
        <w:widowControl w:val="0"/>
        <w:suppressAutoHyphens/>
        <w:rPr>
          <w:color w:val="000000"/>
          <w:sz w:val="22"/>
          <w:szCs w:val="22"/>
          <w:lang w:val="da-DK"/>
        </w:rPr>
      </w:pPr>
    </w:p>
    <w:p w14:paraId="1CCDC1B6" w14:textId="77777777" w:rsidR="006F7492" w:rsidRPr="004C2A59" w:rsidRDefault="006F7492" w:rsidP="00C93654">
      <w:pPr>
        <w:pStyle w:val="EndnoteText"/>
        <w:keepNext/>
        <w:tabs>
          <w:tab w:val="clear" w:pos="567"/>
        </w:tabs>
        <w:rPr>
          <w:b/>
          <w:caps/>
          <w:color w:val="000000"/>
          <w:szCs w:val="22"/>
        </w:rPr>
      </w:pPr>
      <w:r w:rsidRPr="004C2A59">
        <w:rPr>
          <w:b/>
          <w:caps/>
          <w:color w:val="000000"/>
          <w:szCs w:val="22"/>
        </w:rPr>
        <w:t>6.</w:t>
      </w:r>
      <w:r w:rsidRPr="004C2A59">
        <w:rPr>
          <w:b/>
          <w:caps/>
          <w:color w:val="000000"/>
          <w:szCs w:val="22"/>
        </w:rPr>
        <w:tab/>
      </w:r>
      <w:r w:rsidR="008B294B" w:rsidRPr="004C2A59">
        <w:rPr>
          <w:b/>
          <w:color w:val="000000"/>
          <w:szCs w:val="22"/>
        </w:rPr>
        <w:t>Pakningsstørrelser og yderligere oplysninger</w:t>
      </w:r>
    </w:p>
    <w:p w14:paraId="1C8D1519" w14:textId="77777777" w:rsidR="006F7492" w:rsidRPr="004C2A59" w:rsidRDefault="006F7492" w:rsidP="00C93654">
      <w:pPr>
        <w:keepNext/>
        <w:widowControl w:val="0"/>
        <w:suppressAutoHyphens/>
        <w:rPr>
          <w:color w:val="000000"/>
          <w:sz w:val="22"/>
          <w:szCs w:val="22"/>
          <w:lang w:val="da-DK"/>
        </w:rPr>
      </w:pPr>
    </w:p>
    <w:p w14:paraId="6B6F197A" w14:textId="77777777" w:rsidR="006F7492" w:rsidRPr="004C2A59" w:rsidRDefault="006F7492" w:rsidP="00C93654">
      <w:pPr>
        <w:keepNext/>
        <w:widowControl w:val="0"/>
        <w:suppressAutoHyphens/>
        <w:ind w:left="567" w:hanging="567"/>
        <w:rPr>
          <w:b/>
          <w:color w:val="000000"/>
          <w:sz w:val="22"/>
          <w:szCs w:val="22"/>
          <w:lang w:val="da-DK"/>
        </w:rPr>
      </w:pPr>
      <w:r w:rsidRPr="004C2A59">
        <w:rPr>
          <w:b/>
          <w:color w:val="000000"/>
          <w:sz w:val="22"/>
          <w:szCs w:val="22"/>
          <w:lang w:val="da-DK"/>
        </w:rPr>
        <w:t>Glivec indeholder</w:t>
      </w:r>
      <w:r w:rsidR="00A94E69" w:rsidRPr="004C2A59">
        <w:rPr>
          <w:b/>
          <w:color w:val="000000"/>
          <w:sz w:val="22"/>
          <w:szCs w:val="22"/>
          <w:lang w:val="da-DK"/>
        </w:rPr>
        <w:t>:</w:t>
      </w:r>
    </w:p>
    <w:p w14:paraId="174C121C" w14:textId="341DE885" w:rsidR="007F6FD1" w:rsidRDefault="006F7492" w:rsidP="00C93654">
      <w:pPr>
        <w:keepNext/>
        <w:widowControl w:val="0"/>
        <w:suppressAutoHyphens/>
        <w:rPr>
          <w:color w:val="000000"/>
          <w:sz w:val="22"/>
          <w:szCs w:val="22"/>
          <w:lang w:val="da-DK"/>
        </w:rPr>
      </w:pPr>
      <w:r w:rsidRPr="004C2A59">
        <w:rPr>
          <w:color w:val="000000"/>
          <w:sz w:val="22"/>
          <w:szCs w:val="22"/>
          <w:lang w:val="da-DK"/>
        </w:rPr>
        <w:t>-</w:t>
      </w:r>
      <w:r w:rsidRPr="004C2A59">
        <w:rPr>
          <w:color w:val="000000"/>
          <w:sz w:val="22"/>
          <w:szCs w:val="22"/>
          <w:lang w:val="da-DK"/>
        </w:rPr>
        <w:tab/>
        <w:t>Aktivt stof: imatinibmesilat.</w:t>
      </w:r>
    </w:p>
    <w:p w14:paraId="20313C68" w14:textId="7A6E08A9" w:rsidR="006F7492" w:rsidRDefault="007F6FD1" w:rsidP="00F852D1">
      <w:pPr>
        <w:widowControl w:val="0"/>
        <w:ind w:left="1134" w:right="-2" w:hanging="567"/>
        <w:rPr>
          <w:color w:val="000000"/>
          <w:sz w:val="22"/>
          <w:szCs w:val="22"/>
          <w:lang w:val="da-DK"/>
        </w:rPr>
      </w:pPr>
      <w:r>
        <w:rPr>
          <w:color w:val="000000"/>
          <w:sz w:val="22"/>
          <w:szCs w:val="22"/>
          <w:lang w:val="da-DK"/>
        </w:rPr>
        <w:t>-</w:t>
      </w:r>
      <w:r>
        <w:rPr>
          <w:color w:val="000000"/>
          <w:sz w:val="22"/>
          <w:szCs w:val="22"/>
          <w:lang w:val="da-DK"/>
        </w:rPr>
        <w:tab/>
      </w:r>
      <w:r w:rsidR="006F7492" w:rsidRPr="004C2A59">
        <w:rPr>
          <w:color w:val="000000"/>
          <w:sz w:val="22"/>
          <w:szCs w:val="22"/>
          <w:lang w:val="da-DK"/>
        </w:rPr>
        <w:t xml:space="preserve">Hver </w:t>
      </w:r>
      <w:r w:rsidR="0038576D">
        <w:rPr>
          <w:color w:val="000000"/>
          <w:sz w:val="22"/>
          <w:szCs w:val="22"/>
          <w:lang w:val="da-DK"/>
        </w:rPr>
        <w:t xml:space="preserve">Glivec </w:t>
      </w:r>
      <w:r>
        <w:rPr>
          <w:color w:val="000000"/>
          <w:sz w:val="22"/>
          <w:szCs w:val="22"/>
          <w:lang w:val="da-DK"/>
        </w:rPr>
        <w:t>100</w:t>
      </w:r>
      <w:r w:rsidR="00B1729B">
        <w:rPr>
          <w:color w:val="000000"/>
          <w:sz w:val="22"/>
          <w:szCs w:val="22"/>
          <w:lang w:val="da-DK"/>
        </w:rPr>
        <w:t> </w:t>
      </w:r>
      <w:r>
        <w:rPr>
          <w:color w:val="000000"/>
          <w:sz w:val="22"/>
          <w:szCs w:val="22"/>
          <w:lang w:val="da-DK"/>
        </w:rPr>
        <w:t xml:space="preserve">mg </w:t>
      </w:r>
      <w:r w:rsidR="006F7492" w:rsidRPr="004C2A59">
        <w:rPr>
          <w:color w:val="000000"/>
          <w:sz w:val="22"/>
          <w:szCs w:val="22"/>
          <w:lang w:val="da-DK"/>
        </w:rPr>
        <w:t>tablet indeholder 100 mg imatinibmesilat.</w:t>
      </w:r>
    </w:p>
    <w:p w14:paraId="0B6FD6CA" w14:textId="6ADFF138" w:rsidR="007F6FD1" w:rsidRPr="004C2A59" w:rsidRDefault="007F6FD1" w:rsidP="00F852D1">
      <w:pPr>
        <w:widowControl w:val="0"/>
        <w:ind w:left="1134" w:right="-2" w:hanging="567"/>
        <w:rPr>
          <w:color w:val="000000"/>
          <w:sz w:val="22"/>
          <w:szCs w:val="22"/>
          <w:lang w:val="da-DK"/>
        </w:rPr>
      </w:pPr>
      <w:r>
        <w:rPr>
          <w:color w:val="000000"/>
          <w:sz w:val="22"/>
          <w:szCs w:val="22"/>
          <w:lang w:val="da-DK"/>
        </w:rPr>
        <w:t>-</w:t>
      </w:r>
      <w:r>
        <w:rPr>
          <w:color w:val="000000"/>
          <w:sz w:val="22"/>
          <w:szCs w:val="22"/>
          <w:lang w:val="da-DK"/>
        </w:rPr>
        <w:tab/>
        <w:t xml:space="preserve">Hver </w:t>
      </w:r>
      <w:r w:rsidR="0038576D">
        <w:rPr>
          <w:color w:val="000000"/>
          <w:sz w:val="22"/>
          <w:szCs w:val="22"/>
          <w:lang w:val="da-DK"/>
        </w:rPr>
        <w:t xml:space="preserve">Glivec 400 mg </w:t>
      </w:r>
      <w:r>
        <w:rPr>
          <w:color w:val="000000"/>
          <w:sz w:val="22"/>
          <w:szCs w:val="22"/>
          <w:lang w:val="da-DK"/>
        </w:rPr>
        <w:t>tablet indeholder 400 mg imatinibmesilat.</w:t>
      </w:r>
    </w:p>
    <w:p w14:paraId="1BE72897" w14:textId="77777777" w:rsidR="006F7492" w:rsidRPr="004C2A59" w:rsidRDefault="006F7492" w:rsidP="00C93654">
      <w:pPr>
        <w:pStyle w:val="EndnoteText"/>
        <w:keepNext/>
        <w:tabs>
          <w:tab w:val="clear" w:pos="567"/>
        </w:tabs>
        <w:suppressAutoHyphens/>
        <w:ind w:left="567" w:hanging="567"/>
        <w:rPr>
          <w:color w:val="000000"/>
          <w:szCs w:val="22"/>
        </w:rPr>
      </w:pPr>
      <w:r w:rsidRPr="004C2A59">
        <w:rPr>
          <w:color w:val="000000"/>
          <w:szCs w:val="22"/>
        </w:rPr>
        <w:t>-</w:t>
      </w:r>
      <w:r w:rsidRPr="004C2A59">
        <w:rPr>
          <w:color w:val="000000"/>
          <w:szCs w:val="22"/>
        </w:rPr>
        <w:tab/>
        <w:t>Øvrige indholdsstoffer: mikrokrystallinsk cellulose, crospovidon, hypromellose, magnesiumstearat og vandfri kolloid silica.</w:t>
      </w:r>
    </w:p>
    <w:p w14:paraId="0E0CF549" w14:textId="77777777" w:rsidR="006F7492" w:rsidRPr="004C2A59" w:rsidRDefault="006F7492" w:rsidP="00421681">
      <w:pPr>
        <w:widowControl w:val="0"/>
        <w:suppressAutoHyphens/>
        <w:ind w:left="567" w:hanging="567"/>
        <w:rPr>
          <w:color w:val="000000"/>
          <w:sz w:val="22"/>
          <w:szCs w:val="22"/>
          <w:lang w:val="da-DK"/>
        </w:rPr>
      </w:pPr>
      <w:r w:rsidRPr="004C2A59">
        <w:rPr>
          <w:color w:val="000000"/>
          <w:sz w:val="22"/>
          <w:szCs w:val="22"/>
          <w:lang w:val="da-DK"/>
        </w:rPr>
        <w:t>-</w:t>
      </w:r>
      <w:r w:rsidRPr="004C2A59">
        <w:rPr>
          <w:color w:val="000000"/>
          <w:sz w:val="22"/>
          <w:szCs w:val="22"/>
          <w:lang w:val="da-DK"/>
        </w:rPr>
        <w:tab/>
        <w:t>Filmovertrækket består af rød jernoxid (E 172), gul jernoxid (E 172), macrogol, talcum og hypromellose.</w:t>
      </w:r>
    </w:p>
    <w:p w14:paraId="222AAF7D" w14:textId="77777777" w:rsidR="006F7492" w:rsidRPr="004C2A59" w:rsidRDefault="006F7492" w:rsidP="00421681">
      <w:pPr>
        <w:pStyle w:val="EndnoteText"/>
        <w:tabs>
          <w:tab w:val="clear" w:pos="567"/>
        </w:tabs>
        <w:suppressAutoHyphens/>
        <w:rPr>
          <w:color w:val="000000"/>
          <w:szCs w:val="22"/>
        </w:rPr>
      </w:pPr>
    </w:p>
    <w:p w14:paraId="5A9B0A34" w14:textId="77777777" w:rsidR="006F7492" w:rsidRPr="004C2A59" w:rsidRDefault="006F7492" w:rsidP="00C93654">
      <w:pPr>
        <w:pStyle w:val="EndnoteText"/>
        <w:keepNext/>
        <w:tabs>
          <w:tab w:val="clear" w:pos="567"/>
        </w:tabs>
        <w:suppressAutoHyphens/>
        <w:ind w:left="567" w:hanging="567"/>
        <w:rPr>
          <w:b/>
          <w:bCs/>
          <w:color w:val="000000"/>
          <w:szCs w:val="22"/>
        </w:rPr>
      </w:pPr>
      <w:r w:rsidRPr="004C2A59">
        <w:rPr>
          <w:b/>
          <w:bCs/>
          <w:color w:val="000000"/>
          <w:szCs w:val="22"/>
        </w:rPr>
        <w:t>Udseende og pakningsstørrelser</w:t>
      </w:r>
    </w:p>
    <w:p w14:paraId="08E344C9" w14:textId="41798A86" w:rsidR="006F7492" w:rsidRDefault="006F7492" w:rsidP="00421681">
      <w:pPr>
        <w:widowControl w:val="0"/>
        <w:suppressAutoHyphens/>
        <w:rPr>
          <w:color w:val="000000"/>
          <w:sz w:val="22"/>
          <w:szCs w:val="22"/>
          <w:lang w:val="da-DK"/>
        </w:rPr>
      </w:pPr>
      <w:r w:rsidRPr="004C2A59">
        <w:rPr>
          <w:color w:val="000000"/>
          <w:sz w:val="22"/>
          <w:szCs w:val="22"/>
          <w:lang w:val="da-DK"/>
        </w:rPr>
        <w:t>Glivec 100 mg filmovertrukne tabletter er meget mørkegule til brun-orange runde tabletter. De er præget med ”</w:t>
      </w:r>
      <w:smartTag w:uri="urn:schemas-microsoft-com:office:smarttags" w:element="metricconverter">
        <w:r w:rsidRPr="004C2A59">
          <w:rPr>
            <w:color w:val="000000"/>
            <w:sz w:val="22"/>
            <w:szCs w:val="22"/>
            <w:lang w:val="da-DK"/>
          </w:rPr>
          <w:t>NVR</w:t>
        </w:r>
      </w:smartTag>
      <w:r w:rsidRPr="004C2A59">
        <w:rPr>
          <w:color w:val="000000"/>
          <w:sz w:val="22"/>
          <w:szCs w:val="22"/>
          <w:lang w:val="da-DK"/>
        </w:rPr>
        <w:t>” på den ene side og ”SA” og en delekærv på den anden side.</w:t>
      </w:r>
    </w:p>
    <w:p w14:paraId="6EC41F0D" w14:textId="2F0632F7" w:rsidR="00C61BC8" w:rsidRPr="004C2A59" w:rsidRDefault="00C61BC8" w:rsidP="00C61BC8">
      <w:pPr>
        <w:widowControl w:val="0"/>
        <w:suppressAutoHyphens/>
        <w:rPr>
          <w:color w:val="000000"/>
          <w:sz w:val="22"/>
          <w:szCs w:val="22"/>
          <w:lang w:val="da-DK"/>
        </w:rPr>
      </w:pPr>
      <w:r>
        <w:rPr>
          <w:color w:val="000000"/>
          <w:sz w:val="22"/>
          <w:szCs w:val="22"/>
          <w:lang w:val="da-DK"/>
        </w:rPr>
        <w:t>Glivec 400 mg filmovertrukne tabletter er meget mørkegule til brun-orange ovale tabletter. De er præget med ”glivec” på den ene side.</w:t>
      </w:r>
    </w:p>
    <w:p w14:paraId="11D288F9" w14:textId="77777777" w:rsidR="006F7492" w:rsidRPr="004C2A59" w:rsidRDefault="006F7492" w:rsidP="00421681">
      <w:pPr>
        <w:widowControl w:val="0"/>
        <w:suppressAutoHyphens/>
        <w:ind w:left="567" w:hanging="567"/>
        <w:rPr>
          <w:color w:val="000000"/>
          <w:sz w:val="22"/>
          <w:szCs w:val="22"/>
          <w:lang w:val="da-DK"/>
        </w:rPr>
      </w:pPr>
    </w:p>
    <w:p w14:paraId="5DD57848" w14:textId="7A83675C" w:rsidR="00C61BC8" w:rsidRDefault="00C61BC8" w:rsidP="00421681">
      <w:pPr>
        <w:widowControl w:val="0"/>
        <w:suppressAutoHyphens/>
        <w:rPr>
          <w:color w:val="000000"/>
          <w:sz w:val="22"/>
          <w:szCs w:val="22"/>
          <w:lang w:val="da-DK"/>
        </w:rPr>
      </w:pPr>
      <w:r>
        <w:rPr>
          <w:color w:val="000000"/>
          <w:sz w:val="22"/>
          <w:szCs w:val="22"/>
          <w:lang w:val="da-DK"/>
        </w:rPr>
        <w:t xml:space="preserve">Glivec 100 mg filmovertrukne tabletter </w:t>
      </w:r>
      <w:r w:rsidR="006F7492" w:rsidRPr="004C2A59">
        <w:rPr>
          <w:color w:val="000000"/>
          <w:sz w:val="22"/>
          <w:szCs w:val="22"/>
          <w:lang w:val="da-DK"/>
        </w:rPr>
        <w:t xml:space="preserve">findes i pakninger </w:t>
      </w:r>
      <w:r w:rsidR="0038576D">
        <w:rPr>
          <w:color w:val="000000"/>
          <w:sz w:val="22"/>
          <w:szCs w:val="22"/>
          <w:lang w:val="da-DK"/>
        </w:rPr>
        <w:t>indeholdende</w:t>
      </w:r>
      <w:r w:rsidR="006F7492" w:rsidRPr="004C2A59">
        <w:rPr>
          <w:color w:val="000000"/>
          <w:sz w:val="22"/>
          <w:szCs w:val="22"/>
          <w:lang w:val="da-DK"/>
        </w:rPr>
        <w:t xml:space="preserve"> 20, 60, 120 eller 180 tabletter</w:t>
      </w:r>
      <w:r>
        <w:rPr>
          <w:color w:val="000000"/>
          <w:sz w:val="22"/>
          <w:szCs w:val="22"/>
          <w:lang w:val="da-DK"/>
        </w:rPr>
        <w:t>.</w:t>
      </w:r>
    </w:p>
    <w:p w14:paraId="3B956AAC" w14:textId="1CBF0248" w:rsidR="00C61BC8" w:rsidRDefault="00C61BC8" w:rsidP="00421681">
      <w:pPr>
        <w:widowControl w:val="0"/>
        <w:suppressAutoHyphens/>
        <w:rPr>
          <w:color w:val="000000"/>
          <w:sz w:val="22"/>
          <w:szCs w:val="22"/>
          <w:lang w:val="da-DK"/>
        </w:rPr>
      </w:pPr>
      <w:r>
        <w:rPr>
          <w:color w:val="000000"/>
          <w:sz w:val="22"/>
          <w:szCs w:val="22"/>
          <w:lang w:val="da-DK"/>
        </w:rPr>
        <w:t xml:space="preserve">Glivec 400 mg filmovertrukne tabletter findes i pakninger </w:t>
      </w:r>
      <w:r w:rsidR="0038576D">
        <w:rPr>
          <w:color w:val="000000"/>
          <w:sz w:val="22"/>
          <w:szCs w:val="22"/>
          <w:lang w:val="da-DK"/>
        </w:rPr>
        <w:t xml:space="preserve">indeholdende </w:t>
      </w:r>
      <w:r>
        <w:rPr>
          <w:color w:val="000000"/>
          <w:sz w:val="22"/>
          <w:szCs w:val="22"/>
          <w:lang w:val="da-DK"/>
        </w:rPr>
        <w:t>10, 30, eller 90 tabletter.</w:t>
      </w:r>
    </w:p>
    <w:p w14:paraId="54DD638A" w14:textId="7B684A62" w:rsidR="006F7492" w:rsidRPr="004C2A59" w:rsidRDefault="0038576D" w:rsidP="00421681">
      <w:pPr>
        <w:widowControl w:val="0"/>
        <w:suppressAutoHyphens/>
        <w:rPr>
          <w:color w:val="000000"/>
          <w:sz w:val="22"/>
          <w:szCs w:val="22"/>
          <w:lang w:val="da-DK"/>
        </w:rPr>
      </w:pPr>
      <w:r>
        <w:rPr>
          <w:color w:val="000000"/>
          <w:sz w:val="22"/>
          <w:szCs w:val="22"/>
          <w:lang w:val="da-DK"/>
        </w:rPr>
        <w:t>Ikke a</w:t>
      </w:r>
      <w:r w:rsidR="00C61BC8">
        <w:rPr>
          <w:color w:val="000000"/>
          <w:sz w:val="22"/>
          <w:szCs w:val="22"/>
          <w:lang w:val="da-DK"/>
        </w:rPr>
        <w:t xml:space="preserve">lle </w:t>
      </w:r>
      <w:r w:rsidR="006F7492" w:rsidRPr="004C2A59">
        <w:rPr>
          <w:color w:val="000000"/>
          <w:sz w:val="22"/>
          <w:szCs w:val="22"/>
          <w:lang w:val="da-DK"/>
        </w:rPr>
        <w:t xml:space="preserve">pakningsstørrelser er nødvendigvis </w:t>
      </w:r>
      <w:r>
        <w:rPr>
          <w:color w:val="000000"/>
          <w:sz w:val="22"/>
          <w:szCs w:val="22"/>
          <w:lang w:val="da-DK"/>
        </w:rPr>
        <w:t>markedsført</w:t>
      </w:r>
      <w:r w:rsidR="006F7492" w:rsidRPr="004C2A59">
        <w:rPr>
          <w:color w:val="000000"/>
          <w:sz w:val="22"/>
          <w:szCs w:val="22"/>
          <w:lang w:val="da-DK"/>
        </w:rPr>
        <w:t xml:space="preserve"> i dit land.</w:t>
      </w:r>
    </w:p>
    <w:p w14:paraId="4C408FFB" w14:textId="77777777" w:rsidR="006F7492" w:rsidRPr="004C2A59" w:rsidRDefault="006F7492" w:rsidP="00421681">
      <w:pPr>
        <w:widowControl w:val="0"/>
        <w:rPr>
          <w:color w:val="000000"/>
          <w:sz w:val="22"/>
          <w:szCs w:val="22"/>
          <w:lang w:val="da-DK"/>
        </w:rPr>
      </w:pPr>
    </w:p>
    <w:p w14:paraId="63E06AC5" w14:textId="77777777" w:rsidR="006F7492" w:rsidRPr="004C2A59" w:rsidRDefault="006F7492" w:rsidP="00C93654">
      <w:pPr>
        <w:pStyle w:val="Heading9"/>
        <w:widowControl w:val="0"/>
        <w:numPr>
          <w:ilvl w:val="0"/>
          <w:numId w:val="0"/>
        </w:numPr>
        <w:suppressAutoHyphens w:val="0"/>
        <w:rPr>
          <w:color w:val="000000"/>
          <w:szCs w:val="22"/>
        </w:rPr>
      </w:pPr>
      <w:r w:rsidRPr="004C2A59">
        <w:rPr>
          <w:color w:val="000000"/>
          <w:szCs w:val="22"/>
        </w:rPr>
        <w:t>Indehaver af markedsføringstilladelsen</w:t>
      </w:r>
    </w:p>
    <w:p w14:paraId="336CF88F" w14:textId="77777777" w:rsidR="006F7492" w:rsidRPr="004C2A59" w:rsidRDefault="006F7492" w:rsidP="00C93654">
      <w:pPr>
        <w:keepNext/>
        <w:widowControl w:val="0"/>
        <w:rPr>
          <w:color w:val="000000"/>
          <w:sz w:val="22"/>
          <w:szCs w:val="22"/>
          <w:lang w:val="da-DK"/>
        </w:rPr>
      </w:pPr>
      <w:r w:rsidRPr="004C2A59">
        <w:rPr>
          <w:color w:val="000000"/>
          <w:sz w:val="22"/>
          <w:szCs w:val="22"/>
          <w:lang w:val="da-DK"/>
        </w:rPr>
        <w:t>Novartis Europharm Limited</w:t>
      </w:r>
    </w:p>
    <w:p w14:paraId="76885C7D" w14:textId="77777777" w:rsidR="004F2E31" w:rsidRPr="00F852D1" w:rsidRDefault="004F2E31" w:rsidP="00421681">
      <w:pPr>
        <w:keepNext/>
        <w:widowControl w:val="0"/>
        <w:rPr>
          <w:color w:val="000000"/>
          <w:sz w:val="22"/>
          <w:szCs w:val="22"/>
          <w:lang w:val="da-DK"/>
        </w:rPr>
      </w:pPr>
      <w:r w:rsidRPr="00F852D1">
        <w:rPr>
          <w:color w:val="000000"/>
          <w:sz w:val="22"/>
          <w:szCs w:val="22"/>
          <w:lang w:val="da-DK"/>
        </w:rPr>
        <w:t>Vista Building</w:t>
      </w:r>
    </w:p>
    <w:p w14:paraId="68511FBE" w14:textId="77777777" w:rsidR="004F2E31" w:rsidRPr="00F852D1" w:rsidRDefault="004F2E31" w:rsidP="00421681">
      <w:pPr>
        <w:keepNext/>
        <w:widowControl w:val="0"/>
        <w:rPr>
          <w:color w:val="000000"/>
          <w:sz w:val="22"/>
          <w:szCs w:val="22"/>
          <w:lang w:val="da-DK"/>
        </w:rPr>
      </w:pPr>
      <w:r w:rsidRPr="00F852D1">
        <w:rPr>
          <w:color w:val="000000"/>
          <w:sz w:val="22"/>
          <w:szCs w:val="22"/>
          <w:lang w:val="da-DK"/>
        </w:rPr>
        <w:t>Elm Park, Merrion Road</w:t>
      </w:r>
    </w:p>
    <w:p w14:paraId="0B3BB171" w14:textId="77777777" w:rsidR="004F2E31" w:rsidRPr="00F93637" w:rsidRDefault="004F2E31" w:rsidP="00421681">
      <w:pPr>
        <w:keepNext/>
        <w:widowControl w:val="0"/>
        <w:rPr>
          <w:color w:val="000000"/>
          <w:sz w:val="22"/>
          <w:szCs w:val="22"/>
          <w:lang w:val="da-DK"/>
        </w:rPr>
      </w:pPr>
      <w:r w:rsidRPr="00F93637">
        <w:rPr>
          <w:color w:val="000000"/>
          <w:sz w:val="22"/>
          <w:szCs w:val="22"/>
          <w:lang w:val="da-DK"/>
        </w:rPr>
        <w:t>Dublin 4</w:t>
      </w:r>
    </w:p>
    <w:p w14:paraId="0C12E15E" w14:textId="77777777" w:rsidR="004F2E31" w:rsidRPr="00F93637" w:rsidRDefault="004F2E31" w:rsidP="00421681">
      <w:pPr>
        <w:rPr>
          <w:color w:val="000000"/>
          <w:sz w:val="22"/>
          <w:szCs w:val="22"/>
          <w:lang w:val="da-DK"/>
        </w:rPr>
      </w:pPr>
      <w:r w:rsidRPr="00F93637">
        <w:rPr>
          <w:color w:val="000000"/>
          <w:sz w:val="22"/>
          <w:szCs w:val="22"/>
          <w:lang w:val="da-DK"/>
        </w:rPr>
        <w:t>Irland</w:t>
      </w:r>
    </w:p>
    <w:p w14:paraId="4B5C9828" w14:textId="77777777" w:rsidR="006F7492" w:rsidRPr="00F852D1" w:rsidRDefault="006F7492" w:rsidP="00421681">
      <w:pPr>
        <w:widowControl w:val="0"/>
        <w:suppressAutoHyphens/>
        <w:ind w:left="567" w:hanging="567"/>
        <w:rPr>
          <w:color w:val="000000"/>
          <w:sz w:val="22"/>
          <w:szCs w:val="22"/>
          <w:lang w:val="da-DK"/>
        </w:rPr>
      </w:pPr>
    </w:p>
    <w:p w14:paraId="3A461B89" w14:textId="77777777" w:rsidR="006F7492" w:rsidRPr="00F852D1" w:rsidRDefault="006F7492" w:rsidP="00421681">
      <w:pPr>
        <w:pStyle w:val="Heading9"/>
        <w:widowControl w:val="0"/>
        <w:numPr>
          <w:ilvl w:val="0"/>
          <w:numId w:val="0"/>
        </w:numPr>
        <w:rPr>
          <w:color w:val="000000"/>
          <w:szCs w:val="22"/>
        </w:rPr>
      </w:pPr>
      <w:r w:rsidRPr="00F852D1">
        <w:rPr>
          <w:color w:val="000000"/>
          <w:szCs w:val="22"/>
        </w:rPr>
        <w:t>Fremstiller</w:t>
      </w:r>
    </w:p>
    <w:p w14:paraId="2E9B2AEA" w14:textId="77777777" w:rsidR="00421681" w:rsidRPr="00F852D1" w:rsidRDefault="00421681" w:rsidP="00421681">
      <w:pPr>
        <w:keepNext/>
        <w:tabs>
          <w:tab w:val="left" w:pos="-720"/>
        </w:tabs>
        <w:suppressAutoHyphens/>
        <w:rPr>
          <w:color w:val="000000"/>
          <w:sz w:val="22"/>
          <w:szCs w:val="22"/>
          <w:lang w:val="da-DK"/>
        </w:rPr>
      </w:pPr>
      <w:r w:rsidRPr="00F852D1">
        <w:rPr>
          <w:color w:val="000000"/>
          <w:sz w:val="22"/>
          <w:szCs w:val="22"/>
          <w:lang w:val="da-DK"/>
        </w:rPr>
        <w:t>Lek d.d, PE PROIZVODNJA LENDAVA</w:t>
      </w:r>
    </w:p>
    <w:p w14:paraId="11CA2C2D" w14:textId="77777777" w:rsidR="00421681" w:rsidRPr="00F852D1" w:rsidRDefault="00421681" w:rsidP="00421681">
      <w:pPr>
        <w:keepNext/>
        <w:tabs>
          <w:tab w:val="left" w:pos="-720"/>
        </w:tabs>
        <w:suppressAutoHyphens/>
        <w:rPr>
          <w:color w:val="000000"/>
          <w:sz w:val="22"/>
          <w:szCs w:val="22"/>
          <w:lang w:val="it-IT"/>
        </w:rPr>
      </w:pPr>
      <w:r w:rsidRPr="00F852D1">
        <w:rPr>
          <w:color w:val="000000"/>
          <w:sz w:val="22"/>
          <w:szCs w:val="22"/>
          <w:lang w:val="it-IT"/>
        </w:rPr>
        <w:t>Trimlini 2D</w:t>
      </w:r>
    </w:p>
    <w:p w14:paraId="140D73AC" w14:textId="77777777" w:rsidR="00421681" w:rsidRPr="00F852D1" w:rsidRDefault="00421681" w:rsidP="00421681">
      <w:pPr>
        <w:keepNext/>
        <w:tabs>
          <w:tab w:val="left" w:pos="-720"/>
        </w:tabs>
        <w:suppressAutoHyphens/>
        <w:rPr>
          <w:color w:val="000000"/>
          <w:sz w:val="22"/>
          <w:szCs w:val="22"/>
          <w:lang w:val="it-IT"/>
        </w:rPr>
      </w:pPr>
      <w:r w:rsidRPr="00F852D1">
        <w:rPr>
          <w:color w:val="000000"/>
          <w:sz w:val="22"/>
          <w:szCs w:val="22"/>
          <w:lang w:val="it-IT"/>
        </w:rPr>
        <w:t>Lendava, 9220</w:t>
      </w:r>
    </w:p>
    <w:p w14:paraId="631B3F3C" w14:textId="77777777" w:rsidR="00421681" w:rsidRPr="00F852D1" w:rsidRDefault="00421681" w:rsidP="00421681">
      <w:pPr>
        <w:tabs>
          <w:tab w:val="left" w:pos="-720"/>
        </w:tabs>
        <w:suppressAutoHyphens/>
        <w:rPr>
          <w:color w:val="000000"/>
          <w:sz w:val="22"/>
          <w:szCs w:val="22"/>
          <w:lang w:val="it-IT"/>
        </w:rPr>
      </w:pPr>
      <w:r w:rsidRPr="00F852D1">
        <w:rPr>
          <w:color w:val="000000"/>
          <w:sz w:val="22"/>
          <w:szCs w:val="22"/>
          <w:lang w:val="it-IT"/>
        </w:rPr>
        <w:t>Slovenien</w:t>
      </w:r>
    </w:p>
    <w:p w14:paraId="2755D204" w14:textId="77777777" w:rsidR="00421681" w:rsidRPr="00F852D1" w:rsidRDefault="00421681" w:rsidP="00421681">
      <w:pPr>
        <w:tabs>
          <w:tab w:val="left" w:pos="-720"/>
        </w:tabs>
        <w:suppressAutoHyphens/>
        <w:rPr>
          <w:color w:val="000000"/>
          <w:sz w:val="22"/>
          <w:szCs w:val="22"/>
          <w:lang w:val="it-IT"/>
        </w:rPr>
      </w:pPr>
    </w:p>
    <w:p w14:paraId="2266A88A" w14:textId="77777777" w:rsidR="006F7492" w:rsidRPr="00F852D1" w:rsidRDefault="006F7492" w:rsidP="003A6395">
      <w:pPr>
        <w:pStyle w:val="EndnoteText"/>
        <w:keepNext/>
        <w:tabs>
          <w:tab w:val="clear" w:pos="567"/>
        </w:tabs>
        <w:suppressAutoHyphens/>
        <w:rPr>
          <w:color w:val="000000"/>
          <w:szCs w:val="22"/>
          <w:shd w:val="pct15" w:color="auto" w:fill="auto"/>
          <w:lang w:val="it-IT"/>
        </w:rPr>
      </w:pPr>
      <w:r w:rsidRPr="00F852D1">
        <w:rPr>
          <w:color w:val="000000"/>
          <w:szCs w:val="22"/>
          <w:shd w:val="pct15" w:color="auto" w:fill="auto"/>
          <w:lang w:val="it-IT"/>
        </w:rPr>
        <w:t>Novartis Pharma GmbH</w:t>
      </w:r>
    </w:p>
    <w:p w14:paraId="575C7BBD" w14:textId="77777777" w:rsidR="006F7492" w:rsidRPr="00F852D1" w:rsidRDefault="006F7492" w:rsidP="003A6395">
      <w:pPr>
        <w:keepNext/>
        <w:widowControl w:val="0"/>
        <w:suppressAutoHyphens/>
        <w:rPr>
          <w:color w:val="000000"/>
          <w:sz w:val="22"/>
          <w:szCs w:val="22"/>
          <w:shd w:val="pct15" w:color="auto" w:fill="auto"/>
          <w:lang w:val="da-DK"/>
        </w:rPr>
      </w:pPr>
      <w:r w:rsidRPr="00F852D1">
        <w:rPr>
          <w:color w:val="000000"/>
          <w:sz w:val="22"/>
          <w:szCs w:val="22"/>
          <w:shd w:val="pct15" w:color="auto" w:fill="auto"/>
          <w:lang w:val="da-DK"/>
        </w:rPr>
        <w:t>Roonstrasse 25</w:t>
      </w:r>
    </w:p>
    <w:p w14:paraId="1203F80D" w14:textId="77777777" w:rsidR="006F7492" w:rsidRPr="00F852D1" w:rsidRDefault="006F7492" w:rsidP="003A6395">
      <w:pPr>
        <w:keepNext/>
        <w:widowControl w:val="0"/>
        <w:suppressAutoHyphens/>
        <w:rPr>
          <w:color w:val="000000"/>
          <w:sz w:val="22"/>
          <w:szCs w:val="22"/>
          <w:shd w:val="pct15" w:color="auto" w:fill="auto"/>
          <w:lang w:val="da-DK"/>
        </w:rPr>
      </w:pPr>
      <w:r w:rsidRPr="00F852D1">
        <w:rPr>
          <w:color w:val="000000"/>
          <w:sz w:val="22"/>
          <w:szCs w:val="22"/>
          <w:shd w:val="pct15" w:color="auto" w:fill="auto"/>
          <w:lang w:val="da-DK"/>
        </w:rPr>
        <w:t>D-90420 Nürnberg</w:t>
      </w:r>
    </w:p>
    <w:p w14:paraId="3D4FBDE6" w14:textId="77777777" w:rsidR="006F7492" w:rsidRPr="003A6395" w:rsidRDefault="006F7492" w:rsidP="00421681">
      <w:pPr>
        <w:widowControl w:val="0"/>
        <w:rPr>
          <w:color w:val="000000"/>
          <w:sz w:val="22"/>
          <w:szCs w:val="22"/>
          <w:shd w:val="pct15" w:color="auto" w:fill="auto"/>
          <w:lang w:val="da-DK"/>
        </w:rPr>
      </w:pPr>
      <w:r w:rsidRPr="003A6395">
        <w:rPr>
          <w:color w:val="000000"/>
          <w:sz w:val="22"/>
          <w:szCs w:val="22"/>
          <w:shd w:val="pct15" w:color="auto" w:fill="auto"/>
          <w:lang w:val="da-DK"/>
        </w:rPr>
        <w:t>Tyskland</w:t>
      </w:r>
    </w:p>
    <w:p w14:paraId="3734FCB8" w14:textId="77777777" w:rsidR="006F7492" w:rsidRPr="004C2A59" w:rsidRDefault="006F7492" w:rsidP="00421681">
      <w:pPr>
        <w:widowControl w:val="0"/>
        <w:rPr>
          <w:color w:val="000000"/>
          <w:sz w:val="22"/>
          <w:szCs w:val="22"/>
          <w:lang w:val="da-DK"/>
        </w:rPr>
      </w:pPr>
    </w:p>
    <w:p w14:paraId="06CFE25C" w14:textId="77777777" w:rsidR="006F7492" w:rsidRPr="004C2A59" w:rsidRDefault="006F7492" w:rsidP="00C93654">
      <w:pPr>
        <w:keepNext/>
        <w:widowControl w:val="0"/>
        <w:rPr>
          <w:color w:val="000000"/>
          <w:sz w:val="22"/>
          <w:szCs w:val="22"/>
          <w:lang w:val="da-DK"/>
        </w:rPr>
      </w:pPr>
      <w:r w:rsidRPr="004C2A59">
        <w:rPr>
          <w:color w:val="000000"/>
          <w:sz w:val="22"/>
          <w:szCs w:val="22"/>
          <w:lang w:val="da-DK"/>
        </w:rPr>
        <w:t>Hvis du</w:t>
      </w:r>
      <w:r w:rsidR="008B294B" w:rsidRPr="004C2A59">
        <w:rPr>
          <w:color w:val="000000"/>
          <w:sz w:val="22"/>
          <w:szCs w:val="22"/>
          <w:lang w:val="da-DK"/>
        </w:rPr>
        <w:t xml:space="preserve"> ønsker</w:t>
      </w:r>
      <w:r w:rsidRPr="004C2A59">
        <w:rPr>
          <w:color w:val="000000"/>
          <w:sz w:val="22"/>
          <w:szCs w:val="22"/>
          <w:lang w:val="da-DK"/>
        </w:rPr>
        <w:t xml:space="preserve"> yderligere oplysninger om </w:t>
      </w:r>
      <w:r w:rsidR="008B294B" w:rsidRPr="004C2A59">
        <w:rPr>
          <w:color w:val="000000"/>
          <w:sz w:val="22"/>
          <w:szCs w:val="22"/>
          <w:lang w:val="da-DK"/>
        </w:rPr>
        <w:t>dette lægemiddel</w:t>
      </w:r>
      <w:r w:rsidRPr="004C2A59">
        <w:rPr>
          <w:color w:val="000000"/>
          <w:sz w:val="22"/>
          <w:szCs w:val="22"/>
          <w:lang w:val="da-DK"/>
        </w:rPr>
        <w:t xml:space="preserve">, skal du henvende dig til den lokale </w:t>
      </w:r>
      <w:r w:rsidR="008B294B" w:rsidRPr="004C2A59">
        <w:rPr>
          <w:color w:val="000000"/>
          <w:sz w:val="22"/>
          <w:szCs w:val="22"/>
          <w:lang w:val="da-DK"/>
        </w:rPr>
        <w:t>repræsentant for indehaveren af markedsføringstilladelsen</w:t>
      </w:r>
      <w:r w:rsidRPr="004C2A59">
        <w:rPr>
          <w:color w:val="000000"/>
          <w:sz w:val="22"/>
          <w:szCs w:val="22"/>
          <w:lang w:val="da-DK"/>
        </w:rPr>
        <w:t>:</w:t>
      </w:r>
    </w:p>
    <w:p w14:paraId="702B89C8" w14:textId="77777777" w:rsidR="00312C59" w:rsidRPr="004C2A59" w:rsidRDefault="00312C59" w:rsidP="00C93654">
      <w:pPr>
        <w:keepNext/>
        <w:widowControl w:val="0"/>
        <w:ind w:right="-449"/>
        <w:rPr>
          <w:color w:val="000000"/>
          <w:sz w:val="22"/>
          <w:szCs w:val="22"/>
          <w:lang w:val="da-DK"/>
        </w:rPr>
      </w:pPr>
    </w:p>
    <w:tbl>
      <w:tblPr>
        <w:tblW w:w="9300" w:type="dxa"/>
        <w:tblLayout w:type="fixed"/>
        <w:tblLook w:val="0000" w:firstRow="0" w:lastRow="0" w:firstColumn="0" w:lastColumn="0" w:noHBand="0" w:noVBand="0"/>
      </w:tblPr>
      <w:tblGrid>
        <w:gridCol w:w="4650"/>
        <w:gridCol w:w="4650"/>
      </w:tblGrid>
      <w:tr w:rsidR="00312C59" w:rsidRPr="004C2A59" w14:paraId="01D15014" w14:textId="77777777" w:rsidTr="00947CCE">
        <w:trPr>
          <w:cantSplit/>
        </w:trPr>
        <w:tc>
          <w:tcPr>
            <w:tcW w:w="4650" w:type="dxa"/>
          </w:tcPr>
          <w:p w14:paraId="5151BDDC" w14:textId="77777777" w:rsidR="00312C59" w:rsidRPr="004C2A59" w:rsidRDefault="00312C59" w:rsidP="00421681">
            <w:pPr>
              <w:rPr>
                <w:b/>
                <w:color w:val="000000"/>
                <w:sz w:val="22"/>
                <w:szCs w:val="22"/>
                <w:lang w:val="fr-FR"/>
              </w:rPr>
            </w:pPr>
            <w:r w:rsidRPr="004C2A59">
              <w:rPr>
                <w:b/>
                <w:color w:val="000000"/>
                <w:sz w:val="22"/>
                <w:szCs w:val="22"/>
                <w:lang w:val="fr-FR"/>
              </w:rPr>
              <w:t>België/Belgique/Belgien</w:t>
            </w:r>
          </w:p>
          <w:p w14:paraId="47ED72AB" w14:textId="77777777" w:rsidR="00312C59" w:rsidRPr="004C2A59" w:rsidRDefault="00312C59" w:rsidP="00421681">
            <w:pPr>
              <w:rPr>
                <w:color w:val="000000"/>
                <w:sz w:val="22"/>
                <w:szCs w:val="22"/>
                <w:lang w:val="fr-FR"/>
              </w:rPr>
            </w:pPr>
            <w:r w:rsidRPr="004C2A59">
              <w:rPr>
                <w:color w:val="000000"/>
                <w:sz w:val="22"/>
                <w:szCs w:val="22"/>
                <w:lang w:val="fr-FR"/>
              </w:rPr>
              <w:t>Novartis Pharma N.V.</w:t>
            </w:r>
          </w:p>
          <w:p w14:paraId="7B54EA7A" w14:textId="77777777" w:rsidR="00312C59" w:rsidRPr="004C2A59" w:rsidRDefault="00312C59" w:rsidP="00421681">
            <w:pPr>
              <w:rPr>
                <w:color w:val="000000"/>
                <w:sz w:val="22"/>
                <w:szCs w:val="22"/>
              </w:rPr>
            </w:pPr>
            <w:r w:rsidRPr="004C2A59">
              <w:rPr>
                <w:color w:val="000000"/>
                <w:sz w:val="22"/>
                <w:szCs w:val="22"/>
              </w:rPr>
              <w:t>Tél/Tel: +32 2 246 16 11</w:t>
            </w:r>
          </w:p>
          <w:p w14:paraId="03B43ACB" w14:textId="77777777" w:rsidR="00312C59" w:rsidRPr="004C2A59" w:rsidRDefault="00312C59" w:rsidP="00421681">
            <w:pPr>
              <w:rPr>
                <w:b/>
                <w:color w:val="000000"/>
                <w:sz w:val="22"/>
                <w:szCs w:val="22"/>
              </w:rPr>
            </w:pPr>
          </w:p>
        </w:tc>
        <w:tc>
          <w:tcPr>
            <w:tcW w:w="4650" w:type="dxa"/>
          </w:tcPr>
          <w:p w14:paraId="34402396" w14:textId="77777777" w:rsidR="00312C59" w:rsidRPr="00F93637" w:rsidRDefault="00312C59" w:rsidP="00421681">
            <w:pPr>
              <w:rPr>
                <w:b/>
                <w:color w:val="000000"/>
                <w:sz w:val="22"/>
                <w:szCs w:val="22"/>
                <w:lang w:val="es-ES"/>
              </w:rPr>
            </w:pPr>
            <w:r w:rsidRPr="00F93637">
              <w:rPr>
                <w:b/>
                <w:color w:val="000000"/>
                <w:sz w:val="22"/>
                <w:szCs w:val="22"/>
                <w:lang w:val="es-ES"/>
              </w:rPr>
              <w:t>Lietuva</w:t>
            </w:r>
          </w:p>
          <w:p w14:paraId="1BA200EB" w14:textId="282E8F61" w:rsidR="00312C59" w:rsidRPr="00F93637" w:rsidRDefault="0057786A" w:rsidP="00421681">
            <w:pPr>
              <w:rPr>
                <w:color w:val="000000"/>
                <w:sz w:val="22"/>
                <w:szCs w:val="22"/>
                <w:lang w:val="es-ES"/>
              </w:rPr>
            </w:pPr>
            <w:r w:rsidRPr="00F93637">
              <w:rPr>
                <w:color w:val="000000"/>
                <w:sz w:val="22"/>
                <w:szCs w:val="22"/>
                <w:lang w:val="es-ES"/>
              </w:rPr>
              <w:t>SIA Novartis Baltics Lietuvos filialas</w:t>
            </w:r>
          </w:p>
          <w:p w14:paraId="3109FF87" w14:textId="77777777" w:rsidR="00312C59" w:rsidRPr="004C2A59" w:rsidRDefault="00312C59" w:rsidP="00421681">
            <w:pPr>
              <w:rPr>
                <w:color w:val="000000"/>
                <w:sz w:val="22"/>
                <w:szCs w:val="22"/>
                <w:lang w:val="fr-FR"/>
              </w:rPr>
            </w:pPr>
            <w:r w:rsidRPr="004C2A59">
              <w:rPr>
                <w:color w:val="000000"/>
                <w:sz w:val="22"/>
                <w:szCs w:val="22"/>
                <w:lang w:val="fr-FR"/>
              </w:rPr>
              <w:t>Tel: +370 5 269 16 50</w:t>
            </w:r>
          </w:p>
          <w:p w14:paraId="679CB4CF" w14:textId="77777777" w:rsidR="00312C59" w:rsidRPr="004C2A59" w:rsidRDefault="00312C59" w:rsidP="00421681">
            <w:pPr>
              <w:rPr>
                <w:color w:val="000000"/>
                <w:sz w:val="22"/>
                <w:szCs w:val="22"/>
                <w:lang w:val="fr-FR"/>
              </w:rPr>
            </w:pPr>
          </w:p>
        </w:tc>
      </w:tr>
      <w:tr w:rsidR="00312C59" w:rsidRPr="00DA2798" w14:paraId="75B5AD9A" w14:textId="77777777" w:rsidTr="00947CCE">
        <w:trPr>
          <w:cantSplit/>
        </w:trPr>
        <w:tc>
          <w:tcPr>
            <w:tcW w:w="4650" w:type="dxa"/>
          </w:tcPr>
          <w:p w14:paraId="55F9D1CD" w14:textId="77777777" w:rsidR="00312C59" w:rsidRPr="00F93637" w:rsidRDefault="00312C59" w:rsidP="00421681">
            <w:pPr>
              <w:rPr>
                <w:b/>
                <w:noProof/>
                <w:color w:val="000000"/>
                <w:sz w:val="22"/>
                <w:szCs w:val="22"/>
                <w:lang w:val="es-ES"/>
              </w:rPr>
            </w:pPr>
            <w:r w:rsidRPr="004C2A59">
              <w:rPr>
                <w:b/>
                <w:noProof/>
                <w:color w:val="000000"/>
                <w:sz w:val="22"/>
                <w:szCs w:val="22"/>
              </w:rPr>
              <w:t>България</w:t>
            </w:r>
          </w:p>
          <w:p w14:paraId="6BF28AB3" w14:textId="77777777" w:rsidR="00312C59" w:rsidRPr="00F93637" w:rsidRDefault="00104564" w:rsidP="00421681">
            <w:pPr>
              <w:rPr>
                <w:noProof/>
                <w:color w:val="000000"/>
                <w:sz w:val="22"/>
                <w:szCs w:val="22"/>
                <w:lang w:val="es-ES"/>
              </w:rPr>
            </w:pPr>
            <w:r w:rsidRPr="00183E28">
              <w:rPr>
                <w:color w:val="000000"/>
                <w:sz w:val="22"/>
                <w:szCs w:val="22"/>
                <w:lang w:val="pt-BR"/>
              </w:rPr>
              <w:t>Novartis Bulgaria EOOD</w:t>
            </w:r>
          </w:p>
          <w:p w14:paraId="52BFF514" w14:textId="77777777" w:rsidR="00312C59" w:rsidRPr="00F93637" w:rsidRDefault="00312C59" w:rsidP="00421681">
            <w:pPr>
              <w:rPr>
                <w:noProof/>
                <w:color w:val="000000"/>
                <w:sz w:val="22"/>
                <w:szCs w:val="22"/>
                <w:lang w:val="es-ES"/>
              </w:rPr>
            </w:pPr>
            <w:r w:rsidRPr="004C2A59">
              <w:rPr>
                <w:noProof/>
                <w:color w:val="000000"/>
                <w:sz w:val="22"/>
                <w:szCs w:val="22"/>
              </w:rPr>
              <w:t>Тел</w:t>
            </w:r>
            <w:r w:rsidRPr="00F93637">
              <w:rPr>
                <w:noProof/>
                <w:color w:val="000000"/>
                <w:sz w:val="22"/>
                <w:szCs w:val="22"/>
                <w:lang w:val="es-ES"/>
              </w:rPr>
              <w:t>.: +359 2 489 98 28</w:t>
            </w:r>
          </w:p>
          <w:p w14:paraId="2929EA71" w14:textId="77777777" w:rsidR="00312C59" w:rsidRPr="004C2A59" w:rsidRDefault="00312C59" w:rsidP="00421681">
            <w:pPr>
              <w:rPr>
                <w:b/>
                <w:color w:val="000000"/>
                <w:sz w:val="22"/>
                <w:szCs w:val="22"/>
                <w:lang w:val="pt-BR"/>
              </w:rPr>
            </w:pPr>
          </w:p>
        </w:tc>
        <w:tc>
          <w:tcPr>
            <w:tcW w:w="4650" w:type="dxa"/>
          </w:tcPr>
          <w:p w14:paraId="4813B34A" w14:textId="77777777" w:rsidR="00312C59" w:rsidRPr="004C2A59" w:rsidRDefault="00312C59" w:rsidP="00421681">
            <w:pPr>
              <w:rPr>
                <w:b/>
                <w:color w:val="000000"/>
                <w:sz w:val="22"/>
                <w:szCs w:val="22"/>
                <w:lang w:val="de-CH"/>
              </w:rPr>
            </w:pPr>
            <w:r w:rsidRPr="004C2A59">
              <w:rPr>
                <w:b/>
                <w:color w:val="000000"/>
                <w:sz w:val="22"/>
                <w:szCs w:val="22"/>
                <w:lang w:val="de-CH"/>
              </w:rPr>
              <w:t>Luxembourg/Luxemburg</w:t>
            </w:r>
          </w:p>
          <w:p w14:paraId="36D1E73D" w14:textId="77777777" w:rsidR="00312C59" w:rsidRPr="004C2A59" w:rsidRDefault="00312C59" w:rsidP="00421681">
            <w:pPr>
              <w:rPr>
                <w:color w:val="000000"/>
                <w:sz w:val="22"/>
                <w:szCs w:val="22"/>
                <w:lang w:val="de-CH"/>
              </w:rPr>
            </w:pPr>
            <w:r w:rsidRPr="004C2A59">
              <w:rPr>
                <w:color w:val="000000"/>
                <w:sz w:val="22"/>
                <w:szCs w:val="22"/>
                <w:lang w:val="de-CH"/>
              </w:rPr>
              <w:t>Novartis Pharma N.V.</w:t>
            </w:r>
          </w:p>
          <w:p w14:paraId="2DA0E255" w14:textId="77777777" w:rsidR="00312C59" w:rsidRPr="004C2A59" w:rsidRDefault="00312C59" w:rsidP="00421681">
            <w:pPr>
              <w:rPr>
                <w:color w:val="000000"/>
                <w:sz w:val="22"/>
                <w:szCs w:val="22"/>
                <w:lang w:val="de-CH"/>
              </w:rPr>
            </w:pPr>
            <w:r w:rsidRPr="004C2A59">
              <w:rPr>
                <w:color w:val="000000"/>
                <w:sz w:val="22"/>
                <w:szCs w:val="22"/>
                <w:lang w:val="de-CH"/>
              </w:rPr>
              <w:t>Tél/Tel: +32 2 246 16 11</w:t>
            </w:r>
          </w:p>
          <w:p w14:paraId="1017A22F" w14:textId="77777777" w:rsidR="00312C59" w:rsidRPr="004C2A59" w:rsidRDefault="00312C59" w:rsidP="00421681">
            <w:pPr>
              <w:rPr>
                <w:color w:val="000000"/>
                <w:sz w:val="22"/>
                <w:szCs w:val="22"/>
                <w:lang w:val="de-CH"/>
              </w:rPr>
            </w:pPr>
          </w:p>
        </w:tc>
      </w:tr>
      <w:tr w:rsidR="00312C59" w:rsidRPr="004C2A59" w14:paraId="1396A963" w14:textId="77777777" w:rsidTr="00947CCE">
        <w:trPr>
          <w:cantSplit/>
        </w:trPr>
        <w:tc>
          <w:tcPr>
            <w:tcW w:w="4650" w:type="dxa"/>
          </w:tcPr>
          <w:p w14:paraId="55D1E68E" w14:textId="77777777" w:rsidR="00312C59" w:rsidRPr="004C2A59" w:rsidRDefault="00312C59" w:rsidP="00421681">
            <w:pPr>
              <w:rPr>
                <w:b/>
                <w:color w:val="000000"/>
                <w:sz w:val="22"/>
                <w:szCs w:val="22"/>
                <w:lang w:val="pt-BR"/>
              </w:rPr>
            </w:pPr>
            <w:r w:rsidRPr="004C2A59">
              <w:rPr>
                <w:b/>
                <w:color w:val="000000"/>
                <w:sz w:val="22"/>
                <w:szCs w:val="22"/>
                <w:lang w:val="pt-BR"/>
              </w:rPr>
              <w:lastRenderedPageBreak/>
              <w:t>Česká republika</w:t>
            </w:r>
          </w:p>
          <w:p w14:paraId="7086A7EE" w14:textId="77777777" w:rsidR="00312C59" w:rsidRPr="004C2A59" w:rsidRDefault="00312C59" w:rsidP="00421681">
            <w:pPr>
              <w:rPr>
                <w:color w:val="000000"/>
                <w:sz w:val="22"/>
                <w:szCs w:val="22"/>
                <w:lang w:val="pt-BR"/>
              </w:rPr>
            </w:pPr>
            <w:r w:rsidRPr="004C2A59">
              <w:rPr>
                <w:color w:val="000000"/>
                <w:sz w:val="22"/>
                <w:szCs w:val="22"/>
                <w:lang w:val="pt-BR"/>
              </w:rPr>
              <w:t>Novartis s.r.o.</w:t>
            </w:r>
          </w:p>
          <w:p w14:paraId="78E54733" w14:textId="77777777" w:rsidR="00312C59" w:rsidRPr="004C2A59" w:rsidRDefault="00312C59" w:rsidP="00421681">
            <w:pPr>
              <w:rPr>
                <w:color w:val="000000"/>
                <w:sz w:val="22"/>
                <w:szCs w:val="22"/>
              </w:rPr>
            </w:pPr>
            <w:r w:rsidRPr="004C2A59">
              <w:rPr>
                <w:color w:val="000000"/>
                <w:sz w:val="22"/>
                <w:szCs w:val="22"/>
              </w:rPr>
              <w:t>Tel: +420 225 775 111</w:t>
            </w:r>
          </w:p>
          <w:p w14:paraId="0EE9658B" w14:textId="77777777" w:rsidR="00312C59" w:rsidRPr="004C2A59" w:rsidRDefault="00312C59" w:rsidP="00421681">
            <w:pPr>
              <w:rPr>
                <w:b/>
                <w:color w:val="000000"/>
                <w:sz w:val="22"/>
                <w:szCs w:val="22"/>
              </w:rPr>
            </w:pPr>
          </w:p>
        </w:tc>
        <w:tc>
          <w:tcPr>
            <w:tcW w:w="4650" w:type="dxa"/>
          </w:tcPr>
          <w:p w14:paraId="2AE93C45" w14:textId="77777777" w:rsidR="00312C59" w:rsidRPr="00F852D1" w:rsidRDefault="00312C59" w:rsidP="00421681">
            <w:pPr>
              <w:rPr>
                <w:b/>
                <w:color w:val="000000"/>
                <w:sz w:val="22"/>
                <w:szCs w:val="22"/>
              </w:rPr>
            </w:pPr>
            <w:r w:rsidRPr="00F852D1">
              <w:rPr>
                <w:b/>
                <w:color w:val="000000"/>
                <w:sz w:val="22"/>
                <w:szCs w:val="22"/>
              </w:rPr>
              <w:t>Magyarország</w:t>
            </w:r>
          </w:p>
          <w:p w14:paraId="50B9F470" w14:textId="77777777" w:rsidR="00312C59" w:rsidRPr="00F852D1" w:rsidRDefault="00312C59" w:rsidP="00421681">
            <w:pPr>
              <w:rPr>
                <w:color w:val="000000"/>
                <w:sz w:val="22"/>
                <w:szCs w:val="22"/>
              </w:rPr>
            </w:pPr>
            <w:r w:rsidRPr="00F852D1">
              <w:rPr>
                <w:color w:val="000000"/>
                <w:sz w:val="22"/>
                <w:szCs w:val="22"/>
              </w:rPr>
              <w:t>Novartis Hungária Kft.</w:t>
            </w:r>
          </w:p>
          <w:p w14:paraId="08E35092" w14:textId="77777777" w:rsidR="00312C59" w:rsidRPr="00F852D1" w:rsidRDefault="00312C59" w:rsidP="00421681">
            <w:pPr>
              <w:rPr>
                <w:color w:val="000000"/>
                <w:sz w:val="22"/>
                <w:szCs w:val="22"/>
              </w:rPr>
            </w:pPr>
            <w:r w:rsidRPr="00F852D1">
              <w:rPr>
                <w:color w:val="000000"/>
                <w:sz w:val="22"/>
                <w:szCs w:val="22"/>
              </w:rPr>
              <w:t>Tel.: +36 1 457 65 00</w:t>
            </w:r>
          </w:p>
        </w:tc>
      </w:tr>
      <w:tr w:rsidR="00312C59" w:rsidRPr="004C2A59" w14:paraId="3811F44D" w14:textId="77777777" w:rsidTr="00947CCE">
        <w:trPr>
          <w:cantSplit/>
        </w:trPr>
        <w:tc>
          <w:tcPr>
            <w:tcW w:w="4650" w:type="dxa"/>
          </w:tcPr>
          <w:p w14:paraId="15ED0539" w14:textId="77777777" w:rsidR="00312C59" w:rsidRPr="004C2A59" w:rsidRDefault="00312C59" w:rsidP="00421681">
            <w:pPr>
              <w:rPr>
                <w:b/>
                <w:color w:val="000000"/>
                <w:sz w:val="22"/>
                <w:szCs w:val="22"/>
              </w:rPr>
            </w:pPr>
            <w:r w:rsidRPr="004C2A59">
              <w:rPr>
                <w:b/>
                <w:color w:val="000000"/>
                <w:sz w:val="22"/>
                <w:szCs w:val="22"/>
              </w:rPr>
              <w:t>Danmark</w:t>
            </w:r>
          </w:p>
          <w:p w14:paraId="40EE0F68" w14:textId="77777777" w:rsidR="00312C59" w:rsidRPr="004C2A59" w:rsidRDefault="00312C59" w:rsidP="00421681">
            <w:pPr>
              <w:rPr>
                <w:color w:val="000000"/>
                <w:sz w:val="22"/>
                <w:szCs w:val="22"/>
              </w:rPr>
            </w:pPr>
            <w:r w:rsidRPr="004C2A59">
              <w:rPr>
                <w:color w:val="000000"/>
                <w:sz w:val="22"/>
                <w:szCs w:val="22"/>
              </w:rPr>
              <w:t>Novartis Healthcare A/S</w:t>
            </w:r>
          </w:p>
          <w:p w14:paraId="07D1EF5D" w14:textId="77777777" w:rsidR="00312C59" w:rsidRPr="004C2A59" w:rsidRDefault="00312C59" w:rsidP="00421681">
            <w:pPr>
              <w:rPr>
                <w:color w:val="000000"/>
                <w:sz w:val="22"/>
                <w:szCs w:val="22"/>
              </w:rPr>
            </w:pPr>
            <w:r w:rsidRPr="004C2A59">
              <w:rPr>
                <w:color w:val="000000"/>
                <w:sz w:val="22"/>
                <w:szCs w:val="22"/>
              </w:rPr>
              <w:t>Tlf: +45 39 16 84 00</w:t>
            </w:r>
          </w:p>
          <w:p w14:paraId="1BD86973" w14:textId="77777777" w:rsidR="00312C59" w:rsidRPr="004C2A59" w:rsidRDefault="00312C59" w:rsidP="00421681">
            <w:pPr>
              <w:rPr>
                <w:b/>
                <w:color w:val="000000"/>
                <w:sz w:val="22"/>
                <w:szCs w:val="22"/>
              </w:rPr>
            </w:pPr>
          </w:p>
        </w:tc>
        <w:tc>
          <w:tcPr>
            <w:tcW w:w="4650" w:type="dxa"/>
          </w:tcPr>
          <w:p w14:paraId="58523020" w14:textId="77777777" w:rsidR="00312C59" w:rsidRPr="004C2A59" w:rsidRDefault="00312C59" w:rsidP="00421681">
            <w:pPr>
              <w:rPr>
                <w:b/>
                <w:color w:val="000000"/>
                <w:sz w:val="22"/>
                <w:szCs w:val="22"/>
                <w:lang w:val="pt-BR"/>
              </w:rPr>
            </w:pPr>
            <w:r w:rsidRPr="004C2A59">
              <w:rPr>
                <w:b/>
                <w:color w:val="000000"/>
                <w:sz w:val="22"/>
                <w:szCs w:val="22"/>
                <w:lang w:val="pt-BR"/>
              </w:rPr>
              <w:t>Malta</w:t>
            </w:r>
          </w:p>
          <w:p w14:paraId="640D232D" w14:textId="77777777" w:rsidR="00312C59" w:rsidRPr="004C2A59" w:rsidRDefault="00312C59" w:rsidP="00421681">
            <w:pPr>
              <w:rPr>
                <w:color w:val="000000"/>
                <w:sz w:val="22"/>
                <w:szCs w:val="22"/>
                <w:lang w:val="pt-BR"/>
              </w:rPr>
            </w:pPr>
            <w:r w:rsidRPr="004C2A59">
              <w:rPr>
                <w:color w:val="000000"/>
                <w:sz w:val="22"/>
                <w:szCs w:val="22"/>
                <w:lang w:val="pt-BR"/>
              </w:rPr>
              <w:t>Novartis Pharma Services Inc.</w:t>
            </w:r>
          </w:p>
          <w:p w14:paraId="670B503C" w14:textId="77777777" w:rsidR="00312C59" w:rsidRPr="004C2A59" w:rsidRDefault="00312C59" w:rsidP="00421681">
            <w:pPr>
              <w:rPr>
                <w:color w:val="000000"/>
                <w:sz w:val="22"/>
                <w:szCs w:val="22"/>
              </w:rPr>
            </w:pPr>
            <w:r w:rsidRPr="004C2A59">
              <w:rPr>
                <w:color w:val="000000"/>
                <w:sz w:val="22"/>
                <w:szCs w:val="22"/>
              </w:rPr>
              <w:t>Tel: +356 2122 2872</w:t>
            </w:r>
          </w:p>
        </w:tc>
      </w:tr>
      <w:tr w:rsidR="00312C59" w:rsidRPr="004C2A59" w14:paraId="26BDADC5" w14:textId="77777777" w:rsidTr="00947CCE">
        <w:trPr>
          <w:cantSplit/>
        </w:trPr>
        <w:tc>
          <w:tcPr>
            <w:tcW w:w="4650" w:type="dxa"/>
          </w:tcPr>
          <w:p w14:paraId="23D5F408" w14:textId="77777777" w:rsidR="00312C59" w:rsidRPr="004C2A59" w:rsidRDefault="00312C59" w:rsidP="00421681">
            <w:pPr>
              <w:rPr>
                <w:b/>
                <w:color w:val="000000"/>
                <w:sz w:val="22"/>
                <w:szCs w:val="22"/>
                <w:lang w:val="de-CH"/>
              </w:rPr>
            </w:pPr>
            <w:r w:rsidRPr="004C2A59">
              <w:rPr>
                <w:b/>
                <w:color w:val="000000"/>
                <w:sz w:val="22"/>
                <w:szCs w:val="22"/>
                <w:lang w:val="de-CH"/>
              </w:rPr>
              <w:t>Deutschland</w:t>
            </w:r>
          </w:p>
          <w:p w14:paraId="61FFAA60" w14:textId="77777777" w:rsidR="00312C59" w:rsidRPr="004C2A59" w:rsidRDefault="00312C59" w:rsidP="00421681">
            <w:pPr>
              <w:rPr>
                <w:color w:val="000000"/>
                <w:sz w:val="22"/>
                <w:szCs w:val="22"/>
                <w:lang w:val="de-CH"/>
              </w:rPr>
            </w:pPr>
            <w:r w:rsidRPr="004C2A59">
              <w:rPr>
                <w:color w:val="000000"/>
                <w:sz w:val="22"/>
                <w:szCs w:val="22"/>
                <w:lang w:val="de-CH"/>
              </w:rPr>
              <w:t>Novartis Pharma GmbH</w:t>
            </w:r>
          </w:p>
          <w:p w14:paraId="28380C0E" w14:textId="77777777" w:rsidR="00312C59" w:rsidRPr="004C2A59" w:rsidRDefault="00312C59" w:rsidP="00421681">
            <w:pPr>
              <w:rPr>
                <w:color w:val="000000"/>
                <w:sz w:val="22"/>
                <w:szCs w:val="22"/>
                <w:lang w:val="de-CH"/>
              </w:rPr>
            </w:pPr>
            <w:r w:rsidRPr="004C2A59">
              <w:rPr>
                <w:color w:val="000000"/>
                <w:sz w:val="22"/>
                <w:szCs w:val="22"/>
                <w:lang w:val="de-CH"/>
              </w:rPr>
              <w:t>Tel: +49 911 273 0</w:t>
            </w:r>
          </w:p>
          <w:p w14:paraId="09332D23" w14:textId="77777777" w:rsidR="00312C59" w:rsidRPr="004C2A59" w:rsidRDefault="00312C59" w:rsidP="00421681">
            <w:pPr>
              <w:rPr>
                <w:b/>
                <w:color w:val="000000"/>
                <w:sz w:val="22"/>
                <w:szCs w:val="22"/>
                <w:lang w:val="de-CH"/>
              </w:rPr>
            </w:pPr>
          </w:p>
        </w:tc>
        <w:tc>
          <w:tcPr>
            <w:tcW w:w="4650" w:type="dxa"/>
          </w:tcPr>
          <w:p w14:paraId="0B574619" w14:textId="77777777" w:rsidR="00312C59" w:rsidRPr="004C2A59" w:rsidRDefault="00312C59" w:rsidP="00421681">
            <w:pPr>
              <w:rPr>
                <w:b/>
                <w:color w:val="000000"/>
                <w:sz w:val="22"/>
                <w:szCs w:val="22"/>
                <w:lang w:val="da-DK"/>
              </w:rPr>
            </w:pPr>
            <w:r w:rsidRPr="004C2A59">
              <w:rPr>
                <w:b/>
                <w:color w:val="000000"/>
                <w:sz w:val="22"/>
                <w:szCs w:val="22"/>
                <w:lang w:val="da-DK"/>
              </w:rPr>
              <w:t>Nederland</w:t>
            </w:r>
          </w:p>
          <w:p w14:paraId="2E28F145" w14:textId="77777777" w:rsidR="00312C59" w:rsidRPr="004C2A59" w:rsidRDefault="00312C59" w:rsidP="00421681">
            <w:pPr>
              <w:rPr>
                <w:color w:val="000000"/>
                <w:sz w:val="22"/>
                <w:szCs w:val="22"/>
                <w:lang w:val="da-DK"/>
              </w:rPr>
            </w:pPr>
            <w:r w:rsidRPr="004C2A59">
              <w:rPr>
                <w:color w:val="000000"/>
                <w:sz w:val="22"/>
                <w:szCs w:val="22"/>
                <w:lang w:val="da-DK"/>
              </w:rPr>
              <w:t>Novartis Pharma B.V.</w:t>
            </w:r>
          </w:p>
          <w:p w14:paraId="73BCA2C7" w14:textId="1D3F326A" w:rsidR="00312C59" w:rsidRPr="004C2A59" w:rsidRDefault="00312C59" w:rsidP="004E4F0E">
            <w:pPr>
              <w:rPr>
                <w:color w:val="000000"/>
                <w:sz w:val="22"/>
                <w:szCs w:val="22"/>
              </w:rPr>
            </w:pPr>
            <w:r w:rsidRPr="004C2A59">
              <w:rPr>
                <w:color w:val="000000"/>
                <w:sz w:val="22"/>
                <w:szCs w:val="22"/>
              </w:rPr>
              <w:t xml:space="preserve">Tel: +31 </w:t>
            </w:r>
            <w:r w:rsidR="004E4F0E">
              <w:rPr>
                <w:color w:val="000000"/>
                <w:sz w:val="22"/>
                <w:szCs w:val="22"/>
              </w:rPr>
              <w:t xml:space="preserve">88 04 52 </w:t>
            </w:r>
            <w:r w:rsidR="005853AA" w:rsidRPr="004C2A59">
              <w:rPr>
                <w:color w:val="000000"/>
                <w:sz w:val="22"/>
                <w:szCs w:val="22"/>
              </w:rPr>
              <w:t>555</w:t>
            </w:r>
          </w:p>
        </w:tc>
      </w:tr>
      <w:tr w:rsidR="00312C59" w:rsidRPr="004C2A59" w14:paraId="4C31AADC" w14:textId="77777777" w:rsidTr="00947CCE">
        <w:trPr>
          <w:cantSplit/>
        </w:trPr>
        <w:tc>
          <w:tcPr>
            <w:tcW w:w="4650" w:type="dxa"/>
          </w:tcPr>
          <w:p w14:paraId="55C0339C" w14:textId="77777777" w:rsidR="00312C59" w:rsidRPr="00F852D1" w:rsidRDefault="00312C59" w:rsidP="00421681">
            <w:pPr>
              <w:rPr>
                <w:b/>
                <w:color w:val="000000"/>
                <w:sz w:val="22"/>
                <w:szCs w:val="22"/>
                <w:lang w:val="it-IT"/>
              </w:rPr>
            </w:pPr>
            <w:r w:rsidRPr="00F852D1">
              <w:rPr>
                <w:b/>
                <w:color w:val="000000"/>
                <w:sz w:val="22"/>
                <w:szCs w:val="22"/>
                <w:lang w:val="it-IT"/>
              </w:rPr>
              <w:t>Eesti</w:t>
            </w:r>
          </w:p>
          <w:p w14:paraId="4988C7BB" w14:textId="77777777" w:rsidR="00312C59" w:rsidRPr="00F852D1" w:rsidRDefault="0057786A" w:rsidP="00421681">
            <w:pPr>
              <w:rPr>
                <w:color w:val="000000"/>
                <w:sz w:val="22"/>
                <w:szCs w:val="22"/>
                <w:lang w:val="it-IT"/>
              </w:rPr>
            </w:pPr>
            <w:r w:rsidRPr="00F852D1">
              <w:rPr>
                <w:color w:val="000000"/>
                <w:sz w:val="22"/>
                <w:szCs w:val="22"/>
                <w:lang w:val="it-IT"/>
              </w:rPr>
              <w:t>SIA Novartis Baltics Eesti filiaal</w:t>
            </w:r>
          </w:p>
          <w:p w14:paraId="1F632588" w14:textId="77777777" w:rsidR="00312C59" w:rsidRPr="004C2A59" w:rsidRDefault="00312C59" w:rsidP="00421681">
            <w:pPr>
              <w:rPr>
                <w:color w:val="000000"/>
                <w:sz w:val="22"/>
                <w:szCs w:val="22"/>
              </w:rPr>
            </w:pPr>
            <w:r w:rsidRPr="004C2A59">
              <w:rPr>
                <w:color w:val="000000"/>
                <w:sz w:val="22"/>
                <w:szCs w:val="22"/>
              </w:rPr>
              <w:t>Tel: +372 66 30 810</w:t>
            </w:r>
          </w:p>
          <w:p w14:paraId="39A388A8" w14:textId="77777777" w:rsidR="00312C59" w:rsidRPr="004C2A59" w:rsidRDefault="00312C59" w:rsidP="00421681">
            <w:pPr>
              <w:rPr>
                <w:b/>
                <w:color w:val="000000"/>
                <w:sz w:val="22"/>
                <w:szCs w:val="22"/>
              </w:rPr>
            </w:pPr>
          </w:p>
        </w:tc>
        <w:tc>
          <w:tcPr>
            <w:tcW w:w="4650" w:type="dxa"/>
          </w:tcPr>
          <w:p w14:paraId="51BE5BFD" w14:textId="77777777" w:rsidR="00312C59" w:rsidRPr="004C2A59" w:rsidRDefault="00312C59" w:rsidP="00421681">
            <w:pPr>
              <w:rPr>
                <w:b/>
                <w:color w:val="000000"/>
                <w:sz w:val="22"/>
                <w:szCs w:val="22"/>
                <w:lang w:val="pt-BR"/>
              </w:rPr>
            </w:pPr>
            <w:r w:rsidRPr="004C2A59">
              <w:rPr>
                <w:b/>
                <w:color w:val="000000"/>
                <w:sz w:val="22"/>
                <w:szCs w:val="22"/>
                <w:lang w:val="pt-BR"/>
              </w:rPr>
              <w:t>Norge</w:t>
            </w:r>
          </w:p>
          <w:p w14:paraId="0EDBD347" w14:textId="77777777" w:rsidR="00312C59" w:rsidRPr="004C2A59" w:rsidRDefault="00312C59" w:rsidP="00421681">
            <w:pPr>
              <w:rPr>
                <w:color w:val="000000"/>
                <w:sz w:val="22"/>
                <w:szCs w:val="22"/>
                <w:lang w:val="pt-BR"/>
              </w:rPr>
            </w:pPr>
            <w:r w:rsidRPr="004C2A59">
              <w:rPr>
                <w:color w:val="000000"/>
                <w:sz w:val="22"/>
                <w:szCs w:val="22"/>
                <w:lang w:val="pt-BR"/>
              </w:rPr>
              <w:t>Novartis Norge AS</w:t>
            </w:r>
          </w:p>
          <w:p w14:paraId="22450085" w14:textId="77777777" w:rsidR="00312C59" w:rsidRPr="004C2A59" w:rsidRDefault="00312C59" w:rsidP="00421681">
            <w:pPr>
              <w:rPr>
                <w:color w:val="000000"/>
                <w:sz w:val="22"/>
                <w:szCs w:val="22"/>
                <w:lang w:val="pt-BR"/>
              </w:rPr>
            </w:pPr>
            <w:r w:rsidRPr="004C2A59">
              <w:rPr>
                <w:color w:val="000000"/>
                <w:sz w:val="22"/>
                <w:szCs w:val="22"/>
                <w:lang w:val="pt-BR"/>
              </w:rPr>
              <w:t>Tlf: +47 23 05 20 00</w:t>
            </w:r>
          </w:p>
        </w:tc>
      </w:tr>
      <w:tr w:rsidR="00312C59" w:rsidRPr="00F852D1" w14:paraId="12406AB5" w14:textId="77777777" w:rsidTr="00947CCE">
        <w:trPr>
          <w:cantSplit/>
        </w:trPr>
        <w:tc>
          <w:tcPr>
            <w:tcW w:w="4650" w:type="dxa"/>
          </w:tcPr>
          <w:p w14:paraId="28748AC5" w14:textId="77777777" w:rsidR="00312C59" w:rsidRPr="004C2A59" w:rsidRDefault="00312C59" w:rsidP="00421681">
            <w:pPr>
              <w:rPr>
                <w:b/>
                <w:color w:val="000000"/>
                <w:sz w:val="22"/>
                <w:szCs w:val="22"/>
                <w:lang w:val="pt-BR"/>
              </w:rPr>
            </w:pPr>
            <w:r w:rsidRPr="004C2A59">
              <w:rPr>
                <w:b/>
                <w:color w:val="000000"/>
                <w:sz w:val="22"/>
                <w:szCs w:val="22"/>
              </w:rPr>
              <w:t>Ελλάδα</w:t>
            </w:r>
          </w:p>
          <w:p w14:paraId="19FC8109" w14:textId="77777777" w:rsidR="00312C59" w:rsidRPr="004C2A59" w:rsidRDefault="00312C59" w:rsidP="00421681">
            <w:pPr>
              <w:rPr>
                <w:color w:val="000000"/>
                <w:sz w:val="22"/>
                <w:szCs w:val="22"/>
                <w:lang w:val="pt-BR"/>
              </w:rPr>
            </w:pPr>
            <w:r w:rsidRPr="004C2A59">
              <w:rPr>
                <w:color w:val="000000"/>
                <w:sz w:val="22"/>
                <w:szCs w:val="22"/>
                <w:lang w:val="pt-BR"/>
              </w:rPr>
              <w:t>Novartis (Hellas) A.E.B.E.</w:t>
            </w:r>
          </w:p>
          <w:p w14:paraId="06EEE51B" w14:textId="77777777" w:rsidR="00312C59" w:rsidRPr="004C2A59" w:rsidRDefault="00312C59" w:rsidP="00421681">
            <w:pPr>
              <w:rPr>
                <w:color w:val="000000"/>
                <w:sz w:val="22"/>
                <w:szCs w:val="22"/>
                <w:lang w:val="pt-BR"/>
              </w:rPr>
            </w:pPr>
            <w:r w:rsidRPr="004C2A59">
              <w:rPr>
                <w:color w:val="000000"/>
                <w:sz w:val="22"/>
                <w:szCs w:val="22"/>
              </w:rPr>
              <w:t>Τηλ</w:t>
            </w:r>
            <w:r w:rsidRPr="004C2A59">
              <w:rPr>
                <w:color w:val="000000"/>
                <w:sz w:val="22"/>
                <w:szCs w:val="22"/>
                <w:lang w:val="pt-BR"/>
              </w:rPr>
              <w:t>: +30 210 281 17 12</w:t>
            </w:r>
          </w:p>
          <w:p w14:paraId="15D7DE14" w14:textId="77777777" w:rsidR="00312C59" w:rsidRPr="004C2A59" w:rsidRDefault="00312C59" w:rsidP="00421681">
            <w:pPr>
              <w:rPr>
                <w:b/>
                <w:color w:val="000000"/>
                <w:sz w:val="22"/>
                <w:szCs w:val="22"/>
                <w:lang w:val="pt-BR"/>
              </w:rPr>
            </w:pPr>
          </w:p>
        </w:tc>
        <w:tc>
          <w:tcPr>
            <w:tcW w:w="4650" w:type="dxa"/>
          </w:tcPr>
          <w:p w14:paraId="156F719F" w14:textId="77777777" w:rsidR="00312C59" w:rsidRPr="004C2A59" w:rsidRDefault="00312C59" w:rsidP="00421681">
            <w:pPr>
              <w:rPr>
                <w:b/>
                <w:color w:val="000000"/>
                <w:sz w:val="22"/>
                <w:szCs w:val="22"/>
                <w:lang w:val="de-CH"/>
              </w:rPr>
            </w:pPr>
            <w:r w:rsidRPr="004C2A59">
              <w:rPr>
                <w:b/>
                <w:color w:val="000000"/>
                <w:sz w:val="22"/>
                <w:szCs w:val="22"/>
                <w:lang w:val="de-CH"/>
              </w:rPr>
              <w:t>Österreich</w:t>
            </w:r>
          </w:p>
          <w:p w14:paraId="6F6697C2" w14:textId="77777777" w:rsidR="00312C59" w:rsidRPr="004C2A59" w:rsidRDefault="00312C59" w:rsidP="00421681">
            <w:pPr>
              <w:rPr>
                <w:color w:val="000000"/>
                <w:sz w:val="22"/>
                <w:szCs w:val="22"/>
                <w:lang w:val="de-CH"/>
              </w:rPr>
            </w:pPr>
            <w:r w:rsidRPr="004C2A59">
              <w:rPr>
                <w:color w:val="000000"/>
                <w:sz w:val="22"/>
                <w:szCs w:val="22"/>
                <w:lang w:val="de-CH"/>
              </w:rPr>
              <w:t>Novartis Pharma GmbH</w:t>
            </w:r>
          </w:p>
          <w:p w14:paraId="4DD8D3C1" w14:textId="77777777" w:rsidR="00312C59" w:rsidRPr="004C2A59" w:rsidRDefault="00312C59" w:rsidP="00421681">
            <w:pPr>
              <w:rPr>
                <w:color w:val="000000"/>
                <w:sz w:val="22"/>
                <w:szCs w:val="22"/>
                <w:lang w:val="de-CH"/>
              </w:rPr>
            </w:pPr>
            <w:r w:rsidRPr="004C2A59">
              <w:rPr>
                <w:color w:val="000000"/>
                <w:sz w:val="22"/>
                <w:szCs w:val="22"/>
                <w:lang w:val="de-CH"/>
              </w:rPr>
              <w:t>Tel: +43 1 86 6570</w:t>
            </w:r>
          </w:p>
        </w:tc>
      </w:tr>
      <w:tr w:rsidR="00312C59" w:rsidRPr="00A74F61" w14:paraId="566E3C17" w14:textId="77777777" w:rsidTr="00947CCE">
        <w:trPr>
          <w:cantSplit/>
        </w:trPr>
        <w:tc>
          <w:tcPr>
            <w:tcW w:w="4650" w:type="dxa"/>
          </w:tcPr>
          <w:p w14:paraId="4C4A6231" w14:textId="77777777" w:rsidR="00312C59" w:rsidRPr="00F852D1" w:rsidRDefault="00312C59" w:rsidP="00421681">
            <w:pPr>
              <w:rPr>
                <w:b/>
                <w:color w:val="000000"/>
                <w:sz w:val="22"/>
                <w:szCs w:val="22"/>
                <w:lang w:val="es-ES_tradnl"/>
              </w:rPr>
            </w:pPr>
            <w:r w:rsidRPr="00F852D1">
              <w:rPr>
                <w:b/>
                <w:color w:val="000000"/>
                <w:sz w:val="22"/>
                <w:szCs w:val="22"/>
                <w:lang w:val="es-ES_tradnl"/>
              </w:rPr>
              <w:t>España</w:t>
            </w:r>
          </w:p>
          <w:p w14:paraId="5CA5D3BB" w14:textId="77777777" w:rsidR="00312C59" w:rsidRPr="00F852D1" w:rsidRDefault="00312C59" w:rsidP="00421681">
            <w:pPr>
              <w:rPr>
                <w:color w:val="000000"/>
                <w:sz w:val="22"/>
                <w:szCs w:val="22"/>
                <w:lang w:val="es-ES_tradnl"/>
              </w:rPr>
            </w:pPr>
            <w:r w:rsidRPr="00F852D1">
              <w:rPr>
                <w:color w:val="000000"/>
                <w:sz w:val="22"/>
                <w:szCs w:val="22"/>
                <w:lang w:val="es-ES_tradnl"/>
              </w:rPr>
              <w:t>Novartis Farmacéutica, S.A.</w:t>
            </w:r>
          </w:p>
          <w:p w14:paraId="60B89648" w14:textId="77777777" w:rsidR="00312C59" w:rsidRPr="004C2A59" w:rsidRDefault="00312C59" w:rsidP="00421681">
            <w:pPr>
              <w:rPr>
                <w:color w:val="000000"/>
                <w:sz w:val="22"/>
                <w:szCs w:val="22"/>
              </w:rPr>
            </w:pPr>
            <w:r w:rsidRPr="004C2A59">
              <w:rPr>
                <w:color w:val="000000"/>
                <w:sz w:val="22"/>
                <w:szCs w:val="22"/>
              </w:rPr>
              <w:t>Tel: +34 93 306 42 00</w:t>
            </w:r>
          </w:p>
          <w:p w14:paraId="246A30D5" w14:textId="77777777" w:rsidR="00312C59" w:rsidRPr="004C2A59" w:rsidRDefault="00312C59" w:rsidP="00421681">
            <w:pPr>
              <w:rPr>
                <w:b/>
                <w:color w:val="000000"/>
                <w:sz w:val="22"/>
                <w:szCs w:val="22"/>
              </w:rPr>
            </w:pPr>
          </w:p>
        </w:tc>
        <w:tc>
          <w:tcPr>
            <w:tcW w:w="4650" w:type="dxa"/>
          </w:tcPr>
          <w:p w14:paraId="18E02BB4" w14:textId="77777777" w:rsidR="00312C59" w:rsidRPr="00F852D1" w:rsidRDefault="00312C59" w:rsidP="00421681">
            <w:pPr>
              <w:rPr>
                <w:b/>
                <w:color w:val="000000"/>
                <w:sz w:val="22"/>
                <w:szCs w:val="22"/>
                <w:lang w:val="pl-PL"/>
              </w:rPr>
            </w:pPr>
            <w:r w:rsidRPr="00F852D1">
              <w:rPr>
                <w:b/>
                <w:color w:val="000000"/>
                <w:sz w:val="22"/>
                <w:szCs w:val="22"/>
                <w:lang w:val="pl-PL"/>
              </w:rPr>
              <w:t>Polska</w:t>
            </w:r>
          </w:p>
          <w:p w14:paraId="6AF96770" w14:textId="77777777" w:rsidR="00312C59" w:rsidRPr="00F852D1" w:rsidRDefault="00312C59" w:rsidP="00421681">
            <w:pPr>
              <w:rPr>
                <w:color w:val="000000"/>
                <w:sz w:val="22"/>
                <w:szCs w:val="22"/>
                <w:lang w:val="pl-PL"/>
              </w:rPr>
            </w:pPr>
            <w:r w:rsidRPr="00F852D1">
              <w:rPr>
                <w:color w:val="000000"/>
                <w:sz w:val="22"/>
                <w:szCs w:val="22"/>
                <w:lang w:val="pl-PL"/>
              </w:rPr>
              <w:t>Novartis Poland Sp. z o.o.</w:t>
            </w:r>
          </w:p>
          <w:p w14:paraId="7D0225BA" w14:textId="77777777" w:rsidR="00312C59" w:rsidRPr="004C2A59" w:rsidRDefault="00312C59" w:rsidP="00421681">
            <w:pPr>
              <w:rPr>
                <w:color w:val="000000"/>
                <w:sz w:val="22"/>
                <w:szCs w:val="22"/>
                <w:lang w:val="pt-BR"/>
              </w:rPr>
            </w:pPr>
            <w:r w:rsidRPr="004C2A59">
              <w:rPr>
                <w:color w:val="000000"/>
                <w:sz w:val="22"/>
                <w:szCs w:val="22"/>
                <w:lang w:val="pt-BR"/>
              </w:rPr>
              <w:t xml:space="preserve">Tel.: +48 22 </w:t>
            </w:r>
            <w:r w:rsidRPr="00F93637">
              <w:rPr>
                <w:sz w:val="22"/>
                <w:szCs w:val="22"/>
                <w:lang w:val="fr-CH"/>
              </w:rPr>
              <w:t>375 4888</w:t>
            </w:r>
          </w:p>
        </w:tc>
      </w:tr>
      <w:tr w:rsidR="00312C59" w:rsidRPr="004C2A59" w14:paraId="6196F78F" w14:textId="77777777" w:rsidTr="00947CCE">
        <w:trPr>
          <w:cantSplit/>
        </w:trPr>
        <w:tc>
          <w:tcPr>
            <w:tcW w:w="4650" w:type="dxa"/>
          </w:tcPr>
          <w:p w14:paraId="5E04315E" w14:textId="77777777" w:rsidR="00312C59" w:rsidRPr="004C2A59" w:rsidRDefault="00312C59" w:rsidP="00421681">
            <w:pPr>
              <w:rPr>
                <w:b/>
                <w:color w:val="000000"/>
                <w:sz w:val="22"/>
                <w:szCs w:val="22"/>
                <w:lang w:val="fr-FR"/>
              </w:rPr>
            </w:pPr>
            <w:r w:rsidRPr="004C2A59">
              <w:rPr>
                <w:b/>
                <w:color w:val="000000"/>
                <w:sz w:val="22"/>
                <w:szCs w:val="22"/>
                <w:lang w:val="fr-FR"/>
              </w:rPr>
              <w:t>France</w:t>
            </w:r>
          </w:p>
          <w:p w14:paraId="61E6DC61" w14:textId="77777777" w:rsidR="00312C59" w:rsidRPr="004C2A59" w:rsidRDefault="00312C59" w:rsidP="00421681">
            <w:pPr>
              <w:rPr>
                <w:color w:val="000000"/>
                <w:sz w:val="22"/>
                <w:szCs w:val="22"/>
                <w:lang w:val="fr-FR"/>
              </w:rPr>
            </w:pPr>
            <w:r w:rsidRPr="004C2A59">
              <w:rPr>
                <w:color w:val="000000"/>
                <w:sz w:val="22"/>
                <w:szCs w:val="22"/>
                <w:lang w:val="fr-FR"/>
              </w:rPr>
              <w:t>Novartis Pharma S.A.S.</w:t>
            </w:r>
          </w:p>
          <w:p w14:paraId="70A17164" w14:textId="77777777" w:rsidR="00312C59" w:rsidRPr="004C2A59" w:rsidRDefault="00312C59" w:rsidP="00421681">
            <w:pPr>
              <w:rPr>
                <w:color w:val="000000"/>
                <w:sz w:val="22"/>
                <w:szCs w:val="22"/>
                <w:lang w:val="fr-FR"/>
              </w:rPr>
            </w:pPr>
            <w:r w:rsidRPr="004C2A59">
              <w:rPr>
                <w:color w:val="000000"/>
                <w:sz w:val="22"/>
                <w:szCs w:val="22"/>
                <w:lang w:val="fr-FR"/>
              </w:rPr>
              <w:t>Tél: +33 1 55 47 66 00</w:t>
            </w:r>
          </w:p>
          <w:p w14:paraId="7C8808B4" w14:textId="77777777" w:rsidR="00312C59" w:rsidRPr="004C2A59" w:rsidRDefault="00312C59" w:rsidP="00421681">
            <w:pPr>
              <w:rPr>
                <w:b/>
                <w:color w:val="000000"/>
                <w:sz w:val="22"/>
                <w:szCs w:val="22"/>
                <w:lang w:val="fr-FR"/>
              </w:rPr>
            </w:pPr>
          </w:p>
        </w:tc>
        <w:tc>
          <w:tcPr>
            <w:tcW w:w="4650" w:type="dxa"/>
          </w:tcPr>
          <w:p w14:paraId="09C2D981" w14:textId="77777777" w:rsidR="00312C59" w:rsidRPr="004C2A59" w:rsidRDefault="00312C59" w:rsidP="00421681">
            <w:pPr>
              <w:rPr>
                <w:b/>
                <w:color w:val="000000"/>
                <w:sz w:val="22"/>
                <w:szCs w:val="22"/>
                <w:lang w:val="pt-BR"/>
              </w:rPr>
            </w:pPr>
            <w:r w:rsidRPr="004C2A59">
              <w:rPr>
                <w:b/>
                <w:color w:val="000000"/>
                <w:sz w:val="22"/>
                <w:szCs w:val="22"/>
                <w:lang w:val="pt-BR"/>
              </w:rPr>
              <w:t>Portugal</w:t>
            </w:r>
          </w:p>
          <w:p w14:paraId="131EE3F0" w14:textId="77777777" w:rsidR="00312C59" w:rsidRPr="004C2A59" w:rsidRDefault="00312C59" w:rsidP="00421681">
            <w:pPr>
              <w:rPr>
                <w:color w:val="000000"/>
                <w:sz w:val="22"/>
                <w:szCs w:val="22"/>
                <w:lang w:val="pt-BR"/>
              </w:rPr>
            </w:pPr>
            <w:r w:rsidRPr="004C2A59">
              <w:rPr>
                <w:color w:val="000000"/>
                <w:sz w:val="22"/>
                <w:szCs w:val="22"/>
                <w:lang w:val="pt-BR"/>
              </w:rPr>
              <w:t>Novartis Farma - Produtos Farmacêuticos, S.A.</w:t>
            </w:r>
          </w:p>
          <w:p w14:paraId="231B18E6" w14:textId="77777777" w:rsidR="00312C59" w:rsidRPr="004C2A59" w:rsidRDefault="00312C59" w:rsidP="00421681">
            <w:pPr>
              <w:rPr>
                <w:color w:val="000000"/>
                <w:sz w:val="22"/>
                <w:szCs w:val="22"/>
              </w:rPr>
            </w:pPr>
            <w:r w:rsidRPr="004C2A59">
              <w:rPr>
                <w:color w:val="000000"/>
                <w:sz w:val="22"/>
                <w:szCs w:val="22"/>
              </w:rPr>
              <w:t>Tel: +351 21 000 8600</w:t>
            </w:r>
          </w:p>
        </w:tc>
      </w:tr>
      <w:tr w:rsidR="00312C59" w:rsidRPr="004C2A59" w14:paraId="65BB5B56" w14:textId="77777777" w:rsidTr="00947CCE">
        <w:trPr>
          <w:cantSplit/>
        </w:trPr>
        <w:tc>
          <w:tcPr>
            <w:tcW w:w="4650" w:type="dxa"/>
          </w:tcPr>
          <w:p w14:paraId="77A41824" w14:textId="77777777" w:rsidR="00312C59" w:rsidRPr="00F852D1" w:rsidRDefault="00312C59" w:rsidP="00421681">
            <w:pPr>
              <w:rPr>
                <w:rFonts w:eastAsia="PMingLiU"/>
                <w:b/>
                <w:sz w:val="22"/>
                <w:szCs w:val="22"/>
                <w:lang w:val="sv-SE"/>
              </w:rPr>
            </w:pPr>
            <w:r w:rsidRPr="00F852D1">
              <w:rPr>
                <w:rFonts w:eastAsia="PMingLiU"/>
                <w:b/>
                <w:sz w:val="22"/>
                <w:szCs w:val="22"/>
                <w:lang w:val="sv-SE"/>
              </w:rPr>
              <w:t>Hrvatska</w:t>
            </w:r>
          </w:p>
          <w:p w14:paraId="6D3F0C32" w14:textId="77777777" w:rsidR="00312C59" w:rsidRPr="00F852D1" w:rsidRDefault="00312C59" w:rsidP="00421681">
            <w:pPr>
              <w:rPr>
                <w:sz w:val="22"/>
                <w:szCs w:val="22"/>
                <w:lang w:val="sv-SE"/>
              </w:rPr>
            </w:pPr>
            <w:r w:rsidRPr="00F852D1">
              <w:rPr>
                <w:sz w:val="22"/>
                <w:szCs w:val="22"/>
                <w:lang w:val="sv-SE"/>
              </w:rPr>
              <w:t>Novartis Hrvatska d.o.o.</w:t>
            </w:r>
          </w:p>
          <w:p w14:paraId="26C3C264" w14:textId="77777777" w:rsidR="00312C59" w:rsidRPr="004C2A59" w:rsidRDefault="00312C59" w:rsidP="00421681">
            <w:pPr>
              <w:rPr>
                <w:sz w:val="22"/>
                <w:szCs w:val="22"/>
              </w:rPr>
            </w:pPr>
            <w:r w:rsidRPr="004C2A59">
              <w:rPr>
                <w:sz w:val="22"/>
                <w:szCs w:val="22"/>
              </w:rPr>
              <w:t>Tel. +385 1 6274 220</w:t>
            </w:r>
          </w:p>
          <w:p w14:paraId="3F054348" w14:textId="77777777" w:rsidR="00312C59" w:rsidRPr="004C2A59" w:rsidRDefault="00312C59" w:rsidP="00421681">
            <w:pPr>
              <w:rPr>
                <w:b/>
                <w:color w:val="000000"/>
                <w:sz w:val="22"/>
                <w:szCs w:val="22"/>
                <w:lang w:val="fr-FR"/>
              </w:rPr>
            </w:pPr>
          </w:p>
        </w:tc>
        <w:tc>
          <w:tcPr>
            <w:tcW w:w="4650" w:type="dxa"/>
          </w:tcPr>
          <w:p w14:paraId="47F2E989" w14:textId="77777777" w:rsidR="00312C59" w:rsidRPr="004C2A59" w:rsidRDefault="00312C59" w:rsidP="00421681">
            <w:pPr>
              <w:rPr>
                <w:b/>
                <w:noProof/>
                <w:color w:val="000000"/>
                <w:sz w:val="22"/>
                <w:szCs w:val="22"/>
                <w:lang w:val="it-IT"/>
              </w:rPr>
            </w:pPr>
            <w:r w:rsidRPr="004C2A59">
              <w:rPr>
                <w:b/>
                <w:noProof/>
                <w:color w:val="000000"/>
                <w:sz w:val="22"/>
                <w:szCs w:val="22"/>
                <w:lang w:val="it-IT"/>
              </w:rPr>
              <w:t>România</w:t>
            </w:r>
          </w:p>
          <w:p w14:paraId="4CF61871" w14:textId="77777777" w:rsidR="00312C59" w:rsidRPr="004C2A59" w:rsidRDefault="00312C59" w:rsidP="00421681">
            <w:pPr>
              <w:rPr>
                <w:noProof/>
                <w:color w:val="000000"/>
                <w:sz w:val="22"/>
                <w:szCs w:val="22"/>
                <w:lang w:val="it-IT"/>
              </w:rPr>
            </w:pPr>
            <w:r w:rsidRPr="004C2A59">
              <w:rPr>
                <w:noProof/>
                <w:color w:val="000000"/>
                <w:sz w:val="22"/>
                <w:szCs w:val="22"/>
                <w:lang w:val="it-IT"/>
              </w:rPr>
              <w:t xml:space="preserve">Novartis Pharma Services </w:t>
            </w:r>
            <w:r w:rsidRPr="004C2A59">
              <w:rPr>
                <w:color w:val="2F2F2F"/>
                <w:sz w:val="22"/>
                <w:szCs w:val="22"/>
              </w:rPr>
              <w:t>Romania SRL</w:t>
            </w:r>
          </w:p>
          <w:p w14:paraId="18148191" w14:textId="77777777" w:rsidR="00312C59" w:rsidRPr="004C2A59" w:rsidRDefault="00312C59" w:rsidP="00421681">
            <w:pPr>
              <w:rPr>
                <w:color w:val="000000"/>
                <w:sz w:val="22"/>
                <w:szCs w:val="22"/>
              </w:rPr>
            </w:pPr>
            <w:r w:rsidRPr="004C2A59">
              <w:rPr>
                <w:noProof/>
                <w:color w:val="000000"/>
                <w:sz w:val="22"/>
                <w:szCs w:val="22"/>
                <w:lang w:val="it-IT"/>
              </w:rPr>
              <w:t>Tel: +40 21 31299 01</w:t>
            </w:r>
          </w:p>
        </w:tc>
      </w:tr>
      <w:tr w:rsidR="00312C59" w:rsidRPr="004C2A59" w14:paraId="582ED448" w14:textId="77777777" w:rsidTr="00947CCE">
        <w:trPr>
          <w:cantSplit/>
        </w:trPr>
        <w:tc>
          <w:tcPr>
            <w:tcW w:w="4650" w:type="dxa"/>
          </w:tcPr>
          <w:p w14:paraId="5FABCCE7" w14:textId="77777777" w:rsidR="00312C59" w:rsidRPr="004C2A59" w:rsidRDefault="00312C59" w:rsidP="00421681">
            <w:pPr>
              <w:rPr>
                <w:b/>
                <w:color w:val="000000"/>
                <w:sz w:val="22"/>
                <w:szCs w:val="22"/>
              </w:rPr>
            </w:pPr>
            <w:r w:rsidRPr="004C2A59">
              <w:rPr>
                <w:b/>
                <w:color w:val="000000"/>
                <w:sz w:val="22"/>
                <w:szCs w:val="22"/>
              </w:rPr>
              <w:t>Ireland</w:t>
            </w:r>
          </w:p>
          <w:p w14:paraId="5CE0B1E0" w14:textId="77777777" w:rsidR="00312C59" w:rsidRPr="004C2A59" w:rsidRDefault="00312C59" w:rsidP="00421681">
            <w:pPr>
              <w:rPr>
                <w:color w:val="000000"/>
                <w:sz w:val="22"/>
                <w:szCs w:val="22"/>
              </w:rPr>
            </w:pPr>
            <w:r w:rsidRPr="004C2A59">
              <w:rPr>
                <w:color w:val="000000"/>
                <w:sz w:val="22"/>
                <w:szCs w:val="22"/>
              </w:rPr>
              <w:t>Novartis Ireland Limited</w:t>
            </w:r>
          </w:p>
          <w:p w14:paraId="3314D729" w14:textId="77777777" w:rsidR="00312C59" w:rsidRPr="004C2A59" w:rsidRDefault="00312C59" w:rsidP="00421681">
            <w:pPr>
              <w:rPr>
                <w:color w:val="000000"/>
                <w:sz w:val="22"/>
                <w:szCs w:val="22"/>
              </w:rPr>
            </w:pPr>
            <w:r w:rsidRPr="004C2A59">
              <w:rPr>
                <w:color w:val="000000"/>
                <w:sz w:val="22"/>
                <w:szCs w:val="22"/>
              </w:rPr>
              <w:t>Tel: +353 1 260 12 55</w:t>
            </w:r>
          </w:p>
          <w:p w14:paraId="418F123E" w14:textId="77777777" w:rsidR="00312C59" w:rsidRPr="004C2A59" w:rsidRDefault="00312C59" w:rsidP="00421681">
            <w:pPr>
              <w:rPr>
                <w:b/>
                <w:color w:val="000000"/>
                <w:sz w:val="22"/>
                <w:szCs w:val="22"/>
              </w:rPr>
            </w:pPr>
          </w:p>
        </w:tc>
        <w:tc>
          <w:tcPr>
            <w:tcW w:w="4650" w:type="dxa"/>
          </w:tcPr>
          <w:p w14:paraId="28BB9FE7" w14:textId="77777777" w:rsidR="00312C59" w:rsidRPr="004C2A59" w:rsidRDefault="00312C59" w:rsidP="00421681">
            <w:pPr>
              <w:rPr>
                <w:b/>
                <w:color w:val="000000"/>
                <w:sz w:val="22"/>
                <w:szCs w:val="22"/>
                <w:lang w:val="fr-FR"/>
              </w:rPr>
            </w:pPr>
            <w:r w:rsidRPr="004C2A59">
              <w:rPr>
                <w:b/>
                <w:color w:val="000000"/>
                <w:sz w:val="22"/>
                <w:szCs w:val="22"/>
                <w:lang w:val="fr-FR"/>
              </w:rPr>
              <w:t>Slovenija</w:t>
            </w:r>
          </w:p>
          <w:p w14:paraId="40F2306B" w14:textId="77777777" w:rsidR="00312C59" w:rsidRPr="004C2A59" w:rsidRDefault="00312C59" w:rsidP="00421681">
            <w:pPr>
              <w:rPr>
                <w:color w:val="000000"/>
                <w:sz w:val="22"/>
                <w:szCs w:val="22"/>
                <w:lang w:val="fr-FR"/>
              </w:rPr>
            </w:pPr>
            <w:r w:rsidRPr="004C2A59">
              <w:rPr>
                <w:color w:val="000000"/>
                <w:sz w:val="22"/>
                <w:szCs w:val="22"/>
                <w:lang w:val="fr-FR"/>
              </w:rPr>
              <w:t>Novartis Pharma Services Inc.</w:t>
            </w:r>
          </w:p>
          <w:p w14:paraId="263847FF" w14:textId="77777777" w:rsidR="00312C59" w:rsidRPr="004C2A59" w:rsidRDefault="00312C59" w:rsidP="00421681">
            <w:pPr>
              <w:rPr>
                <w:color w:val="000000"/>
                <w:sz w:val="22"/>
                <w:szCs w:val="22"/>
                <w:lang w:val="fr-FR"/>
              </w:rPr>
            </w:pPr>
            <w:r w:rsidRPr="004C2A59">
              <w:rPr>
                <w:color w:val="000000"/>
                <w:sz w:val="22"/>
                <w:szCs w:val="22"/>
                <w:lang w:val="fr-FR"/>
              </w:rPr>
              <w:t>Tel: +386 1 300 75 50</w:t>
            </w:r>
          </w:p>
        </w:tc>
      </w:tr>
      <w:tr w:rsidR="00312C59" w:rsidRPr="004C2A59" w14:paraId="50A1419B" w14:textId="77777777" w:rsidTr="00947CCE">
        <w:trPr>
          <w:cantSplit/>
        </w:trPr>
        <w:tc>
          <w:tcPr>
            <w:tcW w:w="4650" w:type="dxa"/>
          </w:tcPr>
          <w:p w14:paraId="1792B569" w14:textId="77777777" w:rsidR="00312C59" w:rsidRPr="004C2A59" w:rsidRDefault="00312C59" w:rsidP="00421681">
            <w:pPr>
              <w:rPr>
                <w:b/>
                <w:color w:val="000000"/>
                <w:sz w:val="22"/>
                <w:szCs w:val="22"/>
              </w:rPr>
            </w:pPr>
            <w:r w:rsidRPr="004C2A59">
              <w:rPr>
                <w:b/>
                <w:color w:val="000000"/>
                <w:sz w:val="22"/>
                <w:szCs w:val="22"/>
              </w:rPr>
              <w:t>Ísland</w:t>
            </w:r>
          </w:p>
          <w:p w14:paraId="72463C28" w14:textId="77777777" w:rsidR="00312C59" w:rsidRPr="004C2A59" w:rsidRDefault="00312C59" w:rsidP="00421681">
            <w:pPr>
              <w:rPr>
                <w:color w:val="000000"/>
                <w:sz w:val="22"/>
                <w:szCs w:val="22"/>
              </w:rPr>
            </w:pPr>
            <w:r w:rsidRPr="004C2A59">
              <w:rPr>
                <w:color w:val="000000"/>
                <w:sz w:val="22"/>
                <w:szCs w:val="22"/>
              </w:rPr>
              <w:t>Vistor hf.</w:t>
            </w:r>
          </w:p>
          <w:p w14:paraId="0B7EC185" w14:textId="77777777" w:rsidR="00312C59" w:rsidRPr="004C2A59" w:rsidRDefault="00312C59" w:rsidP="00421681">
            <w:pPr>
              <w:rPr>
                <w:color w:val="000000"/>
                <w:sz w:val="22"/>
                <w:szCs w:val="22"/>
              </w:rPr>
            </w:pPr>
            <w:r w:rsidRPr="004C2A59">
              <w:rPr>
                <w:noProof/>
                <w:color w:val="000000"/>
                <w:sz w:val="22"/>
                <w:szCs w:val="22"/>
                <w:lang w:val="it-IT"/>
              </w:rPr>
              <w:t>S</w:t>
            </w:r>
            <w:r w:rsidRPr="004C2A59">
              <w:rPr>
                <w:noProof/>
                <w:color w:val="000000"/>
                <w:sz w:val="22"/>
                <w:szCs w:val="22"/>
                <w:lang w:val="cs-CZ"/>
              </w:rPr>
              <w:t>í</w:t>
            </w:r>
            <w:r w:rsidRPr="004C2A59">
              <w:rPr>
                <w:noProof/>
                <w:color w:val="000000"/>
                <w:sz w:val="22"/>
                <w:szCs w:val="22"/>
                <w:lang w:val="it-IT"/>
              </w:rPr>
              <w:t>mi</w:t>
            </w:r>
            <w:r w:rsidRPr="004C2A59">
              <w:rPr>
                <w:color w:val="000000"/>
                <w:sz w:val="22"/>
                <w:szCs w:val="22"/>
              </w:rPr>
              <w:t>: +354 535 7000</w:t>
            </w:r>
          </w:p>
          <w:p w14:paraId="18D2CFE1" w14:textId="77777777" w:rsidR="00312C59" w:rsidRPr="004C2A59" w:rsidRDefault="00312C59" w:rsidP="00421681">
            <w:pPr>
              <w:rPr>
                <w:b/>
                <w:color w:val="000000"/>
                <w:sz w:val="22"/>
                <w:szCs w:val="22"/>
              </w:rPr>
            </w:pPr>
          </w:p>
        </w:tc>
        <w:tc>
          <w:tcPr>
            <w:tcW w:w="4650" w:type="dxa"/>
          </w:tcPr>
          <w:p w14:paraId="6A7DA5EE" w14:textId="77777777" w:rsidR="00312C59" w:rsidRPr="00F852D1" w:rsidRDefault="00312C59" w:rsidP="00421681">
            <w:pPr>
              <w:rPr>
                <w:b/>
                <w:color w:val="000000"/>
                <w:sz w:val="22"/>
                <w:szCs w:val="22"/>
              </w:rPr>
            </w:pPr>
            <w:r w:rsidRPr="00F852D1">
              <w:rPr>
                <w:b/>
                <w:color w:val="000000"/>
                <w:sz w:val="22"/>
                <w:szCs w:val="22"/>
              </w:rPr>
              <w:t>Slovenská republika</w:t>
            </w:r>
          </w:p>
          <w:p w14:paraId="71538854" w14:textId="77777777" w:rsidR="00312C59" w:rsidRPr="00F852D1" w:rsidRDefault="00312C59" w:rsidP="00421681">
            <w:pPr>
              <w:rPr>
                <w:color w:val="000000"/>
                <w:sz w:val="22"/>
                <w:szCs w:val="22"/>
              </w:rPr>
            </w:pPr>
            <w:r w:rsidRPr="00F852D1">
              <w:rPr>
                <w:color w:val="000000"/>
                <w:sz w:val="22"/>
                <w:szCs w:val="22"/>
              </w:rPr>
              <w:t>Novartis Slovakia s.r.o.</w:t>
            </w:r>
          </w:p>
          <w:p w14:paraId="2CA1FBCC" w14:textId="77777777" w:rsidR="00312C59" w:rsidRPr="004C2A59" w:rsidRDefault="00312C59" w:rsidP="00421681">
            <w:pPr>
              <w:rPr>
                <w:color w:val="000000"/>
                <w:sz w:val="22"/>
                <w:szCs w:val="22"/>
              </w:rPr>
            </w:pPr>
            <w:r w:rsidRPr="004C2A59">
              <w:rPr>
                <w:color w:val="000000"/>
                <w:sz w:val="22"/>
                <w:szCs w:val="22"/>
              </w:rPr>
              <w:t>Tel: +421 2 5542 5439</w:t>
            </w:r>
          </w:p>
          <w:p w14:paraId="5D458F8F" w14:textId="77777777" w:rsidR="00312C59" w:rsidRPr="004C2A59" w:rsidRDefault="00312C59" w:rsidP="00421681">
            <w:pPr>
              <w:rPr>
                <w:color w:val="000000"/>
                <w:sz w:val="22"/>
                <w:szCs w:val="22"/>
              </w:rPr>
            </w:pPr>
          </w:p>
        </w:tc>
      </w:tr>
      <w:tr w:rsidR="00312C59" w:rsidRPr="00F852D1" w14:paraId="42E37D79" w14:textId="77777777" w:rsidTr="00947CCE">
        <w:trPr>
          <w:cantSplit/>
        </w:trPr>
        <w:tc>
          <w:tcPr>
            <w:tcW w:w="4650" w:type="dxa"/>
          </w:tcPr>
          <w:p w14:paraId="555EBD49" w14:textId="77777777" w:rsidR="00312C59" w:rsidRPr="004C2A59" w:rsidRDefault="00312C59" w:rsidP="00421681">
            <w:pPr>
              <w:rPr>
                <w:b/>
                <w:color w:val="000000"/>
                <w:sz w:val="22"/>
                <w:szCs w:val="22"/>
                <w:lang w:val="pt-BR"/>
              </w:rPr>
            </w:pPr>
            <w:r w:rsidRPr="004C2A59">
              <w:rPr>
                <w:b/>
                <w:color w:val="000000"/>
                <w:sz w:val="22"/>
                <w:szCs w:val="22"/>
                <w:lang w:val="pt-BR"/>
              </w:rPr>
              <w:t>Italia</w:t>
            </w:r>
          </w:p>
          <w:p w14:paraId="2E907B87" w14:textId="77777777" w:rsidR="00312C59" w:rsidRPr="004C2A59" w:rsidRDefault="00312C59" w:rsidP="00421681">
            <w:pPr>
              <w:rPr>
                <w:color w:val="000000"/>
                <w:sz w:val="22"/>
                <w:szCs w:val="22"/>
                <w:lang w:val="pt-BR"/>
              </w:rPr>
            </w:pPr>
            <w:r w:rsidRPr="004C2A59">
              <w:rPr>
                <w:color w:val="000000"/>
                <w:sz w:val="22"/>
                <w:szCs w:val="22"/>
                <w:lang w:val="pt-BR"/>
              </w:rPr>
              <w:t>Novartis Farma S.p.A.</w:t>
            </w:r>
          </w:p>
          <w:p w14:paraId="77DFB3FE" w14:textId="77777777" w:rsidR="00312C59" w:rsidRPr="004C2A59" w:rsidRDefault="00312C59" w:rsidP="00421681">
            <w:pPr>
              <w:rPr>
                <w:b/>
                <w:color w:val="000000"/>
                <w:sz w:val="22"/>
                <w:szCs w:val="22"/>
              </w:rPr>
            </w:pPr>
            <w:r w:rsidRPr="004C2A59">
              <w:rPr>
                <w:color w:val="000000"/>
                <w:sz w:val="22"/>
                <w:szCs w:val="22"/>
              </w:rPr>
              <w:t>Tel: +39 02 96 54 1</w:t>
            </w:r>
          </w:p>
        </w:tc>
        <w:tc>
          <w:tcPr>
            <w:tcW w:w="4650" w:type="dxa"/>
          </w:tcPr>
          <w:p w14:paraId="5C092230" w14:textId="77777777" w:rsidR="00312C59" w:rsidRPr="00F852D1" w:rsidRDefault="00312C59" w:rsidP="00421681">
            <w:pPr>
              <w:rPr>
                <w:b/>
                <w:color w:val="000000"/>
                <w:sz w:val="22"/>
                <w:szCs w:val="22"/>
                <w:lang w:val="sv-SE"/>
              </w:rPr>
            </w:pPr>
            <w:r w:rsidRPr="00F852D1">
              <w:rPr>
                <w:b/>
                <w:color w:val="000000"/>
                <w:sz w:val="22"/>
                <w:szCs w:val="22"/>
                <w:lang w:val="sv-SE"/>
              </w:rPr>
              <w:t>Suomi/Finland</w:t>
            </w:r>
          </w:p>
          <w:p w14:paraId="657182A5" w14:textId="77777777" w:rsidR="00312C59" w:rsidRPr="00F852D1" w:rsidRDefault="00312C59" w:rsidP="00421681">
            <w:pPr>
              <w:rPr>
                <w:color w:val="000000"/>
                <w:sz w:val="22"/>
                <w:szCs w:val="22"/>
                <w:lang w:val="sv-SE"/>
              </w:rPr>
            </w:pPr>
            <w:r w:rsidRPr="00F852D1">
              <w:rPr>
                <w:color w:val="000000"/>
                <w:sz w:val="22"/>
                <w:szCs w:val="22"/>
                <w:lang w:val="sv-SE"/>
              </w:rPr>
              <w:t>Novartis Finland Oy</w:t>
            </w:r>
          </w:p>
          <w:p w14:paraId="4EADF3C5" w14:textId="77777777" w:rsidR="00312C59" w:rsidRPr="00F852D1" w:rsidRDefault="00312C59" w:rsidP="00421681">
            <w:pPr>
              <w:rPr>
                <w:color w:val="000000"/>
                <w:sz w:val="22"/>
                <w:szCs w:val="22"/>
                <w:lang w:val="sv-SE"/>
              </w:rPr>
            </w:pPr>
            <w:r w:rsidRPr="00F852D1">
              <w:rPr>
                <w:color w:val="000000"/>
                <w:sz w:val="22"/>
                <w:szCs w:val="22"/>
                <w:lang w:val="sv-SE"/>
              </w:rPr>
              <w:t xml:space="preserve">Puh/Tel: </w:t>
            </w:r>
            <w:r w:rsidRPr="00F852D1">
              <w:rPr>
                <w:color w:val="000000"/>
                <w:sz w:val="22"/>
                <w:szCs w:val="22"/>
                <w:lang w:val="sv-SE" w:bidi="he-IL"/>
              </w:rPr>
              <w:t>+358 (0)10 6133 200</w:t>
            </w:r>
          </w:p>
          <w:p w14:paraId="026DA1C4" w14:textId="77777777" w:rsidR="00312C59" w:rsidRPr="00F852D1" w:rsidRDefault="00312C59" w:rsidP="00421681">
            <w:pPr>
              <w:rPr>
                <w:color w:val="000000"/>
                <w:sz w:val="22"/>
                <w:szCs w:val="22"/>
                <w:lang w:val="sv-SE"/>
              </w:rPr>
            </w:pPr>
          </w:p>
        </w:tc>
      </w:tr>
      <w:tr w:rsidR="00312C59" w:rsidRPr="00DA2798" w14:paraId="09F47E66" w14:textId="77777777" w:rsidTr="00947CCE">
        <w:trPr>
          <w:cantSplit/>
        </w:trPr>
        <w:tc>
          <w:tcPr>
            <w:tcW w:w="4650" w:type="dxa"/>
          </w:tcPr>
          <w:p w14:paraId="2C515750" w14:textId="77777777" w:rsidR="00312C59" w:rsidRPr="004C2A59" w:rsidRDefault="00312C59" w:rsidP="00421681">
            <w:pPr>
              <w:rPr>
                <w:b/>
                <w:color w:val="000000"/>
                <w:sz w:val="22"/>
                <w:szCs w:val="22"/>
                <w:lang w:val="fr-FR"/>
              </w:rPr>
            </w:pPr>
            <w:r w:rsidRPr="004C2A59">
              <w:rPr>
                <w:b/>
                <w:color w:val="000000"/>
                <w:sz w:val="22"/>
                <w:szCs w:val="22"/>
              </w:rPr>
              <w:t>Κύπρος</w:t>
            </w:r>
          </w:p>
          <w:p w14:paraId="478F6610" w14:textId="77777777" w:rsidR="00312C59" w:rsidRPr="004C2A59" w:rsidRDefault="00312C59" w:rsidP="00421681">
            <w:pPr>
              <w:rPr>
                <w:color w:val="000000"/>
                <w:sz w:val="22"/>
                <w:szCs w:val="22"/>
                <w:lang w:val="fr-FR"/>
              </w:rPr>
            </w:pPr>
            <w:r w:rsidRPr="004C2A59">
              <w:rPr>
                <w:color w:val="000000"/>
                <w:sz w:val="22"/>
                <w:szCs w:val="22"/>
                <w:lang w:val="fr-FR" w:bidi="he-IL"/>
              </w:rPr>
              <w:t>Novartis Pharma Services Inc.</w:t>
            </w:r>
          </w:p>
          <w:p w14:paraId="634B5105" w14:textId="77777777" w:rsidR="00312C59" w:rsidRPr="004C2A59" w:rsidRDefault="00312C59" w:rsidP="00421681">
            <w:pPr>
              <w:rPr>
                <w:color w:val="000000"/>
                <w:sz w:val="22"/>
                <w:szCs w:val="22"/>
                <w:lang w:val="fr-FR"/>
              </w:rPr>
            </w:pPr>
            <w:r w:rsidRPr="004C2A59">
              <w:rPr>
                <w:color w:val="000000"/>
                <w:sz w:val="22"/>
                <w:szCs w:val="22"/>
              </w:rPr>
              <w:t>Τηλ</w:t>
            </w:r>
            <w:r w:rsidRPr="004C2A59">
              <w:rPr>
                <w:color w:val="000000"/>
                <w:sz w:val="22"/>
                <w:szCs w:val="22"/>
                <w:lang w:val="fr-FR"/>
              </w:rPr>
              <w:t>: +357 22 690 690</w:t>
            </w:r>
          </w:p>
          <w:p w14:paraId="5B702B85" w14:textId="77777777" w:rsidR="00312C59" w:rsidRPr="004C2A59" w:rsidRDefault="00312C59" w:rsidP="00421681">
            <w:pPr>
              <w:rPr>
                <w:b/>
                <w:color w:val="000000"/>
                <w:sz w:val="22"/>
                <w:szCs w:val="22"/>
                <w:lang w:val="fr-FR"/>
              </w:rPr>
            </w:pPr>
          </w:p>
        </w:tc>
        <w:tc>
          <w:tcPr>
            <w:tcW w:w="4650" w:type="dxa"/>
          </w:tcPr>
          <w:p w14:paraId="79426D12" w14:textId="77777777" w:rsidR="00312C59" w:rsidRPr="004C2A59" w:rsidRDefault="00312C59" w:rsidP="00421681">
            <w:pPr>
              <w:rPr>
                <w:b/>
                <w:color w:val="000000"/>
                <w:sz w:val="22"/>
                <w:szCs w:val="22"/>
                <w:lang w:val="de-CH"/>
              </w:rPr>
            </w:pPr>
            <w:r w:rsidRPr="004C2A59">
              <w:rPr>
                <w:b/>
                <w:color w:val="000000"/>
                <w:sz w:val="22"/>
                <w:szCs w:val="22"/>
                <w:lang w:val="de-CH"/>
              </w:rPr>
              <w:t>Sverige</w:t>
            </w:r>
          </w:p>
          <w:p w14:paraId="045F50FE" w14:textId="77777777" w:rsidR="00312C59" w:rsidRPr="004C2A59" w:rsidRDefault="00312C59" w:rsidP="00421681">
            <w:pPr>
              <w:rPr>
                <w:color w:val="000000"/>
                <w:sz w:val="22"/>
                <w:szCs w:val="22"/>
                <w:lang w:val="de-CH"/>
              </w:rPr>
            </w:pPr>
            <w:r w:rsidRPr="004C2A59">
              <w:rPr>
                <w:color w:val="000000"/>
                <w:sz w:val="22"/>
                <w:szCs w:val="22"/>
                <w:lang w:val="de-CH"/>
              </w:rPr>
              <w:t>Novartis Sverige AB</w:t>
            </w:r>
          </w:p>
          <w:p w14:paraId="57B2C0B7" w14:textId="77777777" w:rsidR="00312C59" w:rsidRPr="004C2A59" w:rsidRDefault="00312C59" w:rsidP="00421681">
            <w:pPr>
              <w:rPr>
                <w:color w:val="000000"/>
                <w:sz w:val="22"/>
                <w:szCs w:val="22"/>
                <w:lang w:val="de-CH"/>
              </w:rPr>
            </w:pPr>
            <w:r w:rsidRPr="004C2A59">
              <w:rPr>
                <w:color w:val="000000"/>
                <w:sz w:val="22"/>
                <w:szCs w:val="22"/>
                <w:lang w:val="de-CH"/>
              </w:rPr>
              <w:t>Tel: +46 8 732 32 00</w:t>
            </w:r>
          </w:p>
          <w:p w14:paraId="7F981F44" w14:textId="77777777" w:rsidR="00312C59" w:rsidRPr="004C2A59" w:rsidRDefault="00312C59" w:rsidP="00421681">
            <w:pPr>
              <w:rPr>
                <w:color w:val="000000"/>
                <w:sz w:val="22"/>
                <w:szCs w:val="22"/>
                <w:lang w:val="de-CH"/>
              </w:rPr>
            </w:pPr>
          </w:p>
        </w:tc>
      </w:tr>
      <w:tr w:rsidR="00312C59" w:rsidRPr="004C2A59" w14:paraId="3D3BA838" w14:textId="77777777" w:rsidTr="00947CCE">
        <w:trPr>
          <w:cantSplit/>
        </w:trPr>
        <w:tc>
          <w:tcPr>
            <w:tcW w:w="4650" w:type="dxa"/>
          </w:tcPr>
          <w:p w14:paraId="03A1CAED" w14:textId="77777777" w:rsidR="00312C59" w:rsidRPr="00F852D1" w:rsidRDefault="00312C59" w:rsidP="00421681">
            <w:pPr>
              <w:rPr>
                <w:b/>
                <w:color w:val="000000"/>
                <w:sz w:val="22"/>
                <w:szCs w:val="22"/>
                <w:lang w:val="it-IT"/>
              </w:rPr>
            </w:pPr>
            <w:r w:rsidRPr="00F852D1">
              <w:rPr>
                <w:b/>
                <w:color w:val="000000"/>
                <w:sz w:val="22"/>
                <w:szCs w:val="22"/>
                <w:lang w:val="it-IT"/>
              </w:rPr>
              <w:t>Latvija</w:t>
            </w:r>
          </w:p>
          <w:p w14:paraId="70F29E97" w14:textId="211B02A0" w:rsidR="00312C59" w:rsidRPr="00F852D1" w:rsidRDefault="00104564" w:rsidP="00421681">
            <w:pPr>
              <w:rPr>
                <w:color w:val="000000"/>
                <w:sz w:val="22"/>
                <w:szCs w:val="22"/>
                <w:lang w:val="it-IT"/>
              </w:rPr>
            </w:pPr>
            <w:r w:rsidRPr="00B42099">
              <w:rPr>
                <w:color w:val="000000"/>
                <w:sz w:val="22"/>
                <w:szCs w:val="22"/>
                <w:lang w:val="it-IT" w:bidi="he-IL"/>
              </w:rPr>
              <w:t>SI</w:t>
            </w:r>
            <w:r w:rsidRPr="00F852D1">
              <w:rPr>
                <w:color w:val="000000"/>
                <w:sz w:val="22"/>
                <w:szCs w:val="22"/>
                <w:lang w:val="it-IT" w:bidi="he-IL"/>
              </w:rPr>
              <w:t>A Novartis Baltics</w:t>
            </w:r>
          </w:p>
          <w:p w14:paraId="26BB0569" w14:textId="77777777" w:rsidR="00312C59" w:rsidRPr="00F852D1" w:rsidRDefault="00312C59" w:rsidP="00421681">
            <w:pPr>
              <w:rPr>
                <w:color w:val="000000"/>
                <w:sz w:val="22"/>
                <w:szCs w:val="22"/>
                <w:lang w:val="it-IT"/>
              </w:rPr>
            </w:pPr>
            <w:r w:rsidRPr="00F852D1">
              <w:rPr>
                <w:color w:val="000000"/>
                <w:sz w:val="22"/>
                <w:szCs w:val="22"/>
                <w:lang w:val="it-IT"/>
              </w:rPr>
              <w:t>Tel: +371 67 887 070</w:t>
            </w:r>
          </w:p>
          <w:p w14:paraId="6FCB5F0A" w14:textId="77777777" w:rsidR="00312C59" w:rsidRPr="00F852D1" w:rsidRDefault="00312C59" w:rsidP="00421681">
            <w:pPr>
              <w:rPr>
                <w:b/>
                <w:color w:val="000000"/>
                <w:sz w:val="22"/>
                <w:szCs w:val="22"/>
                <w:lang w:val="it-IT"/>
              </w:rPr>
            </w:pPr>
          </w:p>
        </w:tc>
        <w:tc>
          <w:tcPr>
            <w:tcW w:w="4650" w:type="dxa"/>
          </w:tcPr>
          <w:p w14:paraId="6809F0ED" w14:textId="77777777" w:rsidR="00312C59" w:rsidRPr="00F852D1" w:rsidRDefault="00312C59" w:rsidP="00421681">
            <w:pPr>
              <w:rPr>
                <w:b/>
                <w:color w:val="000000"/>
                <w:sz w:val="22"/>
                <w:szCs w:val="22"/>
                <w:lang w:val="it-IT"/>
              </w:rPr>
            </w:pPr>
            <w:r w:rsidRPr="00F852D1">
              <w:rPr>
                <w:b/>
                <w:color w:val="000000"/>
                <w:sz w:val="22"/>
                <w:szCs w:val="22"/>
                <w:lang w:val="it-IT"/>
              </w:rPr>
              <w:t>United Kingdom</w:t>
            </w:r>
          </w:p>
          <w:p w14:paraId="606C9C52" w14:textId="77777777" w:rsidR="00312C59" w:rsidRPr="00F852D1" w:rsidRDefault="00312C59" w:rsidP="00421681">
            <w:pPr>
              <w:rPr>
                <w:color w:val="000000"/>
                <w:sz w:val="22"/>
                <w:szCs w:val="22"/>
                <w:lang w:val="it-IT"/>
              </w:rPr>
            </w:pPr>
            <w:r w:rsidRPr="00F852D1">
              <w:rPr>
                <w:color w:val="000000"/>
                <w:sz w:val="22"/>
                <w:szCs w:val="22"/>
                <w:lang w:val="it-IT"/>
              </w:rPr>
              <w:t>Novartis Pharmaceuticals UK Ltd.</w:t>
            </w:r>
          </w:p>
          <w:p w14:paraId="41B5E907" w14:textId="77777777" w:rsidR="00312C59" w:rsidRPr="004C2A59" w:rsidRDefault="00312C59" w:rsidP="00421681">
            <w:pPr>
              <w:rPr>
                <w:color w:val="000000"/>
                <w:sz w:val="22"/>
                <w:szCs w:val="22"/>
              </w:rPr>
            </w:pPr>
            <w:r w:rsidRPr="004C2A59">
              <w:rPr>
                <w:color w:val="000000"/>
                <w:sz w:val="22"/>
                <w:szCs w:val="22"/>
              </w:rPr>
              <w:t>Tel: +44 1276 698370</w:t>
            </w:r>
          </w:p>
          <w:p w14:paraId="7AB99951" w14:textId="77777777" w:rsidR="00312C59" w:rsidRPr="004C2A59" w:rsidRDefault="00312C59" w:rsidP="00421681">
            <w:pPr>
              <w:rPr>
                <w:color w:val="000000"/>
                <w:sz w:val="22"/>
                <w:szCs w:val="22"/>
              </w:rPr>
            </w:pPr>
          </w:p>
        </w:tc>
      </w:tr>
    </w:tbl>
    <w:p w14:paraId="34B1467C" w14:textId="77777777" w:rsidR="00312C59" w:rsidRPr="004C2A59" w:rsidRDefault="00312C59" w:rsidP="00421681">
      <w:pPr>
        <w:widowControl w:val="0"/>
        <w:ind w:right="-449"/>
        <w:rPr>
          <w:color w:val="000000"/>
          <w:sz w:val="22"/>
          <w:szCs w:val="22"/>
        </w:rPr>
      </w:pPr>
    </w:p>
    <w:p w14:paraId="0FE9CA3B" w14:textId="77777777" w:rsidR="006F7492" w:rsidRPr="004C2A59" w:rsidRDefault="006F7492" w:rsidP="00421681">
      <w:pPr>
        <w:pStyle w:val="BodyText3"/>
        <w:widowControl w:val="0"/>
        <w:tabs>
          <w:tab w:val="clear" w:pos="-720"/>
        </w:tabs>
        <w:suppressAutoHyphens w:val="0"/>
        <w:rPr>
          <w:color w:val="000000"/>
          <w:szCs w:val="22"/>
        </w:rPr>
      </w:pPr>
      <w:r w:rsidRPr="004C2A59">
        <w:rPr>
          <w:color w:val="000000"/>
          <w:szCs w:val="22"/>
        </w:rPr>
        <w:t xml:space="preserve">Denne indlægsseddel blev senest </w:t>
      </w:r>
      <w:r w:rsidR="008B294B" w:rsidRPr="004C2A59">
        <w:rPr>
          <w:color w:val="000000"/>
          <w:szCs w:val="22"/>
        </w:rPr>
        <w:t>ændret</w:t>
      </w:r>
    </w:p>
    <w:p w14:paraId="17000257" w14:textId="77777777" w:rsidR="006F7492" w:rsidRPr="004C2A59" w:rsidRDefault="006F7492" w:rsidP="00421681">
      <w:pPr>
        <w:pStyle w:val="BodyText3"/>
        <w:widowControl w:val="0"/>
        <w:tabs>
          <w:tab w:val="clear" w:pos="-720"/>
        </w:tabs>
        <w:suppressAutoHyphens w:val="0"/>
        <w:rPr>
          <w:b w:val="0"/>
          <w:color w:val="000000"/>
          <w:szCs w:val="22"/>
        </w:rPr>
      </w:pPr>
    </w:p>
    <w:p w14:paraId="76669354" w14:textId="77777777" w:rsidR="008B294B" w:rsidRPr="004C2A59" w:rsidRDefault="008B294B" w:rsidP="00C93654">
      <w:pPr>
        <w:pStyle w:val="BodyText3"/>
        <w:keepNext/>
        <w:widowControl w:val="0"/>
        <w:tabs>
          <w:tab w:val="clear" w:pos="-720"/>
        </w:tabs>
        <w:suppressAutoHyphens w:val="0"/>
        <w:rPr>
          <w:color w:val="000000"/>
          <w:szCs w:val="22"/>
        </w:rPr>
      </w:pPr>
      <w:r w:rsidRPr="004C2A59">
        <w:rPr>
          <w:color w:val="000000"/>
          <w:szCs w:val="22"/>
        </w:rPr>
        <w:lastRenderedPageBreak/>
        <w:t>Andre informationskilder</w:t>
      </w:r>
    </w:p>
    <w:p w14:paraId="582EE18B" w14:textId="77777777" w:rsidR="006F7492" w:rsidRPr="004C2A59" w:rsidRDefault="006F7492" w:rsidP="00421681">
      <w:pPr>
        <w:rPr>
          <w:sz w:val="22"/>
          <w:szCs w:val="22"/>
          <w:lang w:val="da-DK"/>
        </w:rPr>
      </w:pPr>
      <w:r w:rsidRPr="004C2A59">
        <w:rPr>
          <w:sz w:val="22"/>
          <w:szCs w:val="22"/>
          <w:lang w:val="da-DK"/>
        </w:rPr>
        <w:t xml:space="preserve">Du kan finde yderligere </w:t>
      </w:r>
      <w:r w:rsidR="008B294B" w:rsidRPr="004C2A59">
        <w:rPr>
          <w:sz w:val="22"/>
          <w:szCs w:val="22"/>
          <w:lang w:val="da-DK"/>
        </w:rPr>
        <w:t xml:space="preserve">oplysninger </w:t>
      </w:r>
      <w:r w:rsidRPr="004C2A59">
        <w:rPr>
          <w:sz w:val="22"/>
          <w:szCs w:val="22"/>
          <w:lang w:val="da-DK"/>
        </w:rPr>
        <w:t xml:space="preserve">om </w:t>
      </w:r>
      <w:r w:rsidR="008B294B" w:rsidRPr="004C2A59">
        <w:rPr>
          <w:sz w:val="22"/>
          <w:szCs w:val="22"/>
          <w:lang w:val="da-DK"/>
        </w:rPr>
        <w:t>dette lægemiddel</w:t>
      </w:r>
      <w:r w:rsidRPr="004C2A59">
        <w:rPr>
          <w:sz w:val="22"/>
          <w:szCs w:val="22"/>
          <w:lang w:val="da-DK"/>
        </w:rPr>
        <w:t xml:space="preserve"> på Det Europæiske Lægemiddelagenturs hjemmeside http://www.ema.europa.eu</w:t>
      </w:r>
    </w:p>
    <w:p w14:paraId="35ADECCF" w14:textId="77777777" w:rsidR="006F7492" w:rsidRPr="004C2A59" w:rsidRDefault="006F7492" w:rsidP="00421681">
      <w:pPr>
        <w:pStyle w:val="BodyText3"/>
        <w:widowControl w:val="0"/>
        <w:tabs>
          <w:tab w:val="clear" w:pos="-720"/>
        </w:tabs>
        <w:suppressAutoHyphens w:val="0"/>
        <w:rPr>
          <w:b w:val="0"/>
          <w:bCs/>
          <w:color w:val="000000"/>
        </w:rPr>
      </w:pPr>
    </w:p>
    <w:p w14:paraId="54109064" w14:textId="77777777" w:rsidR="000227FD" w:rsidRPr="00F77633" w:rsidRDefault="000227FD" w:rsidP="006B2C92">
      <w:pPr>
        <w:pStyle w:val="Heading1"/>
        <w:keepNext w:val="0"/>
        <w:widowControl w:val="0"/>
        <w:numPr>
          <w:ilvl w:val="0"/>
          <w:numId w:val="0"/>
        </w:numPr>
        <w:tabs>
          <w:tab w:val="clear" w:pos="-720"/>
        </w:tabs>
        <w:jc w:val="center"/>
        <w:rPr>
          <w:bCs/>
          <w:color w:val="000000"/>
          <w:szCs w:val="22"/>
          <w:lang w:val="da-DK"/>
        </w:rPr>
      </w:pPr>
    </w:p>
    <w:sectPr w:rsidR="000227FD" w:rsidRPr="00F77633" w:rsidSect="00C25BFC">
      <w:headerReference w:type="even" r:id="rId20"/>
      <w:headerReference w:type="default" r:id="rId21"/>
      <w:footerReference w:type="even" r:id="rId22"/>
      <w:footerReference w:type="default" r:id="rId23"/>
      <w:headerReference w:type="first" r:id="rId24"/>
      <w:footerReference w:type="first" r:id="rId25"/>
      <w:endnotePr>
        <w:numFmt w:val="decimal"/>
      </w:endnotePr>
      <w:pgSz w:w="11901" w:h="16840" w:code="9"/>
      <w:pgMar w:top="1134" w:right="1418" w:bottom="1134" w:left="1418" w:header="737" w:footer="737"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BA11B" w14:textId="77777777" w:rsidR="00DA2798" w:rsidRDefault="00DA2798">
      <w:r>
        <w:separator/>
      </w:r>
    </w:p>
  </w:endnote>
  <w:endnote w:type="continuationSeparator" w:id="0">
    <w:p w14:paraId="3AB4EECE" w14:textId="77777777" w:rsidR="00DA2798" w:rsidRDefault="00DA2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598D3" w14:textId="77777777" w:rsidR="00DA2798" w:rsidRDefault="00DA27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308C0" w14:textId="07273657" w:rsidR="00DA2798" w:rsidRPr="00C25BFC" w:rsidRDefault="00DA2798">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sidRPr="00C25BFC">
      <w:rPr>
        <w:rStyle w:val="PageNumber"/>
        <w:rFonts w:ascii="Arial" w:hAnsi="Arial" w:cs="Arial"/>
      </w:rPr>
      <w:fldChar w:fldCharType="begin"/>
    </w:r>
    <w:r w:rsidRPr="00C25BFC">
      <w:rPr>
        <w:rStyle w:val="PageNumber"/>
        <w:rFonts w:ascii="Arial" w:hAnsi="Arial" w:cs="Arial"/>
      </w:rPr>
      <w:instrText xml:space="preserve">PAGE  </w:instrText>
    </w:r>
    <w:r w:rsidRPr="00C25BFC">
      <w:rPr>
        <w:rStyle w:val="PageNumber"/>
        <w:rFonts w:ascii="Arial" w:hAnsi="Arial" w:cs="Arial"/>
      </w:rPr>
      <w:fldChar w:fldCharType="separate"/>
    </w:r>
    <w:r w:rsidR="006F5A01">
      <w:rPr>
        <w:rStyle w:val="PageNumber"/>
        <w:rFonts w:ascii="Arial" w:hAnsi="Arial" w:cs="Arial"/>
        <w:noProof/>
      </w:rPr>
      <w:t>98</w:t>
    </w:r>
    <w:r w:rsidRPr="00C25BFC">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ECF6D" w14:textId="77777777" w:rsidR="00DA2798" w:rsidRDefault="00DA2798" w:rsidP="00240D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1E89397" w14:textId="77777777" w:rsidR="00DA2798" w:rsidRPr="00C25BFC" w:rsidRDefault="00DA2798" w:rsidP="00C25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1737D" w14:textId="77777777" w:rsidR="00DA2798" w:rsidRDefault="00DA2798">
      <w:r>
        <w:separator/>
      </w:r>
    </w:p>
  </w:footnote>
  <w:footnote w:type="continuationSeparator" w:id="0">
    <w:p w14:paraId="01846E46" w14:textId="77777777" w:rsidR="00DA2798" w:rsidRDefault="00DA2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6BEE1" w14:textId="77777777" w:rsidR="00DA2798" w:rsidRDefault="00DA27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2815A" w14:textId="77777777" w:rsidR="00DA2798" w:rsidRDefault="00DA27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0ACF2" w14:textId="77777777" w:rsidR="00DA2798" w:rsidRDefault="00DA27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207FCB"/>
    <w:multiLevelType w:val="hybridMultilevel"/>
    <w:tmpl w:val="BD503184"/>
    <w:lvl w:ilvl="0" w:tplc="1E1A4402">
      <w:start w:val="2"/>
      <w:numFmt w:val="bullet"/>
      <w:lvlText w:val="-"/>
      <w:lvlJc w:val="left"/>
      <w:pPr>
        <w:tabs>
          <w:tab w:val="num" w:pos="927"/>
        </w:tabs>
        <w:ind w:left="927" w:hanging="360"/>
      </w:pPr>
      <w:rPr>
        <w:rFonts w:hint="default"/>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80198F"/>
    <w:multiLevelType w:val="hybridMultilevel"/>
    <w:tmpl w:val="94B8F878"/>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30B05"/>
    <w:multiLevelType w:val="hybridMultilevel"/>
    <w:tmpl w:val="F70C3C58"/>
    <w:lvl w:ilvl="0" w:tplc="23443C8A">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327E11"/>
    <w:multiLevelType w:val="hybridMultilevel"/>
    <w:tmpl w:val="3EC0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469C7"/>
    <w:multiLevelType w:val="hybridMultilevel"/>
    <w:tmpl w:val="8CF87C54"/>
    <w:lvl w:ilvl="0" w:tplc="E3608AC0">
      <w:start w:val="2"/>
      <w:numFmt w:val="bullet"/>
      <w:lvlText w:val="-"/>
      <w:lvlJc w:val="left"/>
      <w:pPr>
        <w:tabs>
          <w:tab w:val="num" w:pos="576"/>
        </w:tabs>
        <w:ind w:left="576" w:hanging="570"/>
      </w:pPr>
      <w:rPr>
        <w:rFonts w:hint="default"/>
        <w:b w:val="0"/>
        <w:i w:val="0"/>
      </w:rPr>
    </w:lvl>
    <w:lvl w:ilvl="1" w:tplc="1E1A4402">
      <w:start w:val="2"/>
      <w:numFmt w:val="bullet"/>
      <w:lvlText w:val="-"/>
      <w:lvlJc w:val="left"/>
      <w:pPr>
        <w:tabs>
          <w:tab w:val="num" w:pos="1440"/>
        </w:tabs>
        <w:ind w:left="1440" w:hanging="360"/>
      </w:pPr>
      <w:rPr>
        <w:rFonts w:hint="default"/>
        <w:b w:val="0"/>
        <w:i w:val="0"/>
        <w:u w:val="none" w:color="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8E7A06"/>
    <w:multiLevelType w:val="hybridMultilevel"/>
    <w:tmpl w:val="1068A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8F24DC"/>
    <w:multiLevelType w:val="hybridMultilevel"/>
    <w:tmpl w:val="8FE02CB2"/>
    <w:lvl w:ilvl="0" w:tplc="E3608AC0">
      <w:start w:val="2"/>
      <w:numFmt w:val="bullet"/>
      <w:lvlText w:val="-"/>
      <w:lvlJc w:val="left"/>
      <w:pPr>
        <w:tabs>
          <w:tab w:val="num" w:pos="576"/>
        </w:tabs>
        <w:ind w:left="576" w:hanging="570"/>
      </w:pPr>
      <w:rPr>
        <w:rFonts w:hint="default"/>
        <w:b w:val="0"/>
        <w:i w:val="0"/>
      </w:rPr>
    </w:lvl>
    <w:lvl w:ilvl="1" w:tplc="1E1A4402">
      <w:start w:val="2"/>
      <w:numFmt w:val="bullet"/>
      <w:lvlText w:val="-"/>
      <w:lvlJc w:val="left"/>
      <w:pPr>
        <w:tabs>
          <w:tab w:val="num" w:pos="1440"/>
        </w:tabs>
        <w:ind w:left="1440" w:hanging="360"/>
      </w:pPr>
      <w:rPr>
        <w:rFonts w:hint="default"/>
        <w:b w:val="0"/>
        <w:i w:val="0"/>
        <w:u w:val="none" w:color="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B1613C"/>
    <w:multiLevelType w:val="hybridMultilevel"/>
    <w:tmpl w:val="A372E1D2"/>
    <w:lvl w:ilvl="0" w:tplc="FFFFFFFF">
      <w:start w:val="2"/>
      <w:numFmt w:val="bullet"/>
      <w:lvlText w:val="-"/>
      <w:lvlJc w:val="left"/>
      <w:pPr>
        <w:tabs>
          <w:tab w:val="num" w:pos="927"/>
        </w:tabs>
        <w:ind w:left="927"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AF57FC"/>
    <w:multiLevelType w:val="hybridMultilevel"/>
    <w:tmpl w:val="015A3414"/>
    <w:lvl w:ilvl="0" w:tplc="0809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1" w15:restartNumberingAfterBreak="0">
    <w:nsid w:val="35A41EBD"/>
    <w:multiLevelType w:val="hybridMultilevel"/>
    <w:tmpl w:val="F0D0E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303B89"/>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15777EB"/>
    <w:multiLevelType w:val="multilevel"/>
    <w:tmpl w:val="5328BEF6"/>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4291093E"/>
    <w:multiLevelType w:val="hybridMultilevel"/>
    <w:tmpl w:val="51269B84"/>
    <w:lvl w:ilvl="0" w:tplc="1E1A4402">
      <w:start w:val="2"/>
      <w:numFmt w:val="bullet"/>
      <w:lvlText w:val="-"/>
      <w:lvlJc w:val="left"/>
      <w:pPr>
        <w:tabs>
          <w:tab w:val="num" w:pos="927"/>
        </w:tabs>
        <w:ind w:left="927" w:hanging="360"/>
      </w:pPr>
      <w:rPr>
        <w:rFonts w:hint="default"/>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C9181E"/>
    <w:multiLevelType w:val="hybridMultilevel"/>
    <w:tmpl w:val="EA16DF6C"/>
    <w:lvl w:ilvl="0" w:tplc="08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407C81"/>
    <w:multiLevelType w:val="hybridMultilevel"/>
    <w:tmpl w:val="4DD40BEE"/>
    <w:lvl w:ilvl="0" w:tplc="E3608AC0">
      <w:start w:val="2"/>
      <w:numFmt w:val="bullet"/>
      <w:lvlText w:val="-"/>
      <w:lvlJc w:val="left"/>
      <w:pPr>
        <w:tabs>
          <w:tab w:val="num" w:pos="576"/>
        </w:tabs>
        <w:ind w:left="576" w:hanging="570"/>
      </w:pPr>
      <w:rPr>
        <w:rFonts w:hint="default"/>
        <w:b w:val="0"/>
        <w:i w:val="0"/>
      </w:rPr>
    </w:lvl>
    <w:lvl w:ilvl="1" w:tplc="FB76711C">
      <w:start w:val="1"/>
      <w:numFmt w:val="bullet"/>
      <w:lvlText w:val=""/>
      <w:lvlJc w:val="left"/>
      <w:pPr>
        <w:tabs>
          <w:tab w:val="num" w:pos="1440"/>
        </w:tabs>
        <w:ind w:left="1440" w:hanging="360"/>
      </w:pPr>
      <w:rPr>
        <w:rFonts w:ascii="Symbol" w:hAnsi="Symbol" w:hint="default"/>
        <w:b w:val="0"/>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72167E"/>
    <w:multiLevelType w:val="hybridMultilevel"/>
    <w:tmpl w:val="498CC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BE6299"/>
    <w:multiLevelType w:val="hybridMultilevel"/>
    <w:tmpl w:val="A3403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E37F62"/>
    <w:multiLevelType w:val="hybridMultilevel"/>
    <w:tmpl w:val="5530A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1C5DE8"/>
    <w:multiLevelType w:val="hybridMultilevel"/>
    <w:tmpl w:val="B85ADD50"/>
    <w:lvl w:ilvl="0" w:tplc="1E1A4402">
      <w:start w:val="2"/>
      <w:numFmt w:val="bullet"/>
      <w:lvlText w:val="-"/>
      <w:lvlJc w:val="left"/>
      <w:pPr>
        <w:tabs>
          <w:tab w:val="num" w:pos="927"/>
        </w:tabs>
        <w:ind w:left="927" w:hanging="360"/>
      </w:pPr>
      <w:rPr>
        <w:rFonts w:hint="default"/>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B8211D"/>
    <w:multiLevelType w:val="hybridMultilevel"/>
    <w:tmpl w:val="2B083A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7255C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F9337D0"/>
    <w:multiLevelType w:val="hybridMultilevel"/>
    <w:tmpl w:val="9968D0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C25708"/>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5" w15:restartNumberingAfterBreak="0">
    <w:nsid w:val="73A13D0C"/>
    <w:multiLevelType w:val="hybridMultilevel"/>
    <w:tmpl w:val="C9E62438"/>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73231C"/>
    <w:multiLevelType w:val="hybridMultilevel"/>
    <w:tmpl w:val="3984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2"/>
        <w:numFmt w:val="bullet"/>
        <w:lvlText w:val="-"/>
        <w:lvlJc w:val="left"/>
        <w:pPr>
          <w:tabs>
            <w:tab w:val="num" w:pos="927"/>
          </w:tabs>
          <w:ind w:left="927" w:hanging="360"/>
        </w:pPr>
        <w:rPr>
          <w:rFonts w:hint="default"/>
        </w:rPr>
      </w:lvl>
    </w:lvlOverride>
  </w:num>
  <w:num w:numId="2">
    <w:abstractNumId w:val="12"/>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2"/>
  </w:num>
  <w:num w:numId="5">
    <w:abstractNumId w:val="13"/>
  </w:num>
  <w:num w:numId="6">
    <w:abstractNumId w:val="21"/>
  </w:num>
  <w:num w:numId="7">
    <w:abstractNumId w:val="9"/>
  </w:num>
  <w:num w:numId="8">
    <w:abstractNumId w:val="3"/>
  </w:num>
  <w:num w:numId="9">
    <w:abstractNumId w:val="15"/>
  </w:num>
  <w:num w:numId="10">
    <w:abstractNumId w:val="7"/>
  </w:num>
  <w:num w:numId="11">
    <w:abstractNumId w:val="24"/>
  </w:num>
  <w:num w:numId="12">
    <w:abstractNumId w:val="16"/>
  </w:num>
  <w:num w:numId="13">
    <w:abstractNumId w:val="18"/>
  </w:num>
  <w:num w:numId="14">
    <w:abstractNumId w:val="17"/>
  </w:num>
  <w:num w:numId="15">
    <w:abstractNumId w:val="11"/>
  </w:num>
  <w:num w:numId="16">
    <w:abstractNumId w:val="6"/>
  </w:num>
  <w:num w:numId="17">
    <w:abstractNumId w:val="20"/>
  </w:num>
  <w:num w:numId="18">
    <w:abstractNumId w:val="14"/>
  </w:num>
  <w:num w:numId="19">
    <w:abstractNumId w:val="8"/>
  </w:num>
  <w:num w:numId="20">
    <w:abstractNumId w:val="1"/>
  </w:num>
  <w:num w:numId="21">
    <w:abstractNumId w:val="2"/>
  </w:num>
  <w:num w:numId="22">
    <w:abstractNumId w:val="23"/>
  </w:num>
  <w:num w:numId="23">
    <w:abstractNumId w:val="10"/>
  </w:num>
  <w:num w:numId="24">
    <w:abstractNumId w:val="19"/>
  </w:num>
  <w:num w:numId="25">
    <w:abstractNumId w:val="23"/>
  </w:num>
  <w:num w:numId="26">
    <w:abstractNumId w:val="5"/>
  </w:num>
  <w:num w:numId="27">
    <w:abstractNumId w:val="26"/>
  </w:num>
  <w:num w:numId="28">
    <w:abstractNumId w:val="25"/>
  </w:num>
  <w:num w:numId="29">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da-DK" w:vendorID="64" w:dllVersion="6" w:nlCheck="1" w:checkStyle="0"/>
  <w:activeWritingStyle w:appName="MSWord" w:lang="en-US" w:vendorID="64" w:dllVersion="6" w:nlCheck="1" w:checkStyle="1"/>
  <w:activeWritingStyle w:appName="MSWord" w:lang="de-CH" w:vendorID="64" w:dllVersion="6" w:nlCheck="1" w:checkStyle="0"/>
  <w:activeWritingStyle w:appName="MSWord" w:lang="en-GB" w:vendorID="64" w:dllVersion="6" w:nlCheck="1" w:checkStyle="1"/>
  <w:activeWritingStyle w:appName="MSWord" w:lang="nb-NO" w:vendorID="64" w:dllVersion="6" w:nlCheck="1" w:checkStyle="0"/>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pt-BR" w:vendorID="64" w:dllVersion="6" w:nlCheck="1" w:checkStyle="0"/>
  <w:activeWritingStyle w:appName="MSWord" w:lang="es-ES" w:vendorID="64" w:dllVersion="6" w:nlCheck="1" w:checkStyle="0"/>
  <w:activeWritingStyle w:appName="MSWord" w:lang="pt-PT" w:vendorID="64" w:dllVersion="6" w:nlCheck="1" w:checkStyle="0"/>
  <w:activeWritingStyle w:appName="MSWord" w:lang="fr-CH" w:vendorID="64" w:dllVersion="6" w:nlCheck="1" w:checkStyle="0"/>
  <w:activeWritingStyle w:appName="MSWord" w:lang="da-DK"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8" w:dllVersion="513" w:checkStyle="1"/>
  <w:activeWritingStyle w:appName="MSWord" w:lang="en-GB" w:vendorID="8" w:dllVersion="513" w:checkStyle="1"/>
  <w:activeWritingStyle w:appName="MSWord" w:lang="da-DK" w:vendorID="666" w:dllVersion="513" w:checkStyle="1"/>
  <w:activeWritingStyle w:appName="MSWord" w:lang="nb-NO" w:vendorID="666" w:dllVersion="513" w:checkStyle="1"/>
  <w:activeWritingStyle w:appName="MSWord" w:lang="sv-SE" w:vendorID="0" w:dllVersion="512" w:checkStyle="1"/>
  <w:activeWritingStyle w:appName="MSWord" w:lang="it-IT" w:vendorID="3" w:dllVersion="517" w:checkStyle="1"/>
  <w:activeWritingStyle w:appName="MSWord" w:lang="da-DK" w:vendorID="22" w:dllVersion="513" w:checkStyle="1"/>
  <w:activeWritingStyle w:appName="MSWord" w:lang="sv-SE" w:vendorID="22" w:dllVersion="513" w:checkStyle="1"/>
  <w:activeWritingStyle w:appName="MSWord" w:lang="nb-NO" w:vendorID="22" w:dllVersion="513" w:checkStyle="1"/>
  <w:activeWritingStyle w:appName="MSWord" w:lang="pt-BR" w:vendorID="13" w:dllVersion="513" w:checkStyle="1"/>
  <w:activeWritingStyle w:appName="MSWord" w:lang="pt-BR" w:vendorID="1" w:dllVersion="513" w:checkStyle="1"/>
  <w:activeWritingStyle w:appName="MSWord" w:lang="pt-PT" w:vendorID="13" w:dllVersion="513" w:checkStyle="1"/>
  <w:activeWritingStyle w:appName="MSWord" w:lang="pt-PT" w:vendorID="75"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357"/>
  <w:doNotHyphenateCaps/>
  <w:displayHorizontalDrawingGridEvery w:val="0"/>
  <w:displayVerticalDrawingGridEvery w:val="0"/>
  <w:doNotUseMarginsForDrawingGridOrigin/>
  <w:noPunctuationKerning/>
  <w:characterSpacingControl w:val="doNotCompress"/>
  <w:hdrShapeDefaults>
    <o:shapedefaults v:ext="edit" spidmax="46081"/>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E01F4A"/>
    <w:rsid w:val="00000C01"/>
    <w:rsid w:val="00000D16"/>
    <w:rsid w:val="00000E9B"/>
    <w:rsid w:val="000032F8"/>
    <w:rsid w:val="00003716"/>
    <w:rsid w:val="00003822"/>
    <w:rsid w:val="00003847"/>
    <w:rsid w:val="000064C8"/>
    <w:rsid w:val="00007097"/>
    <w:rsid w:val="000077C6"/>
    <w:rsid w:val="00011A80"/>
    <w:rsid w:val="00013126"/>
    <w:rsid w:val="000133DB"/>
    <w:rsid w:val="000147FD"/>
    <w:rsid w:val="00015357"/>
    <w:rsid w:val="000162B5"/>
    <w:rsid w:val="00017E58"/>
    <w:rsid w:val="00017E8C"/>
    <w:rsid w:val="000200D3"/>
    <w:rsid w:val="00020D2E"/>
    <w:rsid w:val="0002144F"/>
    <w:rsid w:val="000225E6"/>
    <w:rsid w:val="000227FD"/>
    <w:rsid w:val="0002410D"/>
    <w:rsid w:val="000249FB"/>
    <w:rsid w:val="0002704F"/>
    <w:rsid w:val="00027461"/>
    <w:rsid w:val="000274D1"/>
    <w:rsid w:val="0002796B"/>
    <w:rsid w:val="000308A5"/>
    <w:rsid w:val="00030B08"/>
    <w:rsid w:val="00030D40"/>
    <w:rsid w:val="000318F1"/>
    <w:rsid w:val="00031907"/>
    <w:rsid w:val="00031E4F"/>
    <w:rsid w:val="00031FD4"/>
    <w:rsid w:val="00032354"/>
    <w:rsid w:val="00032FA8"/>
    <w:rsid w:val="00033BBC"/>
    <w:rsid w:val="00033E04"/>
    <w:rsid w:val="00034899"/>
    <w:rsid w:val="00035273"/>
    <w:rsid w:val="0003592D"/>
    <w:rsid w:val="0003771D"/>
    <w:rsid w:val="000377CD"/>
    <w:rsid w:val="00037AF7"/>
    <w:rsid w:val="00040102"/>
    <w:rsid w:val="000414CF"/>
    <w:rsid w:val="000419FB"/>
    <w:rsid w:val="00041C58"/>
    <w:rsid w:val="000447AA"/>
    <w:rsid w:val="000447DC"/>
    <w:rsid w:val="0004568A"/>
    <w:rsid w:val="00050335"/>
    <w:rsid w:val="000527A4"/>
    <w:rsid w:val="00054DC1"/>
    <w:rsid w:val="00055FAD"/>
    <w:rsid w:val="000568AB"/>
    <w:rsid w:val="000605F7"/>
    <w:rsid w:val="00060A4F"/>
    <w:rsid w:val="000616AB"/>
    <w:rsid w:val="00061774"/>
    <w:rsid w:val="000623B7"/>
    <w:rsid w:val="0006307E"/>
    <w:rsid w:val="0006456D"/>
    <w:rsid w:val="000660E2"/>
    <w:rsid w:val="000668B9"/>
    <w:rsid w:val="0007130C"/>
    <w:rsid w:val="00072F6C"/>
    <w:rsid w:val="00074AA8"/>
    <w:rsid w:val="000772C0"/>
    <w:rsid w:val="0007732D"/>
    <w:rsid w:val="00080C96"/>
    <w:rsid w:val="0008271C"/>
    <w:rsid w:val="00082F48"/>
    <w:rsid w:val="00083E8C"/>
    <w:rsid w:val="0008406A"/>
    <w:rsid w:val="000843BE"/>
    <w:rsid w:val="0008511D"/>
    <w:rsid w:val="00085C1D"/>
    <w:rsid w:val="00085DA0"/>
    <w:rsid w:val="00086189"/>
    <w:rsid w:val="00086D06"/>
    <w:rsid w:val="000874B0"/>
    <w:rsid w:val="00091BC9"/>
    <w:rsid w:val="00092329"/>
    <w:rsid w:val="000924A4"/>
    <w:rsid w:val="000928F5"/>
    <w:rsid w:val="00092E99"/>
    <w:rsid w:val="000936DC"/>
    <w:rsid w:val="00093C7F"/>
    <w:rsid w:val="00094D3A"/>
    <w:rsid w:val="000957E5"/>
    <w:rsid w:val="0009790F"/>
    <w:rsid w:val="000A0A07"/>
    <w:rsid w:val="000A1361"/>
    <w:rsid w:val="000A19C4"/>
    <w:rsid w:val="000A2A29"/>
    <w:rsid w:val="000A2A89"/>
    <w:rsid w:val="000A4594"/>
    <w:rsid w:val="000A659D"/>
    <w:rsid w:val="000A67F3"/>
    <w:rsid w:val="000A77D4"/>
    <w:rsid w:val="000A7B12"/>
    <w:rsid w:val="000A7FA2"/>
    <w:rsid w:val="000B0D6F"/>
    <w:rsid w:val="000B2170"/>
    <w:rsid w:val="000B2608"/>
    <w:rsid w:val="000B4AED"/>
    <w:rsid w:val="000B5E72"/>
    <w:rsid w:val="000B65E4"/>
    <w:rsid w:val="000B7A0D"/>
    <w:rsid w:val="000B7EE5"/>
    <w:rsid w:val="000C09AB"/>
    <w:rsid w:val="000C10D7"/>
    <w:rsid w:val="000C1253"/>
    <w:rsid w:val="000C1498"/>
    <w:rsid w:val="000C1887"/>
    <w:rsid w:val="000C218C"/>
    <w:rsid w:val="000C279D"/>
    <w:rsid w:val="000C2D70"/>
    <w:rsid w:val="000C445B"/>
    <w:rsid w:val="000C4931"/>
    <w:rsid w:val="000C7137"/>
    <w:rsid w:val="000C77A2"/>
    <w:rsid w:val="000C790E"/>
    <w:rsid w:val="000D07E3"/>
    <w:rsid w:val="000D198E"/>
    <w:rsid w:val="000D2957"/>
    <w:rsid w:val="000D2972"/>
    <w:rsid w:val="000D41B9"/>
    <w:rsid w:val="000D56C7"/>
    <w:rsid w:val="000D5A32"/>
    <w:rsid w:val="000D5FB9"/>
    <w:rsid w:val="000E01B0"/>
    <w:rsid w:val="000E048C"/>
    <w:rsid w:val="000E064A"/>
    <w:rsid w:val="000E1086"/>
    <w:rsid w:val="000E15D8"/>
    <w:rsid w:val="000E181D"/>
    <w:rsid w:val="000E1E64"/>
    <w:rsid w:val="000E2AE2"/>
    <w:rsid w:val="000E2F8A"/>
    <w:rsid w:val="000E329F"/>
    <w:rsid w:val="000E36C4"/>
    <w:rsid w:val="000E41B6"/>
    <w:rsid w:val="000E6FF8"/>
    <w:rsid w:val="000E7DFA"/>
    <w:rsid w:val="000F0E51"/>
    <w:rsid w:val="000F1D07"/>
    <w:rsid w:val="000F2400"/>
    <w:rsid w:val="000F2BB3"/>
    <w:rsid w:val="000F4889"/>
    <w:rsid w:val="000F5A36"/>
    <w:rsid w:val="000F5B33"/>
    <w:rsid w:val="000F5B59"/>
    <w:rsid w:val="000F6055"/>
    <w:rsid w:val="000F64D0"/>
    <w:rsid w:val="00100B58"/>
    <w:rsid w:val="00102FCB"/>
    <w:rsid w:val="00102FCF"/>
    <w:rsid w:val="0010346C"/>
    <w:rsid w:val="001037CB"/>
    <w:rsid w:val="00104025"/>
    <w:rsid w:val="00104564"/>
    <w:rsid w:val="0010462C"/>
    <w:rsid w:val="0010525B"/>
    <w:rsid w:val="00105E43"/>
    <w:rsid w:val="001101EC"/>
    <w:rsid w:val="0011083A"/>
    <w:rsid w:val="00112B0C"/>
    <w:rsid w:val="00113FFF"/>
    <w:rsid w:val="001152DA"/>
    <w:rsid w:val="00115B46"/>
    <w:rsid w:val="001165A5"/>
    <w:rsid w:val="001174BF"/>
    <w:rsid w:val="00120AF0"/>
    <w:rsid w:val="00120AF2"/>
    <w:rsid w:val="001231A0"/>
    <w:rsid w:val="0012448C"/>
    <w:rsid w:val="00124641"/>
    <w:rsid w:val="001250D6"/>
    <w:rsid w:val="00126C77"/>
    <w:rsid w:val="00127255"/>
    <w:rsid w:val="00127C29"/>
    <w:rsid w:val="00127CCC"/>
    <w:rsid w:val="0013008C"/>
    <w:rsid w:val="00130218"/>
    <w:rsid w:val="00130DC0"/>
    <w:rsid w:val="00131D31"/>
    <w:rsid w:val="00133964"/>
    <w:rsid w:val="00133E44"/>
    <w:rsid w:val="00133FCC"/>
    <w:rsid w:val="001349C5"/>
    <w:rsid w:val="0013569A"/>
    <w:rsid w:val="00135CD6"/>
    <w:rsid w:val="00137D72"/>
    <w:rsid w:val="00140DF9"/>
    <w:rsid w:val="00141857"/>
    <w:rsid w:val="001419F3"/>
    <w:rsid w:val="00141BEF"/>
    <w:rsid w:val="00142B14"/>
    <w:rsid w:val="00143C88"/>
    <w:rsid w:val="00144B22"/>
    <w:rsid w:val="00145808"/>
    <w:rsid w:val="0014636E"/>
    <w:rsid w:val="0015050C"/>
    <w:rsid w:val="00152279"/>
    <w:rsid w:val="00152C1D"/>
    <w:rsid w:val="001535C7"/>
    <w:rsid w:val="00153746"/>
    <w:rsid w:val="00154192"/>
    <w:rsid w:val="001552BF"/>
    <w:rsid w:val="00156361"/>
    <w:rsid w:val="001606E3"/>
    <w:rsid w:val="001609AA"/>
    <w:rsid w:val="001610E7"/>
    <w:rsid w:val="00162224"/>
    <w:rsid w:val="001624F2"/>
    <w:rsid w:val="00164024"/>
    <w:rsid w:val="0016611E"/>
    <w:rsid w:val="00166763"/>
    <w:rsid w:val="00167345"/>
    <w:rsid w:val="00170AB5"/>
    <w:rsid w:val="00171DB8"/>
    <w:rsid w:val="0017210C"/>
    <w:rsid w:val="00172253"/>
    <w:rsid w:val="001747E6"/>
    <w:rsid w:val="00174B75"/>
    <w:rsid w:val="00174D86"/>
    <w:rsid w:val="00176983"/>
    <w:rsid w:val="001777D4"/>
    <w:rsid w:val="00177BE7"/>
    <w:rsid w:val="001806DF"/>
    <w:rsid w:val="00181593"/>
    <w:rsid w:val="00183644"/>
    <w:rsid w:val="00183E28"/>
    <w:rsid w:val="00185538"/>
    <w:rsid w:val="00185DF7"/>
    <w:rsid w:val="0018735D"/>
    <w:rsid w:val="001874E4"/>
    <w:rsid w:val="00191DAF"/>
    <w:rsid w:val="001946D8"/>
    <w:rsid w:val="00194B80"/>
    <w:rsid w:val="00197C25"/>
    <w:rsid w:val="001A0288"/>
    <w:rsid w:val="001A2014"/>
    <w:rsid w:val="001A2441"/>
    <w:rsid w:val="001A2922"/>
    <w:rsid w:val="001A2A3E"/>
    <w:rsid w:val="001A2B3B"/>
    <w:rsid w:val="001A2CB6"/>
    <w:rsid w:val="001A383D"/>
    <w:rsid w:val="001A4260"/>
    <w:rsid w:val="001A52B4"/>
    <w:rsid w:val="001A5803"/>
    <w:rsid w:val="001A5C98"/>
    <w:rsid w:val="001A6329"/>
    <w:rsid w:val="001A63C0"/>
    <w:rsid w:val="001A6600"/>
    <w:rsid w:val="001A6DFE"/>
    <w:rsid w:val="001A7E99"/>
    <w:rsid w:val="001B05DB"/>
    <w:rsid w:val="001B13C5"/>
    <w:rsid w:val="001B1D3B"/>
    <w:rsid w:val="001B2273"/>
    <w:rsid w:val="001B2F65"/>
    <w:rsid w:val="001B35ED"/>
    <w:rsid w:val="001B377C"/>
    <w:rsid w:val="001B3911"/>
    <w:rsid w:val="001B418F"/>
    <w:rsid w:val="001B4D8E"/>
    <w:rsid w:val="001B5E35"/>
    <w:rsid w:val="001B676E"/>
    <w:rsid w:val="001B7781"/>
    <w:rsid w:val="001C02CC"/>
    <w:rsid w:val="001C047F"/>
    <w:rsid w:val="001C11D6"/>
    <w:rsid w:val="001C2203"/>
    <w:rsid w:val="001C3122"/>
    <w:rsid w:val="001C51C8"/>
    <w:rsid w:val="001C522D"/>
    <w:rsid w:val="001C5520"/>
    <w:rsid w:val="001C57AE"/>
    <w:rsid w:val="001C6000"/>
    <w:rsid w:val="001C6037"/>
    <w:rsid w:val="001C658F"/>
    <w:rsid w:val="001C6852"/>
    <w:rsid w:val="001C68E8"/>
    <w:rsid w:val="001D0866"/>
    <w:rsid w:val="001D0976"/>
    <w:rsid w:val="001D18B0"/>
    <w:rsid w:val="001D21BE"/>
    <w:rsid w:val="001D333C"/>
    <w:rsid w:val="001D38C6"/>
    <w:rsid w:val="001D442A"/>
    <w:rsid w:val="001D5BE3"/>
    <w:rsid w:val="001D69EB"/>
    <w:rsid w:val="001D73A5"/>
    <w:rsid w:val="001E0F6D"/>
    <w:rsid w:val="001E2133"/>
    <w:rsid w:val="001E291D"/>
    <w:rsid w:val="001E321A"/>
    <w:rsid w:val="001E457F"/>
    <w:rsid w:val="001E573F"/>
    <w:rsid w:val="001E6C5B"/>
    <w:rsid w:val="001E7948"/>
    <w:rsid w:val="001F01A9"/>
    <w:rsid w:val="001F0727"/>
    <w:rsid w:val="001F0D62"/>
    <w:rsid w:val="001F0F28"/>
    <w:rsid w:val="001F2067"/>
    <w:rsid w:val="001F2875"/>
    <w:rsid w:val="001F2BF4"/>
    <w:rsid w:val="001F2D96"/>
    <w:rsid w:val="001F5AE6"/>
    <w:rsid w:val="001F650F"/>
    <w:rsid w:val="001F6B30"/>
    <w:rsid w:val="001F7508"/>
    <w:rsid w:val="00201DBD"/>
    <w:rsid w:val="002021E5"/>
    <w:rsid w:val="00202441"/>
    <w:rsid w:val="00202CFA"/>
    <w:rsid w:val="00202D3E"/>
    <w:rsid w:val="00203FB9"/>
    <w:rsid w:val="00203FD4"/>
    <w:rsid w:val="00205887"/>
    <w:rsid w:val="0020595A"/>
    <w:rsid w:val="00206C70"/>
    <w:rsid w:val="00206D56"/>
    <w:rsid w:val="00211E26"/>
    <w:rsid w:val="00212F6E"/>
    <w:rsid w:val="00213445"/>
    <w:rsid w:val="00214221"/>
    <w:rsid w:val="0021429D"/>
    <w:rsid w:val="00215DBA"/>
    <w:rsid w:val="002201F4"/>
    <w:rsid w:val="00220D0F"/>
    <w:rsid w:val="00222259"/>
    <w:rsid w:val="00222A67"/>
    <w:rsid w:val="00222F43"/>
    <w:rsid w:val="002243F9"/>
    <w:rsid w:val="00224705"/>
    <w:rsid w:val="00224766"/>
    <w:rsid w:val="00224D1E"/>
    <w:rsid w:val="00226918"/>
    <w:rsid w:val="00227094"/>
    <w:rsid w:val="00227C28"/>
    <w:rsid w:val="00230381"/>
    <w:rsid w:val="00231EA0"/>
    <w:rsid w:val="002328EF"/>
    <w:rsid w:val="00233C3A"/>
    <w:rsid w:val="00233E70"/>
    <w:rsid w:val="00234640"/>
    <w:rsid w:val="00234E95"/>
    <w:rsid w:val="002360A4"/>
    <w:rsid w:val="00237A25"/>
    <w:rsid w:val="00240DAD"/>
    <w:rsid w:val="00240F20"/>
    <w:rsid w:val="00241DCE"/>
    <w:rsid w:val="00242018"/>
    <w:rsid w:val="00243071"/>
    <w:rsid w:val="00243AB7"/>
    <w:rsid w:val="00243D6B"/>
    <w:rsid w:val="00244CED"/>
    <w:rsid w:val="00245910"/>
    <w:rsid w:val="0024703E"/>
    <w:rsid w:val="0024754D"/>
    <w:rsid w:val="002478EF"/>
    <w:rsid w:val="002504B8"/>
    <w:rsid w:val="00250911"/>
    <w:rsid w:val="00251EFD"/>
    <w:rsid w:val="002524E8"/>
    <w:rsid w:val="002528B7"/>
    <w:rsid w:val="00253580"/>
    <w:rsid w:val="00253C76"/>
    <w:rsid w:val="00253FBD"/>
    <w:rsid w:val="002542DD"/>
    <w:rsid w:val="00254504"/>
    <w:rsid w:val="00254ACC"/>
    <w:rsid w:val="00254C3D"/>
    <w:rsid w:val="00256536"/>
    <w:rsid w:val="002573DA"/>
    <w:rsid w:val="002575D9"/>
    <w:rsid w:val="00257657"/>
    <w:rsid w:val="00257D3C"/>
    <w:rsid w:val="002605E8"/>
    <w:rsid w:val="00260AA8"/>
    <w:rsid w:val="002611A7"/>
    <w:rsid w:val="0026247D"/>
    <w:rsid w:val="0026255A"/>
    <w:rsid w:val="00262FF4"/>
    <w:rsid w:val="0026493E"/>
    <w:rsid w:val="002660BD"/>
    <w:rsid w:val="00267733"/>
    <w:rsid w:val="0027054A"/>
    <w:rsid w:val="0027074A"/>
    <w:rsid w:val="00270C5A"/>
    <w:rsid w:val="002711AC"/>
    <w:rsid w:val="00271284"/>
    <w:rsid w:val="00271DA0"/>
    <w:rsid w:val="0027223C"/>
    <w:rsid w:val="002722A5"/>
    <w:rsid w:val="0027305F"/>
    <w:rsid w:val="002730AD"/>
    <w:rsid w:val="00273A36"/>
    <w:rsid w:val="002745EE"/>
    <w:rsid w:val="00274BA2"/>
    <w:rsid w:val="00274F73"/>
    <w:rsid w:val="0027507E"/>
    <w:rsid w:val="00276829"/>
    <w:rsid w:val="00276A03"/>
    <w:rsid w:val="0028003F"/>
    <w:rsid w:val="00280D0C"/>
    <w:rsid w:val="002820BE"/>
    <w:rsid w:val="0028247E"/>
    <w:rsid w:val="0028279D"/>
    <w:rsid w:val="002832FA"/>
    <w:rsid w:val="00283C7E"/>
    <w:rsid w:val="002842AA"/>
    <w:rsid w:val="002845E8"/>
    <w:rsid w:val="00285321"/>
    <w:rsid w:val="002854E6"/>
    <w:rsid w:val="00286AA5"/>
    <w:rsid w:val="00286B3B"/>
    <w:rsid w:val="00286BF3"/>
    <w:rsid w:val="002901B8"/>
    <w:rsid w:val="002908AA"/>
    <w:rsid w:val="00290B4F"/>
    <w:rsid w:val="00291E73"/>
    <w:rsid w:val="00292A02"/>
    <w:rsid w:val="00293CA9"/>
    <w:rsid w:val="0029495A"/>
    <w:rsid w:val="00294EEA"/>
    <w:rsid w:val="002967C0"/>
    <w:rsid w:val="00296A8B"/>
    <w:rsid w:val="002A00D9"/>
    <w:rsid w:val="002A0535"/>
    <w:rsid w:val="002A0971"/>
    <w:rsid w:val="002A1616"/>
    <w:rsid w:val="002A4CD0"/>
    <w:rsid w:val="002A69CC"/>
    <w:rsid w:val="002B053F"/>
    <w:rsid w:val="002B0FCD"/>
    <w:rsid w:val="002B14CB"/>
    <w:rsid w:val="002B53F4"/>
    <w:rsid w:val="002B5A95"/>
    <w:rsid w:val="002B7271"/>
    <w:rsid w:val="002B7FD1"/>
    <w:rsid w:val="002C139E"/>
    <w:rsid w:val="002C1779"/>
    <w:rsid w:val="002C1AC5"/>
    <w:rsid w:val="002C20EA"/>
    <w:rsid w:val="002C2ADA"/>
    <w:rsid w:val="002C335C"/>
    <w:rsid w:val="002C5982"/>
    <w:rsid w:val="002C6E3D"/>
    <w:rsid w:val="002D057A"/>
    <w:rsid w:val="002D09D5"/>
    <w:rsid w:val="002D10C2"/>
    <w:rsid w:val="002D1ABD"/>
    <w:rsid w:val="002D2257"/>
    <w:rsid w:val="002D425B"/>
    <w:rsid w:val="002D46A7"/>
    <w:rsid w:val="002D48E4"/>
    <w:rsid w:val="002D5C93"/>
    <w:rsid w:val="002D774D"/>
    <w:rsid w:val="002D77D0"/>
    <w:rsid w:val="002E1E5A"/>
    <w:rsid w:val="002E267A"/>
    <w:rsid w:val="002E271C"/>
    <w:rsid w:val="002E2A27"/>
    <w:rsid w:val="002E2F97"/>
    <w:rsid w:val="002E435D"/>
    <w:rsid w:val="002E4D60"/>
    <w:rsid w:val="002E545B"/>
    <w:rsid w:val="002E5D75"/>
    <w:rsid w:val="002E69C3"/>
    <w:rsid w:val="002E6C5A"/>
    <w:rsid w:val="002F090F"/>
    <w:rsid w:val="002F0C92"/>
    <w:rsid w:val="002F1362"/>
    <w:rsid w:val="002F196C"/>
    <w:rsid w:val="002F2445"/>
    <w:rsid w:val="002F3C13"/>
    <w:rsid w:val="002F56A3"/>
    <w:rsid w:val="002F6611"/>
    <w:rsid w:val="002F6ADF"/>
    <w:rsid w:val="00300CCE"/>
    <w:rsid w:val="003018AA"/>
    <w:rsid w:val="00302A29"/>
    <w:rsid w:val="003036A9"/>
    <w:rsid w:val="00304AAF"/>
    <w:rsid w:val="00304CAB"/>
    <w:rsid w:val="00306A71"/>
    <w:rsid w:val="0030708B"/>
    <w:rsid w:val="0030775D"/>
    <w:rsid w:val="003123EF"/>
    <w:rsid w:val="00312C59"/>
    <w:rsid w:val="003133CE"/>
    <w:rsid w:val="00314566"/>
    <w:rsid w:val="00314762"/>
    <w:rsid w:val="00314D7F"/>
    <w:rsid w:val="003152F0"/>
    <w:rsid w:val="003168F1"/>
    <w:rsid w:val="00316C91"/>
    <w:rsid w:val="0031722D"/>
    <w:rsid w:val="00317936"/>
    <w:rsid w:val="00317A6A"/>
    <w:rsid w:val="003206C2"/>
    <w:rsid w:val="003208EA"/>
    <w:rsid w:val="00321C5F"/>
    <w:rsid w:val="0032336F"/>
    <w:rsid w:val="00323B06"/>
    <w:rsid w:val="0032577E"/>
    <w:rsid w:val="00327BD3"/>
    <w:rsid w:val="00327F71"/>
    <w:rsid w:val="003312DE"/>
    <w:rsid w:val="00331912"/>
    <w:rsid w:val="00331BAC"/>
    <w:rsid w:val="003323A1"/>
    <w:rsid w:val="003339F8"/>
    <w:rsid w:val="00333E27"/>
    <w:rsid w:val="003357E7"/>
    <w:rsid w:val="00336AF5"/>
    <w:rsid w:val="00337AC7"/>
    <w:rsid w:val="00340053"/>
    <w:rsid w:val="00340DDE"/>
    <w:rsid w:val="003418CA"/>
    <w:rsid w:val="00341C40"/>
    <w:rsid w:val="00341EDA"/>
    <w:rsid w:val="00343DBA"/>
    <w:rsid w:val="00344887"/>
    <w:rsid w:val="00344F76"/>
    <w:rsid w:val="003454E8"/>
    <w:rsid w:val="00346495"/>
    <w:rsid w:val="003507F0"/>
    <w:rsid w:val="00350807"/>
    <w:rsid w:val="0035198F"/>
    <w:rsid w:val="00351BEE"/>
    <w:rsid w:val="00351C82"/>
    <w:rsid w:val="00353FC4"/>
    <w:rsid w:val="003577F6"/>
    <w:rsid w:val="003579A3"/>
    <w:rsid w:val="00361C01"/>
    <w:rsid w:val="00361FE5"/>
    <w:rsid w:val="0036267A"/>
    <w:rsid w:val="0036412C"/>
    <w:rsid w:val="00365EB1"/>
    <w:rsid w:val="0036624D"/>
    <w:rsid w:val="003679A7"/>
    <w:rsid w:val="00367BAF"/>
    <w:rsid w:val="00367C51"/>
    <w:rsid w:val="00370258"/>
    <w:rsid w:val="00370740"/>
    <w:rsid w:val="00370850"/>
    <w:rsid w:val="00371D14"/>
    <w:rsid w:val="0037218D"/>
    <w:rsid w:val="00372D44"/>
    <w:rsid w:val="0037351A"/>
    <w:rsid w:val="003748FE"/>
    <w:rsid w:val="00374B6C"/>
    <w:rsid w:val="003750E3"/>
    <w:rsid w:val="00375277"/>
    <w:rsid w:val="00376253"/>
    <w:rsid w:val="00376C85"/>
    <w:rsid w:val="003770BC"/>
    <w:rsid w:val="003778CF"/>
    <w:rsid w:val="003810FE"/>
    <w:rsid w:val="003827A3"/>
    <w:rsid w:val="00382B05"/>
    <w:rsid w:val="00382C16"/>
    <w:rsid w:val="003839CE"/>
    <w:rsid w:val="00384216"/>
    <w:rsid w:val="00384573"/>
    <w:rsid w:val="0038576D"/>
    <w:rsid w:val="00385A32"/>
    <w:rsid w:val="00386D6A"/>
    <w:rsid w:val="00387EF6"/>
    <w:rsid w:val="0039058C"/>
    <w:rsid w:val="0039067E"/>
    <w:rsid w:val="00391DE9"/>
    <w:rsid w:val="00392931"/>
    <w:rsid w:val="00393458"/>
    <w:rsid w:val="00393F81"/>
    <w:rsid w:val="00394C49"/>
    <w:rsid w:val="003976D5"/>
    <w:rsid w:val="003A19AC"/>
    <w:rsid w:val="003A2A9D"/>
    <w:rsid w:val="003A6395"/>
    <w:rsid w:val="003A6475"/>
    <w:rsid w:val="003A6D44"/>
    <w:rsid w:val="003B00BE"/>
    <w:rsid w:val="003B2251"/>
    <w:rsid w:val="003B2526"/>
    <w:rsid w:val="003B2976"/>
    <w:rsid w:val="003B30C5"/>
    <w:rsid w:val="003B3779"/>
    <w:rsid w:val="003B3B3A"/>
    <w:rsid w:val="003B3C07"/>
    <w:rsid w:val="003B3F3B"/>
    <w:rsid w:val="003B407B"/>
    <w:rsid w:val="003B432C"/>
    <w:rsid w:val="003B4B40"/>
    <w:rsid w:val="003B569E"/>
    <w:rsid w:val="003B5FB0"/>
    <w:rsid w:val="003B7412"/>
    <w:rsid w:val="003C1C5E"/>
    <w:rsid w:val="003C2A57"/>
    <w:rsid w:val="003C2C59"/>
    <w:rsid w:val="003C32EB"/>
    <w:rsid w:val="003C4C18"/>
    <w:rsid w:val="003C4CF2"/>
    <w:rsid w:val="003C55DB"/>
    <w:rsid w:val="003C6116"/>
    <w:rsid w:val="003C63DC"/>
    <w:rsid w:val="003C661A"/>
    <w:rsid w:val="003C6788"/>
    <w:rsid w:val="003C6CEF"/>
    <w:rsid w:val="003C7164"/>
    <w:rsid w:val="003D1F2E"/>
    <w:rsid w:val="003D2B2D"/>
    <w:rsid w:val="003D354C"/>
    <w:rsid w:val="003D5903"/>
    <w:rsid w:val="003D5DA2"/>
    <w:rsid w:val="003D6889"/>
    <w:rsid w:val="003D68C4"/>
    <w:rsid w:val="003D7D1C"/>
    <w:rsid w:val="003E0A30"/>
    <w:rsid w:val="003E10A9"/>
    <w:rsid w:val="003E1EF1"/>
    <w:rsid w:val="003E23AF"/>
    <w:rsid w:val="003E36F5"/>
    <w:rsid w:val="003E3A28"/>
    <w:rsid w:val="003E5531"/>
    <w:rsid w:val="003E6BDB"/>
    <w:rsid w:val="003E739F"/>
    <w:rsid w:val="003F0BCD"/>
    <w:rsid w:val="003F1392"/>
    <w:rsid w:val="003F1928"/>
    <w:rsid w:val="003F2174"/>
    <w:rsid w:val="003F21D8"/>
    <w:rsid w:val="003F2C1F"/>
    <w:rsid w:val="003F2C4E"/>
    <w:rsid w:val="003F32BF"/>
    <w:rsid w:val="003F4BDF"/>
    <w:rsid w:val="003F4E2C"/>
    <w:rsid w:val="003F69A9"/>
    <w:rsid w:val="003F6E47"/>
    <w:rsid w:val="004007D8"/>
    <w:rsid w:val="00400E0F"/>
    <w:rsid w:val="00400E82"/>
    <w:rsid w:val="004020C3"/>
    <w:rsid w:val="0040342D"/>
    <w:rsid w:val="00403EC3"/>
    <w:rsid w:val="00405541"/>
    <w:rsid w:val="00406FF4"/>
    <w:rsid w:val="00407347"/>
    <w:rsid w:val="00407A4D"/>
    <w:rsid w:val="00410957"/>
    <w:rsid w:val="00412C86"/>
    <w:rsid w:val="00413B9F"/>
    <w:rsid w:val="00413D4C"/>
    <w:rsid w:val="00416C17"/>
    <w:rsid w:val="00420EBD"/>
    <w:rsid w:val="00420EC6"/>
    <w:rsid w:val="00420FFB"/>
    <w:rsid w:val="00421681"/>
    <w:rsid w:val="00422AAC"/>
    <w:rsid w:val="00422EB8"/>
    <w:rsid w:val="00422EC2"/>
    <w:rsid w:val="0042353B"/>
    <w:rsid w:val="0042406B"/>
    <w:rsid w:val="004301B3"/>
    <w:rsid w:val="0043067C"/>
    <w:rsid w:val="00430D6C"/>
    <w:rsid w:val="00431F43"/>
    <w:rsid w:val="004332E9"/>
    <w:rsid w:val="00433756"/>
    <w:rsid w:val="004346EF"/>
    <w:rsid w:val="00434726"/>
    <w:rsid w:val="0043533F"/>
    <w:rsid w:val="00435663"/>
    <w:rsid w:val="00435C82"/>
    <w:rsid w:val="00435CC3"/>
    <w:rsid w:val="00435CED"/>
    <w:rsid w:val="00436EDF"/>
    <w:rsid w:val="0043781F"/>
    <w:rsid w:val="00437939"/>
    <w:rsid w:val="00440040"/>
    <w:rsid w:val="00440757"/>
    <w:rsid w:val="004411F8"/>
    <w:rsid w:val="004413C1"/>
    <w:rsid w:val="0044274C"/>
    <w:rsid w:val="00442CD6"/>
    <w:rsid w:val="00442EE5"/>
    <w:rsid w:val="00444377"/>
    <w:rsid w:val="00447CF9"/>
    <w:rsid w:val="004508A0"/>
    <w:rsid w:val="0045113A"/>
    <w:rsid w:val="004543EE"/>
    <w:rsid w:val="004545BC"/>
    <w:rsid w:val="00454DB5"/>
    <w:rsid w:val="00455737"/>
    <w:rsid w:val="004565B5"/>
    <w:rsid w:val="00456C40"/>
    <w:rsid w:val="00460267"/>
    <w:rsid w:val="004607B8"/>
    <w:rsid w:val="004615E2"/>
    <w:rsid w:val="004626E9"/>
    <w:rsid w:val="00463D43"/>
    <w:rsid w:val="0046511E"/>
    <w:rsid w:val="00465B7B"/>
    <w:rsid w:val="00465F1C"/>
    <w:rsid w:val="0046608A"/>
    <w:rsid w:val="00467347"/>
    <w:rsid w:val="0047094C"/>
    <w:rsid w:val="00471A72"/>
    <w:rsid w:val="004721AE"/>
    <w:rsid w:val="004723B4"/>
    <w:rsid w:val="00472990"/>
    <w:rsid w:val="0047614F"/>
    <w:rsid w:val="00476F13"/>
    <w:rsid w:val="004773CA"/>
    <w:rsid w:val="00477C0E"/>
    <w:rsid w:val="00477F62"/>
    <w:rsid w:val="00480121"/>
    <w:rsid w:val="0048054A"/>
    <w:rsid w:val="0048059E"/>
    <w:rsid w:val="0048267A"/>
    <w:rsid w:val="004828D2"/>
    <w:rsid w:val="004841DB"/>
    <w:rsid w:val="004851E2"/>
    <w:rsid w:val="00485EA4"/>
    <w:rsid w:val="004864E2"/>
    <w:rsid w:val="00487485"/>
    <w:rsid w:val="00492C2D"/>
    <w:rsid w:val="00493463"/>
    <w:rsid w:val="00493E57"/>
    <w:rsid w:val="0049426D"/>
    <w:rsid w:val="00494295"/>
    <w:rsid w:val="00495281"/>
    <w:rsid w:val="00496C10"/>
    <w:rsid w:val="004A014C"/>
    <w:rsid w:val="004A0CA4"/>
    <w:rsid w:val="004A1099"/>
    <w:rsid w:val="004A2B06"/>
    <w:rsid w:val="004A3A0B"/>
    <w:rsid w:val="004A4C12"/>
    <w:rsid w:val="004A4D80"/>
    <w:rsid w:val="004A57D3"/>
    <w:rsid w:val="004A63A0"/>
    <w:rsid w:val="004A67C6"/>
    <w:rsid w:val="004A6D96"/>
    <w:rsid w:val="004A7E86"/>
    <w:rsid w:val="004B0224"/>
    <w:rsid w:val="004B07E8"/>
    <w:rsid w:val="004B08BD"/>
    <w:rsid w:val="004B1644"/>
    <w:rsid w:val="004B1848"/>
    <w:rsid w:val="004B20C4"/>
    <w:rsid w:val="004B234A"/>
    <w:rsid w:val="004B2A4B"/>
    <w:rsid w:val="004B3136"/>
    <w:rsid w:val="004B3762"/>
    <w:rsid w:val="004B45AB"/>
    <w:rsid w:val="004B4FF8"/>
    <w:rsid w:val="004B5B4E"/>
    <w:rsid w:val="004B70DD"/>
    <w:rsid w:val="004B72D4"/>
    <w:rsid w:val="004C05D2"/>
    <w:rsid w:val="004C11EF"/>
    <w:rsid w:val="004C1E50"/>
    <w:rsid w:val="004C2A59"/>
    <w:rsid w:val="004C2B1B"/>
    <w:rsid w:val="004C2FFB"/>
    <w:rsid w:val="004C3226"/>
    <w:rsid w:val="004C46DD"/>
    <w:rsid w:val="004C47E2"/>
    <w:rsid w:val="004C5324"/>
    <w:rsid w:val="004C58CA"/>
    <w:rsid w:val="004C5EF7"/>
    <w:rsid w:val="004C6112"/>
    <w:rsid w:val="004C67EE"/>
    <w:rsid w:val="004D07FE"/>
    <w:rsid w:val="004D0A0C"/>
    <w:rsid w:val="004D187F"/>
    <w:rsid w:val="004D18B9"/>
    <w:rsid w:val="004D1979"/>
    <w:rsid w:val="004D2696"/>
    <w:rsid w:val="004D2C75"/>
    <w:rsid w:val="004D3D68"/>
    <w:rsid w:val="004D510B"/>
    <w:rsid w:val="004D514C"/>
    <w:rsid w:val="004D594D"/>
    <w:rsid w:val="004D59BE"/>
    <w:rsid w:val="004D5AA5"/>
    <w:rsid w:val="004D7016"/>
    <w:rsid w:val="004D7DDF"/>
    <w:rsid w:val="004E027E"/>
    <w:rsid w:val="004E09DB"/>
    <w:rsid w:val="004E0E98"/>
    <w:rsid w:val="004E1039"/>
    <w:rsid w:val="004E23F7"/>
    <w:rsid w:val="004E35BE"/>
    <w:rsid w:val="004E3A99"/>
    <w:rsid w:val="004E49E6"/>
    <w:rsid w:val="004E4F0E"/>
    <w:rsid w:val="004E7144"/>
    <w:rsid w:val="004E75E7"/>
    <w:rsid w:val="004E79B6"/>
    <w:rsid w:val="004F0BE4"/>
    <w:rsid w:val="004F1572"/>
    <w:rsid w:val="004F2E31"/>
    <w:rsid w:val="004F3FBB"/>
    <w:rsid w:val="004F4BE5"/>
    <w:rsid w:val="004F6388"/>
    <w:rsid w:val="004F7D65"/>
    <w:rsid w:val="00500FF9"/>
    <w:rsid w:val="00501869"/>
    <w:rsid w:val="00501A59"/>
    <w:rsid w:val="00501C80"/>
    <w:rsid w:val="00501EA9"/>
    <w:rsid w:val="00502CB4"/>
    <w:rsid w:val="005046A9"/>
    <w:rsid w:val="00505C96"/>
    <w:rsid w:val="0050695D"/>
    <w:rsid w:val="00506CAF"/>
    <w:rsid w:val="00507986"/>
    <w:rsid w:val="0051064B"/>
    <w:rsid w:val="00511366"/>
    <w:rsid w:val="005122C3"/>
    <w:rsid w:val="005122E6"/>
    <w:rsid w:val="00512919"/>
    <w:rsid w:val="00512F87"/>
    <w:rsid w:val="005133CC"/>
    <w:rsid w:val="005144DF"/>
    <w:rsid w:val="00514646"/>
    <w:rsid w:val="00514B7B"/>
    <w:rsid w:val="00515FA3"/>
    <w:rsid w:val="005161DF"/>
    <w:rsid w:val="0051636B"/>
    <w:rsid w:val="005171FE"/>
    <w:rsid w:val="00517304"/>
    <w:rsid w:val="00520127"/>
    <w:rsid w:val="00520A22"/>
    <w:rsid w:val="00521A51"/>
    <w:rsid w:val="00521FF8"/>
    <w:rsid w:val="00522D36"/>
    <w:rsid w:val="00522D58"/>
    <w:rsid w:val="0052306C"/>
    <w:rsid w:val="0052336D"/>
    <w:rsid w:val="00523FD8"/>
    <w:rsid w:val="005242B0"/>
    <w:rsid w:val="00525496"/>
    <w:rsid w:val="00526811"/>
    <w:rsid w:val="00526F93"/>
    <w:rsid w:val="00530D5B"/>
    <w:rsid w:val="00531AF6"/>
    <w:rsid w:val="00532050"/>
    <w:rsid w:val="00532400"/>
    <w:rsid w:val="00532502"/>
    <w:rsid w:val="005331BE"/>
    <w:rsid w:val="00535A86"/>
    <w:rsid w:val="00535CCC"/>
    <w:rsid w:val="0053670A"/>
    <w:rsid w:val="00536D20"/>
    <w:rsid w:val="0054015C"/>
    <w:rsid w:val="0054019C"/>
    <w:rsid w:val="00541159"/>
    <w:rsid w:val="005441CB"/>
    <w:rsid w:val="005449AF"/>
    <w:rsid w:val="0054551A"/>
    <w:rsid w:val="00545D17"/>
    <w:rsid w:val="00551273"/>
    <w:rsid w:val="005527DC"/>
    <w:rsid w:val="00552DC6"/>
    <w:rsid w:val="00553BF4"/>
    <w:rsid w:val="005545D6"/>
    <w:rsid w:val="00556139"/>
    <w:rsid w:val="005567AC"/>
    <w:rsid w:val="00556F07"/>
    <w:rsid w:val="00557B68"/>
    <w:rsid w:val="005607AC"/>
    <w:rsid w:val="00560FB6"/>
    <w:rsid w:val="0056161E"/>
    <w:rsid w:val="0056178E"/>
    <w:rsid w:val="005617A4"/>
    <w:rsid w:val="005633B7"/>
    <w:rsid w:val="0056438A"/>
    <w:rsid w:val="005645E8"/>
    <w:rsid w:val="005650D3"/>
    <w:rsid w:val="0056551F"/>
    <w:rsid w:val="0056646D"/>
    <w:rsid w:val="00566905"/>
    <w:rsid w:val="00566D32"/>
    <w:rsid w:val="00570B80"/>
    <w:rsid w:val="0057228A"/>
    <w:rsid w:val="00573755"/>
    <w:rsid w:val="00573CEE"/>
    <w:rsid w:val="005740C0"/>
    <w:rsid w:val="0057478E"/>
    <w:rsid w:val="00574962"/>
    <w:rsid w:val="005753A4"/>
    <w:rsid w:val="0057609F"/>
    <w:rsid w:val="00577599"/>
    <w:rsid w:val="0057772E"/>
    <w:rsid w:val="0057786A"/>
    <w:rsid w:val="00580F8A"/>
    <w:rsid w:val="0058114E"/>
    <w:rsid w:val="005814B8"/>
    <w:rsid w:val="0058213C"/>
    <w:rsid w:val="005823FB"/>
    <w:rsid w:val="00582A92"/>
    <w:rsid w:val="00582DDF"/>
    <w:rsid w:val="005834AD"/>
    <w:rsid w:val="00584CCF"/>
    <w:rsid w:val="005853AA"/>
    <w:rsid w:val="00585AAD"/>
    <w:rsid w:val="00586364"/>
    <w:rsid w:val="005874F8"/>
    <w:rsid w:val="00587C85"/>
    <w:rsid w:val="00592DD7"/>
    <w:rsid w:val="005935AB"/>
    <w:rsid w:val="0059469E"/>
    <w:rsid w:val="0059481F"/>
    <w:rsid w:val="00594A9E"/>
    <w:rsid w:val="00595A6D"/>
    <w:rsid w:val="00595E07"/>
    <w:rsid w:val="005A0558"/>
    <w:rsid w:val="005A13E6"/>
    <w:rsid w:val="005A146B"/>
    <w:rsid w:val="005A220C"/>
    <w:rsid w:val="005A263B"/>
    <w:rsid w:val="005A2D33"/>
    <w:rsid w:val="005A3D85"/>
    <w:rsid w:val="005A4261"/>
    <w:rsid w:val="005A432D"/>
    <w:rsid w:val="005A48FC"/>
    <w:rsid w:val="005A4C75"/>
    <w:rsid w:val="005A52A5"/>
    <w:rsid w:val="005A561C"/>
    <w:rsid w:val="005A73C8"/>
    <w:rsid w:val="005A768D"/>
    <w:rsid w:val="005A7759"/>
    <w:rsid w:val="005B109C"/>
    <w:rsid w:val="005B141A"/>
    <w:rsid w:val="005B1766"/>
    <w:rsid w:val="005B26A2"/>
    <w:rsid w:val="005B2E3B"/>
    <w:rsid w:val="005B4B86"/>
    <w:rsid w:val="005B60C7"/>
    <w:rsid w:val="005C0041"/>
    <w:rsid w:val="005C0935"/>
    <w:rsid w:val="005C0A01"/>
    <w:rsid w:val="005C0A19"/>
    <w:rsid w:val="005C10A4"/>
    <w:rsid w:val="005C1692"/>
    <w:rsid w:val="005C2286"/>
    <w:rsid w:val="005C2713"/>
    <w:rsid w:val="005C418E"/>
    <w:rsid w:val="005C43DD"/>
    <w:rsid w:val="005C4DAC"/>
    <w:rsid w:val="005C51DB"/>
    <w:rsid w:val="005C6407"/>
    <w:rsid w:val="005C71AD"/>
    <w:rsid w:val="005C71E8"/>
    <w:rsid w:val="005D0188"/>
    <w:rsid w:val="005D0510"/>
    <w:rsid w:val="005D0796"/>
    <w:rsid w:val="005D0F61"/>
    <w:rsid w:val="005D2709"/>
    <w:rsid w:val="005D451F"/>
    <w:rsid w:val="005D4C9D"/>
    <w:rsid w:val="005D5302"/>
    <w:rsid w:val="005D596D"/>
    <w:rsid w:val="005D6A78"/>
    <w:rsid w:val="005D6AD5"/>
    <w:rsid w:val="005D7F34"/>
    <w:rsid w:val="005E0B66"/>
    <w:rsid w:val="005E0DBD"/>
    <w:rsid w:val="005E14A4"/>
    <w:rsid w:val="005E1933"/>
    <w:rsid w:val="005E2E35"/>
    <w:rsid w:val="005E526F"/>
    <w:rsid w:val="005E5B29"/>
    <w:rsid w:val="005E5F32"/>
    <w:rsid w:val="005E64DD"/>
    <w:rsid w:val="005E784C"/>
    <w:rsid w:val="005E7A8A"/>
    <w:rsid w:val="005F04BF"/>
    <w:rsid w:val="005F0C85"/>
    <w:rsid w:val="005F141F"/>
    <w:rsid w:val="005F15C5"/>
    <w:rsid w:val="005F2441"/>
    <w:rsid w:val="005F3A04"/>
    <w:rsid w:val="005F49AB"/>
    <w:rsid w:val="005F50AF"/>
    <w:rsid w:val="005F51E9"/>
    <w:rsid w:val="005F5A09"/>
    <w:rsid w:val="005F6094"/>
    <w:rsid w:val="005F60B1"/>
    <w:rsid w:val="005F7307"/>
    <w:rsid w:val="005F7668"/>
    <w:rsid w:val="005F7845"/>
    <w:rsid w:val="005F7D9D"/>
    <w:rsid w:val="005F7D9E"/>
    <w:rsid w:val="00600CFD"/>
    <w:rsid w:val="00600ECB"/>
    <w:rsid w:val="0060216E"/>
    <w:rsid w:val="006026D6"/>
    <w:rsid w:val="006051B0"/>
    <w:rsid w:val="0061038A"/>
    <w:rsid w:val="00610408"/>
    <w:rsid w:val="00610A3A"/>
    <w:rsid w:val="00611454"/>
    <w:rsid w:val="00611E43"/>
    <w:rsid w:val="00612421"/>
    <w:rsid w:val="00615F88"/>
    <w:rsid w:val="0061674B"/>
    <w:rsid w:val="006203D8"/>
    <w:rsid w:val="00620F9D"/>
    <w:rsid w:val="006221C2"/>
    <w:rsid w:val="006226A8"/>
    <w:rsid w:val="00622E9A"/>
    <w:rsid w:val="00623FE4"/>
    <w:rsid w:val="006251AD"/>
    <w:rsid w:val="00625BEF"/>
    <w:rsid w:val="006279B8"/>
    <w:rsid w:val="00630D1D"/>
    <w:rsid w:val="00630FC1"/>
    <w:rsid w:val="006327EF"/>
    <w:rsid w:val="00634D90"/>
    <w:rsid w:val="00635E6B"/>
    <w:rsid w:val="00636691"/>
    <w:rsid w:val="006378AC"/>
    <w:rsid w:val="00641BA0"/>
    <w:rsid w:val="00643EA0"/>
    <w:rsid w:val="0064411A"/>
    <w:rsid w:val="0064427E"/>
    <w:rsid w:val="00645B1B"/>
    <w:rsid w:val="00650444"/>
    <w:rsid w:val="00650A2C"/>
    <w:rsid w:val="0065190E"/>
    <w:rsid w:val="006524D5"/>
    <w:rsid w:val="006529A8"/>
    <w:rsid w:val="00654235"/>
    <w:rsid w:val="00654541"/>
    <w:rsid w:val="00654C26"/>
    <w:rsid w:val="00654EB8"/>
    <w:rsid w:val="00655294"/>
    <w:rsid w:val="00657F4D"/>
    <w:rsid w:val="00660CE1"/>
    <w:rsid w:val="00661263"/>
    <w:rsid w:val="006612E6"/>
    <w:rsid w:val="0066170C"/>
    <w:rsid w:val="00661A64"/>
    <w:rsid w:val="00663936"/>
    <w:rsid w:val="00663A61"/>
    <w:rsid w:val="00664C7A"/>
    <w:rsid w:val="00665075"/>
    <w:rsid w:val="00665765"/>
    <w:rsid w:val="006660F6"/>
    <w:rsid w:val="00666DEF"/>
    <w:rsid w:val="00666E70"/>
    <w:rsid w:val="00667C9C"/>
    <w:rsid w:val="00670824"/>
    <w:rsid w:val="0067088B"/>
    <w:rsid w:val="006714D3"/>
    <w:rsid w:val="006724A2"/>
    <w:rsid w:val="00672514"/>
    <w:rsid w:val="00672ABE"/>
    <w:rsid w:val="00673FB7"/>
    <w:rsid w:val="00674AF8"/>
    <w:rsid w:val="00674C03"/>
    <w:rsid w:val="00675B83"/>
    <w:rsid w:val="00675C61"/>
    <w:rsid w:val="00675EE4"/>
    <w:rsid w:val="0067626C"/>
    <w:rsid w:val="0067630E"/>
    <w:rsid w:val="00676589"/>
    <w:rsid w:val="006765EA"/>
    <w:rsid w:val="00677B97"/>
    <w:rsid w:val="00680B52"/>
    <w:rsid w:val="00680DE6"/>
    <w:rsid w:val="0068146C"/>
    <w:rsid w:val="00681D97"/>
    <w:rsid w:val="00681E1E"/>
    <w:rsid w:val="00681E3B"/>
    <w:rsid w:val="00682503"/>
    <w:rsid w:val="00682565"/>
    <w:rsid w:val="0068323B"/>
    <w:rsid w:val="00684287"/>
    <w:rsid w:val="0068462C"/>
    <w:rsid w:val="00684CF3"/>
    <w:rsid w:val="0068586E"/>
    <w:rsid w:val="006858AE"/>
    <w:rsid w:val="006858D5"/>
    <w:rsid w:val="00685A97"/>
    <w:rsid w:val="00685C1F"/>
    <w:rsid w:val="006861AA"/>
    <w:rsid w:val="0069041A"/>
    <w:rsid w:val="0069191F"/>
    <w:rsid w:val="00693803"/>
    <w:rsid w:val="0069483C"/>
    <w:rsid w:val="00694A17"/>
    <w:rsid w:val="00694FBA"/>
    <w:rsid w:val="006957E8"/>
    <w:rsid w:val="00695F4C"/>
    <w:rsid w:val="00696F40"/>
    <w:rsid w:val="006971C3"/>
    <w:rsid w:val="00697B14"/>
    <w:rsid w:val="00697BC6"/>
    <w:rsid w:val="00697F51"/>
    <w:rsid w:val="006A07AD"/>
    <w:rsid w:val="006A0976"/>
    <w:rsid w:val="006A0CDC"/>
    <w:rsid w:val="006A0DF2"/>
    <w:rsid w:val="006A1028"/>
    <w:rsid w:val="006A1C47"/>
    <w:rsid w:val="006A21A9"/>
    <w:rsid w:val="006A233E"/>
    <w:rsid w:val="006A30E5"/>
    <w:rsid w:val="006A3531"/>
    <w:rsid w:val="006A3B63"/>
    <w:rsid w:val="006A552E"/>
    <w:rsid w:val="006A6C99"/>
    <w:rsid w:val="006A7C88"/>
    <w:rsid w:val="006B0251"/>
    <w:rsid w:val="006B0607"/>
    <w:rsid w:val="006B0BC7"/>
    <w:rsid w:val="006B2C92"/>
    <w:rsid w:val="006B30CE"/>
    <w:rsid w:val="006B37A8"/>
    <w:rsid w:val="006B3FCF"/>
    <w:rsid w:val="006B4E7F"/>
    <w:rsid w:val="006B7873"/>
    <w:rsid w:val="006C068A"/>
    <w:rsid w:val="006C07F9"/>
    <w:rsid w:val="006C17A2"/>
    <w:rsid w:val="006C180B"/>
    <w:rsid w:val="006C2D99"/>
    <w:rsid w:val="006C4469"/>
    <w:rsid w:val="006C55BE"/>
    <w:rsid w:val="006C59C9"/>
    <w:rsid w:val="006C5BF7"/>
    <w:rsid w:val="006C6079"/>
    <w:rsid w:val="006C6DB3"/>
    <w:rsid w:val="006C7977"/>
    <w:rsid w:val="006D055D"/>
    <w:rsid w:val="006D0BC5"/>
    <w:rsid w:val="006D1B4C"/>
    <w:rsid w:val="006D23D1"/>
    <w:rsid w:val="006D23FD"/>
    <w:rsid w:val="006D523D"/>
    <w:rsid w:val="006D6BB2"/>
    <w:rsid w:val="006D7A63"/>
    <w:rsid w:val="006D7BCB"/>
    <w:rsid w:val="006D7C83"/>
    <w:rsid w:val="006E03D9"/>
    <w:rsid w:val="006E0D73"/>
    <w:rsid w:val="006E15AF"/>
    <w:rsid w:val="006E26C0"/>
    <w:rsid w:val="006E2C48"/>
    <w:rsid w:val="006E2D59"/>
    <w:rsid w:val="006E41E8"/>
    <w:rsid w:val="006E4487"/>
    <w:rsid w:val="006E4618"/>
    <w:rsid w:val="006E5B91"/>
    <w:rsid w:val="006E6E75"/>
    <w:rsid w:val="006E6FE0"/>
    <w:rsid w:val="006E79A7"/>
    <w:rsid w:val="006F06B7"/>
    <w:rsid w:val="006F07C4"/>
    <w:rsid w:val="006F138F"/>
    <w:rsid w:val="006F1914"/>
    <w:rsid w:val="006F1FF8"/>
    <w:rsid w:val="006F3F47"/>
    <w:rsid w:val="006F4D21"/>
    <w:rsid w:val="006F56DA"/>
    <w:rsid w:val="006F5A01"/>
    <w:rsid w:val="006F652A"/>
    <w:rsid w:val="006F71D4"/>
    <w:rsid w:val="006F7492"/>
    <w:rsid w:val="006F7A6E"/>
    <w:rsid w:val="007025A8"/>
    <w:rsid w:val="007028C9"/>
    <w:rsid w:val="007052BE"/>
    <w:rsid w:val="00705411"/>
    <w:rsid w:val="00705B31"/>
    <w:rsid w:val="007061DD"/>
    <w:rsid w:val="00706332"/>
    <w:rsid w:val="007066D3"/>
    <w:rsid w:val="00707ABF"/>
    <w:rsid w:val="007102F6"/>
    <w:rsid w:val="00712029"/>
    <w:rsid w:val="00712CFC"/>
    <w:rsid w:val="00712FDC"/>
    <w:rsid w:val="00713F01"/>
    <w:rsid w:val="00714462"/>
    <w:rsid w:val="00715AA9"/>
    <w:rsid w:val="00715E9F"/>
    <w:rsid w:val="00715F55"/>
    <w:rsid w:val="0071635D"/>
    <w:rsid w:val="0071684D"/>
    <w:rsid w:val="00717254"/>
    <w:rsid w:val="00717B89"/>
    <w:rsid w:val="007211C2"/>
    <w:rsid w:val="00721A92"/>
    <w:rsid w:val="00721BBD"/>
    <w:rsid w:val="00722534"/>
    <w:rsid w:val="00723512"/>
    <w:rsid w:val="00725627"/>
    <w:rsid w:val="00725957"/>
    <w:rsid w:val="007277BA"/>
    <w:rsid w:val="0073000C"/>
    <w:rsid w:val="007310D7"/>
    <w:rsid w:val="007323E5"/>
    <w:rsid w:val="00732A65"/>
    <w:rsid w:val="00732EA7"/>
    <w:rsid w:val="007330F4"/>
    <w:rsid w:val="0073330A"/>
    <w:rsid w:val="00733330"/>
    <w:rsid w:val="00733DF5"/>
    <w:rsid w:val="007352B5"/>
    <w:rsid w:val="007359F2"/>
    <w:rsid w:val="00737512"/>
    <w:rsid w:val="007376A5"/>
    <w:rsid w:val="00737B6A"/>
    <w:rsid w:val="00737E03"/>
    <w:rsid w:val="00740869"/>
    <w:rsid w:val="007415A7"/>
    <w:rsid w:val="00742966"/>
    <w:rsid w:val="0074297D"/>
    <w:rsid w:val="00743944"/>
    <w:rsid w:val="00744879"/>
    <w:rsid w:val="00744F4B"/>
    <w:rsid w:val="00745004"/>
    <w:rsid w:val="00745A9C"/>
    <w:rsid w:val="00746EAE"/>
    <w:rsid w:val="0074747A"/>
    <w:rsid w:val="007475AC"/>
    <w:rsid w:val="00747E0F"/>
    <w:rsid w:val="00751720"/>
    <w:rsid w:val="00752775"/>
    <w:rsid w:val="00752F33"/>
    <w:rsid w:val="00754053"/>
    <w:rsid w:val="00754557"/>
    <w:rsid w:val="007548B6"/>
    <w:rsid w:val="00755F3F"/>
    <w:rsid w:val="00755F52"/>
    <w:rsid w:val="0075660F"/>
    <w:rsid w:val="0076108E"/>
    <w:rsid w:val="00761A29"/>
    <w:rsid w:val="0076229F"/>
    <w:rsid w:val="00762A18"/>
    <w:rsid w:val="00762A74"/>
    <w:rsid w:val="00762B4D"/>
    <w:rsid w:val="00763C9E"/>
    <w:rsid w:val="00764892"/>
    <w:rsid w:val="00765AAD"/>
    <w:rsid w:val="00766737"/>
    <w:rsid w:val="00767551"/>
    <w:rsid w:val="00771CE9"/>
    <w:rsid w:val="007729A0"/>
    <w:rsid w:val="00773097"/>
    <w:rsid w:val="00773596"/>
    <w:rsid w:val="00773F38"/>
    <w:rsid w:val="00774DF0"/>
    <w:rsid w:val="007758B4"/>
    <w:rsid w:val="0078117F"/>
    <w:rsid w:val="00781FE8"/>
    <w:rsid w:val="0078334D"/>
    <w:rsid w:val="0078420A"/>
    <w:rsid w:val="00784F4D"/>
    <w:rsid w:val="00784F88"/>
    <w:rsid w:val="007853D4"/>
    <w:rsid w:val="00785850"/>
    <w:rsid w:val="00786FAA"/>
    <w:rsid w:val="00787294"/>
    <w:rsid w:val="007872F1"/>
    <w:rsid w:val="00787A7F"/>
    <w:rsid w:val="007904C0"/>
    <w:rsid w:val="007906F4"/>
    <w:rsid w:val="0079097D"/>
    <w:rsid w:val="0079401F"/>
    <w:rsid w:val="00794121"/>
    <w:rsid w:val="00794167"/>
    <w:rsid w:val="00794863"/>
    <w:rsid w:val="00794C6A"/>
    <w:rsid w:val="00795EB5"/>
    <w:rsid w:val="007969B1"/>
    <w:rsid w:val="00796FBF"/>
    <w:rsid w:val="007A0A2F"/>
    <w:rsid w:val="007A1207"/>
    <w:rsid w:val="007A2BA3"/>
    <w:rsid w:val="007A3AB5"/>
    <w:rsid w:val="007A4449"/>
    <w:rsid w:val="007A53DB"/>
    <w:rsid w:val="007A578B"/>
    <w:rsid w:val="007A64E5"/>
    <w:rsid w:val="007A694A"/>
    <w:rsid w:val="007A70E8"/>
    <w:rsid w:val="007A71CD"/>
    <w:rsid w:val="007A72E5"/>
    <w:rsid w:val="007A77D2"/>
    <w:rsid w:val="007B0363"/>
    <w:rsid w:val="007B12CD"/>
    <w:rsid w:val="007B1C0D"/>
    <w:rsid w:val="007B1E2F"/>
    <w:rsid w:val="007B4844"/>
    <w:rsid w:val="007B4C27"/>
    <w:rsid w:val="007B4C8F"/>
    <w:rsid w:val="007B507E"/>
    <w:rsid w:val="007B6379"/>
    <w:rsid w:val="007B70D0"/>
    <w:rsid w:val="007B72D5"/>
    <w:rsid w:val="007B7346"/>
    <w:rsid w:val="007C35F5"/>
    <w:rsid w:val="007C3E4D"/>
    <w:rsid w:val="007C5AD7"/>
    <w:rsid w:val="007C671F"/>
    <w:rsid w:val="007C7785"/>
    <w:rsid w:val="007C77E4"/>
    <w:rsid w:val="007D0009"/>
    <w:rsid w:val="007D0F53"/>
    <w:rsid w:val="007D1431"/>
    <w:rsid w:val="007D1CD3"/>
    <w:rsid w:val="007D3A43"/>
    <w:rsid w:val="007D3E19"/>
    <w:rsid w:val="007D43A5"/>
    <w:rsid w:val="007D48CF"/>
    <w:rsid w:val="007D4EA1"/>
    <w:rsid w:val="007D558E"/>
    <w:rsid w:val="007D5A8D"/>
    <w:rsid w:val="007D5AFD"/>
    <w:rsid w:val="007D7CD0"/>
    <w:rsid w:val="007E0471"/>
    <w:rsid w:val="007E05C7"/>
    <w:rsid w:val="007E0EB1"/>
    <w:rsid w:val="007E183A"/>
    <w:rsid w:val="007E1CD6"/>
    <w:rsid w:val="007E3281"/>
    <w:rsid w:val="007E3DC6"/>
    <w:rsid w:val="007E506E"/>
    <w:rsid w:val="007E65F7"/>
    <w:rsid w:val="007E7241"/>
    <w:rsid w:val="007E724D"/>
    <w:rsid w:val="007E733F"/>
    <w:rsid w:val="007E7B6E"/>
    <w:rsid w:val="007E7EE1"/>
    <w:rsid w:val="007F07F0"/>
    <w:rsid w:val="007F0D7A"/>
    <w:rsid w:val="007F1157"/>
    <w:rsid w:val="007F21A5"/>
    <w:rsid w:val="007F2213"/>
    <w:rsid w:val="007F24D8"/>
    <w:rsid w:val="007F28DD"/>
    <w:rsid w:val="007F2E31"/>
    <w:rsid w:val="007F49A9"/>
    <w:rsid w:val="007F6FD1"/>
    <w:rsid w:val="007F757E"/>
    <w:rsid w:val="007F75C4"/>
    <w:rsid w:val="007F7A17"/>
    <w:rsid w:val="008001E4"/>
    <w:rsid w:val="008006E3"/>
    <w:rsid w:val="00803E67"/>
    <w:rsid w:val="00803F41"/>
    <w:rsid w:val="00804002"/>
    <w:rsid w:val="00804106"/>
    <w:rsid w:val="00804BE0"/>
    <w:rsid w:val="00805454"/>
    <w:rsid w:val="00807A18"/>
    <w:rsid w:val="0081000B"/>
    <w:rsid w:val="008101B1"/>
    <w:rsid w:val="00810F1B"/>
    <w:rsid w:val="008119DD"/>
    <w:rsid w:val="00811AF8"/>
    <w:rsid w:val="00812A4E"/>
    <w:rsid w:val="00812B0C"/>
    <w:rsid w:val="008148CA"/>
    <w:rsid w:val="008150A9"/>
    <w:rsid w:val="00816031"/>
    <w:rsid w:val="0081613D"/>
    <w:rsid w:val="00816660"/>
    <w:rsid w:val="008204B9"/>
    <w:rsid w:val="00821684"/>
    <w:rsid w:val="00821B88"/>
    <w:rsid w:val="00823190"/>
    <w:rsid w:val="008238E9"/>
    <w:rsid w:val="008242A8"/>
    <w:rsid w:val="00824B3D"/>
    <w:rsid w:val="00827B5C"/>
    <w:rsid w:val="0083065B"/>
    <w:rsid w:val="008308C0"/>
    <w:rsid w:val="008315C5"/>
    <w:rsid w:val="00831B78"/>
    <w:rsid w:val="00832B39"/>
    <w:rsid w:val="008336FC"/>
    <w:rsid w:val="008358C6"/>
    <w:rsid w:val="00836486"/>
    <w:rsid w:val="008407B2"/>
    <w:rsid w:val="0084165F"/>
    <w:rsid w:val="00842186"/>
    <w:rsid w:val="00842969"/>
    <w:rsid w:val="00842B69"/>
    <w:rsid w:val="00842D59"/>
    <w:rsid w:val="00843D19"/>
    <w:rsid w:val="00844192"/>
    <w:rsid w:val="00844B84"/>
    <w:rsid w:val="00845B3F"/>
    <w:rsid w:val="008460E7"/>
    <w:rsid w:val="00846EA2"/>
    <w:rsid w:val="0084763E"/>
    <w:rsid w:val="00851E94"/>
    <w:rsid w:val="00852290"/>
    <w:rsid w:val="00852581"/>
    <w:rsid w:val="008532B4"/>
    <w:rsid w:val="0085480A"/>
    <w:rsid w:val="00854853"/>
    <w:rsid w:val="00854D9D"/>
    <w:rsid w:val="00855520"/>
    <w:rsid w:val="00856A2E"/>
    <w:rsid w:val="00860220"/>
    <w:rsid w:val="00860A50"/>
    <w:rsid w:val="00860EC2"/>
    <w:rsid w:val="00862F19"/>
    <w:rsid w:val="00864AD2"/>
    <w:rsid w:val="00865170"/>
    <w:rsid w:val="00865B9A"/>
    <w:rsid w:val="00865ED5"/>
    <w:rsid w:val="008674D0"/>
    <w:rsid w:val="00867A55"/>
    <w:rsid w:val="00872821"/>
    <w:rsid w:val="00872961"/>
    <w:rsid w:val="00872D16"/>
    <w:rsid w:val="00873718"/>
    <w:rsid w:val="00874A75"/>
    <w:rsid w:val="00874CA5"/>
    <w:rsid w:val="00875102"/>
    <w:rsid w:val="00875DD4"/>
    <w:rsid w:val="00876058"/>
    <w:rsid w:val="00876B9A"/>
    <w:rsid w:val="008774FE"/>
    <w:rsid w:val="00877B5C"/>
    <w:rsid w:val="0088051C"/>
    <w:rsid w:val="00881286"/>
    <w:rsid w:val="00883EC0"/>
    <w:rsid w:val="008844C3"/>
    <w:rsid w:val="008845E3"/>
    <w:rsid w:val="00884A2D"/>
    <w:rsid w:val="00885766"/>
    <w:rsid w:val="00886412"/>
    <w:rsid w:val="008867A8"/>
    <w:rsid w:val="00886B0D"/>
    <w:rsid w:val="00886E20"/>
    <w:rsid w:val="00887B92"/>
    <w:rsid w:val="0089076B"/>
    <w:rsid w:val="00890D66"/>
    <w:rsid w:val="00891116"/>
    <w:rsid w:val="00891635"/>
    <w:rsid w:val="00892427"/>
    <w:rsid w:val="00892B3E"/>
    <w:rsid w:val="0089352A"/>
    <w:rsid w:val="0089412C"/>
    <w:rsid w:val="00895D88"/>
    <w:rsid w:val="008A0D0A"/>
    <w:rsid w:val="008A2253"/>
    <w:rsid w:val="008A271B"/>
    <w:rsid w:val="008A41C7"/>
    <w:rsid w:val="008A5422"/>
    <w:rsid w:val="008A63FF"/>
    <w:rsid w:val="008A6A1F"/>
    <w:rsid w:val="008A6A5E"/>
    <w:rsid w:val="008A6C90"/>
    <w:rsid w:val="008B1351"/>
    <w:rsid w:val="008B294B"/>
    <w:rsid w:val="008B3608"/>
    <w:rsid w:val="008B4E0B"/>
    <w:rsid w:val="008B578C"/>
    <w:rsid w:val="008B5FE6"/>
    <w:rsid w:val="008B606B"/>
    <w:rsid w:val="008B62FA"/>
    <w:rsid w:val="008B7567"/>
    <w:rsid w:val="008B77C6"/>
    <w:rsid w:val="008C0827"/>
    <w:rsid w:val="008C224C"/>
    <w:rsid w:val="008C333D"/>
    <w:rsid w:val="008C530E"/>
    <w:rsid w:val="008C56D3"/>
    <w:rsid w:val="008C640E"/>
    <w:rsid w:val="008D03DE"/>
    <w:rsid w:val="008D0C37"/>
    <w:rsid w:val="008D1DE2"/>
    <w:rsid w:val="008D2197"/>
    <w:rsid w:val="008D3ABA"/>
    <w:rsid w:val="008D4AE6"/>
    <w:rsid w:val="008D4CB4"/>
    <w:rsid w:val="008D4F36"/>
    <w:rsid w:val="008D7C13"/>
    <w:rsid w:val="008E0B7C"/>
    <w:rsid w:val="008E2585"/>
    <w:rsid w:val="008E2711"/>
    <w:rsid w:val="008E36E2"/>
    <w:rsid w:val="008E4862"/>
    <w:rsid w:val="008E5846"/>
    <w:rsid w:val="008E6E8D"/>
    <w:rsid w:val="008E7020"/>
    <w:rsid w:val="008F0DA5"/>
    <w:rsid w:val="008F17EF"/>
    <w:rsid w:val="008F2C92"/>
    <w:rsid w:val="008F3641"/>
    <w:rsid w:val="008F383C"/>
    <w:rsid w:val="008F55CC"/>
    <w:rsid w:val="008F5988"/>
    <w:rsid w:val="008F630A"/>
    <w:rsid w:val="008F6911"/>
    <w:rsid w:val="008F6965"/>
    <w:rsid w:val="008F6A94"/>
    <w:rsid w:val="008F7A8C"/>
    <w:rsid w:val="00901084"/>
    <w:rsid w:val="009012F2"/>
    <w:rsid w:val="00901D3B"/>
    <w:rsid w:val="00902770"/>
    <w:rsid w:val="00903E9F"/>
    <w:rsid w:val="00904874"/>
    <w:rsid w:val="0090498C"/>
    <w:rsid w:val="00905D36"/>
    <w:rsid w:val="00906438"/>
    <w:rsid w:val="0090719C"/>
    <w:rsid w:val="00907CA1"/>
    <w:rsid w:val="0091179A"/>
    <w:rsid w:val="00911A53"/>
    <w:rsid w:val="00911E9C"/>
    <w:rsid w:val="00912087"/>
    <w:rsid w:val="00912560"/>
    <w:rsid w:val="00913F89"/>
    <w:rsid w:val="00916019"/>
    <w:rsid w:val="00920CFC"/>
    <w:rsid w:val="00921ADF"/>
    <w:rsid w:val="00922197"/>
    <w:rsid w:val="00923185"/>
    <w:rsid w:val="00923B8F"/>
    <w:rsid w:val="0092406D"/>
    <w:rsid w:val="00924F83"/>
    <w:rsid w:val="009276B8"/>
    <w:rsid w:val="009313F9"/>
    <w:rsid w:val="00931855"/>
    <w:rsid w:val="00931AA8"/>
    <w:rsid w:val="00931B0E"/>
    <w:rsid w:val="00931C3A"/>
    <w:rsid w:val="00932ED4"/>
    <w:rsid w:val="00933475"/>
    <w:rsid w:val="009335ED"/>
    <w:rsid w:val="00935627"/>
    <w:rsid w:val="00937C31"/>
    <w:rsid w:val="009420E6"/>
    <w:rsid w:val="009432E1"/>
    <w:rsid w:val="009433EA"/>
    <w:rsid w:val="00943630"/>
    <w:rsid w:val="009446E9"/>
    <w:rsid w:val="0094735E"/>
    <w:rsid w:val="00947CCE"/>
    <w:rsid w:val="0095230C"/>
    <w:rsid w:val="00953360"/>
    <w:rsid w:val="00953CBD"/>
    <w:rsid w:val="00953FAD"/>
    <w:rsid w:val="00954D27"/>
    <w:rsid w:val="00954D2B"/>
    <w:rsid w:val="0095588F"/>
    <w:rsid w:val="00956490"/>
    <w:rsid w:val="009565C9"/>
    <w:rsid w:val="00963C62"/>
    <w:rsid w:val="00963E53"/>
    <w:rsid w:val="00966636"/>
    <w:rsid w:val="00967308"/>
    <w:rsid w:val="00967A1E"/>
    <w:rsid w:val="00967D90"/>
    <w:rsid w:val="00970468"/>
    <w:rsid w:val="0097056C"/>
    <w:rsid w:val="009713A7"/>
    <w:rsid w:val="00972270"/>
    <w:rsid w:val="009725EB"/>
    <w:rsid w:val="00972A6F"/>
    <w:rsid w:val="00973DF3"/>
    <w:rsid w:val="009741CD"/>
    <w:rsid w:val="009744AC"/>
    <w:rsid w:val="009754CF"/>
    <w:rsid w:val="009766ED"/>
    <w:rsid w:val="0098051A"/>
    <w:rsid w:val="009820A4"/>
    <w:rsid w:val="0098213A"/>
    <w:rsid w:val="009827C8"/>
    <w:rsid w:val="00983394"/>
    <w:rsid w:val="00983F57"/>
    <w:rsid w:val="009847F0"/>
    <w:rsid w:val="00985E0F"/>
    <w:rsid w:val="00987D55"/>
    <w:rsid w:val="0099054A"/>
    <w:rsid w:val="00990E48"/>
    <w:rsid w:val="009910AF"/>
    <w:rsid w:val="0099138F"/>
    <w:rsid w:val="00991842"/>
    <w:rsid w:val="00992B4D"/>
    <w:rsid w:val="00993973"/>
    <w:rsid w:val="00994379"/>
    <w:rsid w:val="009946B6"/>
    <w:rsid w:val="00994FA4"/>
    <w:rsid w:val="009950CE"/>
    <w:rsid w:val="0099679B"/>
    <w:rsid w:val="00996F47"/>
    <w:rsid w:val="00997062"/>
    <w:rsid w:val="00997610"/>
    <w:rsid w:val="00997C39"/>
    <w:rsid w:val="009A0058"/>
    <w:rsid w:val="009A16B4"/>
    <w:rsid w:val="009A26BA"/>
    <w:rsid w:val="009A2F4A"/>
    <w:rsid w:val="009A2F78"/>
    <w:rsid w:val="009A37D6"/>
    <w:rsid w:val="009A38E5"/>
    <w:rsid w:val="009A3D67"/>
    <w:rsid w:val="009A47A4"/>
    <w:rsid w:val="009A4D16"/>
    <w:rsid w:val="009A5719"/>
    <w:rsid w:val="009A5B05"/>
    <w:rsid w:val="009A6F12"/>
    <w:rsid w:val="009B058E"/>
    <w:rsid w:val="009B098F"/>
    <w:rsid w:val="009B09FA"/>
    <w:rsid w:val="009B0A86"/>
    <w:rsid w:val="009B1C88"/>
    <w:rsid w:val="009B351B"/>
    <w:rsid w:val="009B3631"/>
    <w:rsid w:val="009B42A8"/>
    <w:rsid w:val="009B450B"/>
    <w:rsid w:val="009B50D9"/>
    <w:rsid w:val="009B5EFF"/>
    <w:rsid w:val="009B6188"/>
    <w:rsid w:val="009B6572"/>
    <w:rsid w:val="009C0C1A"/>
    <w:rsid w:val="009C261A"/>
    <w:rsid w:val="009C2CEC"/>
    <w:rsid w:val="009C33DF"/>
    <w:rsid w:val="009C4BAD"/>
    <w:rsid w:val="009C5420"/>
    <w:rsid w:val="009C74F8"/>
    <w:rsid w:val="009C7B8D"/>
    <w:rsid w:val="009D0CBB"/>
    <w:rsid w:val="009D0FF7"/>
    <w:rsid w:val="009D270B"/>
    <w:rsid w:val="009D29A4"/>
    <w:rsid w:val="009D2A11"/>
    <w:rsid w:val="009D30B0"/>
    <w:rsid w:val="009D38EE"/>
    <w:rsid w:val="009D3A8D"/>
    <w:rsid w:val="009D3DA7"/>
    <w:rsid w:val="009D4DBC"/>
    <w:rsid w:val="009D560E"/>
    <w:rsid w:val="009D694F"/>
    <w:rsid w:val="009D7528"/>
    <w:rsid w:val="009E00A5"/>
    <w:rsid w:val="009E0F1B"/>
    <w:rsid w:val="009E1B7E"/>
    <w:rsid w:val="009E1F4F"/>
    <w:rsid w:val="009E2884"/>
    <w:rsid w:val="009E4E36"/>
    <w:rsid w:val="009E58CD"/>
    <w:rsid w:val="009E5C8E"/>
    <w:rsid w:val="009E62C3"/>
    <w:rsid w:val="009E6352"/>
    <w:rsid w:val="009E75D7"/>
    <w:rsid w:val="009F0B4A"/>
    <w:rsid w:val="009F1E67"/>
    <w:rsid w:val="009F3D2D"/>
    <w:rsid w:val="009F3F29"/>
    <w:rsid w:val="009F5A2F"/>
    <w:rsid w:val="009F6665"/>
    <w:rsid w:val="009F7332"/>
    <w:rsid w:val="009F755F"/>
    <w:rsid w:val="009F7AD9"/>
    <w:rsid w:val="009F7BD5"/>
    <w:rsid w:val="009F7C56"/>
    <w:rsid w:val="00A0034D"/>
    <w:rsid w:val="00A005D8"/>
    <w:rsid w:val="00A02CC4"/>
    <w:rsid w:val="00A033E4"/>
    <w:rsid w:val="00A03867"/>
    <w:rsid w:val="00A03E7E"/>
    <w:rsid w:val="00A0448E"/>
    <w:rsid w:val="00A04B71"/>
    <w:rsid w:val="00A05861"/>
    <w:rsid w:val="00A1040A"/>
    <w:rsid w:val="00A10484"/>
    <w:rsid w:val="00A1084E"/>
    <w:rsid w:val="00A125B0"/>
    <w:rsid w:val="00A127E9"/>
    <w:rsid w:val="00A129CB"/>
    <w:rsid w:val="00A12B37"/>
    <w:rsid w:val="00A13994"/>
    <w:rsid w:val="00A14130"/>
    <w:rsid w:val="00A14F1E"/>
    <w:rsid w:val="00A15C73"/>
    <w:rsid w:val="00A16B64"/>
    <w:rsid w:val="00A17B1D"/>
    <w:rsid w:val="00A20109"/>
    <w:rsid w:val="00A20DFD"/>
    <w:rsid w:val="00A20E11"/>
    <w:rsid w:val="00A2121A"/>
    <w:rsid w:val="00A21404"/>
    <w:rsid w:val="00A219BD"/>
    <w:rsid w:val="00A2323D"/>
    <w:rsid w:val="00A24134"/>
    <w:rsid w:val="00A24985"/>
    <w:rsid w:val="00A24FC9"/>
    <w:rsid w:val="00A25B0E"/>
    <w:rsid w:val="00A2670E"/>
    <w:rsid w:val="00A26F6B"/>
    <w:rsid w:val="00A27597"/>
    <w:rsid w:val="00A3086B"/>
    <w:rsid w:val="00A30FD9"/>
    <w:rsid w:val="00A3121A"/>
    <w:rsid w:val="00A31BC5"/>
    <w:rsid w:val="00A31D9C"/>
    <w:rsid w:val="00A32737"/>
    <w:rsid w:val="00A32748"/>
    <w:rsid w:val="00A327D5"/>
    <w:rsid w:val="00A33655"/>
    <w:rsid w:val="00A3415F"/>
    <w:rsid w:val="00A3613F"/>
    <w:rsid w:val="00A361AD"/>
    <w:rsid w:val="00A40783"/>
    <w:rsid w:val="00A407DE"/>
    <w:rsid w:val="00A40974"/>
    <w:rsid w:val="00A40B9A"/>
    <w:rsid w:val="00A412B3"/>
    <w:rsid w:val="00A43774"/>
    <w:rsid w:val="00A43C90"/>
    <w:rsid w:val="00A4653C"/>
    <w:rsid w:val="00A501C8"/>
    <w:rsid w:val="00A53577"/>
    <w:rsid w:val="00A55039"/>
    <w:rsid w:val="00A5544B"/>
    <w:rsid w:val="00A563DB"/>
    <w:rsid w:val="00A573B3"/>
    <w:rsid w:val="00A57ABA"/>
    <w:rsid w:val="00A60B60"/>
    <w:rsid w:val="00A60E5B"/>
    <w:rsid w:val="00A62EB9"/>
    <w:rsid w:val="00A62FFE"/>
    <w:rsid w:val="00A63D8A"/>
    <w:rsid w:val="00A6435A"/>
    <w:rsid w:val="00A64E4C"/>
    <w:rsid w:val="00A6570F"/>
    <w:rsid w:val="00A65D71"/>
    <w:rsid w:val="00A664B7"/>
    <w:rsid w:val="00A67816"/>
    <w:rsid w:val="00A7035D"/>
    <w:rsid w:val="00A71221"/>
    <w:rsid w:val="00A72249"/>
    <w:rsid w:val="00A72E6D"/>
    <w:rsid w:val="00A72EA3"/>
    <w:rsid w:val="00A74F61"/>
    <w:rsid w:val="00A752EB"/>
    <w:rsid w:val="00A7568B"/>
    <w:rsid w:val="00A76BBE"/>
    <w:rsid w:val="00A77D90"/>
    <w:rsid w:val="00A80829"/>
    <w:rsid w:val="00A8114C"/>
    <w:rsid w:val="00A830C3"/>
    <w:rsid w:val="00A84AC4"/>
    <w:rsid w:val="00A859B8"/>
    <w:rsid w:val="00A86E2A"/>
    <w:rsid w:val="00A86F24"/>
    <w:rsid w:val="00A86FA6"/>
    <w:rsid w:val="00A87121"/>
    <w:rsid w:val="00A907A0"/>
    <w:rsid w:val="00A90CCD"/>
    <w:rsid w:val="00A90EC7"/>
    <w:rsid w:val="00A92474"/>
    <w:rsid w:val="00A92529"/>
    <w:rsid w:val="00A929F2"/>
    <w:rsid w:val="00A938A9"/>
    <w:rsid w:val="00A939AA"/>
    <w:rsid w:val="00A94028"/>
    <w:rsid w:val="00A9458A"/>
    <w:rsid w:val="00A94E69"/>
    <w:rsid w:val="00A94FDC"/>
    <w:rsid w:val="00A951AE"/>
    <w:rsid w:val="00A95450"/>
    <w:rsid w:val="00A95899"/>
    <w:rsid w:val="00A95C47"/>
    <w:rsid w:val="00A979B1"/>
    <w:rsid w:val="00AA28EF"/>
    <w:rsid w:val="00AA3127"/>
    <w:rsid w:val="00AA4121"/>
    <w:rsid w:val="00AA4D7A"/>
    <w:rsid w:val="00AA642A"/>
    <w:rsid w:val="00AA69F4"/>
    <w:rsid w:val="00AA6A5B"/>
    <w:rsid w:val="00AA6B15"/>
    <w:rsid w:val="00AA7270"/>
    <w:rsid w:val="00AB03DE"/>
    <w:rsid w:val="00AB0925"/>
    <w:rsid w:val="00AB1771"/>
    <w:rsid w:val="00AB19C2"/>
    <w:rsid w:val="00AB247D"/>
    <w:rsid w:val="00AB457E"/>
    <w:rsid w:val="00AB464F"/>
    <w:rsid w:val="00AB57BE"/>
    <w:rsid w:val="00AB6ABD"/>
    <w:rsid w:val="00AB6B5C"/>
    <w:rsid w:val="00AB70C8"/>
    <w:rsid w:val="00AC0C8A"/>
    <w:rsid w:val="00AC1D66"/>
    <w:rsid w:val="00AC36CB"/>
    <w:rsid w:val="00AC44B5"/>
    <w:rsid w:val="00AC50CE"/>
    <w:rsid w:val="00AC565F"/>
    <w:rsid w:val="00AC592F"/>
    <w:rsid w:val="00AC5E23"/>
    <w:rsid w:val="00AC6D60"/>
    <w:rsid w:val="00AD0987"/>
    <w:rsid w:val="00AD11CC"/>
    <w:rsid w:val="00AD182A"/>
    <w:rsid w:val="00AD1B81"/>
    <w:rsid w:val="00AD211F"/>
    <w:rsid w:val="00AD44E7"/>
    <w:rsid w:val="00AD4838"/>
    <w:rsid w:val="00AD4B4F"/>
    <w:rsid w:val="00AD4F03"/>
    <w:rsid w:val="00AD62CE"/>
    <w:rsid w:val="00AD7C1A"/>
    <w:rsid w:val="00AD7EE4"/>
    <w:rsid w:val="00AE0D05"/>
    <w:rsid w:val="00AE33BC"/>
    <w:rsid w:val="00AE353A"/>
    <w:rsid w:val="00AE42AD"/>
    <w:rsid w:val="00AE4763"/>
    <w:rsid w:val="00AE4E6F"/>
    <w:rsid w:val="00AE5128"/>
    <w:rsid w:val="00AE593F"/>
    <w:rsid w:val="00AE627B"/>
    <w:rsid w:val="00AE659F"/>
    <w:rsid w:val="00AE7292"/>
    <w:rsid w:val="00AE7768"/>
    <w:rsid w:val="00AF0397"/>
    <w:rsid w:val="00AF1D8F"/>
    <w:rsid w:val="00AF2318"/>
    <w:rsid w:val="00AF276E"/>
    <w:rsid w:val="00AF4260"/>
    <w:rsid w:val="00AF4F03"/>
    <w:rsid w:val="00AF57FF"/>
    <w:rsid w:val="00AF5F41"/>
    <w:rsid w:val="00AF66CB"/>
    <w:rsid w:val="00AF7E94"/>
    <w:rsid w:val="00B001FF"/>
    <w:rsid w:val="00B009A8"/>
    <w:rsid w:val="00B015D7"/>
    <w:rsid w:val="00B018C2"/>
    <w:rsid w:val="00B01C35"/>
    <w:rsid w:val="00B023D7"/>
    <w:rsid w:val="00B041D7"/>
    <w:rsid w:val="00B0525F"/>
    <w:rsid w:val="00B0616E"/>
    <w:rsid w:val="00B07557"/>
    <w:rsid w:val="00B07DFB"/>
    <w:rsid w:val="00B1019E"/>
    <w:rsid w:val="00B10202"/>
    <w:rsid w:val="00B10266"/>
    <w:rsid w:val="00B12F35"/>
    <w:rsid w:val="00B1323B"/>
    <w:rsid w:val="00B14A7F"/>
    <w:rsid w:val="00B14E4F"/>
    <w:rsid w:val="00B167E9"/>
    <w:rsid w:val="00B16C9F"/>
    <w:rsid w:val="00B1729B"/>
    <w:rsid w:val="00B1783B"/>
    <w:rsid w:val="00B2029A"/>
    <w:rsid w:val="00B2074E"/>
    <w:rsid w:val="00B20C0F"/>
    <w:rsid w:val="00B20C58"/>
    <w:rsid w:val="00B21903"/>
    <w:rsid w:val="00B21DC7"/>
    <w:rsid w:val="00B22B31"/>
    <w:rsid w:val="00B23889"/>
    <w:rsid w:val="00B239A8"/>
    <w:rsid w:val="00B23D57"/>
    <w:rsid w:val="00B27018"/>
    <w:rsid w:val="00B278BF"/>
    <w:rsid w:val="00B27D3D"/>
    <w:rsid w:val="00B27D9A"/>
    <w:rsid w:val="00B3012D"/>
    <w:rsid w:val="00B3328E"/>
    <w:rsid w:val="00B332DB"/>
    <w:rsid w:val="00B33F74"/>
    <w:rsid w:val="00B35194"/>
    <w:rsid w:val="00B36C0D"/>
    <w:rsid w:val="00B375FD"/>
    <w:rsid w:val="00B37C60"/>
    <w:rsid w:val="00B37F94"/>
    <w:rsid w:val="00B40F9C"/>
    <w:rsid w:val="00B419F9"/>
    <w:rsid w:val="00B42099"/>
    <w:rsid w:val="00B422F8"/>
    <w:rsid w:val="00B42830"/>
    <w:rsid w:val="00B43C24"/>
    <w:rsid w:val="00B43F69"/>
    <w:rsid w:val="00B448DD"/>
    <w:rsid w:val="00B4519F"/>
    <w:rsid w:val="00B45BBA"/>
    <w:rsid w:val="00B46134"/>
    <w:rsid w:val="00B47AE8"/>
    <w:rsid w:val="00B47FFC"/>
    <w:rsid w:val="00B5074E"/>
    <w:rsid w:val="00B5221C"/>
    <w:rsid w:val="00B55F44"/>
    <w:rsid w:val="00B57867"/>
    <w:rsid w:val="00B57CD9"/>
    <w:rsid w:val="00B610B7"/>
    <w:rsid w:val="00B61A06"/>
    <w:rsid w:val="00B62CEF"/>
    <w:rsid w:val="00B63356"/>
    <w:rsid w:val="00B64C9E"/>
    <w:rsid w:val="00B6515B"/>
    <w:rsid w:val="00B657C9"/>
    <w:rsid w:val="00B658E8"/>
    <w:rsid w:val="00B65BAC"/>
    <w:rsid w:val="00B65CC0"/>
    <w:rsid w:val="00B6601C"/>
    <w:rsid w:val="00B661ED"/>
    <w:rsid w:val="00B6704C"/>
    <w:rsid w:val="00B67999"/>
    <w:rsid w:val="00B7006B"/>
    <w:rsid w:val="00B708E6"/>
    <w:rsid w:val="00B70991"/>
    <w:rsid w:val="00B70CF9"/>
    <w:rsid w:val="00B71B3E"/>
    <w:rsid w:val="00B723DC"/>
    <w:rsid w:val="00B72611"/>
    <w:rsid w:val="00B72C3F"/>
    <w:rsid w:val="00B7321C"/>
    <w:rsid w:val="00B73787"/>
    <w:rsid w:val="00B73AC9"/>
    <w:rsid w:val="00B744DE"/>
    <w:rsid w:val="00B74634"/>
    <w:rsid w:val="00B747A4"/>
    <w:rsid w:val="00B74D29"/>
    <w:rsid w:val="00B77351"/>
    <w:rsid w:val="00B773BC"/>
    <w:rsid w:val="00B77E69"/>
    <w:rsid w:val="00B804F9"/>
    <w:rsid w:val="00B80780"/>
    <w:rsid w:val="00B824B7"/>
    <w:rsid w:val="00B8341F"/>
    <w:rsid w:val="00B83AEC"/>
    <w:rsid w:val="00B83D8C"/>
    <w:rsid w:val="00B83F0D"/>
    <w:rsid w:val="00B84087"/>
    <w:rsid w:val="00B84BD8"/>
    <w:rsid w:val="00B851CD"/>
    <w:rsid w:val="00B85B83"/>
    <w:rsid w:val="00B86FED"/>
    <w:rsid w:val="00B87280"/>
    <w:rsid w:val="00B87801"/>
    <w:rsid w:val="00B879A0"/>
    <w:rsid w:val="00B90A79"/>
    <w:rsid w:val="00B910F2"/>
    <w:rsid w:val="00B92B8C"/>
    <w:rsid w:val="00B93440"/>
    <w:rsid w:val="00B93560"/>
    <w:rsid w:val="00B94267"/>
    <w:rsid w:val="00B949FF"/>
    <w:rsid w:val="00B94B0D"/>
    <w:rsid w:val="00B950F8"/>
    <w:rsid w:val="00B97865"/>
    <w:rsid w:val="00BA08F2"/>
    <w:rsid w:val="00BA21B6"/>
    <w:rsid w:val="00BA221F"/>
    <w:rsid w:val="00BA2B60"/>
    <w:rsid w:val="00BA5C45"/>
    <w:rsid w:val="00BA5F78"/>
    <w:rsid w:val="00BA6F04"/>
    <w:rsid w:val="00BA7433"/>
    <w:rsid w:val="00BB0A96"/>
    <w:rsid w:val="00BB0E5E"/>
    <w:rsid w:val="00BB117C"/>
    <w:rsid w:val="00BB2C71"/>
    <w:rsid w:val="00BB31F6"/>
    <w:rsid w:val="00BB4D29"/>
    <w:rsid w:val="00BB4D38"/>
    <w:rsid w:val="00BB5355"/>
    <w:rsid w:val="00BB535B"/>
    <w:rsid w:val="00BB5BB3"/>
    <w:rsid w:val="00BB6CA1"/>
    <w:rsid w:val="00BB6E03"/>
    <w:rsid w:val="00BB6E08"/>
    <w:rsid w:val="00BC08B0"/>
    <w:rsid w:val="00BC1AEC"/>
    <w:rsid w:val="00BC1E82"/>
    <w:rsid w:val="00BC3DCD"/>
    <w:rsid w:val="00BC4889"/>
    <w:rsid w:val="00BC4A35"/>
    <w:rsid w:val="00BC50B7"/>
    <w:rsid w:val="00BC67EF"/>
    <w:rsid w:val="00BC6C72"/>
    <w:rsid w:val="00BC7183"/>
    <w:rsid w:val="00BC73B4"/>
    <w:rsid w:val="00BD0380"/>
    <w:rsid w:val="00BD0C01"/>
    <w:rsid w:val="00BD0C4C"/>
    <w:rsid w:val="00BD0D82"/>
    <w:rsid w:val="00BD1FD2"/>
    <w:rsid w:val="00BD21F5"/>
    <w:rsid w:val="00BD2323"/>
    <w:rsid w:val="00BD2B81"/>
    <w:rsid w:val="00BD34CE"/>
    <w:rsid w:val="00BD3F44"/>
    <w:rsid w:val="00BD4A93"/>
    <w:rsid w:val="00BD4B62"/>
    <w:rsid w:val="00BD52CE"/>
    <w:rsid w:val="00BD5405"/>
    <w:rsid w:val="00BD5C5E"/>
    <w:rsid w:val="00BD5E5A"/>
    <w:rsid w:val="00BD61E3"/>
    <w:rsid w:val="00BD6455"/>
    <w:rsid w:val="00BD6482"/>
    <w:rsid w:val="00BD6E02"/>
    <w:rsid w:val="00BD6F4C"/>
    <w:rsid w:val="00BE19C4"/>
    <w:rsid w:val="00BE3BD9"/>
    <w:rsid w:val="00BE4033"/>
    <w:rsid w:val="00BE4337"/>
    <w:rsid w:val="00BE5282"/>
    <w:rsid w:val="00BE65BB"/>
    <w:rsid w:val="00BF15C3"/>
    <w:rsid w:val="00BF15C9"/>
    <w:rsid w:val="00BF16B8"/>
    <w:rsid w:val="00BF1872"/>
    <w:rsid w:val="00BF19D7"/>
    <w:rsid w:val="00BF27C2"/>
    <w:rsid w:val="00BF2DA9"/>
    <w:rsid w:val="00BF46F5"/>
    <w:rsid w:val="00BF6A36"/>
    <w:rsid w:val="00BF74A3"/>
    <w:rsid w:val="00BF782E"/>
    <w:rsid w:val="00C01FC1"/>
    <w:rsid w:val="00C02A49"/>
    <w:rsid w:val="00C02CD8"/>
    <w:rsid w:val="00C03DA8"/>
    <w:rsid w:val="00C0529C"/>
    <w:rsid w:val="00C055ED"/>
    <w:rsid w:val="00C0617B"/>
    <w:rsid w:val="00C06792"/>
    <w:rsid w:val="00C06A70"/>
    <w:rsid w:val="00C07DC0"/>
    <w:rsid w:val="00C107A9"/>
    <w:rsid w:val="00C10C24"/>
    <w:rsid w:val="00C12A90"/>
    <w:rsid w:val="00C12D3D"/>
    <w:rsid w:val="00C139FD"/>
    <w:rsid w:val="00C13CF0"/>
    <w:rsid w:val="00C1430F"/>
    <w:rsid w:val="00C143A3"/>
    <w:rsid w:val="00C14405"/>
    <w:rsid w:val="00C1487C"/>
    <w:rsid w:val="00C14CFB"/>
    <w:rsid w:val="00C155DA"/>
    <w:rsid w:val="00C15759"/>
    <w:rsid w:val="00C17108"/>
    <w:rsid w:val="00C17C17"/>
    <w:rsid w:val="00C20512"/>
    <w:rsid w:val="00C205DB"/>
    <w:rsid w:val="00C20FC1"/>
    <w:rsid w:val="00C210C0"/>
    <w:rsid w:val="00C214F9"/>
    <w:rsid w:val="00C2175B"/>
    <w:rsid w:val="00C227DA"/>
    <w:rsid w:val="00C246C3"/>
    <w:rsid w:val="00C24C04"/>
    <w:rsid w:val="00C25BFC"/>
    <w:rsid w:val="00C26984"/>
    <w:rsid w:val="00C26D9F"/>
    <w:rsid w:val="00C27024"/>
    <w:rsid w:val="00C32441"/>
    <w:rsid w:val="00C3268D"/>
    <w:rsid w:val="00C32861"/>
    <w:rsid w:val="00C32F2C"/>
    <w:rsid w:val="00C339AB"/>
    <w:rsid w:val="00C34ACC"/>
    <w:rsid w:val="00C3520F"/>
    <w:rsid w:val="00C35B6C"/>
    <w:rsid w:val="00C36EE1"/>
    <w:rsid w:val="00C374B5"/>
    <w:rsid w:val="00C401EB"/>
    <w:rsid w:val="00C405F6"/>
    <w:rsid w:val="00C422EE"/>
    <w:rsid w:val="00C42499"/>
    <w:rsid w:val="00C44AEA"/>
    <w:rsid w:val="00C4500F"/>
    <w:rsid w:val="00C45463"/>
    <w:rsid w:val="00C463F9"/>
    <w:rsid w:val="00C50555"/>
    <w:rsid w:val="00C505EA"/>
    <w:rsid w:val="00C50FC1"/>
    <w:rsid w:val="00C514F7"/>
    <w:rsid w:val="00C51956"/>
    <w:rsid w:val="00C52309"/>
    <w:rsid w:val="00C52C4B"/>
    <w:rsid w:val="00C533D6"/>
    <w:rsid w:val="00C53EE1"/>
    <w:rsid w:val="00C54825"/>
    <w:rsid w:val="00C557F9"/>
    <w:rsid w:val="00C55EE0"/>
    <w:rsid w:val="00C57037"/>
    <w:rsid w:val="00C6105B"/>
    <w:rsid w:val="00C613F2"/>
    <w:rsid w:val="00C61661"/>
    <w:rsid w:val="00C61BC8"/>
    <w:rsid w:val="00C61BDA"/>
    <w:rsid w:val="00C61C27"/>
    <w:rsid w:val="00C62FCA"/>
    <w:rsid w:val="00C645EE"/>
    <w:rsid w:val="00C648A1"/>
    <w:rsid w:val="00C65623"/>
    <w:rsid w:val="00C65939"/>
    <w:rsid w:val="00C65D17"/>
    <w:rsid w:val="00C708C5"/>
    <w:rsid w:val="00C70C36"/>
    <w:rsid w:val="00C71BC6"/>
    <w:rsid w:val="00C7228A"/>
    <w:rsid w:val="00C726B1"/>
    <w:rsid w:val="00C744A4"/>
    <w:rsid w:val="00C74723"/>
    <w:rsid w:val="00C74E6C"/>
    <w:rsid w:val="00C76D42"/>
    <w:rsid w:val="00C76EB9"/>
    <w:rsid w:val="00C77002"/>
    <w:rsid w:val="00C77F35"/>
    <w:rsid w:val="00C80FB0"/>
    <w:rsid w:val="00C8259B"/>
    <w:rsid w:val="00C82C58"/>
    <w:rsid w:val="00C82EF4"/>
    <w:rsid w:val="00C82FF4"/>
    <w:rsid w:val="00C831DA"/>
    <w:rsid w:val="00C83B83"/>
    <w:rsid w:val="00C83C91"/>
    <w:rsid w:val="00C844BB"/>
    <w:rsid w:val="00C84760"/>
    <w:rsid w:val="00C84BF8"/>
    <w:rsid w:val="00C8507F"/>
    <w:rsid w:val="00C86884"/>
    <w:rsid w:val="00C86AE7"/>
    <w:rsid w:val="00C871E6"/>
    <w:rsid w:val="00C87AD4"/>
    <w:rsid w:val="00C906A4"/>
    <w:rsid w:val="00C90CAF"/>
    <w:rsid w:val="00C91FBD"/>
    <w:rsid w:val="00C92952"/>
    <w:rsid w:val="00C93320"/>
    <w:rsid w:val="00C93654"/>
    <w:rsid w:val="00C95898"/>
    <w:rsid w:val="00C95B80"/>
    <w:rsid w:val="00C9608B"/>
    <w:rsid w:val="00C971BD"/>
    <w:rsid w:val="00CA0510"/>
    <w:rsid w:val="00CA1317"/>
    <w:rsid w:val="00CA19E9"/>
    <w:rsid w:val="00CA267E"/>
    <w:rsid w:val="00CA4D52"/>
    <w:rsid w:val="00CB177E"/>
    <w:rsid w:val="00CB1A68"/>
    <w:rsid w:val="00CB20E5"/>
    <w:rsid w:val="00CB267D"/>
    <w:rsid w:val="00CB2C5D"/>
    <w:rsid w:val="00CB5AA4"/>
    <w:rsid w:val="00CB62A5"/>
    <w:rsid w:val="00CB7A8A"/>
    <w:rsid w:val="00CC0453"/>
    <w:rsid w:val="00CC05A6"/>
    <w:rsid w:val="00CC0BFE"/>
    <w:rsid w:val="00CC10E0"/>
    <w:rsid w:val="00CC1D2C"/>
    <w:rsid w:val="00CC2DB2"/>
    <w:rsid w:val="00CC43C2"/>
    <w:rsid w:val="00CC452D"/>
    <w:rsid w:val="00CC47A4"/>
    <w:rsid w:val="00CC4ADE"/>
    <w:rsid w:val="00CC5DF9"/>
    <w:rsid w:val="00CC60AB"/>
    <w:rsid w:val="00CC68CC"/>
    <w:rsid w:val="00CC6A77"/>
    <w:rsid w:val="00CC7B72"/>
    <w:rsid w:val="00CD06A8"/>
    <w:rsid w:val="00CD16BD"/>
    <w:rsid w:val="00CD1931"/>
    <w:rsid w:val="00CD2004"/>
    <w:rsid w:val="00CD3DC2"/>
    <w:rsid w:val="00CD441E"/>
    <w:rsid w:val="00CD4E2F"/>
    <w:rsid w:val="00CD5E17"/>
    <w:rsid w:val="00CD6294"/>
    <w:rsid w:val="00CD66D8"/>
    <w:rsid w:val="00CE00B8"/>
    <w:rsid w:val="00CE0E4E"/>
    <w:rsid w:val="00CE0F4B"/>
    <w:rsid w:val="00CE133B"/>
    <w:rsid w:val="00CE4117"/>
    <w:rsid w:val="00CE4B18"/>
    <w:rsid w:val="00CE5A96"/>
    <w:rsid w:val="00CE63DC"/>
    <w:rsid w:val="00CE70F0"/>
    <w:rsid w:val="00CE71DA"/>
    <w:rsid w:val="00CE7BFC"/>
    <w:rsid w:val="00CF03D3"/>
    <w:rsid w:val="00CF1330"/>
    <w:rsid w:val="00CF17B6"/>
    <w:rsid w:val="00CF1885"/>
    <w:rsid w:val="00CF25E2"/>
    <w:rsid w:val="00CF3787"/>
    <w:rsid w:val="00CF3CD8"/>
    <w:rsid w:val="00CF4E26"/>
    <w:rsid w:val="00CF503C"/>
    <w:rsid w:val="00CF6B8A"/>
    <w:rsid w:val="00CF6C6E"/>
    <w:rsid w:val="00CF6FAB"/>
    <w:rsid w:val="00D01362"/>
    <w:rsid w:val="00D0221A"/>
    <w:rsid w:val="00D04FB5"/>
    <w:rsid w:val="00D05E9E"/>
    <w:rsid w:val="00D10C8A"/>
    <w:rsid w:val="00D11D3D"/>
    <w:rsid w:val="00D12876"/>
    <w:rsid w:val="00D13201"/>
    <w:rsid w:val="00D1357C"/>
    <w:rsid w:val="00D1394E"/>
    <w:rsid w:val="00D14636"/>
    <w:rsid w:val="00D14E44"/>
    <w:rsid w:val="00D15E5D"/>
    <w:rsid w:val="00D16623"/>
    <w:rsid w:val="00D17699"/>
    <w:rsid w:val="00D20870"/>
    <w:rsid w:val="00D208FA"/>
    <w:rsid w:val="00D214AF"/>
    <w:rsid w:val="00D2183E"/>
    <w:rsid w:val="00D21B6B"/>
    <w:rsid w:val="00D222AF"/>
    <w:rsid w:val="00D223AF"/>
    <w:rsid w:val="00D22EE0"/>
    <w:rsid w:val="00D23D9F"/>
    <w:rsid w:val="00D2474E"/>
    <w:rsid w:val="00D24842"/>
    <w:rsid w:val="00D24B53"/>
    <w:rsid w:val="00D269D9"/>
    <w:rsid w:val="00D27489"/>
    <w:rsid w:val="00D3218B"/>
    <w:rsid w:val="00D32BB9"/>
    <w:rsid w:val="00D343EB"/>
    <w:rsid w:val="00D35F5E"/>
    <w:rsid w:val="00D35FEE"/>
    <w:rsid w:val="00D36EF2"/>
    <w:rsid w:val="00D37034"/>
    <w:rsid w:val="00D37460"/>
    <w:rsid w:val="00D37597"/>
    <w:rsid w:val="00D41943"/>
    <w:rsid w:val="00D41EF3"/>
    <w:rsid w:val="00D43793"/>
    <w:rsid w:val="00D44C5F"/>
    <w:rsid w:val="00D44D56"/>
    <w:rsid w:val="00D453FD"/>
    <w:rsid w:val="00D50061"/>
    <w:rsid w:val="00D50710"/>
    <w:rsid w:val="00D50BCC"/>
    <w:rsid w:val="00D51F21"/>
    <w:rsid w:val="00D522BE"/>
    <w:rsid w:val="00D53076"/>
    <w:rsid w:val="00D533CF"/>
    <w:rsid w:val="00D53C6D"/>
    <w:rsid w:val="00D54232"/>
    <w:rsid w:val="00D556B0"/>
    <w:rsid w:val="00D5615C"/>
    <w:rsid w:val="00D56AB2"/>
    <w:rsid w:val="00D56C81"/>
    <w:rsid w:val="00D60EA3"/>
    <w:rsid w:val="00D61A31"/>
    <w:rsid w:val="00D61D9F"/>
    <w:rsid w:val="00D62988"/>
    <w:rsid w:val="00D63A03"/>
    <w:rsid w:val="00D6429D"/>
    <w:rsid w:val="00D649C3"/>
    <w:rsid w:val="00D6746B"/>
    <w:rsid w:val="00D675D1"/>
    <w:rsid w:val="00D67715"/>
    <w:rsid w:val="00D67F75"/>
    <w:rsid w:val="00D7192B"/>
    <w:rsid w:val="00D725C6"/>
    <w:rsid w:val="00D726A0"/>
    <w:rsid w:val="00D72B16"/>
    <w:rsid w:val="00D73171"/>
    <w:rsid w:val="00D73704"/>
    <w:rsid w:val="00D76A28"/>
    <w:rsid w:val="00D773E8"/>
    <w:rsid w:val="00D800F7"/>
    <w:rsid w:val="00D82E32"/>
    <w:rsid w:val="00D8372D"/>
    <w:rsid w:val="00D837DA"/>
    <w:rsid w:val="00D83845"/>
    <w:rsid w:val="00D84617"/>
    <w:rsid w:val="00D85C8C"/>
    <w:rsid w:val="00D85F08"/>
    <w:rsid w:val="00D87646"/>
    <w:rsid w:val="00D87F4A"/>
    <w:rsid w:val="00D90A25"/>
    <w:rsid w:val="00D915B7"/>
    <w:rsid w:val="00D9288F"/>
    <w:rsid w:val="00D9359C"/>
    <w:rsid w:val="00D93CBC"/>
    <w:rsid w:val="00D95CD4"/>
    <w:rsid w:val="00D96BD8"/>
    <w:rsid w:val="00D97C14"/>
    <w:rsid w:val="00DA054D"/>
    <w:rsid w:val="00DA082E"/>
    <w:rsid w:val="00DA0DB6"/>
    <w:rsid w:val="00DA18D4"/>
    <w:rsid w:val="00DA1926"/>
    <w:rsid w:val="00DA2798"/>
    <w:rsid w:val="00DA469A"/>
    <w:rsid w:val="00DA5D95"/>
    <w:rsid w:val="00DA67BB"/>
    <w:rsid w:val="00DB0073"/>
    <w:rsid w:val="00DB0329"/>
    <w:rsid w:val="00DB0835"/>
    <w:rsid w:val="00DB1667"/>
    <w:rsid w:val="00DB1940"/>
    <w:rsid w:val="00DB1BF4"/>
    <w:rsid w:val="00DB2149"/>
    <w:rsid w:val="00DB5004"/>
    <w:rsid w:val="00DB5F82"/>
    <w:rsid w:val="00DB666B"/>
    <w:rsid w:val="00DB6AC4"/>
    <w:rsid w:val="00DB7379"/>
    <w:rsid w:val="00DC18E2"/>
    <w:rsid w:val="00DC2136"/>
    <w:rsid w:val="00DC21A4"/>
    <w:rsid w:val="00DC2CBC"/>
    <w:rsid w:val="00DC2D5C"/>
    <w:rsid w:val="00DC377C"/>
    <w:rsid w:val="00DC393D"/>
    <w:rsid w:val="00DC6B8A"/>
    <w:rsid w:val="00DC6CC5"/>
    <w:rsid w:val="00DD038F"/>
    <w:rsid w:val="00DD0C30"/>
    <w:rsid w:val="00DD3218"/>
    <w:rsid w:val="00DD33C4"/>
    <w:rsid w:val="00DD530E"/>
    <w:rsid w:val="00DD55EA"/>
    <w:rsid w:val="00DD5F00"/>
    <w:rsid w:val="00DD63E9"/>
    <w:rsid w:val="00DD746D"/>
    <w:rsid w:val="00DE2030"/>
    <w:rsid w:val="00DE2765"/>
    <w:rsid w:val="00DE3C5C"/>
    <w:rsid w:val="00DE3DFA"/>
    <w:rsid w:val="00DE5ED9"/>
    <w:rsid w:val="00DE7BB2"/>
    <w:rsid w:val="00DF0113"/>
    <w:rsid w:val="00DF10C4"/>
    <w:rsid w:val="00DF1173"/>
    <w:rsid w:val="00DF16E7"/>
    <w:rsid w:val="00DF1909"/>
    <w:rsid w:val="00DF23E0"/>
    <w:rsid w:val="00DF3B77"/>
    <w:rsid w:val="00DF420B"/>
    <w:rsid w:val="00DF4D85"/>
    <w:rsid w:val="00DF57CD"/>
    <w:rsid w:val="00DF5B4B"/>
    <w:rsid w:val="00DF5F43"/>
    <w:rsid w:val="00E00500"/>
    <w:rsid w:val="00E00F34"/>
    <w:rsid w:val="00E01B4A"/>
    <w:rsid w:val="00E01F4A"/>
    <w:rsid w:val="00E02107"/>
    <w:rsid w:val="00E029B5"/>
    <w:rsid w:val="00E033EA"/>
    <w:rsid w:val="00E06804"/>
    <w:rsid w:val="00E11304"/>
    <w:rsid w:val="00E1179D"/>
    <w:rsid w:val="00E126CC"/>
    <w:rsid w:val="00E13AA0"/>
    <w:rsid w:val="00E13BE2"/>
    <w:rsid w:val="00E16451"/>
    <w:rsid w:val="00E17357"/>
    <w:rsid w:val="00E17AEC"/>
    <w:rsid w:val="00E20730"/>
    <w:rsid w:val="00E20822"/>
    <w:rsid w:val="00E20DA2"/>
    <w:rsid w:val="00E2196D"/>
    <w:rsid w:val="00E22859"/>
    <w:rsid w:val="00E22D91"/>
    <w:rsid w:val="00E232ED"/>
    <w:rsid w:val="00E24012"/>
    <w:rsid w:val="00E24234"/>
    <w:rsid w:val="00E25425"/>
    <w:rsid w:val="00E26150"/>
    <w:rsid w:val="00E26366"/>
    <w:rsid w:val="00E271C3"/>
    <w:rsid w:val="00E27415"/>
    <w:rsid w:val="00E277CB"/>
    <w:rsid w:val="00E27E74"/>
    <w:rsid w:val="00E31C66"/>
    <w:rsid w:val="00E31E5F"/>
    <w:rsid w:val="00E35CFB"/>
    <w:rsid w:val="00E35FA3"/>
    <w:rsid w:val="00E36A40"/>
    <w:rsid w:val="00E36B4F"/>
    <w:rsid w:val="00E37235"/>
    <w:rsid w:val="00E3787D"/>
    <w:rsid w:val="00E4119E"/>
    <w:rsid w:val="00E42B15"/>
    <w:rsid w:val="00E43652"/>
    <w:rsid w:val="00E43E04"/>
    <w:rsid w:val="00E47233"/>
    <w:rsid w:val="00E51623"/>
    <w:rsid w:val="00E519E9"/>
    <w:rsid w:val="00E53121"/>
    <w:rsid w:val="00E53600"/>
    <w:rsid w:val="00E5511E"/>
    <w:rsid w:val="00E5610F"/>
    <w:rsid w:val="00E576AF"/>
    <w:rsid w:val="00E60059"/>
    <w:rsid w:val="00E6097D"/>
    <w:rsid w:val="00E60BFC"/>
    <w:rsid w:val="00E60D9C"/>
    <w:rsid w:val="00E61A08"/>
    <w:rsid w:val="00E61CC1"/>
    <w:rsid w:val="00E62917"/>
    <w:rsid w:val="00E63B72"/>
    <w:rsid w:val="00E6444C"/>
    <w:rsid w:val="00E660D4"/>
    <w:rsid w:val="00E70737"/>
    <w:rsid w:val="00E7225C"/>
    <w:rsid w:val="00E72E97"/>
    <w:rsid w:val="00E735F1"/>
    <w:rsid w:val="00E744B7"/>
    <w:rsid w:val="00E7563F"/>
    <w:rsid w:val="00E75DA5"/>
    <w:rsid w:val="00E763B3"/>
    <w:rsid w:val="00E76804"/>
    <w:rsid w:val="00E80A2C"/>
    <w:rsid w:val="00E813E5"/>
    <w:rsid w:val="00E82469"/>
    <w:rsid w:val="00E82616"/>
    <w:rsid w:val="00E82DAE"/>
    <w:rsid w:val="00E83C61"/>
    <w:rsid w:val="00E845BC"/>
    <w:rsid w:val="00E85238"/>
    <w:rsid w:val="00E8570B"/>
    <w:rsid w:val="00E86437"/>
    <w:rsid w:val="00E8716D"/>
    <w:rsid w:val="00E87930"/>
    <w:rsid w:val="00E8799C"/>
    <w:rsid w:val="00E90044"/>
    <w:rsid w:val="00E90824"/>
    <w:rsid w:val="00E921E4"/>
    <w:rsid w:val="00E92C6F"/>
    <w:rsid w:val="00E93199"/>
    <w:rsid w:val="00E94847"/>
    <w:rsid w:val="00E95BDA"/>
    <w:rsid w:val="00E972CE"/>
    <w:rsid w:val="00E97E34"/>
    <w:rsid w:val="00EA0AFB"/>
    <w:rsid w:val="00EA0B5C"/>
    <w:rsid w:val="00EA0FCA"/>
    <w:rsid w:val="00EA35AD"/>
    <w:rsid w:val="00EA37A2"/>
    <w:rsid w:val="00EA4520"/>
    <w:rsid w:val="00EA5B1A"/>
    <w:rsid w:val="00EA6791"/>
    <w:rsid w:val="00EA7AA5"/>
    <w:rsid w:val="00EA7B0E"/>
    <w:rsid w:val="00EB1873"/>
    <w:rsid w:val="00EB1C88"/>
    <w:rsid w:val="00EB2103"/>
    <w:rsid w:val="00EB2CD9"/>
    <w:rsid w:val="00EB2F8A"/>
    <w:rsid w:val="00EB338B"/>
    <w:rsid w:val="00EB384B"/>
    <w:rsid w:val="00EB3F7D"/>
    <w:rsid w:val="00EB4230"/>
    <w:rsid w:val="00EB460D"/>
    <w:rsid w:val="00EB4DDD"/>
    <w:rsid w:val="00EB5431"/>
    <w:rsid w:val="00EB5F1C"/>
    <w:rsid w:val="00EB6400"/>
    <w:rsid w:val="00EB7188"/>
    <w:rsid w:val="00EB75F7"/>
    <w:rsid w:val="00EC0A25"/>
    <w:rsid w:val="00EC0BA6"/>
    <w:rsid w:val="00EC11D3"/>
    <w:rsid w:val="00EC1A0C"/>
    <w:rsid w:val="00EC1AA0"/>
    <w:rsid w:val="00EC241D"/>
    <w:rsid w:val="00EC6E98"/>
    <w:rsid w:val="00ED1608"/>
    <w:rsid w:val="00ED1DB7"/>
    <w:rsid w:val="00ED22AB"/>
    <w:rsid w:val="00ED2CDB"/>
    <w:rsid w:val="00ED2D2D"/>
    <w:rsid w:val="00ED37E4"/>
    <w:rsid w:val="00ED38CD"/>
    <w:rsid w:val="00ED5084"/>
    <w:rsid w:val="00ED53E2"/>
    <w:rsid w:val="00ED6FF1"/>
    <w:rsid w:val="00EE0D44"/>
    <w:rsid w:val="00EE1B5D"/>
    <w:rsid w:val="00EE21FE"/>
    <w:rsid w:val="00EE2731"/>
    <w:rsid w:val="00EE2B4B"/>
    <w:rsid w:val="00EE3B34"/>
    <w:rsid w:val="00EE402B"/>
    <w:rsid w:val="00EE51C4"/>
    <w:rsid w:val="00EE687D"/>
    <w:rsid w:val="00EE7513"/>
    <w:rsid w:val="00EE7ACD"/>
    <w:rsid w:val="00EF0C60"/>
    <w:rsid w:val="00EF2316"/>
    <w:rsid w:val="00EF3429"/>
    <w:rsid w:val="00EF4A68"/>
    <w:rsid w:val="00EF54A3"/>
    <w:rsid w:val="00EF5AFC"/>
    <w:rsid w:val="00EF63D4"/>
    <w:rsid w:val="00EF65B6"/>
    <w:rsid w:val="00EF73D1"/>
    <w:rsid w:val="00EF7B53"/>
    <w:rsid w:val="00F0012C"/>
    <w:rsid w:val="00F00E45"/>
    <w:rsid w:val="00F028E4"/>
    <w:rsid w:val="00F0545C"/>
    <w:rsid w:val="00F05D55"/>
    <w:rsid w:val="00F11D6B"/>
    <w:rsid w:val="00F12CC5"/>
    <w:rsid w:val="00F13D4D"/>
    <w:rsid w:val="00F157B1"/>
    <w:rsid w:val="00F16020"/>
    <w:rsid w:val="00F163F6"/>
    <w:rsid w:val="00F16D57"/>
    <w:rsid w:val="00F2169B"/>
    <w:rsid w:val="00F224CA"/>
    <w:rsid w:val="00F2373D"/>
    <w:rsid w:val="00F2393C"/>
    <w:rsid w:val="00F23DFA"/>
    <w:rsid w:val="00F23FC1"/>
    <w:rsid w:val="00F25F99"/>
    <w:rsid w:val="00F262C0"/>
    <w:rsid w:val="00F301A7"/>
    <w:rsid w:val="00F30D87"/>
    <w:rsid w:val="00F30FBF"/>
    <w:rsid w:val="00F3136B"/>
    <w:rsid w:val="00F321EB"/>
    <w:rsid w:val="00F32E00"/>
    <w:rsid w:val="00F33D4F"/>
    <w:rsid w:val="00F34E9C"/>
    <w:rsid w:val="00F365E1"/>
    <w:rsid w:val="00F366EA"/>
    <w:rsid w:val="00F37408"/>
    <w:rsid w:val="00F40637"/>
    <w:rsid w:val="00F4181C"/>
    <w:rsid w:val="00F419F3"/>
    <w:rsid w:val="00F426F9"/>
    <w:rsid w:val="00F432C2"/>
    <w:rsid w:val="00F451C2"/>
    <w:rsid w:val="00F45C73"/>
    <w:rsid w:val="00F46E21"/>
    <w:rsid w:val="00F46E85"/>
    <w:rsid w:val="00F473CD"/>
    <w:rsid w:val="00F47E0E"/>
    <w:rsid w:val="00F503D3"/>
    <w:rsid w:val="00F50C75"/>
    <w:rsid w:val="00F521A8"/>
    <w:rsid w:val="00F53DA8"/>
    <w:rsid w:val="00F5476D"/>
    <w:rsid w:val="00F55290"/>
    <w:rsid w:val="00F568E5"/>
    <w:rsid w:val="00F6052D"/>
    <w:rsid w:val="00F60A41"/>
    <w:rsid w:val="00F61FA6"/>
    <w:rsid w:val="00F625C1"/>
    <w:rsid w:val="00F6271D"/>
    <w:rsid w:val="00F62BEB"/>
    <w:rsid w:val="00F638F4"/>
    <w:rsid w:val="00F643E9"/>
    <w:rsid w:val="00F6533F"/>
    <w:rsid w:val="00F658D7"/>
    <w:rsid w:val="00F6621F"/>
    <w:rsid w:val="00F662F7"/>
    <w:rsid w:val="00F709D9"/>
    <w:rsid w:val="00F70FF8"/>
    <w:rsid w:val="00F7107B"/>
    <w:rsid w:val="00F71550"/>
    <w:rsid w:val="00F72A62"/>
    <w:rsid w:val="00F7300D"/>
    <w:rsid w:val="00F73482"/>
    <w:rsid w:val="00F7382E"/>
    <w:rsid w:val="00F74497"/>
    <w:rsid w:val="00F745AF"/>
    <w:rsid w:val="00F76122"/>
    <w:rsid w:val="00F77584"/>
    <w:rsid w:val="00F77633"/>
    <w:rsid w:val="00F8021B"/>
    <w:rsid w:val="00F80863"/>
    <w:rsid w:val="00F80B01"/>
    <w:rsid w:val="00F81ABF"/>
    <w:rsid w:val="00F822E6"/>
    <w:rsid w:val="00F824E0"/>
    <w:rsid w:val="00F841A5"/>
    <w:rsid w:val="00F8423A"/>
    <w:rsid w:val="00F84450"/>
    <w:rsid w:val="00F852D1"/>
    <w:rsid w:val="00F85EC5"/>
    <w:rsid w:val="00F87034"/>
    <w:rsid w:val="00F905C0"/>
    <w:rsid w:val="00F91895"/>
    <w:rsid w:val="00F91BD8"/>
    <w:rsid w:val="00F93379"/>
    <w:rsid w:val="00F93637"/>
    <w:rsid w:val="00F955DE"/>
    <w:rsid w:val="00F95CAD"/>
    <w:rsid w:val="00F9609B"/>
    <w:rsid w:val="00F9770E"/>
    <w:rsid w:val="00FA0F57"/>
    <w:rsid w:val="00FA42FA"/>
    <w:rsid w:val="00FA44C2"/>
    <w:rsid w:val="00FA537A"/>
    <w:rsid w:val="00FA5F15"/>
    <w:rsid w:val="00FA6433"/>
    <w:rsid w:val="00FA6AA5"/>
    <w:rsid w:val="00FA70D6"/>
    <w:rsid w:val="00FA751B"/>
    <w:rsid w:val="00FA779C"/>
    <w:rsid w:val="00FA7B4A"/>
    <w:rsid w:val="00FB1D11"/>
    <w:rsid w:val="00FB6852"/>
    <w:rsid w:val="00FC067A"/>
    <w:rsid w:val="00FC06CE"/>
    <w:rsid w:val="00FC11F1"/>
    <w:rsid w:val="00FC3297"/>
    <w:rsid w:val="00FC4A11"/>
    <w:rsid w:val="00FC595B"/>
    <w:rsid w:val="00FC5C67"/>
    <w:rsid w:val="00FC6EB3"/>
    <w:rsid w:val="00FC737C"/>
    <w:rsid w:val="00FC78FE"/>
    <w:rsid w:val="00FC7946"/>
    <w:rsid w:val="00FC7E5B"/>
    <w:rsid w:val="00FD10C4"/>
    <w:rsid w:val="00FD13C6"/>
    <w:rsid w:val="00FD172C"/>
    <w:rsid w:val="00FD29DD"/>
    <w:rsid w:val="00FD3F8E"/>
    <w:rsid w:val="00FD478A"/>
    <w:rsid w:val="00FD4C88"/>
    <w:rsid w:val="00FD5AF9"/>
    <w:rsid w:val="00FD6825"/>
    <w:rsid w:val="00FD6E53"/>
    <w:rsid w:val="00FD788F"/>
    <w:rsid w:val="00FE0270"/>
    <w:rsid w:val="00FE3114"/>
    <w:rsid w:val="00FE3AC9"/>
    <w:rsid w:val="00FE5ECE"/>
    <w:rsid w:val="00FE6807"/>
    <w:rsid w:val="00FE6CCC"/>
    <w:rsid w:val="00FE79A0"/>
    <w:rsid w:val="00FE7E36"/>
    <w:rsid w:val="00FF00EE"/>
    <w:rsid w:val="00FF0824"/>
    <w:rsid w:val="00FF0EE5"/>
    <w:rsid w:val="00FF17BE"/>
    <w:rsid w:val="00FF1B7E"/>
    <w:rsid w:val="00FF3E8A"/>
    <w:rsid w:val="00FF4BC3"/>
    <w:rsid w:val="00FF5453"/>
    <w:rsid w:val="00FF581A"/>
    <w:rsid w:val="00FF5B5F"/>
    <w:rsid w:val="00FF7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6081"/>
    <o:shapelayout v:ext="edit">
      <o:idmap v:ext="edit" data="1"/>
    </o:shapelayout>
  </w:shapeDefaults>
  <w:decimalSymbol w:val="."/>
  <w:listSeparator w:val=","/>
  <w14:docId w14:val="25FE4E91"/>
  <w15:chartTrackingRefBased/>
  <w15:docId w15:val="{A2F1C179-E826-4728-B480-68313F8A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1AD"/>
    <w:rPr>
      <w:lang w:val="en-US" w:eastAsia="en-US"/>
    </w:rPr>
  </w:style>
  <w:style w:type="paragraph" w:styleId="Heading1">
    <w:name w:val="heading 1"/>
    <w:basedOn w:val="Normal"/>
    <w:next w:val="Normal"/>
    <w:qFormat/>
    <w:pPr>
      <w:keepNext/>
      <w:numPr>
        <w:numId w:val="11"/>
      </w:numPr>
      <w:tabs>
        <w:tab w:val="left" w:pos="-720"/>
      </w:tabs>
      <w:suppressAutoHyphens/>
      <w:jc w:val="both"/>
      <w:outlineLvl w:val="0"/>
    </w:pPr>
    <w:rPr>
      <w:b/>
      <w:noProof/>
      <w:sz w:val="22"/>
    </w:rPr>
  </w:style>
  <w:style w:type="paragraph" w:styleId="Heading2">
    <w:name w:val="heading 2"/>
    <w:basedOn w:val="Normal"/>
    <w:next w:val="Normal"/>
    <w:qFormat/>
    <w:pPr>
      <w:keepNext/>
      <w:numPr>
        <w:ilvl w:val="1"/>
        <w:numId w:val="11"/>
      </w:numPr>
      <w:tabs>
        <w:tab w:val="left" w:pos="-720"/>
        <w:tab w:val="left" w:pos="567"/>
      </w:tabs>
      <w:suppressAutoHyphens/>
      <w:outlineLvl w:val="1"/>
    </w:pPr>
    <w:rPr>
      <w:b/>
      <w:noProof/>
      <w:sz w:val="22"/>
    </w:rPr>
  </w:style>
  <w:style w:type="paragraph" w:styleId="Heading3">
    <w:name w:val="heading 3"/>
    <w:basedOn w:val="Normal"/>
    <w:next w:val="Normal"/>
    <w:qFormat/>
    <w:pPr>
      <w:keepNext/>
      <w:numPr>
        <w:ilvl w:val="2"/>
        <w:numId w:val="11"/>
      </w:numPr>
      <w:tabs>
        <w:tab w:val="left" w:pos="-720"/>
      </w:tabs>
      <w:suppressAutoHyphens/>
      <w:jc w:val="both"/>
      <w:outlineLvl w:val="2"/>
    </w:pPr>
    <w:rPr>
      <w:noProof/>
      <w:sz w:val="22"/>
      <w:u w:val="single"/>
    </w:rPr>
  </w:style>
  <w:style w:type="paragraph" w:styleId="Heading4">
    <w:name w:val="heading 4"/>
    <w:basedOn w:val="Normal"/>
    <w:next w:val="Normal"/>
    <w:qFormat/>
    <w:pPr>
      <w:keepNext/>
      <w:numPr>
        <w:ilvl w:val="3"/>
        <w:numId w:val="11"/>
      </w:numPr>
      <w:tabs>
        <w:tab w:val="left" w:pos="567"/>
      </w:tabs>
      <w:spacing w:line="260" w:lineRule="exact"/>
      <w:jc w:val="both"/>
      <w:outlineLvl w:val="3"/>
    </w:pPr>
    <w:rPr>
      <w:b/>
      <w:noProof/>
      <w:sz w:val="22"/>
    </w:rPr>
  </w:style>
  <w:style w:type="paragraph" w:styleId="Heading5">
    <w:name w:val="heading 5"/>
    <w:basedOn w:val="Normal"/>
    <w:next w:val="Normal"/>
    <w:qFormat/>
    <w:pPr>
      <w:keepNext/>
      <w:numPr>
        <w:ilvl w:val="4"/>
        <w:numId w:val="11"/>
      </w:numPr>
      <w:tabs>
        <w:tab w:val="left" w:pos="-720"/>
      </w:tabs>
      <w:suppressAutoHyphens/>
      <w:jc w:val="center"/>
      <w:outlineLvl w:val="4"/>
    </w:pPr>
    <w:rPr>
      <w:b/>
      <w:sz w:val="22"/>
      <w:lang w:val="da-DK"/>
    </w:rPr>
  </w:style>
  <w:style w:type="paragraph" w:styleId="Heading6">
    <w:name w:val="heading 6"/>
    <w:basedOn w:val="Normal"/>
    <w:next w:val="Normal"/>
    <w:qFormat/>
    <w:pPr>
      <w:keepNext/>
      <w:numPr>
        <w:ilvl w:val="5"/>
        <w:numId w:val="11"/>
      </w:numPr>
      <w:tabs>
        <w:tab w:val="left" w:pos="-720"/>
        <w:tab w:val="left" w:pos="567"/>
        <w:tab w:val="left" w:pos="4536"/>
      </w:tabs>
      <w:suppressAutoHyphens/>
      <w:spacing w:line="260" w:lineRule="exact"/>
      <w:outlineLvl w:val="5"/>
    </w:pPr>
    <w:rPr>
      <w:i/>
      <w:sz w:val="22"/>
      <w:lang w:val="en-GB"/>
    </w:rPr>
  </w:style>
  <w:style w:type="paragraph" w:styleId="Heading7">
    <w:name w:val="heading 7"/>
    <w:basedOn w:val="Normal"/>
    <w:next w:val="Normal"/>
    <w:qFormat/>
    <w:pPr>
      <w:keepNext/>
      <w:numPr>
        <w:ilvl w:val="6"/>
        <w:numId w:val="11"/>
      </w:numPr>
      <w:tabs>
        <w:tab w:val="left" w:pos="-720"/>
        <w:tab w:val="left" w:pos="567"/>
        <w:tab w:val="left" w:pos="4536"/>
      </w:tabs>
      <w:suppressAutoHyphens/>
      <w:spacing w:line="260" w:lineRule="exact"/>
      <w:jc w:val="both"/>
      <w:outlineLvl w:val="6"/>
    </w:pPr>
    <w:rPr>
      <w:i/>
      <w:sz w:val="22"/>
      <w:lang w:val="en-GB"/>
    </w:rPr>
  </w:style>
  <w:style w:type="paragraph" w:styleId="Heading8">
    <w:name w:val="heading 8"/>
    <w:basedOn w:val="Normal"/>
    <w:next w:val="Normal"/>
    <w:qFormat/>
    <w:pPr>
      <w:keepNext/>
      <w:numPr>
        <w:ilvl w:val="7"/>
        <w:numId w:val="11"/>
      </w:numPr>
      <w:outlineLvl w:val="7"/>
    </w:pPr>
    <w:rPr>
      <w:b/>
      <w:sz w:val="22"/>
      <w:lang w:val="da-DK"/>
    </w:rPr>
  </w:style>
  <w:style w:type="paragraph" w:styleId="Heading9">
    <w:name w:val="heading 9"/>
    <w:basedOn w:val="Normal"/>
    <w:next w:val="Normal"/>
    <w:qFormat/>
    <w:pPr>
      <w:keepNext/>
      <w:numPr>
        <w:ilvl w:val="8"/>
        <w:numId w:val="11"/>
      </w:numPr>
      <w:suppressAutoHyphens/>
      <w:outlineLvl w:val="8"/>
    </w:pPr>
    <w:rPr>
      <w:b/>
      <w:sz w:val="22"/>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PageNumber">
    <w:name w:val="page number"/>
    <w:basedOn w:val="DefaultParagraphFont"/>
  </w:style>
  <w:style w:type="paragraph" w:styleId="Footer">
    <w:name w:val="footer"/>
    <w:basedOn w:val="Normal"/>
    <w:pPr>
      <w:widowControl w:val="0"/>
      <w:tabs>
        <w:tab w:val="center" w:pos="4536"/>
        <w:tab w:val="center" w:pos="8930"/>
      </w:tabs>
    </w:pPr>
    <w:rPr>
      <w:rFonts w:ascii="Helvetica" w:hAnsi="Helvetica"/>
      <w:sz w:val="16"/>
      <w:lang w:val="da-DK"/>
    </w:rPr>
  </w:style>
  <w:style w:type="paragraph" w:styleId="Header">
    <w:name w:val="header"/>
    <w:basedOn w:val="Normal"/>
    <w:pPr>
      <w:widowControl w:val="0"/>
      <w:tabs>
        <w:tab w:val="left" w:pos="567"/>
        <w:tab w:val="center" w:pos="4320"/>
        <w:tab w:val="right" w:pos="8640"/>
      </w:tabs>
    </w:pPr>
    <w:rPr>
      <w:rFonts w:ascii="Helvetica" w:hAnsi="Helvetica"/>
      <w:lang w:val="da-DK"/>
    </w:rPr>
  </w:style>
  <w:style w:type="paragraph" w:styleId="EndnoteText">
    <w:name w:val="endnote text"/>
    <w:basedOn w:val="Normal"/>
    <w:link w:val="EndnoteTextChar"/>
    <w:semiHidden/>
    <w:pPr>
      <w:widowControl w:val="0"/>
      <w:tabs>
        <w:tab w:val="left" w:pos="567"/>
      </w:tabs>
    </w:pPr>
    <w:rPr>
      <w:sz w:val="22"/>
      <w:lang w:val="da-DK"/>
    </w:rPr>
  </w:style>
  <w:style w:type="paragraph" w:styleId="BodyText">
    <w:name w:val="Body Text"/>
    <w:basedOn w:val="Normal"/>
    <w:pPr>
      <w:tabs>
        <w:tab w:val="left" w:pos="-993"/>
        <w:tab w:val="left" w:pos="-720"/>
      </w:tabs>
      <w:suppressAutoHyphens/>
      <w:jc w:val="both"/>
    </w:pPr>
    <w:rPr>
      <w:b/>
      <w:noProof/>
      <w:sz w:val="22"/>
    </w:rPr>
  </w:style>
  <w:style w:type="paragraph" w:customStyle="1" w:styleId="BodyText22">
    <w:name w:val="Body Text 22"/>
    <w:basedOn w:val="Normal"/>
    <w:pPr>
      <w:tabs>
        <w:tab w:val="left" w:pos="-720"/>
      </w:tabs>
      <w:suppressAutoHyphens/>
    </w:pPr>
    <w:rPr>
      <w:i/>
      <w:sz w:val="22"/>
      <w:lang w:val="da-DK"/>
    </w:rPr>
  </w:style>
  <w:style w:type="paragraph" w:styleId="BodyText3">
    <w:name w:val="Body Text 3"/>
    <w:basedOn w:val="Normal"/>
    <w:pPr>
      <w:tabs>
        <w:tab w:val="left" w:pos="-720"/>
      </w:tabs>
      <w:suppressAutoHyphens/>
    </w:pPr>
    <w:rPr>
      <w:b/>
      <w:sz w:val="22"/>
      <w:lang w:val="da-DK"/>
    </w:rPr>
  </w:style>
  <w:style w:type="paragraph" w:styleId="BodyText2">
    <w:name w:val="Body Text 2"/>
    <w:basedOn w:val="Normal"/>
    <w:pPr>
      <w:tabs>
        <w:tab w:val="left" w:pos="-720"/>
      </w:tabs>
      <w:suppressAutoHyphens/>
      <w:ind w:left="567" w:hanging="567"/>
    </w:pPr>
    <w:rPr>
      <w:sz w:val="22"/>
      <w:lang w:val="da-DK"/>
    </w:rPr>
  </w:style>
  <w:style w:type="character" w:customStyle="1" w:styleId="tw4winMark">
    <w:name w:val="tw4winMark"/>
    <w:rPr>
      <w:rFonts w:ascii="Courier New" w:hAnsi="Courier New"/>
      <w:vanish/>
      <w:color w:val="800080"/>
      <w:vertAlign w:val="subscript"/>
    </w:rPr>
  </w:style>
  <w:style w:type="character" w:styleId="CommentReference">
    <w:name w:val="annotation reference"/>
    <w:semiHidden/>
    <w:rPr>
      <w:sz w:val="16"/>
    </w:rPr>
  </w:style>
  <w:style w:type="paragraph" w:styleId="CommentText">
    <w:name w:val="annotation text"/>
    <w:aliases w:val="Comment Text Char1 Char,Comment Text Char Char Char,Comment Text Char1"/>
    <w:basedOn w:val="Normal"/>
    <w:link w:val="CommentTextChar"/>
    <w:pPr>
      <w:tabs>
        <w:tab w:val="left" w:pos="567"/>
      </w:tabs>
      <w:spacing w:line="260" w:lineRule="exact"/>
    </w:pPr>
    <w:rPr>
      <w:lang w:val="en-GB" w:eastAsia="x-none"/>
    </w:rPr>
  </w:style>
  <w:style w:type="paragraph" w:styleId="BlockText">
    <w:name w:val="Block Text"/>
    <w:basedOn w:val="Normal"/>
    <w:pPr>
      <w:tabs>
        <w:tab w:val="left" w:pos="2657"/>
      </w:tabs>
      <w:spacing w:before="120"/>
      <w:ind w:left="-37" w:right="-28"/>
    </w:pPr>
    <w:rPr>
      <w:sz w:val="22"/>
      <w:lang w:val="en-GB"/>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shd w:val="pct12" w:color="000000" w:fill="FFFFFF"/>
      <w:ind w:left="567" w:hanging="567"/>
    </w:pPr>
    <w:rPr>
      <w:b/>
      <w:sz w:val="22"/>
      <w:lang w:val="da-DK"/>
    </w:rPr>
  </w:style>
  <w:style w:type="paragraph" w:styleId="BodyTextIndent2">
    <w:name w:val="Body Text Indent 2"/>
    <w:basedOn w:val="Normal"/>
    <w:pPr>
      <w:suppressAutoHyphens/>
      <w:ind w:left="567" w:hanging="567"/>
    </w:pPr>
    <w:rPr>
      <w:sz w:val="22"/>
      <w:lang w:val="da-DK"/>
    </w:rPr>
  </w:style>
  <w:style w:type="paragraph" w:customStyle="1" w:styleId="Table">
    <w:name w:val="Table"/>
    <w:basedOn w:val="Normal"/>
    <w:link w:val="TableChar"/>
    <w:pPr>
      <w:keepNext/>
      <w:keepLines/>
      <w:tabs>
        <w:tab w:val="left" w:pos="284"/>
      </w:tabs>
      <w:spacing w:before="40" w:after="20"/>
    </w:pPr>
    <w:rPr>
      <w:rFonts w:ascii="Arial" w:hAnsi="Arial"/>
    </w:rPr>
  </w:style>
  <w:style w:type="paragraph" w:customStyle="1" w:styleId="Text">
    <w:name w:val="Text"/>
    <w:basedOn w:val="Normal"/>
    <w:link w:val="TextChar"/>
    <w:pPr>
      <w:spacing w:before="120"/>
      <w:jc w:val="both"/>
    </w:pPr>
    <w:rPr>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semiHidden/>
    <w:rsid w:val="00C107A9"/>
    <w:rPr>
      <w:rFonts w:ascii="Tahoma" w:hAnsi="Tahoma" w:cs="Tahoma"/>
      <w:sz w:val="16"/>
      <w:szCs w:val="16"/>
    </w:rPr>
  </w:style>
  <w:style w:type="paragraph" w:styleId="CommentSubject">
    <w:name w:val="annotation subject"/>
    <w:basedOn w:val="CommentText"/>
    <w:next w:val="CommentText"/>
    <w:semiHidden/>
    <w:rsid w:val="008674D0"/>
    <w:pPr>
      <w:tabs>
        <w:tab w:val="clear" w:pos="567"/>
      </w:tabs>
      <w:spacing w:line="240" w:lineRule="auto"/>
    </w:pPr>
    <w:rPr>
      <w:b/>
      <w:bCs/>
      <w:lang w:val="en-US"/>
    </w:rPr>
  </w:style>
  <w:style w:type="character" w:customStyle="1" w:styleId="TextChar">
    <w:name w:val="Text Char"/>
    <w:link w:val="Text"/>
    <w:rsid w:val="0069041A"/>
    <w:rPr>
      <w:sz w:val="24"/>
      <w:lang w:val="en-US" w:eastAsia="en-US" w:bidi="ar-SA"/>
    </w:rPr>
  </w:style>
  <w:style w:type="table" w:styleId="TableGrid">
    <w:name w:val="Table Grid"/>
    <w:basedOn w:val="TableNormal"/>
    <w:rsid w:val="0069041A"/>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Normal"/>
    <w:rsid w:val="003133CE"/>
    <w:pPr>
      <w:tabs>
        <w:tab w:val="left" w:pos="567"/>
        <w:tab w:val="left" w:pos="4536"/>
      </w:tabs>
      <w:spacing w:line="260" w:lineRule="exact"/>
      <w:jc w:val="both"/>
    </w:pPr>
    <w:rPr>
      <w:b/>
      <w:sz w:val="22"/>
      <w:lang w:val="en-GB"/>
    </w:rPr>
  </w:style>
  <w:style w:type="character" w:customStyle="1" w:styleId="TableChar">
    <w:name w:val="Table Char"/>
    <w:link w:val="Table"/>
    <w:rsid w:val="00932ED4"/>
    <w:rPr>
      <w:rFonts w:ascii="Arial" w:hAnsi="Arial"/>
      <w:lang w:val="en-US" w:eastAsia="en-US" w:bidi="ar-SA"/>
    </w:rPr>
  </w:style>
  <w:style w:type="paragraph" w:customStyle="1" w:styleId="Listlevel1">
    <w:name w:val="List level 1"/>
    <w:basedOn w:val="Normal"/>
    <w:rsid w:val="004A63A0"/>
    <w:pPr>
      <w:spacing w:before="40" w:after="20"/>
      <w:ind w:left="425" w:hanging="425"/>
    </w:pPr>
    <w:rPr>
      <w:sz w:val="24"/>
    </w:rPr>
  </w:style>
  <w:style w:type="character" w:customStyle="1" w:styleId="EndnoteTextChar">
    <w:name w:val="Endnote Text Char"/>
    <w:link w:val="EndnoteText"/>
    <w:rsid w:val="00EA0B5C"/>
    <w:rPr>
      <w:sz w:val="22"/>
      <w:lang w:val="da-DK" w:eastAsia="en-US" w:bidi="ar-SA"/>
    </w:rPr>
  </w:style>
  <w:style w:type="paragraph" w:customStyle="1" w:styleId="1">
    <w:name w:val="1"/>
    <w:basedOn w:val="Normal"/>
    <w:rsid w:val="005331BE"/>
    <w:pPr>
      <w:spacing w:after="160" w:line="240" w:lineRule="exact"/>
    </w:pPr>
    <w:rPr>
      <w:rFonts w:ascii="Verdana" w:hAnsi="Verdana" w:cs="Verdana"/>
      <w:lang w:val="en-GB"/>
    </w:rPr>
  </w:style>
  <w:style w:type="paragraph" w:customStyle="1" w:styleId="Nottoc-headings">
    <w:name w:val="Not toc-headings"/>
    <w:basedOn w:val="Normal"/>
    <w:next w:val="Text"/>
    <w:link w:val="Nottoc-headingsChar"/>
    <w:rsid w:val="009313F9"/>
    <w:pPr>
      <w:keepNext/>
      <w:keepLines/>
      <w:spacing w:before="240" w:after="60"/>
      <w:ind w:left="1701" w:hanging="1701"/>
    </w:pPr>
    <w:rPr>
      <w:rFonts w:ascii="Arial" w:hAnsi="Arial"/>
      <w:b/>
      <w:sz w:val="24"/>
    </w:rPr>
  </w:style>
  <w:style w:type="character" w:customStyle="1" w:styleId="Nottoc-headingsChar">
    <w:name w:val="Not toc-headings Char"/>
    <w:link w:val="Nottoc-headings"/>
    <w:rsid w:val="009313F9"/>
    <w:rPr>
      <w:rFonts w:ascii="Arial" w:hAnsi="Arial"/>
      <w:b/>
      <w:sz w:val="24"/>
      <w:lang w:val="en-US" w:eastAsia="en-US" w:bidi="ar-SA"/>
    </w:rPr>
  </w:style>
  <w:style w:type="paragraph" w:customStyle="1" w:styleId="Style">
    <w:name w:val="Style"/>
    <w:basedOn w:val="Normal"/>
    <w:rsid w:val="00EB1C88"/>
    <w:pPr>
      <w:spacing w:after="160" w:line="240" w:lineRule="exact"/>
    </w:pPr>
    <w:rPr>
      <w:rFonts w:ascii="Verdana" w:hAnsi="Verdana" w:cs="Verdana"/>
      <w:lang w:val="en-GB"/>
    </w:rPr>
  </w:style>
  <w:style w:type="paragraph" w:customStyle="1" w:styleId="knZulassung01">
    <w:name w:val="knZulassung01"/>
    <w:basedOn w:val="Normal"/>
    <w:rsid w:val="00787294"/>
    <w:pPr>
      <w:suppressAutoHyphens/>
      <w:autoSpaceDE w:val="0"/>
      <w:autoSpaceDN w:val="0"/>
      <w:ind w:left="1843" w:right="284" w:hanging="1843"/>
    </w:pPr>
    <w:rPr>
      <w:rFonts w:ascii="Courier" w:hAnsi="Courier"/>
      <w:noProof/>
      <w:sz w:val="24"/>
      <w:szCs w:val="24"/>
      <w:lang w:eastAsia="de-DE"/>
    </w:rPr>
  </w:style>
  <w:style w:type="paragraph" w:styleId="Revision">
    <w:name w:val="Revision"/>
    <w:hidden/>
    <w:uiPriority w:val="99"/>
    <w:semiHidden/>
    <w:rsid w:val="00872821"/>
    <w:rPr>
      <w:lang w:val="en-US" w:eastAsia="en-US"/>
    </w:rPr>
  </w:style>
  <w:style w:type="character" w:customStyle="1" w:styleId="shorttext">
    <w:name w:val="short_text"/>
    <w:rsid w:val="00467347"/>
  </w:style>
  <w:style w:type="character" w:customStyle="1" w:styleId="hps">
    <w:name w:val="hps"/>
    <w:rsid w:val="00467347"/>
  </w:style>
  <w:style w:type="character" w:customStyle="1" w:styleId="CommentTextChar">
    <w:name w:val="Comment Text Char"/>
    <w:aliases w:val="Comment Text Char1 Char Char,Comment Text Char Char Char Char,Comment Text Char1 Char1"/>
    <w:link w:val="CommentText"/>
    <w:uiPriority w:val="99"/>
    <w:rsid w:val="00312C59"/>
    <w:rPr>
      <w:lang w:val="en-GB"/>
    </w:rPr>
  </w:style>
  <w:style w:type="character" w:styleId="Hyperlink">
    <w:name w:val="Hyperlink"/>
    <w:uiPriority w:val="99"/>
    <w:rsid w:val="00E53600"/>
    <w:rPr>
      <w:color w:val="0000FF"/>
      <w:u w:val="single"/>
    </w:rPr>
  </w:style>
  <w:style w:type="character" w:styleId="FollowedHyperlink">
    <w:name w:val="FollowedHyperlink"/>
    <w:uiPriority w:val="99"/>
    <w:semiHidden/>
    <w:unhideWhenUsed/>
    <w:rsid w:val="00E53600"/>
    <w:rPr>
      <w:color w:val="800080"/>
      <w:u w:val="single"/>
    </w:rPr>
  </w:style>
  <w:style w:type="paragraph" w:customStyle="1" w:styleId="Default">
    <w:name w:val="Default"/>
    <w:rsid w:val="00B10202"/>
    <w:pPr>
      <w:autoSpaceDE w:val="0"/>
      <w:autoSpaceDN w:val="0"/>
      <w:adjustRightInd w:val="0"/>
    </w:pPr>
    <w:rPr>
      <w:rFonts w:ascii="Calibri" w:hAnsi="Calibri" w:cs="Calibri"/>
      <w:color w:val="000000"/>
      <w:sz w:val="24"/>
      <w:szCs w:val="24"/>
      <w:lang w:val="en-US" w:eastAsia="en-US"/>
    </w:rPr>
  </w:style>
  <w:style w:type="paragraph" w:styleId="NormalWeb">
    <w:name w:val="Normal (Web)"/>
    <w:basedOn w:val="Normal"/>
    <w:uiPriority w:val="99"/>
    <w:unhideWhenUsed/>
    <w:rsid w:val="000227FD"/>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7C7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C7785"/>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735">
      <w:bodyDiv w:val="1"/>
      <w:marLeft w:val="0"/>
      <w:marRight w:val="0"/>
      <w:marTop w:val="0"/>
      <w:marBottom w:val="0"/>
      <w:divBdr>
        <w:top w:val="none" w:sz="0" w:space="0" w:color="auto"/>
        <w:left w:val="none" w:sz="0" w:space="0" w:color="auto"/>
        <w:bottom w:val="none" w:sz="0" w:space="0" w:color="auto"/>
        <w:right w:val="none" w:sz="0" w:space="0" w:color="auto"/>
      </w:divBdr>
    </w:div>
    <w:div w:id="25640827">
      <w:bodyDiv w:val="1"/>
      <w:marLeft w:val="0"/>
      <w:marRight w:val="0"/>
      <w:marTop w:val="0"/>
      <w:marBottom w:val="0"/>
      <w:divBdr>
        <w:top w:val="none" w:sz="0" w:space="0" w:color="auto"/>
        <w:left w:val="none" w:sz="0" w:space="0" w:color="auto"/>
        <w:bottom w:val="none" w:sz="0" w:space="0" w:color="auto"/>
        <w:right w:val="none" w:sz="0" w:space="0" w:color="auto"/>
      </w:divBdr>
    </w:div>
    <w:div w:id="177696661">
      <w:bodyDiv w:val="1"/>
      <w:marLeft w:val="0"/>
      <w:marRight w:val="0"/>
      <w:marTop w:val="0"/>
      <w:marBottom w:val="0"/>
      <w:divBdr>
        <w:top w:val="none" w:sz="0" w:space="0" w:color="auto"/>
        <w:left w:val="none" w:sz="0" w:space="0" w:color="auto"/>
        <w:bottom w:val="none" w:sz="0" w:space="0" w:color="auto"/>
        <w:right w:val="none" w:sz="0" w:space="0" w:color="auto"/>
      </w:divBdr>
    </w:div>
    <w:div w:id="190458682">
      <w:bodyDiv w:val="1"/>
      <w:marLeft w:val="0"/>
      <w:marRight w:val="0"/>
      <w:marTop w:val="0"/>
      <w:marBottom w:val="0"/>
      <w:divBdr>
        <w:top w:val="none" w:sz="0" w:space="0" w:color="auto"/>
        <w:left w:val="none" w:sz="0" w:space="0" w:color="auto"/>
        <w:bottom w:val="none" w:sz="0" w:space="0" w:color="auto"/>
        <w:right w:val="none" w:sz="0" w:space="0" w:color="auto"/>
      </w:divBdr>
    </w:div>
    <w:div w:id="208802830">
      <w:bodyDiv w:val="1"/>
      <w:marLeft w:val="0"/>
      <w:marRight w:val="0"/>
      <w:marTop w:val="0"/>
      <w:marBottom w:val="0"/>
      <w:divBdr>
        <w:top w:val="none" w:sz="0" w:space="0" w:color="auto"/>
        <w:left w:val="none" w:sz="0" w:space="0" w:color="auto"/>
        <w:bottom w:val="none" w:sz="0" w:space="0" w:color="auto"/>
        <w:right w:val="none" w:sz="0" w:space="0" w:color="auto"/>
      </w:divBdr>
    </w:div>
    <w:div w:id="232131199">
      <w:bodyDiv w:val="1"/>
      <w:marLeft w:val="0"/>
      <w:marRight w:val="0"/>
      <w:marTop w:val="0"/>
      <w:marBottom w:val="0"/>
      <w:divBdr>
        <w:top w:val="none" w:sz="0" w:space="0" w:color="auto"/>
        <w:left w:val="none" w:sz="0" w:space="0" w:color="auto"/>
        <w:bottom w:val="none" w:sz="0" w:space="0" w:color="auto"/>
        <w:right w:val="none" w:sz="0" w:space="0" w:color="auto"/>
      </w:divBdr>
      <w:divsChild>
        <w:div w:id="1232158858">
          <w:marLeft w:val="0"/>
          <w:marRight w:val="0"/>
          <w:marTop w:val="0"/>
          <w:marBottom w:val="0"/>
          <w:divBdr>
            <w:top w:val="none" w:sz="0" w:space="0" w:color="auto"/>
            <w:left w:val="none" w:sz="0" w:space="0" w:color="auto"/>
            <w:bottom w:val="none" w:sz="0" w:space="0" w:color="auto"/>
            <w:right w:val="none" w:sz="0" w:space="0" w:color="auto"/>
          </w:divBdr>
          <w:divsChild>
            <w:div w:id="434636999">
              <w:marLeft w:val="0"/>
              <w:marRight w:val="0"/>
              <w:marTop w:val="0"/>
              <w:marBottom w:val="0"/>
              <w:divBdr>
                <w:top w:val="none" w:sz="0" w:space="0" w:color="auto"/>
                <w:left w:val="none" w:sz="0" w:space="0" w:color="auto"/>
                <w:bottom w:val="none" w:sz="0" w:space="0" w:color="auto"/>
                <w:right w:val="none" w:sz="0" w:space="0" w:color="auto"/>
              </w:divBdr>
              <w:divsChild>
                <w:div w:id="1456634719">
                  <w:marLeft w:val="0"/>
                  <w:marRight w:val="0"/>
                  <w:marTop w:val="0"/>
                  <w:marBottom w:val="0"/>
                  <w:divBdr>
                    <w:top w:val="none" w:sz="0" w:space="0" w:color="auto"/>
                    <w:left w:val="none" w:sz="0" w:space="0" w:color="auto"/>
                    <w:bottom w:val="none" w:sz="0" w:space="0" w:color="auto"/>
                    <w:right w:val="none" w:sz="0" w:space="0" w:color="auto"/>
                  </w:divBdr>
                  <w:divsChild>
                    <w:div w:id="1519352476">
                      <w:marLeft w:val="0"/>
                      <w:marRight w:val="0"/>
                      <w:marTop w:val="0"/>
                      <w:marBottom w:val="0"/>
                      <w:divBdr>
                        <w:top w:val="none" w:sz="0" w:space="0" w:color="auto"/>
                        <w:left w:val="none" w:sz="0" w:space="0" w:color="auto"/>
                        <w:bottom w:val="none" w:sz="0" w:space="0" w:color="auto"/>
                        <w:right w:val="none" w:sz="0" w:space="0" w:color="auto"/>
                      </w:divBdr>
                      <w:divsChild>
                        <w:div w:id="1667830344">
                          <w:marLeft w:val="0"/>
                          <w:marRight w:val="0"/>
                          <w:marTop w:val="0"/>
                          <w:marBottom w:val="0"/>
                          <w:divBdr>
                            <w:top w:val="none" w:sz="0" w:space="0" w:color="auto"/>
                            <w:left w:val="none" w:sz="0" w:space="0" w:color="auto"/>
                            <w:bottom w:val="none" w:sz="0" w:space="0" w:color="auto"/>
                            <w:right w:val="none" w:sz="0" w:space="0" w:color="auto"/>
                          </w:divBdr>
                          <w:divsChild>
                            <w:div w:id="320012808">
                              <w:marLeft w:val="2700"/>
                              <w:marRight w:val="3960"/>
                              <w:marTop w:val="0"/>
                              <w:marBottom w:val="0"/>
                              <w:divBdr>
                                <w:top w:val="none" w:sz="0" w:space="0" w:color="auto"/>
                                <w:left w:val="none" w:sz="0" w:space="0" w:color="auto"/>
                                <w:bottom w:val="none" w:sz="0" w:space="0" w:color="auto"/>
                                <w:right w:val="none" w:sz="0" w:space="0" w:color="auto"/>
                              </w:divBdr>
                              <w:divsChild>
                                <w:div w:id="1960718420">
                                  <w:marLeft w:val="0"/>
                                  <w:marRight w:val="0"/>
                                  <w:marTop w:val="0"/>
                                  <w:marBottom w:val="0"/>
                                  <w:divBdr>
                                    <w:top w:val="none" w:sz="0" w:space="0" w:color="auto"/>
                                    <w:left w:val="none" w:sz="0" w:space="0" w:color="auto"/>
                                    <w:bottom w:val="none" w:sz="0" w:space="0" w:color="auto"/>
                                    <w:right w:val="none" w:sz="0" w:space="0" w:color="auto"/>
                                  </w:divBdr>
                                  <w:divsChild>
                                    <w:div w:id="1135567068">
                                      <w:marLeft w:val="0"/>
                                      <w:marRight w:val="0"/>
                                      <w:marTop w:val="0"/>
                                      <w:marBottom w:val="0"/>
                                      <w:divBdr>
                                        <w:top w:val="none" w:sz="0" w:space="0" w:color="auto"/>
                                        <w:left w:val="none" w:sz="0" w:space="0" w:color="auto"/>
                                        <w:bottom w:val="none" w:sz="0" w:space="0" w:color="auto"/>
                                        <w:right w:val="none" w:sz="0" w:space="0" w:color="auto"/>
                                      </w:divBdr>
                                      <w:divsChild>
                                        <w:div w:id="102844262">
                                          <w:marLeft w:val="0"/>
                                          <w:marRight w:val="0"/>
                                          <w:marTop w:val="0"/>
                                          <w:marBottom w:val="0"/>
                                          <w:divBdr>
                                            <w:top w:val="none" w:sz="0" w:space="0" w:color="auto"/>
                                            <w:left w:val="none" w:sz="0" w:space="0" w:color="auto"/>
                                            <w:bottom w:val="none" w:sz="0" w:space="0" w:color="auto"/>
                                            <w:right w:val="none" w:sz="0" w:space="0" w:color="auto"/>
                                          </w:divBdr>
                                          <w:divsChild>
                                            <w:div w:id="104541587">
                                              <w:marLeft w:val="0"/>
                                              <w:marRight w:val="0"/>
                                              <w:marTop w:val="90"/>
                                              <w:marBottom w:val="0"/>
                                              <w:divBdr>
                                                <w:top w:val="none" w:sz="0" w:space="0" w:color="auto"/>
                                                <w:left w:val="none" w:sz="0" w:space="0" w:color="auto"/>
                                                <w:bottom w:val="none" w:sz="0" w:space="0" w:color="auto"/>
                                                <w:right w:val="none" w:sz="0" w:space="0" w:color="auto"/>
                                              </w:divBdr>
                                              <w:divsChild>
                                                <w:div w:id="1254628164">
                                                  <w:marLeft w:val="0"/>
                                                  <w:marRight w:val="0"/>
                                                  <w:marTop w:val="0"/>
                                                  <w:marBottom w:val="0"/>
                                                  <w:divBdr>
                                                    <w:top w:val="none" w:sz="0" w:space="0" w:color="auto"/>
                                                    <w:left w:val="none" w:sz="0" w:space="0" w:color="auto"/>
                                                    <w:bottom w:val="none" w:sz="0" w:space="0" w:color="auto"/>
                                                    <w:right w:val="none" w:sz="0" w:space="0" w:color="auto"/>
                                                  </w:divBdr>
                                                  <w:divsChild>
                                                    <w:div w:id="587927375">
                                                      <w:marLeft w:val="0"/>
                                                      <w:marRight w:val="0"/>
                                                      <w:marTop w:val="0"/>
                                                      <w:marBottom w:val="405"/>
                                                      <w:divBdr>
                                                        <w:top w:val="none" w:sz="0" w:space="0" w:color="auto"/>
                                                        <w:left w:val="none" w:sz="0" w:space="0" w:color="auto"/>
                                                        <w:bottom w:val="none" w:sz="0" w:space="0" w:color="auto"/>
                                                        <w:right w:val="none" w:sz="0" w:space="0" w:color="auto"/>
                                                      </w:divBdr>
                                                      <w:divsChild>
                                                        <w:div w:id="304239122">
                                                          <w:marLeft w:val="0"/>
                                                          <w:marRight w:val="0"/>
                                                          <w:marTop w:val="0"/>
                                                          <w:marBottom w:val="0"/>
                                                          <w:divBdr>
                                                            <w:top w:val="none" w:sz="0" w:space="0" w:color="auto"/>
                                                            <w:left w:val="none" w:sz="0" w:space="0" w:color="auto"/>
                                                            <w:bottom w:val="none" w:sz="0" w:space="0" w:color="auto"/>
                                                            <w:right w:val="none" w:sz="0" w:space="0" w:color="auto"/>
                                                          </w:divBdr>
                                                          <w:divsChild>
                                                            <w:div w:id="1076635578">
                                                              <w:marLeft w:val="0"/>
                                                              <w:marRight w:val="0"/>
                                                              <w:marTop w:val="0"/>
                                                              <w:marBottom w:val="0"/>
                                                              <w:divBdr>
                                                                <w:top w:val="none" w:sz="0" w:space="0" w:color="auto"/>
                                                                <w:left w:val="none" w:sz="0" w:space="0" w:color="auto"/>
                                                                <w:bottom w:val="none" w:sz="0" w:space="0" w:color="auto"/>
                                                                <w:right w:val="none" w:sz="0" w:space="0" w:color="auto"/>
                                                              </w:divBdr>
                                                              <w:divsChild>
                                                                <w:div w:id="735709870">
                                                                  <w:marLeft w:val="0"/>
                                                                  <w:marRight w:val="0"/>
                                                                  <w:marTop w:val="0"/>
                                                                  <w:marBottom w:val="0"/>
                                                                  <w:divBdr>
                                                                    <w:top w:val="none" w:sz="0" w:space="0" w:color="auto"/>
                                                                    <w:left w:val="none" w:sz="0" w:space="0" w:color="auto"/>
                                                                    <w:bottom w:val="none" w:sz="0" w:space="0" w:color="auto"/>
                                                                    <w:right w:val="none" w:sz="0" w:space="0" w:color="auto"/>
                                                                  </w:divBdr>
                                                                  <w:divsChild>
                                                                    <w:div w:id="1641033796">
                                                                      <w:marLeft w:val="0"/>
                                                                      <w:marRight w:val="0"/>
                                                                      <w:marTop w:val="0"/>
                                                                      <w:marBottom w:val="0"/>
                                                                      <w:divBdr>
                                                                        <w:top w:val="none" w:sz="0" w:space="0" w:color="auto"/>
                                                                        <w:left w:val="none" w:sz="0" w:space="0" w:color="auto"/>
                                                                        <w:bottom w:val="none" w:sz="0" w:space="0" w:color="auto"/>
                                                                        <w:right w:val="none" w:sz="0" w:space="0" w:color="auto"/>
                                                                      </w:divBdr>
                                                                      <w:divsChild>
                                                                        <w:div w:id="1561205347">
                                                                          <w:marLeft w:val="0"/>
                                                                          <w:marRight w:val="0"/>
                                                                          <w:marTop w:val="0"/>
                                                                          <w:marBottom w:val="0"/>
                                                                          <w:divBdr>
                                                                            <w:top w:val="none" w:sz="0" w:space="0" w:color="auto"/>
                                                                            <w:left w:val="none" w:sz="0" w:space="0" w:color="auto"/>
                                                                            <w:bottom w:val="none" w:sz="0" w:space="0" w:color="auto"/>
                                                                            <w:right w:val="none" w:sz="0" w:space="0" w:color="auto"/>
                                                                          </w:divBdr>
                                                                          <w:divsChild>
                                                                            <w:div w:id="358510515">
                                                                              <w:marLeft w:val="0"/>
                                                                              <w:marRight w:val="0"/>
                                                                              <w:marTop w:val="0"/>
                                                                              <w:marBottom w:val="0"/>
                                                                              <w:divBdr>
                                                                                <w:top w:val="none" w:sz="0" w:space="0" w:color="auto"/>
                                                                                <w:left w:val="none" w:sz="0" w:space="0" w:color="auto"/>
                                                                                <w:bottom w:val="none" w:sz="0" w:space="0" w:color="auto"/>
                                                                                <w:right w:val="none" w:sz="0" w:space="0" w:color="auto"/>
                                                                              </w:divBdr>
                                                                              <w:divsChild>
                                                                                <w:div w:id="1592928306">
                                                                                  <w:marLeft w:val="0"/>
                                                                                  <w:marRight w:val="0"/>
                                                                                  <w:marTop w:val="0"/>
                                                                                  <w:marBottom w:val="0"/>
                                                                                  <w:divBdr>
                                                                                    <w:top w:val="none" w:sz="0" w:space="0" w:color="auto"/>
                                                                                    <w:left w:val="none" w:sz="0" w:space="0" w:color="auto"/>
                                                                                    <w:bottom w:val="none" w:sz="0" w:space="0" w:color="auto"/>
                                                                                    <w:right w:val="none" w:sz="0" w:space="0" w:color="auto"/>
                                                                                  </w:divBdr>
                                                                                  <w:divsChild>
                                                                                    <w:div w:id="989990348">
                                                                                      <w:marLeft w:val="0"/>
                                                                                      <w:marRight w:val="0"/>
                                                                                      <w:marTop w:val="0"/>
                                                                                      <w:marBottom w:val="0"/>
                                                                                      <w:divBdr>
                                                                                        <w:top w:val="none" w:sz="0" w:space="0" w:color="auto"/>
                                                                                        <w:left w:val="none" w:sz="0" w:space="0" w:color="auto"/>
                                                                                        <w:bottom w:val="none" w:sz="0" w:space="0" w:color="auto"/>
                                                                                        <w:right w:val="none" w:sz="0" w:space="0" w:color="auto"/>
                                                                                      </w:divBdr>
                                                                                      <w:divsChild>
                                                                                        <w:div w:id="18879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849530">
      <w:bodyDiv w:val="1"/>
      <w:marLeft w:val="0"/>
      <w:marRight w:val="0"/>
      <w:marTop w:val="0"/>
      <w:marBottom w:val="0"/>
      <w:divBdr>
        <w:top w:val="none" w:sz="0" w:space="0" w:color="auto"/>
        <w:left w:val="none" w:sz="0" w:space="0" w:color="auto"/>
        <w:bottom w:val="none" w:sz="0" w:space="0" w:color="auto"/>
        <w:right w:val="none" w:sz="0" w:space="0" w:color="auto"/>
      </w:divBdr>
    </w:div>
    <w:div w:id="284897582">
      <w:bodyDiv w:val="1"/>
      <w:marLeft w:val="0"/>
      <w:marRight w:val="0"/>
      <w:marTop w:val="0"/>
      <w:marBottom w:val="0"/>
      <w:divBdr>
        <w:top w:val="none" w:sz="0" w:space="0" w:color="auto"/>
        <w:left w:val="none" w:sz="0" w:space="0" w:color="auto"/>
        <w:bottom w:val="none" w:sz="0" w:space="0" w:color="auto"/>
        <w:right w:val="none" w:sz="0" w:space="0" w:color="auto"/>
      </w:divBdr>
    </w:div>
    <w:div w:id="403913946">
      <w:bodyDiv w:val="1"/>
      <w:marLeft w:val="0"/>
      <w:marRight w:val="0"/>
      <w:marTop w:val="0"/>
      <w:marBottom w:val="0"/>
      <w:divBdr>
        <w:top w:val="none" w:sz="0" w:space="0" w:color="auto"/>
        <w:left w:val="none" w:sz="0" w:space="0" w:color="auto"/>
        <w:bottom w:val="none" w:sz="0" w:space="0" w:color="auto"/>
        <w:right w:val="none" w:sz="0" w:space="0" w:color="auto"/>
      </w:divBdr>
    </w:div>
    <w:div w:id="448554651">
      <w:bodyDiv w:val="1"/>
      <w:marLeft w:val="0"/>
      <w:marRight w:val="0"/>
      <w:marTop w:val="0"/>
      <w:marBottom w:val="0"/>
      <w:divBdr>
        <w:top w:val="none" w:sz="0" w:space="0" w:color="auto"/>
        <w:left w:val="none" w:sz="0" w:space="0" w:color="auto"/>
        <w:bottom w:val="none" w:sz="0" w:space="0" w:color="auto"/>
        <w:right w:val="none" w:sz="0" w:space="0" w:color="auto"/>
      </w:divBdr>
    </w:div>
    <w:div w:id="509103247">
      <w:bodyDiv w:val="1"/>
      <w:marLeft w:val="0"/>
      <w:marRight w:val="0"/>
      <w:marTop w:val="0"/>
      <w:marBottom w:val="0"/>
      <w:divBdr>
        <w:top w:val="none" w:sz="0" w:space="0" w:color="auto"/>
        <w:left w:val="none" w:sz="0" w:space="0" w:color="auto"/>
        <w:bottom w:val="none" w:sz="0" w:space="0" w:color="auto"/>
        <w:right w:val="none" w:sz="0" w:space="0" w:color="auto"/>
      </w:divBdr>
    </w:div>
    <w:div w:id="536357564">
      <w:bodyDiv w:val="1"/>
      <w:marLeft w:val="0"/>
      <w:marRight w:val="0"/>
      <w:marTop w:val="0"/>
      <w:marBottom w:val="0"/>
      <w:divBdr>
        <w:top w:val="none" w:sz="0" w:space="0" w:color="auto"/>
        <w:left w:val="none" w:sz="0" w:space="0" w:color="auto"/>
        <w:bottom w:val="none" w:sz="0" w:space="0" w:color="auto"/>
        <w:right w:val="none" w:sz="0" w:space="0" w:color="auto"/>
      </w:divBdr>
    </w:div>
    <w:div w:id="553278658">
      <w:bodyDiv w:val="1"/>
      <w:marLeft w:val="0"/>
      <w:marRight w:val="0"/>
      <w:marTop w:val="0"/>
      <w:marBottom w:val="0"/>
      <w:divBdr>
        <w:top w:val="none" w:sz="0" w:space="0" w:color="auto"/>
        <w:left w:val="none" w:sz="0" w:space="0" w:color="auto"/>
        <w:bottom w:val="none" w:sz="0" w:space="0" w:color="auto"/>
        <w:right w:val="none" w:sz="0" w:space="0" w:color="auto"/>
      </w:divBdr>
    </w:div>
    <w:div w:id="556089932">
      <w:bodyDiv w:val="1"/>
      <w:marLeft w:val="0"/>
      <w:marRight w:val="0"/>
      <w:marTop w:val="0"/>
      <w:marBottom w:val="0"/>
      <w:divBdr>
        <w:top w:val="none" w:sz="0" w:space="0" w:color="auto"/>
        <w:left w:val="none" w:sz="0" w:space="0" w:color="auto"/>
        <w:bottom w:val="none" w:sz="0" w:space="0" w:color="auto"/>
        <w:right w:val="none" w:sz="0" w:space="0" w:color="auto"/>
      </w:divBdr>
    </w:div>
    <w:div w:id="597565809">
      <w:bodyDiv w:val="1"/>
      <w:marLeft w:val="0"/>
      <w:marRight w:val="0"/>
      <w:marTop w:val="0"/>
      <w:marBottom w:val="0"/>
      <w:divBdr>
        <w:top w:val="none" w:sz="0" w:space="0" w:color="auto"/>
        <w:left w:val="none" w:sz="0" w:space="0" w:color="auto"/>
        <w:bottom w:val="none" w:sz="0" w:space="0" w:color="auto"/>
        <w:right w:val="none" w:sz="0" w:space="0" w:color="auto"/>
      </w:divBdr>
    </w:div>
    <w:div w:id="622542142">
      <w:bodyDiv w:val="1"/>
      <w:marLeft w:val="0"/>
      <w:marRight w:val="0"/>
      <w:marTop w:val="0"/>
      <w:marBottom w:val="0"/>
      <w:divBdr>
        <w:top w:val="none" w:sz="0" w:space="0" w:color="auto"/>
        <w:left w:val="none" w:sz="0" w:space="0" w:color="auto"/>
        <w:bottom w:val="none" w:sz="0" w:space="0" w:color="auto"/>
        <w:right w:val="none" w:sz="0" w:space="0" w:color="auto"/>
      </w:divBdr>
    </w:div>
    <w:div w:id="624624069">
      <w:bodyDiv w:val="1"/>
      <w:marLeft w:val="0"/>
      <w:marRight w:val="0"/>
      <w:marTop w:val="0"/>
      <w:marBottom w:val="0"/>
      <w:divBdr>
        <w:top w:val="none" w:sz="0" w:space="0" w:color="auto"/>
        <w:left w:val="none" w:sz="0" w:space="0" w:color="auto"/>
        <w:bottom w:val="none" w:sz="0" w:space="0" w:color="auto"/>
        <w:right w:val="none" w:sz="0" w:space="0" w:color="auto"/>
      </w:divBdr>
    </w:div>
    <w:div w:id="636379500">
      <w:bodyDiv w:val="1"/>
      <w:marLeft w:val="0"/>
      <w:marRight w:val="0"/>
      <w:marTop w:val="0"/>
      <w:marBottom w:val="0"/>
      <w:divBdr>
        <w:top w:val="none" w:sz="0" w:space="0" w:color="auto"/>
        <w:left w:val="none" w:sz="0" w:space="0" w:color="auto"/>
        <w:bottom w:val="none" w:sz="0" w:space="0" w:color="auto"/>
        <w:right w:val="none" w:sz="0" w:space="0" w:color="auto"/>
      </w:divBdr>
    </w:div>
    <w:div w:id="640307335">
      <w:bodyDiv w:val="1"/>
      <w:marLeft w:val="0"/>
      <w:marRight w:val="0"/>
      <w:marTop w:val="0"/>
      <w:marBottom w:val="0"/>
      <w:divBdr>
        <w:top w:val="none" w:sz="0" w:space="0" w:color="auto"/>
        <w:left w:val="none" w:sz="0" w:space="0" w:color="auto"/>
        <w:bottom w:val="none" w:sz="0" w:space="0" w:color="auto"/>
        <w:right w:val="none" w:sz="0" w:space="0" w:color="auto"/>
      </w:divBdr>
    </w:div>
    <w:div w:id="653291057">
      <w:bodyDiv w:val="1"/>
      <w:marLeft w:val="0"/>
      <w:marRight w:val="0"/>
      <w:marTop w:val="0"/>
      <w:marBottom w:val="0"/>
      <w:divBdr>
        <w:top w:val="none" w:sz="0" w:space="0" w:color="auto"/>
        <w:left w:val="none" w:sz="0" w:space="0" w:color="auto"/>
        <w:bottom w:val="none" w:sz="0" w:space="0" w:color="auto"/>
        <w:right w:val="none" w:sz="0" w:space="0" w:color="auto"/>
      </w:divBdr>
      <w:divsChild>
        <w:div w:id="301427627">
          <w:marLeft w:val="0"/>
          <w:marRight w:val="0"/>
          <w:marTop w:val="0"/>
          <w:marBottom w:val="0"/>
          <w:divBdr>
            <w:top w:val="none" w:sz="0" w:space="0" w:color="auto"/>
            <w:left w:val="none" w:sz="0" w:space="0" w:color="auto"/>
            <w:bottom w:val="none" w:sz="0" w:space="0" w:color="auto"/>
            <w:right w:val="none" w:sz="0" w:space="0" w:color="auto"/>
          </w:divBdr>
          <w:divsChild>
            <w:div w:id="1986271548">
              <w:marLeft w:val="0"/>
              <w:marRight w:val="0"/>
              <w:marTop w:val="0"/>
              <w:marBottom w:val="0"/>
              <w:divBdr>
                <w:top w:val="none" w:sz="0" w:space="0" w:color="auto"/>
                <w:left w:val="none" w:sz="0" w:space="0" w:color="auto"/>
                <w:bottom w:val="none" w:sz="0" w:space="0" w:color="auto"/>
                <w:right w:val="none" w:sz="0" w:space="0" w:color="auto"/>
              </w:divBdr>
              <w:divsChild>
                <w:div w:id="55250618">
                  <w:marLeft w:val="0"/>
                  <w:marRight w:val="0"/>
                  <w:marTop w:val="0"/>
                  <w:marBottom w:val="0"/>
                  <w:divBdr>
                    <w:top w:val="none" w:sz="0" w:space="0" w:color="auto"/>
                    <w:left w:val="none" w:sz="0" w:space="0" w:color="auto"/>
                    <w:bottom w:val="none" w:sz="0" w:space="0" w:color="auto"/>
                    <w:right w:val="none" w:sz="0" w:space="0" w:color="auto"/>
                  </w:divBdr>
                  <w:divsChild>
                    <w:div w:id="233929179">
                      <w:marLeft w:val="0"/>
                      <w:marRight w:val="0"/>
                      <w:marTop w:val="0"/>
                      <w:marBottom w:val="0"/>
                      <w:divBdr>
                        <w:top w:val="none" w:sz="0" w:space="0" w:color="auto"/>
                        <w:left w:val="none" w:sz="0" w:space="0" w:color="auto"/>
                        <w:bottom w:val="none" w:sz="0" w:space="0" w:color="auto"/>
                        <w:right w:val="none" w:sz="0" w:space="0" w:color="auto"/>
                      </w:divBdr>
                      <w:divsChild>
                        <w:div w:id="243686660">
                          <w:marLeft w:val="0"/>
                          <w:marRight w:val="0"/>
                          <w:marTop w:val="0"/>
                          <w:marBottom w:val="0"/>
                          <w:divBdr>
                            <w:top w:val="none" w:sz="0" w:space="0" w:color="auto"/>
                            <w:left w:val="none" w:sz="0" w:space="0" w:color="auto"/>
                            <w:bottom w:val="none" w:sz="0" w:space="0" w:color="auto"/>
                            <w:right w:val="none" w:sz="0" w:space="0" w:color="auto"/>
                          </w:divBdr>
                          <w:divsChild>
                            <w:div w:id="61367036">
                              <w:marLeft w:val="0"/>
                              <w:marRight w:val="0"/>
                              <w:marTop w:val="0"/>
                              <w:marBottom w:val="0"/>
                              <w:divBdr>
                                <w:top w:val="none" w:sz="0" w:space="0" w:color="auto"/>
                                <w:left w:val="none" w:sz="0" w:space="0" w:color="auto"/>
                                <w:bottom w:val="none" w:sz="0" w:space="0" w:color="auto"/>
                                <w:right w:val="none" w:sz="0" w:space="0" w:color="auto"/>
                              </w:divBdr>
                              <w:divsChild>
                                <w:div w:id="7945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754029">
      <w:bodyDiv w:val="1"/>
      <w:marLeft w:val="0"/>
      <w:marRight w:val="0"/>
      <w:marTop w:val="0"/>
      <w:marBottom w:val="0"/>
      <w:divBdr>
        <w:top w:val="none" w:sz="0" w:space="0" w:color="auto"/>
        <w:left w:val="none" w:sz="0" w:space="0" w:color="auto"/>
        <w:bottom w:val="none" w:sz="0" w:space="0" w:color="auto"/>
        <w:right w:val="none" w:sz="0" w:space="0" w:color="auto"/>
      </w:divBdr>
    </w:div>
    <w:div w:id="706685394">
      <w:bodyDiv w:val="1"/>
      <w:marLeft w:val="0"/>
      <w:marRight w:val="0"/>
      <w:marTop w:val="0"/>
      <w:marBottom w:val="0"/>
      <w:divBdr>
        <w:top w:val="none" w:sz="0" w:space="0" w:color="auto"/>
        <w:left w:val="none" w:sz="0" w:space="0" w:color="auto"/>
        <w:bottom w:val="none" w:sz="0" w:space="0" w:color="auto"/>
        <w:right w:val="none" w:sz="0" w:space="0" w:color="auto"/>
      </w:divBdr>
    </w:div>
    <w:div w:id="715545952">
      <w:bodyDiv w:val="1"/>
      <w:marLeft w:val="0"/>
      <w:marRight w:val="0"/>
      <w:marTop w:val="0"/>
      <w:marBottom w:val="0"/>
      <w:divBdr>
        <w:top w:val="none" w:sz="0" w:space="0" w:color="auto"/>
        <w:left w:val="none" w:sz="0" w:space="0" w:color="auto"/>
        <w:bottom w:val="none" w:sz="0" w:space="0" w:color="auto"/>
        <w:right w:val="none" w:sz="0" w:space="0" w:color="auto"/>
      </w:divBdr>
    </w:div>
    <w:div w:id="718477521">
      <w:bodyDiv w:val="1"/>
      <w:marLeft w:val="0"/>
      <w:marRight w:val="0"/>
      <w:marTop w:val="0"/>
      <w:marBottom w:val="0"/>
      <w:divBdr>
        <w:top w:val="none" w:sz="0" w:space="0" w:color="auto"/>
        <w:left w:val="none" w:sz="0" w:space="0" w:color="auto"/>
        <w:bottom w:val="none" w:sz="0" w:space="0" w:color="auto"/>
        <w:right w:val="none" w:sz="0" w:space="0" w:color="auto"/>
      </w:divBdr>
    </w:div>
    <w:div w:id="756249425">
      <w:bodyDiv w:val="1"/>
      <w:marLeft w:val="0"/>
      <w:marRight w:val="0"/>
      <w:marTop w:val="0"/>
      <w:marBottom w:val="0"/>
      <w:divBdr>
        <w:top w:val="none" w:sz="0" w:space="0" w:color="auto"/>
        <w:left w:val="none" w:sz="0" w:space="0" w:color="auto"/>
        <w:bottom w:val="none" w:sz="0" w:space="0" w:color="auto"/>
        <w:right w:val="none" w:sz="0" w:space="0" w:color="auto"/>
      </w:divBdr>
    </w:div>
    <w:div w:id="785738153">
      <w:bodyDiv w:val="1"/>
      <w:marLeft w:val="0"/>
      <w:marRight w:val="0"/>
      <w:marTop w:val="0"/>
      <w:marBottom w:val="0"/>
      <w:divBdr>
        <w:top w:val="none" w:sz="0" w:space="0" w:color="auto"/>
        <w:left w:val="none" w:sz="0" w:space="0" w:color="auto"/>
        <w:bottom w:val="none" w:sz="0" w:space="0" w:color="auto"/>
        <w:right w:val="none" w:sz="0" w:space="0" w:color="auto"/>
      </w:divBdr>
      <w:divsChild>
        <w:div w:id="2066175927">
          <w:marLeft w:val="0"/>
          <w:marRight w:val="0"/>
          <w:marTop w:val="0"/>
          <w:marBottom w:val="0"/>
          <w:divBdr>
            <w:top w:val="none" w:sz="0" w:space="0" w:color="auto"/>
            <w:left w:val="none" w:sz="0" w:space="0" w:color="auto"/>
            <w:bottom w:val="none" w:sz="0" w:space="0" w:color="auto"/>
            <w:right w:val="none" w:sz="0" w:space="0" w:color="auto"/>
          </w:divBdr>
          <w:divsChild>
            <w:div w:id="1761827166">
              <w:marLeft w:val="0"/>
              <w:marRight w:val="0"/>
              <w:marTop w:val="0"/>
              <w:marBottom w:val="0"/>
              <w:divBdr>
                <w:top w:val="none" w:sz="0" w:space="0" w:color="auto"/>
                <w:left w:val="none" w:sz="0" w:space="0" w:color="auto"/>
                <w:bottom w:val="none" w:sz="0" w:space="0" w:color="auto"/>
                <w:right w:val="none" w:sz="0" w:space="0" w:color="auto"/>
              </w:divBdr>
              <w:divsChild>
                <w:div w:id="2067869041">
                  <w:marLeft w:val="0"/>
                  <w:marRight w:val="0"/>
                  <w:marTop w:val="0"/>
                  <w:marBottom w:val="0"/>
                  <w:divBdr>
                    <w:top w:val="none" w:sz="0" w:space="0" w:color="auto"/>
                    <w:left w:val="none" w:sz="0" w:space="0" w:color="auto"/>
                    <w:bottom w:val="none" w:sz="0" w:space="0" w:color="auto"/>
                    <w:right w:val="none" w:sz="0" w:space="0" w:color="auto"/>
                  </w:divBdr>
                  <w:divsChild>
                    <w:div w:id="388461746">
                      <w:marLeft w:val="0"/>
                      <w:marRight w:val="0"/>
                      <w:marTop w:val="0"/>
                      <w:marBottom w:val="0"/>
                      <w:divBdr>
                        <w:top w:val="none" w:sz="0" w:space="0" w:color="auto"/>
                        <w:left w:val="none" w:sz="0" w:space="0" w:color="auto"/>
                        <w:bottom w:val="none" w:sz="0" w:space="0" w:color="auto"/>
                        <w:right w:val="none" w:sz="0" w:space="0" w:color="auto"/>
                      </w:divBdr>
                      <w:divsChild>
                        <w:div w:id="1861963729">
                          <w:marLeft w:val="0"/>
                          <w:marRight w:val="0"/>
                          <w:marTop w:val="0"/>
                          <w:marBottom w:val="0"/>
                          <w:divBdr>
                            <w:top w:val="none" w:sz="0" w:space="0" w:color="auto"/>
                            <w:left w:val="none" w:sz="0" w:space="0" w:color="auto"/>
                            <w:bottom w:val="none" w:sz="0" w:space="0" w:color="auto"/>
                            <w:right w:val="none" w:sz="0" w:space="0" w:color="auto"/>
                          </w:divBdr>
                          <w:divsChild>
                            <w:div w:id="1453859024">
                              <w:marLeft w:val="2700"/>
                              <w:marRight w:val="3960"/>
                              <w:marTop w:val="0"/>
                              <w:marBottom w:val="0"/>
                              <w:divBdr>
                                <w:top w:val="none" w:sz="0" w:space="0" w:color="auto"/>
                                <w:left w:val="none" w:sz="0" w:space="0" w:color="auto"/>
                                <w:bottom w:val="none" w:sz="0" w:space="0" w:color="auto"/>
                                <w:right w:val="none" w:sz="0" w:space="0" w:color="auto"/>
                              </w:divBdr>
                              <w:divsChild>
                                <w:div w:id="1894845640">
                                  <w:marLeft w:val="0"/>
                                  <w:marRight w:val="0"/>
                                  <w:marTop w:val="0"/>
                                  <w:marBottom w:val="0"/>
                                  <w:divBdr>
                                    <w:top w:val="none" w:sz="0" w:space="0" w:color="auto"/>
                                    <w:left w:val="none" w:sz="0" w:space="0" w:color="auto"/>
                                    <w:bottom w:val="none" w:sz="0" w:space="0" w:color="auto"/>
                                    <w:right w:val="none" w:sz="0" w:space="0" w:color="auto"/>
                                  </w:divBdr>
                                  <w:divsChild>
                                    <w:div w:id="1650279058">
                                      <w:marLeft w:val="0"/>
                                      <w:marRight w:val="0"/>
                                      <w:marTop w:val="0"/>
                                      <w:marBottom w:val="0"/>
                                      <w:divBdr>
                                        <w:top w:val="none" w:sz="0" w:space="0" w:color="auto"/>
                                        <w:left w:val="none" w:sz="0" w:space="0" w:color="auto"/>
                                        <w:bottom w:val="none" w:sz="0" w:space="0" w:color="auto"/>
                                        <w:right w:val="none" w:sz="0" w:space="0" w:color="auto"/>
                                      </w:divBdr>
                                      <w:divsChild>
                                        <w:div w:id="311640822">
                                          <w:marLeft w:val="0"/>
                                          <w:marRight w:val="0"/>
                                          <w:marTop w:val="0"/>
                                          <w:marBottom w:val="0"/>
                                          <w:divBdr>
                                            <w:top w:val="none" w:sz="0" w:space="0" w:color="auto"/>
                                            <w:left w:val="none" w:sz="0" w:space="0" w:color="auto"/>
                                            <w:bottom w:val="none" w:sz="0" w:space="0" w:color="auto"/>
                                            <w:right w:val="none" w:sz="0" w:space="0" w:color="auto"/>
                                          </w:divBdr>
                                          <w:divsChild>
                                            <w:div w:id="2106416388">
                                              <w:marLeft w:val="0"/>
                                              <w:marRight w:val="0"/>
                                              <w:marTop w:val="90"/>
                                              <w:marBottom w:val="0"/>
                                              <w:divBdr>
                                                <w:top w:val="none" w:sz="0" w:space="0" w:color="auto"/>
                                                <w:left w:val="none" w:sz="0" w:space="0" w:color="auto"/>
                                                <w:bottom w:val="none" w:sz="0" w:space="0" w:color="auto"/>
                                                <w:right w:val="none" w:sz="0" w:space="0" w:color="auto"/>
                                              </w:divBdr>
                                              <w:divsChild>
                                                <w:div w:id="1373461877">
                                                  <w:marLeft w:val="0"/>
                                                  <w:marRight w:val="0"/>
                                                  <w:marTop w:val="0"/>
                                                  <w:marBottom w:val="0"/>
                                                  <w:divBdr>
                                                    <w:top w:val="none" w:sz="0" w:space="0" w:color="auto"/>
                                                    <w:left w:val="none" w:sz="0" w:space="0" w:color="auto"/>
                                                    <w:bottom w:val="none" w:sz="0" w:space="0" w:color="auto"/>
                                                    <w:right w:val="none" w:sz="0" w:space="0" w:color="auto"/>
                                                  </w:divBdr>
                                                  <w:divsChild>
                                                    <w:div w:id="2033460299">
                                                      <w:marLeft w:val="0"/>
                                                      <w:marRight w:val="0"/>
                                                      <w:marTop w:val="0"/>
                                                      <w:marBottom w:val="405"/>
                                                      <w:divBdr>
                                                        <w:top w:val="none" w:sz="0" w:space="0" w:color="auto"/>
                                                        <w:left w:val="none" w:sz="0" w:space="0" w:color="auto"/>
                                                        <w:bottom w:val="none" w:sz="0" w:space="0" w:color="auto"/>
                                                        <w:right w:val="none" w:sz="0" w:space="0" w:color="auto"/>
                                                      </w:divBdr>
                                                      <w:divsChild>
                                                        <w:div w:id="1745488283">
                                                          <w:marLeft w:val="0"/>
                                                          <w:marRight w:val="0"/>
                                                          <w:marTop w:val="0"/>
                                                          <w:marBottom w:val="0"/>
                                                          <w:divBdr>
                                                            <w:top w:val="none" w:sz="0" w:space="0" w:color="auto"/>
                                                            <w:left w:val="none" w:sz="0" w:space="0" w:color="auto"/>
                                                            <w:bottom w:val="none" w:sz="0" w:space="0" w:color="auto"/>
                                                            <w:right w:val="none" w:sz="0" w:space="0" w:color="auto"/>
                                                          </w:divBdr>
                                                          <w:divsChild>
                                                            <w:div w:id="1622227244">
                                                              <w:marLeft w:val="0"/>
                                                              <w:marRight w:val="0"/>
                                                              <w:marTop w:val="0"/>
                                                              <w:marBottom w:val="0"/>
                                                              <w:divBdr>
                                                                <w:top w:val="none" w:sz="0" w:space="0" w:color="auto"/>
                                                                <w:left w:val="none" w:sz="0" w:space="0" w:color="auto"/>
                                                                <w:bottom w:val="none" w:sz="0" w:space="0" w:color="auto"/>
                                                                <w:right w:val="none" w:sz="0" w:space="0" w:color="auto"/>
                                                              </w:divBdr>
                                                              <w:divsChild>
                                                                <w:div w:id="1844585107">
                                                                  <w:marLeft w:val="0"/>
                                                                  <w:marRight w:val="0"/>
                                                                  <w:marTop w:val="0"/>
                                                                  <w:marBottom w:val="0"/>
                                                                  <w:divBdr>
                                                                    <w:top w:val="none" w:sz="0" w:space="0" w:color="auto"/>
                                                                    <w:left w:val="none" w:sz="0" w:space="0" w:color="auto"/>
                                                                    <w:bottom w:val="none" w:sz="0" w:space="0" w:color="auto"/>
                                                                    <w:right w:val="none" w:sz="0" w:space="0" w:color="auto"/>
                                                                  </w:divBdr>
                                                                  <w:divsChild>
                                                                    <w:div w:id="1218785379">
                                                                      <w:marLeft w:val="0"/>
                                                                      <w:marRight w:val="0"/>
                                                                      <w:marTop w:val="0"/>
                                                                      <w:marBottom w:val="0"/>
                                                                      <w:divBdr>
                                                                        <w:top w:val="none" w:sz="0" w:space="0" w:color="auto"/>
                                                                        <w:left w:val="none" w:sz="0" w:space="0" w:color="auto"/>
                                                                        <w:bottom w:val="none" w:sz="0" w:space="0" w:color="auto"/>
                                                                        <w:right w:val="none" w:sz="0" w:space="0" w:color="auto"/>
                                                                      </w:divBdr>
                                                                      <w:divsChild>
                                                                        <w:div w:id="133375831">
                                                                          <w:marLeft w:val="0"/>
                                                                          <w:marRight w:val="0"/>
                                                                          <w:marTop w:val="0"/>
                                                                          <w:marBottom w:val="0"/>
                                                                          <w:divBdr>
                                                                            <w:top w:val="none" w:sz="0" w:space="0" w:color="auto"/>
                                                                            <w:left w:val="none" w:sz="0" w:space="0" w:color="auto"/>
                                                                            <w:bottom w:val="none" w:sz="0" w:space="0" w:color="auto"/>
                                                                            <w:right w:val="none" w:sz="0" w:space="0" w:color="auto"/>
                                                                          </w:divBdr>
                                                                          <w:divsChild>
                                                                            <w:div w:id="998729392">
                                                                              <w:marLeft w:val="0"/>
                                                                              <w:marRight w:val="0"/>
                                                                              <w:marTop w:val="0"/>
                                                                              <w:marBottom w:val="0"/>
                                                                              <w:divBdr>
                                                                                <w:top w:val="none" w:sz="0" w:space="0" w:color="auto"/>
                                                                                <w:left w:val="none" w:sz="0" w:space="0" w:color="auto"/>
                                                                                <w:bottom w:val="none" w:sz="0" w:space="0" w:color="auto"/>
                                                                                <w:right w:val="none" w:sz="0" w:space="0" w:color="auto"/>
                                                                              </w:divBdr>
                                                                              <w:divsChild>
                                                                                <w:div w:id="475028638">
                                                                                  <w:marLeft w:val="0"/>
                                                                                  <w:marRight w:val="0"/>
                                                                                  <w:marTop w:val="0"/>
                                                                                  <w:marBottom w:val="0"/>
                                                                                  <w:divBdr>
                                                                                    <w:top w:val="none" w:sz="0" w:space="0" w:color="auto"/>
                                                                                    <w:left w:val="none" w:sz="0" w:space="0" w:color="auto"/>
                                                                                    <w:bottom w:val="none" w:sz="0" w:space="0" w:color="auto"/>
                                                                                    <w:right w:val="none" w:sz="0" w:space="0" w:color="auto"/>
                                                                                  </w:divBdr>
                                                                                  <w:divsChild>
                                                                                    <w:div w:id="859246323">
                                                                                      <w:marLeft w:val="0"/>
                                                                                      <w:marRight w:val="0"/>
                                                                                      <w:marTop w:val="0"/>
                                                                                      <w:marBottom w:val="0"/>
                                                                                      <w:divBdr>
                                                                                        <w:top w:val="none" w:sz="0" w:space="0" w:color="auto"/>
                                                                                        <w:left w:val="none" w:sz="0" w:space="0" w:color="auto"/>
                                                                                        <w:bottom w:val="none" w:sz="0" w:space="0" w:color="auto"/>
                                                                                        <w:right w:val="none" w:sz="0" w:space="0" w:color="auto"/>
                                                                                      </w:divBdr>
                                                                                      <w:divsChild>
                                                                                        <w:div w:id="17067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6603772">
      <w:bodyDiv w:val="1"/>
      <w:marLeft w:val="0"/>
      <w:marRight w:val="0"/>
      <w:marTop w:val="0"/>
      <w:marBottom w:val="0"/>
      <w:divBdr>
        <w:top w:val="none" w:sz="0" w:space="0" w:color="auto"/>
        <w:left w:val="none" w:sz="0" w:space="0" w:color="auto"/>
        <w:bottom w:val="none" w:sz="0" w:space="0" w:color="auto"/>
        <w:right w:val="none" w:sz="0" w:space="0" w:color="auto"/>
      </w:divBdr>
    </w:div>
    <w:div w:id="925304782">
      <w:bodyDiv w:val="1"/>
      <w:marLeft w:val="0"/>
      <w:marRight w:val="0"/>
      <w:marTop w:val="0"/>
      <w:marBottom w:val="0"/>
      <w:divBdr>
        <w:top w:val="none" w:sz="0" w:space="0" w:color="auto"/>
        <w:left w:val="none" w:sz="0" w:space="0" w:color="auto"/>
        <w:bottom w:val="none" w:sz="0" w:space="0" w:color="auto"/>
        <w:right w:val="none" w:sz="0" w:space="0" w:color="auto"/>
      </w:divBdr>
    </w:div>
    <w:div w:id="1023673584">
      <w:bodyDiv w:val="1"/>
      <w:marLeft w:val="0"/>
      <w:marRight w:val="0"/>
      <w:marTop w:val="0"/>
      <w:marBottom w:val="0"/>
      <w:divBdr>
        <w:top w:val="none" w:sz="0" w:space="0" w:color="auto"/>
        <w:left w:val="none" w:sz="0" w:space="0" w:color="auto"/>
        <w:bottom w:val="none" w:sz="0" w:space="0" w:color="auto"/>
        <w:right w:val="none" w:sz="0" w:space="0" w:color="auto"/>
      </w:divBdr>
    </w:div>
    <w:div w:id="1026367952">
      <w:bodyDiv w:val="1"/>
      <w:marLeft w:val="0"/>
      <w:marRight w:val="0"/>
      <w:marTop w:val="0"/>
      <w:marBottom w:val="0"/>
      <w:divBdr>
        <w:top w:val="none" w:sz="0" w:space="0" w:color="auto"/>
        <w:left w:val="none" w:sz="0" w:space="0" w:color="auto"/>
        <w:bottom w:val="none" w:sz="0" w:space="0" w:color="auto"/>
        <w:right w:val="none" w:sz="0" w:space="0" w:color="auto"/>
      </w:divBdr>
    </w:div>
    <w:div w:id="1027946960">
      <w:bodyDiv w:val="1"/>
      <w:marLeft w:val="0"/>
      <w:marRight w:val="0"/>
      <w:marTop w:val="0"/>
      <w:marBottom w:val="0"/>
      <w:divBdr>
        <w:top w:val="none" w:sz="0" w:space="0" w:color="auto"/>
        <w:left w:val="none" w:sz="0" w:space="0" w:color="auto"/>
        <w:bottom w:val="none" w:sz="0" w:space="0" w:color="auto"/>
        <w:right w:val="none" w:sz="0" w:space="0" w:color="auto"/>
      </w:divBdr>
    </w:div>
    <w:div w:id="1033993719">
      <w:bodyDiv w:val="1"/>
      <w:marLeft w:val="0"/>
      <w:marRight w:val="0"/>
      <w:marTop w:val="0"/>
      <w:marBottom w:val="0"/>
      <w:divBdr>
        <w:top w:val="none" w:sz="0" w:space="0" w:color="auto"/>
        <w:left w:val="none" w:sz="0" w:space="0" w:color="auto"/>
        <w:bottom w:val="none" w:sz="0" w:space="0" w:color="auto"/>
        <w:right w:val="none" w:sz="0" w:space="0" w:color="auto"/>
      </w:divBdr>
    </w:div>
    <w:div w:id="1041900586">
      <w:bodyDiv w:val="1"/>
      <w:marLeft w:val="0"/>
      <w:marRight w:val="0"/>
      <w:marTop w:val="0"/>
      <w:marBottom w:val="0"/>
      <w:divBdr>
        <w:top w:val="none" w:sz="0" w:space="0" w:color="auto"/>
        <w:left w:val="none" w:sz="0" w:space="0" w:color="auto"/>
        <w:bottom w:val="none" w:sz="0" w:space="0" w:color="auto"/>
        <w:right w:val="none" w:sz="0" w:space="0" w:color="auto"/>
      </w:divBdr>
    </w:div>
    <w:div w:id="1069957606">
      <w:bodyDiv w:val="1"/>
      <w:marLeft w:val="0"/>
      <w:marRight w:val="0"/>
      <w:marTop w:val="0"/>
      <w:marBottom w:val="0"/>
      <w:divBdr>
        <w:top w:val="none" w:sz="0" w:space="0" w:color="auto"/>
        <w:left w:val="none" w:sz="0" w:space="0" w:color="auto"/>
        <w:bottom w:val="none" w:sz="0" w:space="0" w:color="auto"/>
        <w:right w:val="none" w:sz="0" w:space="0" w:color="auto"/>
      </w:divBdr>
    </w:div>
    <w:div w:id="1121996960">
      <w:bodyDiv w:val="1"/>
      <w:marLeft w:val="0"/>
      <w:marRight w:val="0"/>
      <w:marTop w:val="0"/>
      <w:marBottom w:val="0"/>
      <w:divBdr>
        <w:top w:val="none" w:sz="0" w:space="0" w:color="auto"/>
        <w:left w:val="none" w:sz="0" w:space="0" w:color="auto"/>
        <w:bottom w:val="none" w:sz="0" w:space="0" w:color="auto"/>
        <w:right w:val="none" w:sz="0" w:space="0" w:color="auto"/>
      </w:divBdr>
    </w:div>
    <w:div w:id="1129661567">
      <w:bodyDiv w:val="1"/>
      <w:marLeft w:val="0"/>
      <w:marRight w:val="0"/>
      <w:marTop w:val="0"/>
      <w:marBottom w:val="0"/>
      <w:divBdr>
        <w:top w:val="none" w:sz="0" w:space="0" w:color="auto"/>
        <w:left w:val="none" w:sz="0" w:space="0" w:color="auto"/>
        <w:bottom w:val="none" w:sz="0" w:space="0" w:color="auto"/>
        <w:right w:val="none" w:sz="0" w:space="0" w:color="auto"/>
      </w:divBdr>
    </w:div>
    <w:div w:id="1146506034">
      <w:bodyDiv w:val="1"/>
      <w:marLeft w:val="0"/>
      <w:marRight w:val="0"/>
      <w:marTop w:val="0"/>
      <w:marBottom w:val="0"/>
      <w:divBdr>
        <w:top w:val="none" w:sz="0" w:space="0" w:color="auto"/>
        <w:left w:val="none" w:sz="0" w:space="0" w:color="auto"/>
        <w:bottom w:val="none" w:sz="0" w:space="0" w:color="auto"/>
        <w:right w:val="none" w:sz="0" w:space="0" w:color="auto"/>
      </w:divBdr>
      <w:divsChild>
        <w:div w:id="637758280">
          <w:marLeft w:val="0"/>
          <w:marRight w:val="0"/>
          <w:marTop w:val="0"/>
          <w:marBottom w:val="0"/>
          <w:divBdr>
            <w:top w:val="none" w:sz="0" w:space="0" w:color="auto"/>
            <w:left w:val="none" w:sz="0" w:space="0" w:color="auto"/>
            <w:bottom w:val="none" w:sz="0" w:space="0" w:color="auto"/>
            <w:right w:val="none" w:sz="0" w:space="0" w:color="auto"/>
          </w:divBdr>
          <w:divsChild>
            <w:div w:id="1110317269">
              <w:marLeft w:val="0"/>
              <w:marRight w:val="0"/>
              <w:marTop w:val="0"/>
              <w:marBottom w:val="0"/>
              <w:divBdr>
                <w:top w:val="none" w:sz="0" w:space="0" w:color="auto"/>
                <w:left w:val="none" w:sz="0" w:space="0" w:color="auto"/>
                <w:bottom w:val="none" w:sz="0" w:space="0" w:color="auto"/>
                <w:right w:val="none" w:sz="0" w:space="0" w:color="auto"/>
              </w:divBdr>
              <w:divsChild>
                <w:div w:id="1060515705">
                  <w:marLeft w:val="0"/>
                  <w:marRight w:val="0"/>
                  <w:marTop w:val="0"/>
                  <w:marBottom w:val="0"/>
                  <w:divBdr>
                    <w:top w:val="none" w:sz="0" w:space="0" w:color="auto"/>
                    <w:left w:val="none" w:sz="0" w:space="0" w:color="auto"/>
                    <w:bottom w:val="none" w:sz="0" w:space="0" w:color="auto"/>
                    <w:right w:val="none" w:sz="0" w:space="0" w:color="auto"/>
                  </w:divBdr>
                  <w:divsChild>
                    <w:div w:id="443161844">
                      <w:marLeft w:val="0"/>
                      <w:marRight w:val="0"/>
                      <w:marTop w:val="0"/>
                      <w:marBottom w:val="0"/>
                      <w:divBdr>
                        <w:top w:val="none" w:sz="0" w:space="0" w:color="auto"/>
                        <w:left w:val="none" w:sz="0" w:space="0" w:color="auto"/>
                        <w:bottom w:val="none" w:sz="0" w:space="0" w:color="auto"/>
                        <w:right w:val="none" w:sz="0" w:space="0" w:color="auto"/>
                      </w:divBdr>
                      <w:divsChild>
                        <w:div w:id="368917809">
                          <w:marLeft w:val="0"/>
                          <w:marRight w:val="0"/>
                          <w:marTop w:val="0"/>
                          <w:marBottom w:val="0"/>
                          <w:divBdr>
                            <w:top w:val="none" w:sz="0" w:space="0" w:color="auto"/>
                            <w:left w:val="none" w:sz="0" w:space="0" w:color="auto"/>
                            <w:bottom w:val="none" w:sz="0" w:space="0" w:color="auto"/>
                            <w:right w:val="none" w:sz="0" w:space="0" w:color="auto"/>
                          </w:divBdr>
                          <w:divsChild>
                            <w:div w:id="721908124">
                              <w:marLeft w:val="0"/>
                              <w:marRight w:val="0"/>
                              <w:marTop w:val="0"/>
                              <w:marBottom w:val="0"/>
                              <w:divBdr>
                                <w:top w:val="none" w:sz="0" w:space="0" w:color="auto"/>
                                <w:left w:val="none" w:sz="0" w:space="0" w:color="auto"/>
                                <w:bottom w:val="none" w:sz="0" w:space="0" w:color="auto"/>
                                <w:right w:val="none" w:sz="0" w:space="0" w:color="auto"/>
                              </w:divBdr>
                              <w:divsChild>
                                <w:div w:id="851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484753">
      <w:bodyDiv w:val="1"/>
      <w:marLeft w:val="0"/>
      <w:marRight w:val="0"/>
      <w:marTop w:val="0"/>
      <w:marBottom w:val="0"/>
      <w:divBdr>
        <w:top w:val="none" w:sz="0" w:space="0" w:color="auto"/>
        <w:left w:val="none" w:sz="0" w:space="0" w:color="auto"/>
        <w:bottom w:val="none" w:sz="0" w:space="0" w:color="auto"/>
        <w:right w:val="none" w:sz="0" w:space="0" w:color="auto"/>
      </w:divBdr>
    </w:div>
    <w:div w:id="1201556829">
      <w:bodyDiv w:val="1"/>
      <w:marLeft w:val="0"/>
      <w:marRight w:val="0"/>
      <w:marTop w:val="0"/>
      <w:marBottom w:val="0"/>
      <w:divBdr>
        <w:top w:val="none" w:sz="0" w:space="0" w:color="auto"/>
        <w:left w:val="none" w:sz="0" w:space="0" w:color="auto"/>
        <w:bottom w:val="none" w:sz="0" w:space="0" w:color="auto"/>
        <w:right w:val="none" w:sz="0" w:space="0" w:color="auto"/>
      </w:divBdr>
    </w:div>
    <w:div w:id="1232808367">
      <w:bodyDiv w:val="1"/>
      <w:marLeft w:val="0"/>
      <w:marRight w:val="0"/>
      <w:marTop w:val="0"/>
      <w:marBottom w:val="0"/>
      <w:divBdr>
        <w:top w:val="none" w:sz="0" w:space="0" w:color="auto"/>
        <w:left w:val="none" w:sz="0" w:space="0" w:color="auto"/>
        <w:bottom w:val="none" w:sz="0" w:space="0" w:color="auto"/>
        <w:right w:val="none" w:sz="0" w:space="0" w:color="auto"/>
      </w:divBdr>
    </w:div>
    <w:div w:id="1251541407">
      <w:bodyDiv w:val="1"/>
      <w:marLeft w:val="0"/>
      <w:marRight w:val="0"/>
      <w:marTop w:val="0"/>
      <w:marBottom w:val="0"/>
      <w:divBdr>
        <w:top w:val="none" w:sz="0" w:space="0" w:color="auto"/>
        <w:left w:val="none" w:sz="0" w:space="0" w:color="auto"/>
        <w:bottom w:val="none" w:sz="0" w:space="0" w:color="auto"/>
        <w:right w:val="none" w:sz="0" w:space="0" w:color="auto"/>
      </w:divBdr>
    </w:div>
    <w:div w:id="1284120165">
      <w:bodyDiv w:val="1"/>
      <w:marLeft w:val="0"/>
      <w:marRight w:val="0"/>
      <w:marTop w:val="0"/>
      <w:marBottom w:val="0"/>
      <w:divBdr>
        <w:top w:val="none" w:sz="0" w:space="0" w:color="auto"/>
        <w:left w:val="none" w:sz="0" w:space="0" w:color="auto"/>
        <w:bottom w:val="none" w:sz="0" w:space="0" w:color="auto"/>
        <w:right w:val="none" w:sz="0" w:space="0" w:color="auto"/>
      </w:divBdr>
    </w:div>
    <w:div w:id="1359697395">
      <w:bodyDiv w:val="1"/>
      <w:marLeft w:val="0"/>
      <w:marRight w:val="0"/>
      <w:marTop w:val="0"/>
      <w:marBottom w:val="0"/>
      <w:divBdr>
        <w:top w:val="none" w:sz="0" w:space="0" w:color="auto"/>
        <w:left w:val="none" w:sz="0" w:space="0" w:color="auto"/>
        <w:bottom w:val="none" w:sz="0" w:space="0" w:color="auto"/>
        <w:right w:val="none" w:sz="0" w:space="0" w:color="auto"/>
      </w:divBdr>
    </w:div>
    <w:div w:id="1422095661">
      <w:bodyDiv w:val="1"/>
      <w:marLeft w:val="0"/>
      <w:marRight w:val="0"/>
      <w:marTop w:val="0"/>
      <w:marBottom w:val="0"/>
      <w:divBdr>
        <w:top w:val="none" w:sz="0" w:space="0" w:color="auto"/>
        <w:left w:val="none" w:sz="0" w:space="0" w:color="auto"/>
        <w:bottom w:val="none" w:sz="0" w:space="0" w:color="auto"/>
        <w:right w:val="none" w:sz="0" w:space="0" w:color="auto"/>
      </w:divBdr>
    </w:div>
    <w:div w:id="1433042370">
      <w:bodyDiv w:val="1"/>
      <w:marLeft w:val="0"/>
      <w:marRight w:val="0"/>
      <w:marTop w:val="0"/>
      <w:marBottom w:val="0"/>
      <w:divBdr>
        <w:top w:val="none" w:sz="0" w:space="0" w:color="auto"/>
        <w:left w:val="none" w:sz="0" w:space="0" w:color="auto"/>
        <w:bottom w:val="none" w:sz="0" w:space="0" w:color="auto"/>
        <w:right w:val="none" w:sz="0" w:space="0" w:color="auto"/>
      </w:divBdr>
    </w:div>
    <w:div w:id="1437015174">
      <w:bodyDiv w:val="1"/>
      <w:marLeft w:val="0"/>
      <w:marRight w:val="0"/>
      <w:marTop w:val="0"/>
      <w:marBottom w:val="0"/>
      <w:divBdr>
        <w:top w:val="none" w:sz="0" w:space="0" w:color="auto"/>
        <w:left w:val="none" w:sz="0" w:space="0" w:color="auto"/>
        <w:bottom w:val="none" w:sz="0" w:space="0" w:color="auto"/>
        <w:right w:val="none" w:sz="0" w:space="0" w:color="auto"/>
      </w:divBdr>
    </w:div>
    <w:div w:id="1477064446">
      <w:bodyDiv w:val="1"/>
      <w:marLeft w:val="0"/>
      <w:marRight w:val="0"/>
      <w:marTop w:val="0"/>
      <w:marBottom w:val="0"/>
      <w:divBdr>
        <w:top w:val="none" w:sz="0" w:space="0" w:color="auto"/>
        <w:left w:val="none" w:sz="0" w:space="0" w:color="auto"/>
        <w:bottom w:val="none" w:sz="0" w:space="0" w:color="auto"/>
        <w:right w:val="none" w:sz="0" w:space="0" w:color="auto"/>
      </w:divBdr>
    </w:div>
    <w:div w:id="1534001462">
      <w:bodyDiv w:val="1"/>
      <w:marLeft w:val="0"/>
      <w:marRight w:val="0"/>
      <w:marTop w:val="0"/>
      <w:marBottom w:val="0"/>
      <w:divBdr>
        <w:top w:val="none" w:sz="0" w:space="0" w:color="auto"/>
        <w:left w:val="none" w:sz="0" w:space="0" w:color="auto"/>
        <w:bottom w:val="none" w:sz="0" w:space="0" w:color="auto"/>
        <w:right w:val="none" w:sz="0" w:space="0" w:color="auto"/>
      </w:divBdr>
    </w:div>
    <w:div w:id="1587034594">
      <w:bodyDiv w:val="1"/>
      <w:marLeft w:val="0"/>
      <w:marRight w:val="0"/>
      <w:marTop w:val="0"/>
      <w:marBottom w:val="0"/>
      <w:divBdr>
        <w:top w:val="none" w:sz="0" w:space="0" w:color="auto"/>
        <w:left w:val="none" w:sz="0" w:space="0" w:color="auto"/>
        <w:bottom w:val="none" w:sz="0" w:space="0" w:color="auto"/>
        <w:right w:val="none" w:sz="0" w:space="0" w:color="auto"/>
      </w:divBdr>
    </w:div>
    <w:div w:id="1659308826">
      <w:bodyDiv w:val="1"/>
      <w:marLeft w:val="0"/>
      <w:marRight w:val="0"/>
      <w:marTop w:val="0"/>
      <w:marBottom w:val="0"/>
      <w:divBdr>
        <w:top w:val="none" w:sz="0" w:space="0" w:color="auto"/>
        <w:left w:val="none" w:sz="0" w:space="0" w:color="auto"/>
        <w:bottom w:val="none" w:sz="0" w:space="0" w:color="auto"/>
        <w:right w:val="none" w:sz="0" w:space="0" w:color="auto"/>
      </w:divBdr>
    </w:div>
    <w:div w:id="1665207034">
      <w:bodyDiv w:val="1"/>
      <w:marLeft w:val="0"/>
      <w:marRight w:val="0"/>
      <w:marTop w:val="0"/>
      <w:marBottom w:val="0"/>
      <w:divBdr>
        <w:top w:val="none" w:sz="0" w:space="0" w:color="auto"/>
        <w:left w:val="none" w:sz="0" w:space="0" w:color="auto"/>
        <w:bottom w:val="none" w:sz="0" w:space="0" w:color="auto"/>
        <w:right w:val="none" w:sz="0" w:space="0" w:color="auto"/>
      </w:divBdr>
    </w:div>
    <w:div w:id="1679427139">
      <w:bodyDiv w:val="1"/>
      <w:marLeft w:val="0"/>
      <w:marRight w:val="0"/>
      <w:marTop w:val="0"/>
      <w:marBottom w:val="0"/>
      <w:divBdr>
        <w:top w:val="none" w:sz="0" w:space="0" w:color="auto"/>
        <w:left w:val="none" w:sz="0" w:space="0" w:color="auto"/>
        <w:bottom w:val="none" w:sz="0" w:space="0" w:color="auto"/>
        <w:right w:val="none" w:sz="0" w:space="0" w:color="auto"/>
      </w:divBdr>
    </w:div>
    <w:div w:id="1731416981">
      <w:bodyDiv w:val="1"/>
      <w:marLeft w:val="0"/>
      <w:marRight w:val="0"/>
      <w:marTop w:val="0"/>
      <w:marBottom w:val="0"/>
      <w:divBdr>
        <w:top w:val="none" w:sz="0" w:space="0" w:color="auto"/>
        <w:left w:val="none" w:sz="0" w:space="0" w:color="auto"/>
        <w:bottom w:val="none" w:sz="0" w:space="0" w:color="auto"/>
        <w:right w:val="none" w:sz="0" w:space="0" w:color="auto"/>
      </w:divBdr>
    </w:div>
    <w:div w:id="1744793715">
      <w:bodyDiv w:val="1"/>
      <w:marLeft w:val="0"/>
      <w:marRight w:val="0"/>
      <w:marTop w:val="0"/>
      <w:marBottom w:val="0"/>
      <w:divBdr>
        <w:top w:val="none" w:sz="0" w:space="0" w:color="auto"/>
        <w:left w:val="none" w:sz="0" w:space="0" w:color="auto"/>
        <w:bottom w:val="none" w:sz="0" w:space="0" w:color="auto"/>
        <w:right w:val="none" w:sz="0" w:space="0" w:color="auto"/>
      </w:divBdr>
      <w:divsChild>
        <w:div w:id="289480405">
          <w:marLeft w:val="0"/>
          <w:marRight w:val="0"/>
          <w:marTop w:val="0"/>
          <w:marBottom w:val="0"/>
          <w:divBdr>
            <w:top w:val="none" w:sz="0" w:space="0" w:color="auto"/>
            <w:left w:val="none" w:sz="0" w:space="0" w:color="auto"/>
            <w:bottom w:val="none" w:sz="0" w:space="0" w:color="auto"/>
            <w:right w:val="none" w:sz="0" w:space="0" w:color="auto"/>
          </w:divBdr>
          <w:divsChild>
            <w:div w:id="1526870847">
              <w:marLeft w:val="0"/>
              <w:marRight w:val="0"/>
              <w:marTop w:val="0"/>
              <w:marBottom w:val="0"/>
              <w:divBdr>
                <w:top w:val="none" w:sz="0" w:space="0" w:color="auto"/>
                <w:left w:val="none" w:sz="0" w:space="0" w:color="auto"/>
                <w:bottom w:val="none" w:sz="0" w:space="0" w:color="auto"/>
                <w:right w:val="none" w:sz="0" w:space="0" w:color="auto"/>
              </w:divBdr>
              <w:divsChild>
                <w:div w:id="1249003924">
                  <w:marLeft w:val="0"/>
                  <w:marRight w:val="0"/>
                  <w:marTop w:val="0"/>
                  <w:marBottom w:val="0"/>
                  <w:divBdr>
                    <w:top w:val="none" w:sz="0" w:space="0" w:color="auto"/>
                    <w:left w:val="none" w:sz="0" w:space="0" w:color="auto"/>
                    <w:bottom w:val="none" w:sz="0" w:space="0" w:color="auto"/>
                    <w:right w:val="none" w:sz="0" w:space="0" w:color="auto"/>
                  </w:divBdr>
                  <w:divsChild>
                    <w:div w:id="1802504418">
                      <w:marLeft w:val="0"/>
                      <w:marRight w:val="0"/>
                      <w:marTop w:val="0"/>
                      <w:marBottom w:val="0"/>
                      <w:divBdr>
                        <w:top w:val="none" w:sz="0" w:space="0" w:color="auto"/>
                        <w:left w:val="none" w:sz="0" w:space="0" w:color="auto"/>
                        <w:bottom w:val="none" w:sz="0" w:space="0" w:color="auto"/>
                        <w:right w:val="none" w:sz="0" w:space="0" w:color="auto"/>
                      </w:divBdr>
                      <w:divsChild>
                        <w:div w:id="1259171340">
                          <w:marLeft w:val="0"/>
                          <w:marRight w:val="0"/>
                          <w:marTop w:val="0"/>
                          <w:marBottom w:val="0"/>
                          <w:divBdr>
                            <w:top w:val="none" w:sz="0" w:space="0" w:color="auto"/>
                            <w:left w:val="none" w:sz="0" w:space="0" w:color="auto"/>
                            <w:bottom w:val="none" w:sz="0" w:space="0" w:color="auto"/>
                            <w:right w:val="none" w:sz="0" w:space="0" w:color="auto"/>
                          </w:divBdr>
                          <w:divsChild>
                            <w:div w:id="675687736">
                              <w:marLeft w:val="2700"/>
                              <w:marRight w:val="3960"/>
                              <w:marTop w:val="0"/>
                              <w:marBottom w:val="0"/>
                              <w:divBdr>
                                <w:top w:val="none" w:sz="0" w:space="0" w:color="auto"/>
                                <w:left w:val="none" w:sz="0" w:space="0" w:color="auto"/>
                                <w:bottom w:val="none" w:sz="0" w:space="0" w:color="auto"/>
                                <w:right w:val="none" w:sz="0" w:space="0" w:color="auto"/>
                              </w:divBdr>
                              <w:divsChild>
                                <w:div w:id="348021711">
                                  <w:marLeft w:val="0"/>
                                  <w:marRight w:val="0"/>
                                  <w:marTop w:val="0"/>
                                  <w:marBottom w:val="0"/>
                                  <w:divBdr>
                                    <w:top w:val="none" w:sz="0" w:space="0" w:color="auto"/>
                                    <w:left w:val="none" w:sz="0" w:space="0" w:color="auto"/>
                                    <w:bottom w:val="none" w:sz="0" w:space="0" w:color="auto"/>
                                    <w:right w:val="none" w:sz="0" w:space="0" w:color="auto"/>
                                  </w:divBdr>
                                  <w:divsChild>
                                    <w:div w:id="286207954">
                                      <w:marLeft w:val="0"/>
                                      <w:marRight w:val="0"/>
                                      <w:marTop w:val="0"/>
                                      <w:marBottom w:val="0"/>
                                      <w:divBdr>
                                        <w:top w:val="none" w:sz="0" w:space="0" w:color="auto"/>
                                        <w:left w:val="none" w:sz="0" w:space="0" w:color="auto"/>
                                        <w:bottom w:val="none" w:sz="0" w:space="0" w:color="auto"/>
                                        <w:right w:val="none" w:sz="0" w:space="0" w:color="auto"/>
                                      </w:divBdr>
                                      <w:divsChild>
                                        <w:div w:id="2133747089">
                                          <w:marLeft w:val="0"/>
                                          <w:marRight w:val="0"/>
                                          <w:marTop w:val="0"/>
                                          <w:marBottom w:val="0"/>
                                          <w:divBdr>
                                            <w:top w:val="none" w:sz="0" w:space="0" w:color="auto"/>
                                            <w:left w:val="none" w:sz="0" w:space="0" w:color="auto"/>
                                            <w:bottom w:val="none" w:sz="0" w:space="0" w:color="auto"/>
                                            <w:right w:val="none" w:sz="0" w:space="0" w:color="auto"/>
                                          </w:divBdr>
                                          <w:divsChild>
                                            <w:div w:id="1589002852">
                                              <w:marLeft w:val="0"/>
                                              <w:marRight w:val="0"/>
                                              <w:marTop w:val="90"/>
                                              <w:marBottom w:val="0"/>
                                              <w:divBdr>
                                                <w:top w:val="none" w:sz="0" w:space="0" w:color="auto"/>
                                                <w:left w:val="none" w:sz="0" w:space="0" w:color="auto"/>
                                                <w:bottom w:val="none" w:sz="0" w:space="0" w:color="auto"/>
                                                <w:right w:val="none" w:sz="0" w:space="0" w:color="auto"/>
                                              </w:divBdr>
                                              <w:divsChild>
                                                <w:div w:id="320083331">
                                                  <w:marLeft w:val="0"/>
                                                  <w:marRight w:val="0"/>
                                                  <w:marTop w:val="0"/>
                                                  <w:marBottom w:val="0"/>
                                                  <w:divBdr>
                                                    <w:top w:val="none" w:sz="0" w:space="0" w:color="auto"/>
                                                    <w:left w:val="none" w:sz="0" w:space="0" w:color="auto"/>
                                                    <w:bottom w:val="none" w:sz="0" w:space="0" w:color="auto"/>
                                                    <w:right w:val="none" w:sz="0" w:space="0" w:color="auto"/>
                                                  </w:divBdr>
                                                  <w:divsChild>
                                                    <w:div w:id="769472786">
                                                      <w:marLeft w:val="0"/>
                                                      <w:marRight w:val="0"/>
                                                      <w:marTop w:val="0"/>
                                                      <w:marBottom w:val="405"/>
                                                      <w:divBdr>
                                                        <w:top w:val="none" w:sz="0" w:space="0" w:color="auto"/>
                                                        <w:left w:val="none" w:sz="0" w:space="0" w:color="auto"/>
                                                        <w:bottom w:val="none" w:sz="0" w:space="0" w:color="auto"/>
                                                        <w:right w:val="none" w:sz="0" w:space="0" w:color="auto"/>
                                                      </w:divBdr>
                                                      <w:divsChild>
                                                        <w:div w:id="2006780763">
                                                          <w:marLeft w:val="0"/>
                                                          <w:marRight w:val="0"/>
                                                          <w:marTop w:val="0"/>
                                                          <w:marBottom w:val="0"/>
                                                          <w:divBdr>
                                                            <w:top w:val="none" w:sz="0" w:space="0" w:color="auto"/>
                                                            <w:left w:val="none" w:sz="0" w:space="0" w:color="auto"/>
                                                            <w:bottom w:val="none" w:sz="0" w:space="0" w:color="auto"/>
                                                            <w:right w:val="none" w:sz="0" w:space="0" w:color="auto"/>
                                                          </w:divBdr>
                                                          <w:divsChild>
                                                            <w:div w:id="770513888">
                                                              <w:marLeft w:val="0"/>
                                                              <w:marRight w:val="0"/>
                                                              <w:marTop w:val="0"/>
                                                              <w:marBottom w:val="0"/>
                                                              <w:divBdr>
                                                                <w:top w:val="none" w:sz="0" w:space="0" w:color="auto"/>
                                                                <w:left w:val="none" w:sz="0" w:space="0" w:color="auto"/>
                                                                <w:bottom w:val="none" w:sz="0" w:space="0" w:color="auto"/>
                                                                <w:right w:val="none" w:sz="0" w:space="0" w:color="auto"/>
                                                              </w:divBdr>
                                                              <w:divsChild>
                                                                <w:div w:id="722221208">
                                                                  <w:marLeft w:val="0"/>
                                                                  <w:marRight w:val="0"/>
                                                                  <w:marTop w:val="0"/>
                                                                  <w:marBottom w:val="0"/>
                                                                  <w:divBdr>
                                                                    <w:top w:val="none" w:sz="0" w:space="0" w:color="auto"/>
                                                                    <w:left w:val="none" w:sz="0" w:space="0" w:color="auto"/>
                                                                    <w:bottom w:val="none" w:sz="0" w:space="0" w:color="auto"/>
                                                                    <w:right w:val="none" w:sz="0" w:space="0" w:color="auto"/>
                                                                  </w:divBdr>
                                                                  <w:divsChild>
                                                                    <w:div w:id="896670843">
                                                                      <w:marLeft w:val="0"/>
                                                                      <w:marRight w:val="0"/>
                                                                      <w:marTop w:val="0"/>
                                                                      <w:marBottom w:val="0"/>
                                                                      <w:divBdr>
                                                                        <w:top w:val="none" w:sz="0" w:space="0" w:color="auto"/>
                                                                        <w:left w:val="none" w:sz="0" w:space="0" w:color="auto"/>
                                                                        <w:bottom w:val="none" w:sz="0" w:space="0" w:color="auto"/>
                                                                        <w:right w:val="none" w:sz="0" w:space="0" w:color="auto"/>
                                                                      </w:divBdr>
                                                                      <w:divsChild>
                                                                        <w:div w:id="232204816">
                                                                          <w:marLeft w:val="0"/>
                                                                          <w:marRight w:val="0"/>
                                                                          <w:marTop w:val="0"/>
                                                                          <w:marBottom w:val="0"/>
                                                                          <w:divBdr>
                                                                            <w:top w:val="none" w:sz="0" w:space="0" w:color="auto"/>
                                                                            <w:left w:val="none" w:sz="0" w:space="0" w:color="auto"/>
                                                                            <w:bottom w:val="none" w:sz="0" w:space="0" w:color="auto"/>
                                                                            <w:right w:val="none" w:sz="0" w:space="0" w:color="auto"/>
                                                                          </w:divBdr>
                                                                          <w:divsChild>
                                                                            <w:div w:id="2124299031">
                                                                              <w:marLeft w:val="0"/>
                                                                              <w:marRight w:val="0"/>
                                                                              <w:marTop w:val="0"/>
                                                                              <w:marBottom w:val="0"/>
                                                                              <w:divBdr>
                                                                                <w:top w:val="none" w:sz="0" w:space="0" w:color="auto"/>
                                                                                <w:left w:val="none" w:sz="0" w:space="0" w:color="auto"/>
                                                                                <w:bottom w:val="none" w:sz="0" w:space="0" w:color="auto"/>
                                                                                <w:right w:val="none" w:sz="0" w:space="0" w:color="auto"/>
                                                                              </w:divBdr>
                                                                              <w:divsChild>
                                                                                <w:div w:id="1957520811">
                                                                                  <w:marLeft w:val="0"/>
                                                                                  <w:marRight w:val="0"/>
                                                                                  <w:marTop w:val="0"/>
                                                                                  <w:marBottom w:val="0"/>
                                                                                  <w:divBdr>
                                                                                    <w:top w:val="none" w:sz="0" w:space="0" w:color="auto"/>
                                                                                    <w:left w:val="none" w:sz="0" w:space="0" w:color="auto"/>
                                                                                    <w:bottom w:val="none" w:sz="0" w:space="0" w:color="auto"/>
                                                                                    <w:right w:val="none" w:sz="0" w:space="0" w:color="auto"/>
                                                                                  </w:divBdr>
                                                                                  <w:divsChild>
                                                                                    <w:div w:id="1886062936">
                                                                                      <w:marLeft w:val="0"/>
                                                                                      <w:marRight w:val="0"/>
                                                                                      <w:marTop w:val="0"/>
                                                                                      <w:marBottom w:val="0"/>
                                                                                      <w:divBdr>
                                                                                        <w:top w:val="none" w:sz="0" w:space="0" w:color="auto"/>
                                                                                        <w:left w:val="none" w:sz="0" w:space="0" w:color="auto"/>
                                                                                        <w:bottom w:val="none" w:sz="0" w:space="0" w:color="auto"/>
                                                                                        <w:right w:val="none" w:sz="0" w:space="0" w:color="auto"/>
                                                                                      </w:divBdr>
                                                                                      <w:divsChild>
                                                                                        <w:div w:id="10244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5004994">
      <w:bodyDiv w:val="1"/>
      <w:marLeft w:val="0"/>
      <w:marRight w:val="0"/>
      <w:marTop w:val="0"/>
      <w:marBottom w:val="0"/>
      <w:divBdr>
        <w:top w:val="none" w:sz="0" w:space="0" w:color="auto"/>
        <w:left w:val="none" w:sz="0" w:space="0" w:color="auto"/>
        <w:bottom w:val="none" w:sz="0" w:space="0" w:color="auto"/>
        <w:right w:val="none" w:sz="0" w:space="0" w:color="auto"/>
      </w:divBdr>
    </w:div>
    <w:div w:id="1817382405">
      <w:bodyDiv w:val="1"/>
      <w:marLeft w:val="0"/>
      <w:marRight w:val="0"/>
      <w:marTop w:val="0"/>
      <w:marBottom w:val="0"/>
      <w:divBdr>
        <w:top w:val="none" w:sz="0" w:space="0" w:color="auto"/>
        <w:left w:val="none" w:sz="0" w:space="0" w:color="auto"/>
        <w:bottom w:val="none" w:sz="0" w:space="0" w:color="auto"/>
        <w:right w:val="none" w:sz="0" w:space="0" w:color="auto"/>
      </w:divBdr>
    </w:div>
    <w:div w:id="1863476705">
      <w:bodyDiv w:val="1"/>
      <w:marLeft w:val="0"/>
      <w:marRight w:val="0"/>
      <w:marTop w:val="0"/>
      <w:marBottom w:val="0"/>
      <w:divBdr>
        <w:top w:val="none" w:sz="0" w:space="0" w:color="auto"/>
        <w:left w:val="none" w:sz="0" w:space="0" w:color="auto"/>
        <w:bottom w:val="none" w:sz="0" w:space="0" w:color="auto"/>
        <w:right w:val="none" w:sz="0" w:space="0" w:color="auto"/>
      </w:divBdr>
    </w:div>
    <w:div w:id="1868445557">
      <w:bodyDiv w:val="1"/>
      <w:marLeft w:val="0"/>
      <w:marRight w:val="0"/>
      <w:marTop w:val="0"/>
      <w:marBottom w:val="0"/>
      <w:divBdr>
        <w:top w:val="none" w:sz="0" w:space="0" w:color="auto"/>
        <w:left w:val="none" w:sz="0" w:space="0" w:color="auto"/>
        <w:bottom w:val="none" w:sz="0" w:space="0" w:color="auto"/>
        <w:right w:val="none" w:sz="0" w:space="0" w:color="auto"/>
      </w:divBdr>
    </w:div>
    <w:div w:id="1937135587">
      <w:bodyDiv w:val="1"/>
      <w:marLeft w:val="0"/>
      <w:marRight w:val="0"/>
      <w:marTop w:val="0"/>
      <w:marBottom w:val="0"/>
      <w:divBdr>
        <w:top w:val="none" w:sz="0" w:space="0" w:color="auto"/>
        <w:left w:val="none" w:sz="0" w:space="0" w:color="auto"/>
        <w:bottom w:val="none" w:sz="0" w:space="0" w:color="auto"/>
        <w:right w:val="none" w:sz="0" w:space="0" w:color="auto"/>
      </w:divBdr>
    </w:div>
    <w:div w:id="1953777356">
      <w:bodyDiv w:val="1"/>
      <w:marLeft w:val="0"/>
      <w:marRight w:val="0"/>
      <w:marTop w:val="0"/>
      <w:marBottom w:val="0"/>
      <w:divBdr>
        <w:top w:val="none" w:sz="0" w:space="0" w:color="auto"/>
        <w:left w:val="none" w:sz="0" w:space="0" w:color="auto"/>
        <w:bottom w:val="none" w:sz="0" w:space="0" w:color="auto"/>
        <w:right w:val="none" w:sz="0" w:space="0" w:color="auto"/>
      </w:divBdr>
    </w:div>
    <w:div w:id="1958481790">
      <w:bodyDiv w:val="1"/>
      <w:marLeft w:val="0"/>
      <w:marRight w:val="0"/>
      <w:marTop w:val="0"/>
      <w:marBottom w:val="0"/>
      <w:divBdr>
        <w:top w:val="none" w:sz="0" w:space="0" w:color="auto"/>
        <w:left w:val="none" w:sz="0" w:space="0" w:color="auto"/>
        <w:bottom w:val="none" w:sz="0" w:space="0" w:color="auto"/>
        <w:right w:val="none" w:sz="0" w:space="0" w:color="auto"/>
      </w:divBdr>
    </w:div>
    <w:div w:id="1983195669">
      <w:bodyDiv w:val="1"/>
      <w:marLeft w:val="0"/>
      <w:marRight w:val="0"/>
      <w:marTop w:val="0"/>
      <w:marBottom w:val="0"/>
      <w:divBdr>
        <w:top w:val="none" w:sz="0" w:space="0" w:color="auto"/>
        <w:left w:val="none" w:sz="0" w:space="0" w:color="auto"/>
        <w:bottom w:val="none" w:sz="0" w:space="0" w:color="auto"/>
        <w:right w:val="none" w:sz="0" w:space="0" w:color="auto"/>
      </w:divBdr>
    </w:div>
    <w:div w:id="1983928503">
      <w:bodyDiv w:val="1"/>
      <w:marLeft w:val="0"/>
      <w:marRight w:val="0"/>
      <w:marTop w:val="0"/>
      <w:marBottom w:val="0"/>
      <w:divBdr>
        <w:top w:val="none" w:sz="0" w:space="0" w:color="auto"/>
        <w:left w:val="none" w:sz="0" w:space="0" w:color="auto"/>
        <w:bottom w:val="none" w:sz="0" w:space="0" w:color="auto"/>
        <w:right w:val="none" w:sz="0" w:space="0" w:color="auto"/>
      </w:divBdr>
    </w:div>
    <w:div w:id="2025865144">
      <w:bodyDiv w:val="1"/>
      <w:marLeft w:val="0"/>
      <w:marRight w:val="0"/>
      <w:marTop w:val="0"/>
      <w:marBottom w:val="0"/>
      <w:divBdr>
        <w:top w:val="none" w:sz="0" w:space="0" w:color="auto"/>
        <w:left w:val="none" w:sz="0" w:space="0" w:color="auto"/>
        <w:bottom w:val="none" w:sz="0" w:space="0" w:color="auto"/>
        <w:right w:val="none" w:sz="0" w:space="0" w:color="auto"/>
      </w:divBdr>
    </w:div>
    <w:div w:id="2050761798">
      <w:bodyDiv w:val="1"/>
      <w:marLeft w:val="0"/>
      <w:marRight w:val="0"/>
      <w:marTop w:val="0"/>
      <w:marBottom w:val="0"/>
      <w:divBdr>
        <w:top w:val="none" w:sz="0" w:space="0" w:color="auto"/>
        <w:left w:val="none" w:sz="0" w:space="0" w:color="auto"/>
        <w:bottom w:val="none" w:sz="0" w:space="0" w:color="auto"/>
        <w:right w:val="none" w:sz="0" w:space="0" w:color="auto"/>
      </w:divBdr>
    </w:div>
    <w:div w:id="2065520122">
      <w:bodyDiv w:val="1"/>
      <w:marLeft w:val="0"/>
      <w:marRight w:val="0"/>
      <w:marTop w:val="0"/>
      <w:marBottom w:val="0"/>
      <w:divBdr>
        <w:top w:val="none" w:sz="0" w:space="0" w:color="auto"/>
        <w:left w:val="none" w:sz="0" w:space="0" w:color="auto"/>
        <w:bottom w:val="none" w:sz="0" w:space="0" w:color="auto"/>
        <w:right w:val="none" w:sz="0" w:space="0" w:color="auto"/>
      </w:divBdr>
    </w:div>
    <w:div w:id="210969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indlaegsseddel.dk/"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indlaegsseddel.d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8D64D-5CCE-443F-AB76-C5FFA2C83489}">
  <ds:schemaRefs>
    <ds:schemaRef ds:uri="http://purl.org/dc/elements/1.1/"/>
    <ds:schemaRef ds:uri="http://schemas.microsoft.com/office/2006/metadata/properties"/>
    <ds:schemaRef ds:uri="http://purl.org/dc/terms/"/>
    <ds:schemaRef ds:uri="http://schemas.microsoft.com/office/infopath/2007/PartnerControls"/>
    <ds:schemaRef ds:uri="http://schemas.microsoft.com/office/2006/documentManagement/types"/>
    <ds:schemaRef ds:uri="e84aa060-13d4-4ddd-8d65-c3aafff2663b"/>
    <ds:schemaRef ds:uri="http://schemas.openxmlformats.org/package/2006/metadata/core-properties"/>
    <ds:schemaRef ds:uri="08c21c09-beba-4072-8000-1dca26330969"/>
    <ds:schemaRef ds:uri="http://www.w3.org/XML/1998/namespace"/>
    <ds:schemaRef ds:uri="http://purl.org/dc/dcmitype/"/>
  </ds:schemaRefs>
</ds:datastoreItem>
</file>

<file path=customXml/itemProps2.xml><?xml version="1.0" encoding="utf-8"?>
<ds:datastoreItem xmlns:ds="http://schemas.openxmlformats.org/officeDocument/2006/customXml" ds:itemID="{EA9CC18E-9947-484D-AFCD-F4293F52271B}">
  <ds:schemaRefs>
    <ds:schemaRef ds:uri="http://schemas.microsoft.com/sharepoint/v3/contenttype/forms"/>
  </ds:schemaRefs>
</ds:datastoreItem>
</file>

<file path=customXml/itemProps3.xml><?xml version="1.0" encoding="utf-8"?>
<ds:datastoreItem xmlns:ds="http://schemas.openxmlformats.org/officeDocument/2006/customXml" ds:itemID="{3BBC5EC1-ABBA-4F05-9366-9FF6E0F9B60D}"/>
</file>

<file path=customXml/itemProps4.xml><?xml version="1.0" encoding="utf-8"?>
<ds:datastoreItem xmlns:ds="http://schemas.openxmlformats.org/officeDocument/2006/customXml" ds:itemID="{C9EA7791-778C-4873-A580-BB1ADEA22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98</Pages>
  <Words>39046</Words>
  <Characters>222564</Characters>
  <Application>Microsoft Office Word</Application>
  <DocSecurity>0</DocSecurity>
  <Lines>1854</Lines>
  <Paragraphs>522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Glivec, INN-imatinib</vt:lpstr>
      <vt:lpstr>Glivec, INN-imatinib</vt:lpstr>
    </vt:vector>
  </TitlesOfParts>
  <Company>Novartis</Company>
  <LinksUpToDate>false</LinksUpToDate>
  <CharactersWithSpaces>261088</CharactersWithSpaces>
  <SharedDoc>false</SharedDoc>
  <HLinks>
    <vt:vector size="60" baseType="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1507405</vt:i4>
      </vt:variant>
      <vt:variant>
        <vt:i4>24</vt:i4>
      </vt:variant>
      <vt:variant>
        <vt:i4>0</vt:i4>
      </vt:variant>
      <vt:variant>
        <vt:i4>5</vt:i4>
      </vt:variant>
      <vt:variant>
        <vt:lpwstr>http://www.indlaegsseddel.dk/</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1507405</vt:i4>
      </vt:variant>
      <vt:variant>
        <vt:i4>18</vt:i4>
      </vt:variant>
      <vt:variant>
        <vt:i4>0</vt:i4>
      </vt:variant>
      <vt:variant>
        <vt:i4>5</vt:i4>
      </vt:variant>
      <vt:variant>
        <vt:lpwstr>http://www.indlaegsseddel.dk/</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1507405</vt:i4>
      </vt:variant>
      <vt:variant>
        <vt:i4>12</vt:i4>
      </vt:variant>
      <vt:variant>
        <vt:i4>0</vt:i4>
      </vt:variant>
      <vt:variant>
        <vt:i4>5</vt:i4>
      </vt:variant>
      <vt:variant>
        <vt:lpwstr>http://www.indlaegsseddel.dk/</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1507405</vt:i4>
      </vt:variant>
      <vt:variant>
        <vt:i4>6</vt:i4>
      </vt:variant>
      <vt:variant>
        <vt:i4>0</vt:i4>
      </vt:variant>
      <vt:variant>
        <vt:i4>5</vt:i4>
      </vt:variant>
      <vt:variant>
        <vt:lpwstr>http://www.indlaegsseddel.dk/</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6</cp:revision>
  <cp:lastPrinted>2010-03-05T14:42:00Z</cp:lastPrinted>
  <dcterms:created xsi:type="dcterms:W3CDTF">2021-02-02T09:58:00Z</dcterms:created>
  <dcterms:modified xsi:type="dcterms:W3CDTF">2021-05-21T15:53:00Z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MSIP_Label_4929bff8-5b33-42aa-95d2-28f72e792cb0_Enabled">
    <vt:lpwstr>True</vt:lpwstr>
  </property>
  <property fmtid="{D5CDD505-2E9C-101B-9397-08002B2CF9AE}" pid="4" name="MSIP_Label_4929bff8-5b33-42aa-95d2-28f72e792cb0_SiteId">
    <vt:lpwstr>f35a6974-607f-47d4-82d7-ff31d7dc53a5</vt:lpwstr>
  </property>
  <property fmtid="{D5CDD505-2E9C-101B-9397-08002B2CF9AE}" pid="5" name="MSIP_Label_4929bff8-5b33-42aa-95d2-28f72e792cb0_SetDate">
    <vt:lpwstr>2020-03-04T19:23:49.2210695Z</vt:lpwstr>
  </property>
  <property fmtid="{D5CDD505-2E9C-101B-9397-08002B2CF9AE}" pid="6" name="MSIP_Label_4929bff8-5b33-42aa-95d2-28f72e792cb0_Name">
    <vt:lpwstr>Business Use Only</vt:lpwstr>
  </property>
  <property fmtid="{D5CDD505-2E9C-101B-9397-08002B2CF9AE}" pid="7" name="MSIP_Label_4929bff8-5b33-42aa-95d2-28f72e792cb0_ActionId">
    <vt:lpwstr>d8962ae0-6968-4eab-8c88-cb83506ac05f</vt:lpwstr>
  </property>
  <property fmtid="{D5CDD505-2E9C-101B-9397-08002B2CF9AE}" pid="8" name="MSIP_Label_4929bff8-5b33-42aa-95d2-28f72e792cb0_Extended_MSFT_Method">
    <vt:lpwstr>Automatic</vt:lpwstr>
  </property>
  <property fmtid="{D5CDD505-2E9C-101B-9397-08002B2CF9AE}" pid="9" name="Confidentiality">
    <vt:lpwstr>Business Use Only</vt:lpwstr>
  </property>
  <property fmtid="{D5CDD505-2E9C-101B-9397-08002B2CF9AE}" pid="10" name="MSIP_Label_0eea11ca-d417-4147-80ed-01a58412c458_Enabled">
    <vt:lpwstr>true</vt:lpwstr>
  </property>
  <property fmtid="{D5CDD505-2E9C-101B-9397-08002B2CF9AE}" pid="11" name="MSIP_Label_0eea11ca-d417-4147-80ed-01a58412c458_SetDate">
    <vt:lpwstr>2021-05-21T15:53:33Z</vt:lpwstr>
  </property>
  <property fmtid="{D5CDD505-2E9C-101B-9397-08002B2CF9AE}" pid="12" name="MSIP_Label_0eea11ca-d417-4147-80ed-01a58412c458_Method">
    <vt:lpwstr>Standard</vt:lpwstr>
  </property>
  <property fmtid="{D5CDD505-2E9C-101B-9397-08002B2CF9AE}" pid="13" name="MSIP_Label_0eea11ca-d417-4147-80ed-01a58412c458_Name">
    <vt:lpwstr>0eea11ca-d417-4147-80ed-01a58412c458</vt:lpwstr>
  </property>
  <property fmtid="{D5CDD505-2E9C-101B-9397-08002B2CF9AE}" pid="14" name="MSIP_Label_0eea11ca-d417-4147-80ed-01a58412c458_SiteId">
    <vt:lpwstr>bc9dc15c-61bc-4f03-b60b-e5b6d8922839</vt:lpwstr>
  </property>
  <property fmtid="{D5CDD505-2E9C-101B-9397-08002B2CF9AE}" pid="15" name="MSIP_Label_0eea11ca-d417-4147-80ed-01a58412c458_ActionId">
    <vt:lpwstr>863cd7af-f811-44f7-9ff0-58cd77553085</vt:lpwstr>
  </property>
  <property fmtid="{D5CDD505-2E9C-101B-9397-08002B2CF9AE}" pid="16" name="MSIP_Label_0eea11ca-d417-4147-80ed-01a58412c458_ContentBits">
    <vt:lpwstr>2</vt:lpwstr>
  </property>
</Properties>
</file>